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1.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2.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3.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4.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5.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6.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7.xml" ContentType="application/vnd.openxmlformats-officedocument.drawingml.chart+xml"/>
  <Override PartName="/word/drawings/drawing3.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25545783"/>
    <w:p w14:paraId="79A91CFD" w14:textId="1F1F0C0C" w:rsidR="0014031B" w:rsidRDefault="00F7042B" w:rsidP="0014031B">
      <w:pPr>
        <w:jc w:val="both"/>
        <w:rPr>
          <w:rFonts w:cstheme="minorHAnsi"/>
          <w:b/>
          <w:bCs/>
        </w:rPr>
      </w:pPr>
      <w:r w:rsidRPr="001E3EEE">
        <w:rPr>
          <w:rFonts w:cstheme="minorHAnsi"/>
          <w:noProof/>
          <w:lang w:val="en-GB" w:eastAsia="en-GB"/>
        </w:rPr>
        <mc:AlternateContent>
          <mc:Choice Requires="wps">
            <w:drawing>
              <wp:anchor distT="0" distB="0" distL="114299" distR="114299" simplePos="0" relativeHeight="251670528" behindDoc="0" locked="0" layoutInCell="1" allowOverlap="1" wp14:anchorId="3ACF22A0" wp14:editId="261DF25F">
                <wp:simplePos x="0" y="0"/>
                <wp:positionH relativeFrom="margin">
                  <wp:posOffset>40943</wp:posOffset>
                </wp:positionH>
                <wp:positionV relativeFrom="paragraph">
                  <wp:posOffset>67510</wp:posOffset>
                </wp:positionV>
                <wp:extent cx="0" cy="1153236"/>
                <wp:effectExtent l="0" t="0" r="38100" b="2794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53236"/>
                        </a:xfrm>
                        <a:prstGeom prst="line">
                          <a:avLst/>
                        </a:prstGeom>
                        <a:ln w="19050">
                          <a:gradFill>
                            <a:gsLst>
                              <a:gs pos="18000">
                                <a:srgbClr val="FF0000"/>
                              </a:gs>
                              <a:gs pos="65000">
                                <a:srgbClr val="FFC000"/>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38DD9B" id="Straight Connector 8" o:spid="_x0000_s1026" style="position:absolute;z-index:2516705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3.2pt,5.3pt" to="3.2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wGnGAIAAKcEAAAOAAAAZHJzL2Uyb0RvYy54bWysVE1v2zAMvQ/ofxB0b2ynTZAZcXpIkV6K&#10;LVi2H6DIki1MX5C02Pn3o+SPttt62LCLYJF8JN8T6e1DryS6MOeF0RUuFjlGTFNTC91U+NvXw+0G&#10;Ix+Irok0mlX4yjx+2N182Ha2ZEvTGlkzhyCJ9mVnK9yGYMss87RliviFsUyDkxunSICra7LakQ6y&#10;K5kt83yddcbV1hnKvAfr4+DEu5Sfc0bDZ849C0hWGHoL6XTpPMcz221J2ThiW0HHNsg/dKGI0FB0&#10;TvVIAkE/nPgtlRLUGW94WFCjMsO5oCxxADZF/gubU0ssS1xAHG9nmfz/S0s/XY4OibrC8FCaKHii&#10;U3BENG1Ae6M1CGgc2kSdOutLCN/ro4tMaa9P9tnQ7x582RtnvHg7hPXcqRgOVFGfdL/OurM+IDoY&#10;KViLYnW3vFvHWhkpJ6B1Pjwxo1D8qLAUOkpCSnJ59mEInUKiWWrUQaqP+SqfHqQ+CCmjr/EAGT6Q&#10;NaBiscnzIcy75ryXDl0IDMrhAOY0G9BH418j1qt3EPu3iAQcq0HLiMR9WN3HvDCGnhLJQPNi5AoD&#10;ODYJOKlHPQcJk5jhKtnA7gvj8FwgWpHopUVhc+eEUqbDlFZqiI4wDgLMwJFw3LD3gGN8hLK0RH8D&#10;nhGpstFhBiuhjftT26GfWuZD/KTAwDtKcDb19eimUYNtSEMybm5ct9f3BH/5v+x+AgAA//8DAFBL&#10;AwQUAAYACAAAACEAknByrNsAAAAGAQAADwAAAGRycy9kb3ducmV2LnhtbEyOQUvDQBCF74L/YRnB&#10;m901SkjTbEoRiogKpvXgcZudJqHZ2ZDdtvHfOz3V4zfv8eYrlpPrxQnH0HnS8DhTIJBqbztqNHxv&#10;1w8ZiBANWdN7Qg2/GGBZ3t4UJrf+TBWeNrERPEIhNxraGIdcylC36EyY+QGJs70fnYmMYyPtaM48&#10;7nqZKJVKZzriD60Z8KXF+rA5Og1P75/bKn5ltK72849Xv/rJ3pTX+v5uWi1ARJzitQwXfVaHkp12&#10;/kg2iF5D+sxFPqsUBMcX3DHOkwRkWcj/+uUfAAAA//8DAFBLAQItABQABgAIAAAAIQC2gziS/gAA&#10;AOEBAAATAAAAAAAAAAAAAAAAAAAAAABbQ29udGVudF9UeXBlc10ueG1sUEsBAi0AFAAGAAgAAAAh&#10;ADj9If/WAAAAlAEAAAsAAAAAAAAAAAAAAAAALwEAAF9yZWxzLy5yZWxzUEsBAi0AFAAGAAgAAAAh&#10;AOzXAacYAgAApwQAAA4AAAAAAAAAAAAAAAAALgIAAGRycy9lMm9Eb2MueG1sUEsBAi0AFAAGAAgA&#10;AAAhAJJwcqzbAAAABgEAAA8AAAAAAAAAAAAAAAAAcgQAAGRycy9kb3ducmV2LnhtbFBLBQYAAAAA&#10;BAAEAPMAAAB6BQAAAAA=&#10;" strokeweight="1.5pt">
                <v:stroke joinstyle="miter"/>
                <o:lock v:ext="edit" shapetype="f"/>
                <w10:wrap anchorx="margin"/>
              </v:line>
            </w:pict>
          </mc:Fallback>
        </mc:AlternateContent>
      </w:r>
    </w:p>
    <w:p w14:paraId="6A9E6EAE" w14:textId="162CD097" w:rsidR="00F7042B" w:rsidRPr="00FF39A4" w:rsidRDefault="00F7042B" w:rsidP="00F7042B">
      <w:pPr>
        <w:pStyle w:val="Title"/>
        <w:rPr>
          <w:rFonts w:asciiTheme="minorHAnsi" w:hAnsiTheme="minorHAnsi" w:cstheme="minorHAnsi"/>
          <w:szCs w:val="28"/>
        </w:rPr>
      </w:pPr>
      <w:r w:rsidRPr="001E3EEE">
        <w:rPr>
          <w:rFonts w:asciiTheme="minorHAnsi" w:hAnsiTheme="minorHAnsi" w:cstheme="minorHAnsi"/>
          <w:lang w:val="en-GB" w:eastAsia="en-GB"/>
        </w:rPr>
        <w:drawing>
          <wp:anchor distT="0" distB="0" distL="114300" distR="114300" simplePos="0" relativeHeight="251671552" behindDoc="0" locked="0" layoutInCell="1" allowOverlap="1" wp14:anchorId="67779931" wp14:editId="504ADBA4">
            <wp:simplePos x="0" y="0"/>
            <wp:positionH relativeFrom="column">
              <wp:posOffset>200660</wp:posOffset>
            </wp:positionH>
            <wp:positionV relativeFrom="paragraph">
              <wp:posOffset>-176530</wp:posOffset>
            </wp:positionV>
            <wp:extent cx="539115" cy="621665"/>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1E3EEE">
        <w:rPr>
          <w:rFonts w:asciiTheme="minorHAnsi" w:hAnsiTheme="minorHAnsi" w:cstheme="minorHAnsi"/>
        </w:rPr>
        <w:t xml:space="preserve">  </w:t>
      </w:r>
    </w:p>
    <w:p w14:paraId="012DBC04" w14:textId="77777777" w:rsidR="00F7042B" w:rsidRDefault="00F7042B" w:rsidP="00F7042B">
      <w:pPr>
        <w:pStyle w:val="Title"/>
        <w:spacing w:before="0" w:after="0" w:line="240" w:lineRule="auto"/>
        <w:rPr>
          <w:rFonts w:asciiTheme="minorHAnsi" w:hAnsiTheme="minorHAnsi" w:cstheme="minorHAnsi"/>
          <w:szCs w:val="28"/>
        </w:rPr>
      </w:pPr>
      <w:r w:rsidRPr="00FF39A4">
        <w:rPr>
          <w:rFonts w:asciiTheme="minorHAnsi" w:hAnsiTheme="minorHAnsi" w:cstheme="minorHAnsi"/>
          <w:szCs w:val="28"/>
        </w:rPr>
        <w:t xml:space="preserve">  </w:t>
      </w:r>
      <w:r>
        <w:rPr>
          <w:rFonts w:asciiTheme="minorHAnsi" w:hAnsiTheme="minorHAnsi" w:cstheme="minorHAnsi"/>
          <w:szCs w:val="28"/>
        </w:rPr>
        <w:t xml:space="preserve"> </w:t>
      </w:r>
    </w:p>
    <w:p w14:paraId="5DA26248" w14:textId="4A31A7DD" w:rsidR="00F7042B" w:rsidRDefault="00F7042B" w:rsidP="00F7042B">
      <w:pPr>
        <w:pStyle w:val="Title"/>
        <w:spacing w:before="0" w:after="0" w:line="240" w:lineRule="auto"/>
        <w:ind w:left="0"/>
        <w:rPr>
          <w:rFonts w:cstheme="minorHAnsi"/>
          <w:b/>
          <w:szCs w:val="28"/>
        </w:rPr>
      </w:pPr>
      <w:r>
        <w:rPr>
          <w:rFonts w:cstheme="minorHAnsi"/>
          <w:szCs w:val="28"/>
        </w:rPr>
        <w:t xml:space="preserve">    </w:t>
      </w:r>
      <w:r w:rsidRPr="00B56C4B">
        <w:rPr>
          <w:rFonts w:cstheme="minorHAnsi"/>
          <w:szCs w:val="28"/>
        </w:rPr>
        <w:t>Ministarstvo</w:t>
      </w:r>
    </w:p>
    <w:p w14:paraId="0325AB6B" w14:textId="7BFF8F63" w:rsidR="00F7042B" w:rsidRPr="00B56C4B" w:rsidRDefault="00F7042B" w:rsidP="00F7042B">
      <w:pPr>
        <w:pStyle w:val="Title"/>
        <w:spacing w:before="0" w:after="0" w:line="240" w:lineRule="auto"/>
        <w:ind w:left="0"/>
        <w:rPr>
          <w:rFonts w:cstheme="minorHAnsi"/>
          <w:b/>
          <w:szCs w:val="28"/>
        </w:rPr>
      </w:pPr>
      <w:r>
        <w:rPr>
          <w:rFonts w:cstheme="minorHAnsi"/>
          <w:szCs w:val="28"/>
        </w:rPr>
        <w:t xml:space="preserve">        </w:t>
      </w:r>
      <w:r w:rsidRPr="00B56C4B">
        <w:rPr>
          <w:rFonts w:cstheme="minorHAnsi"/>
          <w:szCs w:val="28"/>
        </w:rPr>
        <w:t xml:space="preserve">finansija </w:t>
      </w:r>
    </w:p>
    <w:p w14:paraId="572DE084" w14:textId="77777777" w:rsidR="00F7042B" w:rsidRPr="00B56C4B" w:rsidRDefault="00F7042B" w:rsidP="00F7042B">
      <w:pPr>
        <w:pStyle w:val="Title"/>
        <w:tabs>
          <w:tab w:val="left" w:pos="4095"/>
        </w:tabs>
        <w:spacing w:before="0" w:after="0" w:line="240" w:lineRule="auto"/>
        <w:contextualSpacing/>
        <w:rPr>
          <w:rFonts w:cstheme="minorHAnsi"/>
          <w:b/>
          <w:szCs w:val="28"/>
        </w:rPr>
      </w:pPr>
    </w:p>
    <w:p w14:paraId="50CAB3D1" w14:textId="5D1DD93E" w:rsidR="00496FAD" w:rsidRPr="007E26A5" w:rsidRDefault="00496FAD" w:rsidP="00F7042B">
      <w:pPr>
        <w:jc w:val="both"/>
        <w:rPr>
          <w:rFonts w:cstheme="minorHAnsi"/>
          <w:b/>
          <w:bCs/>
          <w:sz w:val="32"/>
          <w:szCs w:val="32"/>
        </w:rPr>
      </w:pPr>
      <w:r>
        <w:rPr>
          <w:rFonts w:cstheme="minorHAnsi"/>
          <w:b/>
          <w:bCs/>
          <w:sz w:val="32"/>
          <w:szCs w:val="32"/>
        </w:rPr>
        <w:t xml:space="preserve"> </w:t>
      </w:r>
    </w:p>
    <w:p w14:paraId="0B613FF5" w14:textId="77777777" w:rsidR="00496FAD" w:rsidRPr="00F46936" w:rsidRDefault="00496FAD" w:rsidP="00496FAD">
      <w:pPr>
        <w:jc w:val="right"/>
        <w:rPr>
          <w:rFonts w:cstheme="minorHAnsi"/>
          <w:b/>
          <w:bCs/>
          <w:sz w:val="28"/>
          <w:szCs w:val="28"/>
        </w:rPr>
      </w:pPr>
      <w:r w:rsidRPr="00F46936">
        <w:rPr>
          <w:rFonts w:cstheme="minorHAnsi"/>
          <w:b/>
          <w:bCs/>
          <w:sz w:val="28"/>
          <w:szCs w:val="28"/>
        </w:rPr>
        <w:t>Nacrt za javnu raspravu</w:t>
      </w:r>
    </w:p>
    <w:p w14:paraId="2CDF441D" w14:textId="77777777" w:rsidR="00496FAD" w:rsidRPr="007E26A5" w:rsidRDefault="00496FAD" w:rsidP="00496FAD">
      <w:pPr>
        <w:jc w:val="both"/>
        <w:rPr>
          <w:rFonts w:cstheme="minorHAnsi"/>
          <w:b/>
          <w:bCs/>
          <w:sz w:val="32"/>
          <w:szCs w:val="32"/>
        </w:rPr>
      </w:pPr>
    </w:p>
    <w:p w14:paraId="5325E3FE" w14:textId="30142370" w:rsidR="00496FAD" w:rsidRDefault="00496FAD" w:rsidP="00496FAD">
      <w:pPr>
        <w:jc w:val="center"/>
        <w:rPr>
          <w:rFonts w:cstheme="minorHAnsi"/>
          <w:b/>
          <w:iCs/>
          <w:sz w:val="32"/>
          <w:szCs w:val="32"/>
        </w:rPr>
      </w:pPr>
    </w:p>
    <w:p w14:paraId="0FA0424D" w14:textId="630A8C8B" w:rsidR="00D075E2" w:rsidRDefault="00D075E2" w:rsidP="00496FAD">
      <w:pPr>
        <w:jc w:val="center"/>
        <w:rPr>
          <w:rFonts w:cstheme="minorHAnsi"/>
          <w:b/>
          <w:iCs/>
          <w:sz w:val="32"/>
          <w:szCs w:val="32"/>
        </w:rPr>
      </w:pPr>
    </w:p>
    <w:p w14:paraId="624848C3" w14:textId="0B7AF5FE" w:rsidR="00D075E2" w:rsidRDefault="00D075E2" w:rsidP="00496FAD">
      <w:pPr>
        <w:jc w:val="center"/>
        <w:rPr>
          <w:rFonts w:cstheme="minorHAnsi"/>
          <w:b/>
          <w:iCs/>
          <w:sz w:val="32"/>
          <w:szCs w:val="32"/>
        </w:rPr>
      </w:pPr>
    </w:p>
    <w:p w14:paraId="073BC68D" w14:textId="77777777" w:rsidR="00D075E2" w:rsidRDefault="00D075E2" w:rsidP="00496FAD">
      <w:pPr>
        <w:jc w:val="center"/>
        <w:rPr>
          <w:rFonts w:cstheme="minorHAnsi"/>
          <w:b/>
          <w:iCs/>
          <w:sz w:val="32"/>
          <w:szCs w:val="32"/>
        </w:rPr>
      </w:pPr>
    </w:p>
    <w:p w14:paraId="6FA85891" w14:textId="7A6E177F" w:rsidR="00496FAD" w:rsidRPr="007E26A5" w:rsidRDefault="00496FAD" w:rsidP="00496FAD">
      <w:pPr>
        <w:jc w:val="center"/>
        <w:rPr>
          <w:rFonts w:cstheme="minorHAnsi"/>
          <w:b/>
          <w:sz w:val="32"/>
          <w:szCs w:val="32"/>
        </w:rPr>
      </w:pPr>
      <w:r w:rsidRPr="007E26A5">
        <w:rPr>
          <w:rFonts w:cstheme="minorHAnsi"/>
          <w:b/>
          <w:iCs/>
          <w:sz w:val="32"/>
          <w:szCs w:val="32"/>
        </w:rPr>
        <w:t>Program ekonomskih reformi</w:t>
      </w:r>
      <w:r>
        <w:rPr>
          <w:rFonts w:cstheme="minorHAnsi"/>
          <w:b/>
          <w:sz w:val="32"/>
          <w:szCs w:val="32"/>
        </w:rPr>
        <w:t xml:space="preserve"> 202</w:t>
      </w:r>
      <w:r w:rsidR="00F7042B">
        <w:rPr>
          <w:rFonts w:cstheme="minorHAnsi"/>
          <w:b/>
          <w:sz w:val="32"/>
          <w:szCs w:val="32"/>
        </w:rPr>
        <w:t>5</w:t>
      </w:r>
      <w:r>
        <w:rPr>
          <w:rFonts w:cstheme="minorHAnsi"/>
          <w:b/>
          <w:sz w:val="32"/>
          <w:szCs w:val="32"/>
        </w:rPr>
        <w:t>-202</w:t>
      </w:r>
      <w:r w:rsidR="00F7042B">
        <w:rPr>
          <w:rFonts w:cstheme="minorHAnsi"/>
          <w:b/>
          <w:sz w:val="32"/>
          <w:szCs w:val="32"/>
        </w:rPr>
        <w:t>7</w:t>
      </w:r>
      <w:r w:rsidRPr="007E26A5">
        <w:rPr>
          <w:rFonts w:cstheme="minorHAnsi"/>
          <w:b/>
          <w:sz w:val="32"/>
          <w:szCs w:val="32"/>
        </w:rPr>
        <w:t>. godina</w:t>
      </w:r>
    </w:p>
    <w:p w14:paraId="285AB5F4" w14:textId="77777777" w:rsidR="00496FAD" w:rsidRPr="007E26A5" w:rsidRDefault="00496FAD" w:rsidP="00496FAD">
      <w:pPr>
        <w:rPr>
          <w:rFonts w:cstheme="minorHAnsi"/>
          <w:b/>
          <w:bCs/>
          <w:sz w:val="32"/>
          <w:szCs w:val="32"/>
        </w:rPr>
      </w:pPr>
    </w:p>
    <w:p w14:paraId="3B030E1C" w14:textId="77777777" w:rsidR="00496FAD" w:rsidRPr="007E26A5" w:rsidRDefault="00496FAD" w:rsidP="00496FAD">
      <w:pPr>
        <w:rPr>
          <w:rFonts w:cstheme="minorHAnsi"/>
          <w:b/>
          <w:bCs/>
          <w:sz w:val="32"/>
          <w:szCs w:val="32"/>
        </w:rPr>
      </w:pPr>
    </w:p>
    <w:p w14:paraId="7F41120C" w14:textId="77777777" w:rsidR="00496FAD" w:rsidRPr="007E26A5" w:rsidRDefault="00496FAD" w:rsidP="00496FAD">
      <w:pPr>
        <w:rPr>
          <w:rFonts w:cstheme="minorHAnsi"/>
          <w:b/>
          <w:bCs/>
          <w:sz w:val="32"/>
          <w:szCs w:val="32"/>
        </w:rPr>
      </w:pPr>
    </w:p>
    <w:p w14:paraId="2D866050" w14:textId="77777777" w:rsidR="00496FAD" w:rsidRPr="007E26A5" w:rsidRDefault="00496FAD" w:rsidP="00496FAD">
      <w:pPr>
        <w:rPr>
          <w:rFonts w:cstheme="minorHAnsi"/>
          <w:b/>
          <w:bCs/>
          <w:sz w:val="32"/>
          <w:szCs w:val="32"/>
        </w:rPr>
      </w:pPr>
    </w:p>
    <w:p w14:paraId="1729B4CE" w14:textId="77777777" w:rsidR="00496FAD" w:rsidRPr="007E26A5" w:rsidRDefault="00496FAD" w:rsidP="00496FAD">
      <w:pPr>
        <w:rPr>
          <w:rFonts w:cstheme="minorHAnsi"/>
          <w:b/>
          <w:bCs/>
          <w:sz w:val="32"/>
          <w:szCs w:val="32"/>
        </w:rPr>
      </w:pPr>
    </w:p>
    <w:p w14:paraId="360A1136" w14:textId="0A1C5462" w:rsidR="00496FAD" w:rsidRDefault="00496FAD" w:rsidP="00496FAD">
      <w:pPr>
        <w:jc w:val="center"/>
        <w:rPr>
          <w:rFonts w:cstheme="minorHAnsi"/>
          <w:b/>
          <w:bCs/>
          <w:sz w:val="32"/>
          <w:szCs w:val="32"/>
        </w:rPr>
      </w:pPr>
    </w:p>
    <w:p w14:paraId="7BDDEA85" w14:textId="77777777" w:rsidR="00D075E2" w:rsidRPr="007E26A5" w:rsidRDefault="00D075E2" w:rsidP="00496FAD">
      <w:pPr>
        <w:jc w:val="center"/>
        <w:rPr>
          <w:rFonts w:cstheme="minorHAnsi"/>
          <w:b/>
          <w:bCs/>
          <w:sz w:val="32"/>
          <w:szCs w:val="32"/>
        </w:rPr>
      </w:pPr>
    </w:p>
    <w:p w14:paraId="3B431E4F" w14:textId="77777777" w:rsidR="00496FAD" w:rsidRPr="007E26A5" w:rsidRDefault="00496FAD" w:rsidP="00496FAD">
      <w:pPr>
        <w:jc w:val="center"/>
        <w:rPr>
          <w:rFonts w:cstheme="minorHAnsi"/>
          <w:b/>
          <w:bCs/>
          <w:sz w:val="32"/>
          <w:szCs w:val="32"/>
        </w:rPr>
      </w:pPr>
    </w:p>
    <w:p w14:paraId="18EE8070" w14:textId="48AB0317" w:rsidR="00496FAD" w:rsidRPr="007E26A5" w:rsidRDefault="00496FAD" w:rsidP="00496FAD">
      <w:pPr>
        <w:jc w:val="center"/>
        <w:rPr>
          <w:rFonts w:cstheme="minorHAnsi"/>
          <w:b/>
          <w:bCs/>
          <w:sz w:val="32"/>
          <w:szCs w:val="32"/>
        </w:rPr>
      </w:pPr>
      <w:r w:rsidRPr="007E26A5">
        <w:rPr>
          <w:rFonts w:cstheme="minorHAnsi"/>
          <w:b/>
          <w:bCs/>
          <w:sz w:val="32"/>
          <w:szCs w:val="32"/>
        </w:rPr>
        <w:t>Podgorica, decembar</w:t>
      </w:r>
      <w:r>
        <w:rPr>
          <w:rFonts w:cstheme="minorHAnsi"/>
          <w:b/>
          <w:bCs/>
          <w:sz w:val="32"/>
          <w:szCs w:val="32"/>
        </w:rPr>
        <w:t xml:space="preserve"> 202</w:t>
      </w:r>
      <w:r w:rsidR="00F7042B">
        <w:rPr>
          <w:rFonts w:cstheme="minorHAnsi"/>
          <w:b/>
          <w:bCs/>
          <w:sz w:val="32"/>
          <w:szCs w:val="32"/>
        </w:rPr>
        <w:t>4</w:t>
      </w:r>
      <w:r w:rsidRPr="007E26A5">
        <w:rPr>
          <w:rFonts w:cstheme="minorHAnsi"/>
          <w:b/>
          <w:bCs/>
          <w:sz w:val="32"/>
          <w:szCs w:val="32"/>
        </w:rPr>
        <w:t>. godine</w:t>
      </w:r>
    </w:p>
    <w:p w14:paraId="68FDB386" w14:textId="77777777" w:rsidR="006118C4" w:rsidRDefault="006118C4" w:rsidP="002D4036">
      <w:pPr>
        <w:jc w:val="center"/>
        <w:rPr>
          <w:rFonts w:cstheme="minorHAnsi"/>
          <w:b/>
          <w:bCs/>
          <w:color w:val="002465"/>
          <w:sz w:val="28"/>
          <w:szCs w:val="28"/>
        </w:rPr>
      </w:pPr>
    </w:p>
    <w:p w14:paraId="253944AB" w14:textId="77777777" w:rsidR="006118C4" w:rsidRDefault="006118C4" w:rsidP="002D4036">
      <w:pPr>
        <w:jc w:val="center"/>
        <w:rPr>
          <w:rFonts w:cstheme="minorHAnsi"/>
          <w:b/>
          <w:bCs/>
          <w:color w:val="002465"/>
          <w:sz w:val="28"/>
          <w:szCs w:val="28"/>
        </w:rPr>
      </w:pPr>
    </w:p>
    <w:bookmarkEnd w:id="0"/>
    <w:p w14:paraId="4A3A57F9" w14:textId="150B97C3" w:rsidR="0065415E" w:rsidRDefault="0065415E" w:rsidP="002D4036">
      <w:pPr>
        <w:jc w:val="center"/>
        <w:rPr>
          <w:rFonts w:cstheme="minorHAnsi"/>
          <w:b/>
          <w:bCs/>
          <w:color w:val="002465"/>
          <w:sz w:val="28"/>
          <w:szCs w:val="28"/>
        </w:rPr>
      </w:pPr>
    </w:p>
    <w:p w14:paraId="78C9DEFD" w14:textId="7BD12812" w:rsidR="00496FAD" w:rsidRDefault="00496FAD" w:rsidP="002D4036">
      <w:pPr>
        <w:jc w:val="center"/>
        <w:rPr>
          <w:rFonts w:cstheme="minorHAnsi"/>
          <w:b/>
          <w:bCs/>
          <w:color w:val="002465"/>
          <w:sz w:val="28"/>
          <w:szCs w:val="28"/>
        </w:rPr>
      </w:pPr>
    </w:p>
    <w:p w14:paraId="21FB2B15" w14:textId="3BB097E0" w:rsidR="00496FAD" w:rsidRDefault="00496FAD" w:rsidP="002D4036">
      <w:pPr>
        <w:jc w:val="center"/>
        <w:rPr>
          <w:rFonts w:cstheme="minorHAnsi"/>
          <w:b/>
          <w:bCs/>
          <w:color w:val="002465"/>
          <w:sz w:val="28"/>
          <w:szCs w:val="28"/>
        </w:rPr>
      </w:pPr>
    </w:p>
    <w:p w14:paraId="3448A73E" w14:textId="77777777" w:rsidR="0065415E" w:rsidRDefault="0065415E" w:rsidP="0065415E">
      <w:pPr>
        <w:rPr>
          <w:b/>
          <w:bCs/>
          <w:noProof/>
          <w:color w:val="002060"/>
          <w:sz w:val="20"/>
          <w:szCs w:val="20"/>
          <w:lang w:val="pl-PL"/>
        </w:rPr>
      </w:pPr>
    </w:p>
    <w:sdt>
      <w:sdtPr>
        <w:rPr>
          <w:rFonts w:asciiTheme="minorHAnsi" w:eastAsiaTheme="minorHAnsi" w:hAnsiTheme="minorHAnsi" w:cstheme="minorBidi"/>
          <w:color w:val="auto"/>
          <w:kern w:val="2"/>
          <w:sz w:val="22"/>
          <w:szCs w:val="22"/>
          <w14:ligatures w14:val="standardContextual"/>
        </w:rPr>
        <w:id w:val="678927572"/>
        <w:docPartObj>
          <w:docPartGallery w:val="Table of Contents"/>
          <w:docPartUnique/>
        </w:docPartObj>
      </w:sdtPr>
      <w:sdtEndPr>
        <w:rPr>
          <w:noProof/>
        </w:rPr>
      </w:sdtEndPr>
      <w:sdtContent>
        <w:p w14:paraId="0FA26C4B" w14:textId="57C85527" w:rsidR="009D0E01" w:rsidRDefault="002D4036">
          <w:pPr>
            <w:pStyle w:val="TOCHeading"/>
          </w:pPr>
          <w:r>
            <w:t>Sadržaj</w:t>
          </w:r>
        </w:p>
        <w:p w14:paraId="67AF4D45" w14:textId="0522B78D" w:rsidR="00D47379" w:rsidRPr="00D47379" w:rsidRDefault="009D0E01">
          <w:pPr>
            <w:pStyle w:val="TOC1"/>
            <w:tabs>
              <w:tab w:val="right" w:leader="dot" w:pos="9016"/>
            </w:tabs>
            <w:rPr>
              <w:rFonts w:eastAsiaTheme="minorEastAsia"/>
              <w:noProof/>
              <w:color w:val="2F5496" w:themeColor="accent1" w:themeShade="BF"/>
              <w:kern w:val="0"/>
              <w14:ligatures w14:val="none"/>
            </w:rPr>
          </w:pPr>
          <w:r w:rsidRPr="00D47379">
            <w:rPr>
              <w:color w:val="2F5496" w:themeColor="accent1" w:themeShade="BF"/>
            </w:rPr>
            <w:fldChar w:fldCharType="begin"/>
          </w:r>
          <w:r w:rsidRPr="00D47379">
            <w:rPr>
              <w:color w:val="2F5496" w:themeColor="accent1" w:themeShade="BF"/>
            </w:rPr>
            <w:instrText xml:space="preserve"> TOC \o "1-3" \h \z \u </w:instrText>
          </w:r>
          <w:r w:rsidRPr="00D47379">
            <w:rPr>
              <w:color w:val="2F5496" w:themeColor="accent1" w:themeShade="BF"/>
            </w:rPr>
            <w:fldChar w:fldCharType="separate"/>
          </w:r>
          <w:hyperlink w:anchor="_Toc184111615" w:history="1">
            <w:r w:rsidR="00D47379" w:rsidRPr="00D47379">
              <w:rPr>
                <w:rStyle w:val="Hyperlink"/>
                <w:b/>
                <w:noProof/>
                <w:color w:val="2F5496" w:themeColor="accent1" w:themeShade="BF"/>
              </w:rPr>
              <w:t>1. OPŠTI OKVIR I CILJEVI POLITIKE</w:t>
            </w:r>
            <w:r w:rsidR="00D47379" w:rsidRPr="00D47379">
              <w:rPr>
                <w:noProof/>
                <w:webHidden/>
                <w:color w:val="2F5496" w:themeColor="accent1" w:themeShade="BF"/>
              </w:rPr>
              <w:tab/>
            </w:r>
            <w:r w:rsidR="00D47379" w:rsidRPr="00D47379">
              <w:rPr>
                <w:noProof/>
                <w:webHidden/>
                <w:color w:val="2F5496" w:themeColor="accent1" w:themeShade="BF"/>
              </w:rPr>
              <w:fldChar w:fldCharType="begin"/>
            </w:r>
            <w:r w:rsidR="00D47379" w:rsidRPr="00D47379">
              <w:rPr>
                <w:noProof/>
                <w:webHidden/>
                <w:color w:val="2F5496" w:themeColor="accent1" w:themeShade="BF"/>
              </w:rPr>
              <w:instrText xml:space="preserve"> PAGEREF _Toc184111615 \h </w:instrText>
            </w:r>
            <w:r w:rsidR="00D47379" w:rsidRPr="00D47379">
              <w:rPr>
                <w:noProof/>
                <w:webHidden/>
                <w:color w:val="2F5496" w:themeColor="accent1" w:themeShade="BF"/>
              </w:rPr>
            </w:r>
            <w:r w:rsidR="00D47379" w:rsidRPr="00D47379">
              <w:rPr>
                <w:noProof/>
                <w:webHidden/>
                <w:color w:val="2F5496" w:themeColor="accent1" w:themeShade="BF"/>
              </w:rPr>
              <w:fldChar w:fldCharType="separate"/>
            </w:r>
            <w:r w:rsidR="00D47379" w:rsidRPr="00D47379">
              <w:rPr>
                <w:noProof/>
                <w:webHidden/>
                <w:color w:val="2F5496" w:themeColor="accent1" w:themeShade="BF"/>
              </w:rPr>
              <w:t>3</w:t>
            </w:r>
            <w:r w:rsidR="00D47379" w:rsidRPr="00D47379">
              <w:rPr>
                <w:noProof/>
                <w:webHidden/>
                <w:color w:val="2F5496" w:themeColor="accent1" w:themeShade="BF"/>
              </w:rPr>
              <w:fldChar w:fldCharType="end"/>
            </w:r>
          </w:hyperlink>
        </w:p>
        <w:p w14:paraId="4B343B10" w14:textId="7A5924C2" w:rsidR="00D47379" w:rsidRPr="00D47379" w:rsidRDefault="002716D9">
          <w:pPr>
            <w:pStyle w:val="TOC1"/>
            <w:tabs>
              <w:tab w:val="right" w:leader="dot" w:pos="9016"/>
            </w:tabs>
            <w:rPr>
              <w:rFonts w:eastAsiaTheme="minorEastAsia"/>
              <w:noProof/>
              <w:color w:val="2F5496" w:themeColor="accent1" w:themeShade="BF"/>
              <w:kern w:val="0"/>
              <w14:ligatures w14:val="none"/>
            </w:rPr>
          </w:pPr>
          <w:hyperlink w:anchor="_Toc184111616" w:history="1">
            <w:r w:rsidR="00D47379" w:rsidRPr="00D47379">
              <w:rPr>
                <w:rStyle w:val="Hyperlink"/>
                <w:b/>
                <w:noProof/>
                <w:color w:val="2F5496" w:themeColor="accent1" w:themeShade="BF"/>
              </w:rPr>
              <w:t>2. IMPLEMENTACIJA PREPORUKA SA MINISTARSKOG DIJALOGA</w:t>
            </w:r>
            <w:r w:rsidR="00D47379" w:rsidRPr="00D47379">
              <w:rPr>
                <w:noProof/>
                <w:webHidden/>
                <w:color w:val="2F5496" w:themeColor="accent1" w:themeShade="BF"/>
              </w:rPr>
              <w:tab/>
            </w:r>
            <w:r w:rsidR="00D47379" w:rsidRPr="00D47379">
              <w:rPr>
                <w:noProof/>
                <w:webHidden/>
                <w:color w:val="2F5496" w:themeColor="accent1" w:themeShade="BF"/>
              </w:rPr>
              <w:fldChar w:fldCharType="begin"/>
            </w:r>
            <w:r w:rsidR="00D47379" w:rsidRPr="00D47379">
              <w:rPr>
                <w:noProof/>
                <w:webHidden/>
                <w:color w:val="2F5496" w:themeColor="accent1" w:themeShade="BF"/>
              </w:rPr>
              <w:instrText xml:space="preserve"> PAGEREF _Toc184111616 \h </w:instrText>
            </w:r>
            <w:r w:rsidR="00D47379" w:rsidRPr="00D47379">
              <w:rPr>
                <w:noProof/>
                <w:webHidden/>
                <w:color w:val="2F5496" w:themeColor="accent1" w:themeShade="BF"/>
              </w:rPr>
            </w:r>
            <w:r w:rsidR="00D47379" w:rsidRPr="00D47379">
              <w:rPr>
                <w:noProof/>
                <w:webHidden/>
                <w:color w:val="2F5496" w:themeColor="accent1" w:themeShade="BF"/>
              </w:rPr>
              <w:fldChar w:fldCharType="separate"/>
            </w:r>
            <w:r w:rsidR="00D47379" w:rsidRPr="00D47379">
              <w:rPr>
                <w:noProof/>
                <w:webHidden/>
                <w:color w:val="2F5496" w:themeColor="accent1" w:themeShade="BF"/>
              </w:rPr>
              <w:t>5</w:t>
            </w:r>
            <w:r w:rsidR="00D47379" w:rsidRPr="00D47379">
              <w:rPr>
                <w:noProof/>
                <w:webHidden/>
                <w:color w:val="2F5496" w:themeColor="accent1" w:themeShade="BF"/>
              </w:rPr>
              <w:fldChar w:fldCharType="end"/>
            </w:r>
          </w:hyperlink>
        </w:p>
        <w:p w14:paraId="2DCABD57" w14:textId="050E159A" w:rsidR="00D47379" w:rsidRPr="00D47379" w:rsidRDefault="002716D9">
          <w:pPr>
            <w:pStyle w:val="TOC2"/>
            <w:tabs>
              <w:tab w:val="right" w:leader="dot" w:pos="9016"/>
            </w:tabs>
            <w:rPr>
              <w:rFonts w:eastAsiaTheme="minorEastAsia"/>
              <w:noProof/>
              <w:color w:val="2F5496" w:themeColor="accent1" w:themeShade="BF"/>
              <w:kern w:val="0"/>
              <w14:ligatures w14:val="none"/>
            </w:rPr>
          </w:pPr>
          <w:hyperlink w:anchor="_Toc184111617" w:history="1">
            <w:r w:rsidR="00D47379" w:rsidRPr="00D47379">
              <w:rPr>
                <w:rStyle w:val="Hyperlink"/>
                <w:rFonts w:cstheme="majorHAnsi"/>
                <w:b/>
                <w:noProof/>
                <w:color w:val="2F5496" w:themeColor="accent1" w:themeShade="BF"/>
                <w:lang w:val="sr-Latn-ME"/>
              </w:rPr>
              <w:t>3. MAKROEKONOMSKI OKVIR</w:t>
            </w:r>
            <w:r w:rsidR="00D47379" w:rsidRPr="00D47379">
              <w:rPr>
                <w:noProof/>
                <w:webHidden/>
                <w:color w:val="2F5496" w:themeColor="accent1" w:themeShade="BF"/>
              </w:rPr>
              <w:tab/>
            </w:r>
            <w:r w:rsidR="00D47379" w:rsidRPr="00D47379">
              <w:rPr>
                <w:noProof/>
                <w:webHidden/>
                <w:color w:val="2F5496" w:themeColor="accent1" w:themeShade="BF"/>
              </w:rPr>
              <w:fldChar w:fldCharType="begin"/>
            </w:r>
            <w:r w:rsidR="00D47379" w:rsidRPr="00D47379">
              <w:rPr>
                <w:noProof/>
                <w:webHidden/>
                <w:color w:val="2F5496" w:themeColor="accent1" w:themeShade="BF"/>
              </w:rPr>
              <w:instrText xml:space="preserve"> PAGEREF _Toc184111617 \h </w:instrText>
            </w:r>
            <w:r w:rsidR="00D47379" w:rsidRPr="00D47379">
              <w:rPr>
                <w:noProof/>
                <w:webHidden/>
                <w:color w:val="2F5496" w:themeColor="accent1" w:themeShade="BF"/>
              </w:rPr>
            </w:r>
            <w:r w:rsidR="00D47379" w:rsidRPr="00D47379">
              <w:rPr>
                <w:noProof/>
                <w:webHidden/>
                <w:color w:val="2F5496" w:themeColor="accent1" w:themeShade="BF"/>
              </w:rPr>
              <w:fldChar w:fldCharType="separate"/>
            </w:r>
            <w:r w:rsidR="00D47379" w:rsidRPr="00D47379">
              <w:rPr>
                <w:noProof/>
                <w:webHidden/>
                <w:color w:val="2F5496" w:themeColor="accent1" w:themeShade="BF"/>
              </w:rPr>
              <w:t>13</w:t>
            </w:r>
            <w:r w:rsidR="00D47379" w:rsidRPr="00D47379">
              <w:rPr>
                <w:noProof/>
                <w:webHidden/>
                <w:color w:val="2F5496" w:themeColor="accent1" w:themeShade="BF"/>
              </w:rPr>
              <w:fldChar w:fldCharType="end"/>
            </w:r>
          </w:hyperlink>
        </w:p>
        <w:p w14:paraId="55CE74FE" w14:textId="36D8CD49" w:rsidR="00D47379" w:rsidRPr="00D47379" w:rsidRDefault="002716D9">
          <w:pPr>
            <w:pStyle w:val="TOC2"/>
            <w:tabs>
              <w:tab w:val="right" w:leader="dot" w:pos="9016"/>
            </w:tabs>
            <w:rPr>
              <w:rFonts w:eastAsiaTheme="minorEastAsia"/>
              <w:noProof/>
              <w:color w:val="2F5496" w:themeColor="accent1" w:themeShade="BF"/>
              <w:kern w:val="0"/>
              <w14:ligatures w14:val="none"/>
            </w:rPr>
          </w:pPr>
          <w:hyperlink w:anchor="_Toc184111618" w:history="1">
            <w:r w:rsidR="00D47379" w:rsidRPr="00D47379">
              <w:rPr>
                <w:rStyle w:val="Hyperlink"/>
                <w:rFonts w:cstheme="minorHAnsi"/>
                <w:b/>
                <w:noProof/>
                <w:color w:val="2F5496" w:themeColor="accent1" w:themeShade="BF"/>
                <w:lang w:val="sr-Latn-ME"/>
              </w:rPr>
              <w:t>1.1. Najnovija ekonomska kretanja</w:t>
            </w:r>
            <w:r w:rsidR="00D47379" w:rsidRPr="00D47379">
              <w:rPr>
                <w:noProof/>
                <w:webHidden/>
                <w:color w:val="2F5496" w:themeColor="accent1" w:themeShade="BF"/>
              </w:rPr>
              <w:tab/>
            </w:r>
            <w:r w:rsidR="00D47379" w:rsidRPr="00D47379">
              <w:rPr>
                <w:noProof/>
                <w:webHidden/>
                <w:color w:val="2F5496" w:themeColor="accent1" w:themeShade="BF"/>
              </w:rPr>
              <w:fldChar w:fldCharType="begin"/>
            </w:r>
            <w:r w:rsidR="00D47379" w:rsidRPr="00D47379">
              <w:rPr>
                <w:noProof/>
                <w:webHidden/>
                <w:color w:val="2F5496" w:themeColor="accent1" w:themeShade="BF"/>
              </w:rPr>
              <w:instrText xml:space="preserve"> PAGEREF _Toc184111618 \h </w:instrText>
            </w:r>
            <w:r w:rsidR="00D47379" w:rsidRPr="00D47379">
              <w:rPr>
                <w:noProof/>
                <w:webHidden/>
                <w:color w:val="2F5496" w:themeColor="accent1" w:themeShade="BF"/>
              </w:rPr>
            </w:r>
            <w:r w:rsidR="00D47379" w:rsidRPr="00D47379">
              <w:rPr>
                <w:noProof/>
                <w:webHidden/>
                <w:color w:val="2F5496" w:themeColor="accent1" w:themeShade="BF"/>
              </w:rPr>
              <w:fldChar w:fldCharType="separate"/>
            </w:r>
            <w:r w:rsidR="00D47379" w:rsidRPr="00D47379">
              <w:rPr>
                <w:noProof/>
                <w:webHidden/>
                <w:color w:val="2F5496" w:themeColor="accent1" w:themeShade="BF"/>
              </w:rPr>
              <w:t>14</w:t>
            </w:r>
            <w:r w:rsidR="00D47379" w:rsidRPr="00D47379">
              <w:rPr>
                <w:noProof/>
                <w:webHidden/>
                <w:color w:val="2F5496" w:themeColor="accent1" w:themeShade="BF"/>
              </w:rPr>
              <w:fldChar w:fldCharType="end"/>
            </w:r>
          </w:hyperlink>
        </w:p>
        <w:p w14:paraId="6C6B0B90" w14:textId="17C77D2F" w:rsidR="00D47379" w:rsidRPr="00D47379" w:rsidRDefault="002716D9">
          <w:pPr>
            <w:pStyle w:val="TOC3"/>
            <w:tabs>
              <w:tab w:val="right" w:leader="dot" w:pos="9016"/>
            </w:tabs>
            <w:rPr>
              <w:rFonts w:eastAsiaTheme="minorEastAsia"/>
              <w:noProof/>
              <w:color w:val="2F5496" w:themeColor="accent1" w:themeShade="BF"/>
              <w:kern w:val="0"/>
              <w14:ligatures w14:val="none"/>
            </w:rPr>
          </w:pPr>
          <w:hyperlink w:anchor="_Toc184111619" w:history="1">
            <w:r w:rsidR="00D47379" w:rsidRPr="00D47379">
              <w:rPr>
                <w:rStyle w:val="Hyperlink"/>
                <w:rFonts w:cstheme="minorHAnsi"/>
                <w:b/>
                <w:noProof/>
                <w:color w:val="2F5496" w:themeColor="accent1" w:themeShade="BF"/>
                <w:lang w:val="sr-Latn-ME"/>
              </w:rPr>
              <w:t>1.1.1. Bruto domaći proizvod</w:t>
            </w:r>
            <w:r w:rsidR="00D47379" w:rsidRPr="00D47379">
              <w:rPr>
                <w:noProof/>
                <w:webHidden/>
                <w:color w:val="2F5496" w:themeColor="accent1" w:themeShade="BF"/>
              </w:rPr>
              <w:tab/>
            </w:r>
            <w:r w:rsidR="00D47379" w:rsidRPr="00D47379">
              <w:rPr>
                <w:noProof/>
                <w:webHidden/>
                <w:color w:val="2F5496" w:themeColor="accent1" w:themeShade="BF"/>
              </w:rPr>
              <w:fldChar w:fldCharType="begin"/>
            </w:r>
            <w:r w:rsidR="00D47379" w:rsidRPr="00D47379">
              <w:rPr>
                <w:noProof/>
                <w:webHidden/>
                <w:color w:val="2F5496" w:themeColor="accent1" w:themeShade="BF"/>
              </w:rPr>
              <w:instrText xml:space="preserve"> PAGEREF _Toc184111619 \h </w:instrText>
            </w:r>
            <w:r w:rsidR="00D47379" w:rsidRPr="00D47379">
              <w:rPr>
                <w:noProof/>
                <w:webHidden/>
                <w:color w:val="2F5496" w:themeColor="accent1" w:themeShade="BF"/>
              </w:rPr>
            </w:r>
            <w:r w:rsidR="00D47379" w:rsidRPr="00D47379">
              <w:rPr>
                <w:noProof/>
                <w:webHidden/>
                <w:color w:val="2F5496" w:themeColor="accent1" w:themeShade="BF"/>
              </w:rPr>
              <w:fldChar w:fldCharType="separate"/>
            </w:r>
            <w:r w:rsidR="00D47379" w:rsidRPr="00D47379">
              <w:rPr>
                <w:noProof/>
                <w:webHidden/>
                <w:color w:val="2F5496" w:themeColor="accent1" w:themeShade="BF"/>
              </w:rPr>
              <w:t>14</w:t>
            </w:r>
            <w:r w:rsidR="00D47379" w:rsidRPr="00D47379">
              <w:rPr>
                <w:noProof/>
                <w:webHidden/>
                <w:color w:val="2F5496" w:themeColor="accent1" w:themeShade="BF"/>
              </w:rPr>
              <w:fldChar w:fldCharType="end"/>
            </w:r>
          </w:hyperlink>
        </w:p>
        <w:p w14:paraId="61A7849A" w14:textId="3EE8ED03" w:rsidR="00D47379" w:rsidRPr="00D47379" w:rsidRDefault="002716D9">
          <w:pPr>
            <w:pStyle w:val="TOC3"/>
            <w:tabs>
              <w:tab w:val="right" w:leader="dot" w:pos="9016"/>
            </w:tabs>
            <w:rPr>
              <w:rFonts w:eastAsiaTheme="minorEastAsia"/>
              <w:noProof/>
              <w:color w:val="2F5496" w:themeColor="accent1" w:themeShade="BF"/>
              <w:kern w:val="0"/>
              <w14:ligatures w14:val="none"/>
            </w:rPr>
          </w:pPr>
          <w:hyperlink w:anchor="_Toc184111620" w:history="1">
            <w:r w:rsidR="00D47379" w:rsidRPr="00D47379">
              <w:rPr>
                <w:rStyle w:val="Hyperlink"/>
                <w:rFonts w:cstheme="minorHAnsi"/>
                <w:b/>
                <w:noProof/>
                <w:color w:val="2F5496" w:themeColor="accent1" w:themeShade="BF"/>
                <w:lang w:val="sr-Latn-ME"/>
              </w:rPr>
              <w:t>1.1.2</w:t>
            </w:r>
            <w:r w:rsidR="00D47379">
              <w:rPr>
                <w:rStyle w:val="Hyperlink"/>
                <w:rFonts w:cstheme="minorHAnsi"/>
                <w:b/>
                <w:noProof/>
                <w:color w:val="2F5496" w:themeColor="accent1" w:themeShade="BF"/>
                <w:lang w:val="sr-Latn-ME"/>
              </w:rPr>
              <w:t>.</w:t>
            </w:r>
            <w:r w:rsidR="00D47379" w:rsidRPr="00D47379">
              <w:rPr>
                <w:rStyle w:val="Hyperlink"/>
                <w:rFonts w:cstheme="minorHAnsi"/>
                <w:b/>
                <w:noProof/>
                <w:color w:val="2F5496" w:themeColor="accent1" w:themeShade="BF"/>
                <w:lang w:val="sr-Latn-ME"/>
              </w:rPr>
              <w:t xml:space="preserve"> Inflacija</w:t>
            </w:r>
            <w:r w:rsidR="00D47379" w:rsidRPr="00D47379">
              <w:rPr>
                <w:noProof/>
                <w:webHidden/>
                <w:color w:val="2F5496" w:themeColor="accent1" w:themeShade="BF"/>
              </w:rPr>
              <w:tab/>
            </w:r>
            <w:r w:rsidR="00D47379" w:rsidRPr="00D47379">
              <w:rPr>
                <w:noProof/>
                <w:webHidden/>
                <w:color w:val="2F5496" w:themeColor="accent1" w:themeShade="BF"/>
              </w:rPr>
              <w:fldChar w:fldCharType="begin"/>
            </w:r>
            <w:r w:rsidR="00D47379" w:rsidRPr="00D47379">
              <w:rPr>
                <w:noProof/>
                <w:webHidden/>
                <w:color w:val="2F5496" w:themeColor="accent1" w:themeShade="BF"/>
              </w:rPr>
              <w:instrText xml:space="preserve"> PAGEREF _Toc184111620 \h </w:instrText>
            </w:r>
            <w:r w:rsidR="00D47379" w:rsidRPr="00D47379">
              <w:rPr>
                <w:noProof/>
                <w:webHidden/>
                <w:color w:val="2F5496" w:themeColor="accent1" w:themeShade="BF"/>
              </w:rPr>
            </w:r>
            <w:r w:rsidR="00D47379" w:rsidRPr="00D47379">
              <w:rPr>
                <w:noProof/>
                <w:webHidden/>
                <w:color w:val="2F5496" w:themeColor="accent1" w:themeShade="BF"/>
              </w:rPr>
              <w:fldChar w:fldCharType="separate"/>
            </w:r>
            <w:r w:rsidR="00D47379" w:rsidRPr="00D47379">
              <w:rPr>
                <w:noProof/>
                <w:webHidden/>
                <w:color w:val="2F5496" w:themeColor="accent1" w:themeShade="BF"/>
              </w:rPr>
              <w:t>15</w:t>
            </w:r>
            <w:r w:rsidR="00D47379" w:rsidRPr="00D47379">
              <w:rPr>
                <w:noProof/>
                <w:webHidden/>
                <w:color w:val="2F5496" w:themeColor="accent1" w:themeShade="BF"/>
              </w:rPr>
              <w:fldChar w:fldCharType="end"/>
            </w:r>
          </w:hyperlink>
        </w:p>
        <w:p w14:paraId="7296FA5C" w14:textId="08D94FFB" w:rsidR="00D47379" w:rsidRPr="00D47379" w:rsidRDefault="002716D9">
          <w:pPr>
            <w:pStyle w:val="TOC2"/>
            <w:tabs>
              <w:tab w:val="right" w:leader="dot" w:pos="9016"/>
            </w:tabs>
            <w:rPr>
              <w:rFonts w:eastAsiaTheme="minorEastAsia"/>
              <w:noProof/>
              <w:color w:val="2F5496" w:themeColor="accent1" w:themeShade="BF"/>
              <w:kern w:val="0"/>
              <w14:ligatures w14:val="none"/>
            </w:rPr>
          </w:pPr>
          <w:hyperlink w:anchor="_Toc184111621" w:history="1">
            <w:r w:rsidR="00D47379" w:rsidRPr="00D47379">
              <w:rPr>
                <w:rStyle w:val="Hyperlink"/>
                <w:rFonts w:eastAsiaTheme="majorEastAsia" w:cstheme="minorHAnsi"/>
                <w:b/>
                <w:noProof/>
                <w:color w:val="2F5496" w:themeColor="accent1" w:themeShade="BF"/>
                <w:lang w:val="sr-Latn-ME"/>
              </w:rPr>
              <w:t>1.2</w:t>
            </w:r>
            <w:r w:rsidR="00D47379">
              <w:rPr>
                <w:rStyle w:val="Hyperlink"/>
                <w:rFonts w:eastAsiaTheme="majorEastAsia" w:cstheme="minorHAnsi"/>
                <w:b/>
                <w:noProof/>
                <w:color w:val="2F5496" w:themeColor="accent1" w:themeShade="BF"/>
                <w:lang w:val="sr-Latn-ME"/>
              </w:rPr>
              <w:t>.</w:t>
            </w:r>
            <w:r w:rsidR="00D47379" w:rsidRPr="00D47379">
              <w:rPr>
                <w:rStyle w:val="Hyperlink"/>
                <w:rFonts w:eastAsiaTheme="majorEastAsia" w:cstheme="minorHAnsi"/>
                <w:b/>
                <w:noProof/>
                <w:color w:val="2F5496" w:themeColor="accent1" w:themeShade="BF"/>
                <w:lang w:val="sr-Latn-ME"/>
              </w:rPr>
              <w:t xml:space="preserve"> Srednjoročni makroekonomski scenario</w:t>
            </w:r>
            <w:r w:rsidR="00D47379" w:rsidRPr="00D47379">
              <w:rPr>
                <w:noProof/>
                <w:webHidden/>
                <w:color w:val="2F5496" w:themeColor="accent1" w:themeShade="BF"/>
              </w:rPr>
              <w:tab/>
            </w:r>
            <w:r w:rsidR="00D47379" w:rsidRPr="00D47379">
              <w:rPr>
                <w:noProof/>
                <w:webHidden/>
                <w:color w:val="2F5496" w:themeColor="accent1" w:themeShade="BF"/>
              </w:rPr>
              <w:fldChar w:fldCharType="begin"/>
            </w:r>
            <w:r w:rsidR="00D47379" w:rsidRPr="00D47379">
              <w:rPr>
                <w:noProof/>
                <w:webHidden/>
                <w:color w:val="2F5496" w:themeColor="accent1" w:themeShade="BF"/>
              </w:rPr>
              <w:instrText xml:space="preserve"> PAGEREF _Toc184111621 \h </w:instrText>
            </w:r>
            <w:r w:rsidR="00D47379" w:rsidRPr="00D47379">
              <w:rPr>
                <w:noProof/>
                <w:webHidden/>
                <w:color w:val="2F5496" w:themeColor="accent1" w:themeShade="BF"/>
              </w:rPr>
            </w:r>
            <w:r w:rsidR="00D47379" w:rsidRPr="00D47379">
              <w:rPr>
                <w:noProof/>
                <w:webHidden/>
                <w:color w:val="2F5496" w:themeColor="accent1" w:themeShade="BF"/>
              </w:rPr>
              <w:fldChar w:fldCharType="separate"/>
            </w:r>
            <w:r w:rsidR="00D47379" w:rsidRPr="00D47379">
              <w:rPr>
                <w:noProof/>
                <w:webHidden/>
                <w:color w:val="2F5496" w:themeColor="accent1" w:themeShade="BF"/>
              </w:rPr>
              <w:t>22</w:t>
            </w:r>
            <w:r w:rsidR="00D47379" w:rsidRPr="00D47379">
              <w:rPr>
                <w:noProof/>
                <w:webHidden/>
                <w:color w:val="2F5496" w:themeColor="accent1" w:themeShade="BF"/>
              </w:rPr>
              <w:fldChar w:fldCharType="end"/>
            </w:r>
          </w:hyperlink>
        </w:p>
        <w:p w14:paraId="250F8346" w14:textId="13DDF307" w:rsidR="00D47379" w:rsidRPr="00D47379" w:rsidRDefault="002716D9">
          <w:pPr>
            <w:pStyle w:val="TOC2"/>
            <w:tabs>
              <w:tab w:val="right" w:leader="dot" w:pos="9016"/>
            </w:tabs>
            <w:rPr>
              <w:rFonts w:eastAsiaTheme="minorEastAsia"/>
              <w:noProof/>
              <w:color w:val="2F5496" w:themeColor="accent1" w:themeShade="BF"/>
              <w:kern w:val="0"/>
              <w14:ligatures w14:val="none"/>
            </w:rPr>
          </w:pPr>
          <w:hyperlink w:anchor="_Toc184111622" w:history="1">
            <w:r w:rsidR="00D47379" w:rsidRPr="00D47379">
              <w:rPr>
                <w:rStyle w:val="Hyperlink"/>
                <w:rFonts w:eastAsiaTheme="majorEastAsia" w:cstheme="minorHAnsi"/>
                <w:b/>
                <w:noProof/>
                <w:color w:val="2F5496" w:themeColor="accent1" w:themeShade="BF"/>
                <w:lang w:val="sr-Latn-ME"/>
              </w:rPr>
              <w:t>1.2.1</w:t>
            </w:r>
            <w:r w:rsidR="00D47379">
              <w:rPr>
                <w:rStyle w:val="Hyperlink"/>
                <w:rFonts w:eastAsiaTheme="majorEastAsia" w:cstheme="minorHAnsi"/>
                <w:b/>
                <w:noProof/>
                <w:color w:val="2F5496" w:themeColor="accent1" w:themeShade="BF"/>
                <w:lang w:val="sr-Latn-ME"/>
              </w:rPr>
              <w:t>.</w:t>
            </w:r>
            <w:r w:rsidR="00D47379" w:rsidRPr="00D47379">
              <w:rPr>
                <w:rStyle w:val="Hyperlink"/>
                <w:rFonts w:eastAsiaTheme="majorEastAsia" w:cstheme="minorHAnsi"/>
                <w:b/>
                <w:noProof/>
                <w:color w:val="2F5496" w:themeColor="accent1" w:themeShade="BF"/>
                <w:lang w:val="sr-Latn-ME"/>
              </w:rPr>
              <w:t xml:space="preserve"> Osnovni makroekonomski scenario 2024-2027</w:t>
            </w:r>
            <w:r w:rsidR="00D47379" w:rsidRPr="00D47379">
              <w:rPr>
                <w:noProof/>
                <w:webHidden/>
                <w:color w:val="2F5496" w:themeColor="accent1" w:themeShade="BF"/>
              </w:rPr>
              <w:tab/>
            </w:r>
            <w:r w:rsidR="00D47379" w:rsidRPr="00D47379">
              <w:rPr>
                <w:noProof/>
                <w:webHidden/>
                <w:color w:val="2F5496" w:themeColor="accent1" w:themeShade="BF"/>
              </w:rPr>
              <w:fldChar w:fldCharType="begin"/>
            </w:r>
            <w:r w:rsidR="00D47379" w:rsidRPr="00D47379">
              <w:rPr>
                <w:noProof/>
                <w:webHidden/>
                <w:color w:val="2F5496" w:themeColor="accent1" w:themeShade="BF"/>
              </w:rPr>
              <w:instrText xml:space="preserve"> PAGEREF _Toc184111622 \h </w:instrText>
            </w:r>
            <w:r w:rsidR="00D47379" w:rsidRPr="00D47379">
              <w:rPr>
                <w:noProof/>
                <w:webHidden/>
                <w:color w:val="2F5496" w:themeColor="accent1" w:themeShade="BF"/>
              </w:rPr>
            </w:r>
            <w:r w:rsidR="00D47379" w:rsidRPr="00D47379">
              <w:rPr>
                <w:noProof/>
                <w:webHidden/>
                <w:color w:val="2F5496" w:themeColor="accent1" w:themeShade="BF"/>
              </w:rPr>
              <w:fldChar w:fldCharType="separate"/>
            </w:r>
            <w:r w:rsidR="00D47379" w:rsidRPr="00D47379">
              <w:rPr>
                <w:noProof/>
                <w:webHidden/>
                <w:color w:val="2F5496" w:themeColor="accent1" w:themeShade="BF"/>
              </w:rPr>
              <w:t>23</w:t>
            </w:r>
            <w:r w:rsidR="00D47379" w:rsidRPr="00D47379">
              <w:rPr>
                <w:noProof/>
                <w:webHidden/>
                <w:color w:val="2F5496" w:themeColor="accent1" w:themeShade="BF"/>
              </w:rPr>
              <w:fldChar w:fldCharType="end"/>
            </w:r>
          </w:hyperlink>
        </w:p>
        <w:p w14:paraId="4D230B21" w14:textId="1F8BC3D7" w:rsidR="00D47379" w:rsidRPr="00D47379" w:rsidRDefault="002716D9">
          <w:pPr>
            <w:pStyle w:val="TOC2"/>
            <w:tabs>
              <w:tab w:val="right" w:leader="dot" w:pos="9016"/>
            </w:tabs>
            <w:rPr>
              <w:rFonts w:eastAsiaTheme="minorEastAsia"/>
              <w:noProof/>
              <w:color w:val="2F5496" w:themeColor="accent1" w:themeShade="BF"/>
              <w:kern w:val="0"/>
              <w14:ligatures w14:val="none"/>
            </w:rPr>
          </w:pPr>
          <w:hyperlink w:anchor="_Toc184111643" w:history="1">
            <w:r w:rsidR="00D47379" w:rsidRPr="00D47379">
              <w:rPr>
                <w:rStyle w:val="Hyperlink"/>
                <w:rFonts w:cstheme="majorHAnsi"/>
                <w:b/>
                <w:noProof/>
                <w:color w:val="2F5496" w:themeColor="accent1" w:themeShade="BF"/>
                <w:lang w:val="sr-Latn-ME"/>
              </w:rPr>
              <w:t>4. FISKALNI OKVIR</w:t>
            </w:r>
            <w:r w:rsidR="00D47379" w:rsidRPr="00D47379">
              <w:rPr>
                <w:noProof/>
                <w:webHidden/>
                <w:color w:val="2F5496" w:themeColor="accent1" w:themeShade="BF"/>
              </w:rPr>
              <w:tab/>
            </w:r>
            <w:r w:rsidR="00D47379" w:rsidRPr="00D47379">
              <w:rPr>
                <w:noProof/>
                <w:webHidden/>
                <w:color w:val="2F5496" w:themeColor="accent1" w:themeShade="BF"/>
              </w:rPr>
              <w:fldChar w:fldCharType="begin"/>
            </w:r>
            <w:r w:rsidR="00D47379" w:rsidRPr="00D47379">
              <w:rPr>
                <w:noProof/>
                <w:webHidden/>
                <w:color w:val="2F5496" w:themeColor="accent1" w:themeShade="BF"/>
              </w:rPr>
              <w:instrText xml:space="preserve"> PAGEREF _Toc184111643 \h </w:instrText>
            </w:r>
            <w:r w:rsidR="00D47379" w:rsidRPr="00D47379">
              <w:rPr>
                <w:noProof/>
                <w:webHidden/>
                <w:color w:val="2F5496" w:themeColor="accent1" w:themeShade="BF"/>
              </w:rPr>
            </w:r>
            <w:r w:rsidR="00D47379" w:rsidRPr="00D47379">
              <w:rPr>
                <w:noProof/>
                <w:webHidden/>
                <w:color w:val="2F5496" w:themeColor="accent1" w:themeShade="BF"/>
              </w:rPr>
              <w:fldChar w:fldCharType="separate"/>
            </w:r>
            <w:r w:rsidR="00D47379" w:rsidRPr="00D47379">
              <w:rPr>
                <w:noProof/>
                <w:webHidden/>
                <w:color w:val="2F5496" w:themeColor="accent1" w:themeShade="BF"/>
              </w:rPr>
              <w:t>31</w:t>
            </w:r>
            <w:r w:rsidR="00D47379" w:rsidRPr="00D47379">
              <w:rPr>
                <w:noProof/>
                <w:webHidden/>
                <w:color w:val="2F5496" w:themeColor="accent1" w:themeShade="BF"/>
              </w:rPr>
              <w:fldChar w:fldCharType="end"/>
            </w:r>
          </w:hyperlink>
        </w:p>
        <w:p w14:paraId="546ED65E" w14:textId="44C118C7" w:rsidR="00D47379" w:rsidRPr="00D47379" w:rsidRDefault="002716D9">
          <w:pPr>
            <w:pStyle w:val="TOC2"/>
            <w:tabs>
              <w:tab w:val="right" w:leader="dot" w:pos="9016"/>
            </w:tabs>
            <w:rPr>
              <w:rFonts w:eastAsiaTheme="minorEastAsia"/>
              <w:noProof/>
              <w:color w:val="2F5496" w:themeColor="accent1" w:themeShade="BF"/>
              <w:kern w:val="0"/>
              <w14:ligatures w14:val="none"/>
            </w:rPr>
          </w:pPr>
          <w:hyperlink w:anchor="_Toc184111644" w:history="1">
            <w:r w:rsidR="00D47379" w:rsidRPr="00D47379">
              <w:rPr>
                <w:rStyle w:val="Hyperlink"/>
                <w:rFonts w:cstheme="minorHAnsi"/>
                <w:b/>
                <w:noProof/>
                <w:color w:val="2F5496" w:themeColor="accent1" w:themeShade="BF"/>
                <w:lang w:val="sr-Latn-ME"/>
              </w:rPr>
              <w:t>4.1</w:t>
            </w:r>
            <w:r w:rsidR="00D47379">
              <w:rPr>
                <w:rStyle w:val="Hyperlink"/>
                <w:rFonts w:cstheme="minorHAnsi"/>
                <w:b/>
                <w:noProof/>
                <w:color w:val="2F5496" w:themeColor="accent1" w:themeShade="BF"/>
                <w:lang w:val="sr-Latn-ME"/>
              </w:rPr>
              <w:t>.</w:t>
            </w:r>
            <w:r w:rsidR="00D47379" w:rsidRPr="00D47379">
              <w:rPr>
                <w:rStyle w:val="Hyperlink"/>
                <w:rFonts w:cstheme="minorHAnsi"/>
                <w:b/>
                <w:noProof/>
                <w:color w:val="2F5496" w:themeColor="accent1" w:themeShade="BF"/>
                <w:lang w:val="sr-Latn-ME"/>
              </w:rPr>
              <w:t xml:space="preserve"> Strategija politike i srednjoročni ciljevi</w:t>
            </w:r>
            <w:r w:rsidR="00D47379" w:rsidRPr="00D47379">
              <w:rPr>
                <w:noProof/>
                <w:webHidden/>
                <w:color w:val="2F5496" w:themeColor="accent1" w:themeShade="BF"/>
              </w:rPr>
              <w:tab/>
            </w:r>
            <w:r w:rsidR="00D47379" w:rsidRPr="00D47379">
              <w:rPr>
                <w:noProof/>
                <w:webHidden/>
                <w:color w:val="2F5496" w:themeColor="accent1" w:themeShade="BF"/>
              </w:rPr>
              <w:fldChar w:fldCharType="begin"/>
            </w:r>
            <w:r w:rsidR="00D47379" w:rsidRPr="00D47379">
              <w:rPr>
                <w:noProof/>
                <w:webHidden/>
                <w:color w:val="2F5496" w:themeColor="accent1" w:themeShade="BF"/>
              </w:rPr>
              <w:instrText xml:space="preserve"> PAGEREF _Toc184111644 \h </w:instrText>
            </w:r>
            <w:r w:rsidR="00D47379" w:rsidRPr="00D47379">
              <w:rPr>
                <w:noProof/>
                <w:webHidden/>
                <w:color w:val="2F5496" w:themeColor="accent1" w:themeShade="BF"/>
              </w:rPr>
            </w:r>
            <w:r w:rsidR="00D47379" w:rsidRPr="00D47379">
              <w:rPr>
                <w:noProof/>
                <w:webHidden/>
                <w:color w:val="2F5496" w:themeColor="accent1" w:themeShade="BF"/>
              </w:rPr>
              <w:fldChar w:fldCharType="separate"/>
            </w:r>
            <w:r w:rsidR="00D47379" w:rsidRPr="00D47379">
              <w:rPr>
                <w:noProof/>
                <w:webHidden/>
                <w:color w:val="2F5496" w:themeColor="accent1" w:themeShade="BF"/>
              </w:rPr>
              <w:t>31</w:t>
            </w:r>
            <w:r w:rsidR="00D47379" w:rsidRPr="00D47379">
              <w:rPr>
                <w:noProof/>
                <w:webHidden/>
                <w:color w:val="2F5496" w:themeColor="accent1" w:themeShade="BF"/>
              </w:rPr>
              <w:fldChar w:fldCharType="end"/>
            </w:r>
          </w:hyperlink>
        </w:p>
        <w:p w14:paraId="3B22A4C6" w14:textId="3EE05DD7" w:rsidR="00D47379" w:rsidRPr="00D47379" w:rsidRDefault="002716D9">
          <w:pPr>
            <w:pStyle w:val="TOC2"/>
            <w:tabs>
              <w:tab w:val="right" w:leader="dot" w:pos="9016"/>
            </w:tabs>
            <w:rPr>
              <w:rFonts w:eastAsiaTheme="minorEastAsia"/>
              <w:noProof/>
              <w:color w:val="2F5496" w:themeColor="accent1" w:themeShade="BF"/>
              <w:kern w:val="0"/>
              <w14:ligatures w14:val="none"/>
            </w:rPr>
          </w:pPr>
          <w:hyperlink w:anchor="_Toc184111645" w:history="1">
            <w:r w:rsidR="00D47379" w:rsidRPr="00D47379">
              <w:rPr>
                <w:rStyle w:val="Hyperlink"/>
                <w:rFonts w:cstheme="minorHAnsi"/>
                <w:b/>
                <w:noProof/>
                <w:color w:val="2F5496" w:themeColor="accent1" w:themeShade="BF"/>
                <w:lang w:val="sr-Latn-ME"/>
              </w:rPr>
              <w:t>4.2</w:t>
            </w:r>
            <w:r w:rsidR="00D47379">
              <w:rPr>
                <w:rStyle w:val="Hyperlink"/>
                <w:rFonts w:cstheme="minorHAnsi"/>
                <w:b/>
                <w:noProof/>
                <w:color w:val="2F5496" w:themeColor="accent1" w:themeShade="BF"/>
                <w:lang w:val="sr-Latn-ME"/>
              </w:rPr>
              <w:t>.</w:t>
            </w:r>
            <w:r w:rsidR="00D47379" w:rsidRPr="00D47379">
              <w:rPr>
                <w:rStyle w:val="Hyperlink"/>
                <w:rFonts w:cstheme="minorHAnsi"/>
                <w:b/>
                <w:noProof/>
                <w:color w:val="2F5496" w:themeColor="accent1" w:themeShade="BF"/>
                <w:lang w:val="sr-Latn-ME"/>
              </w:rPr>
              <w:t xml:space="preserve"> Izvršenje budžeta u 2024. godini</w:t>
            </w:r>
            <w:r w:rsidR="00D47379" w:rsidRPr="00D47379">
              <w:rPr>
                <w:noProof/>
                <w:webHidden/>
                <w:color w:val="2F5496" w:themeColor="accent1" w:themeShade="BF"/>
              </w:rPr>
              <w:tab/>
            </w:r>
            <w:r w:rsidR="00D47379" w:rsidRPr="00D47379">
              <w:rPr>
                <w:noProof/>
                <w:webHidden/>
                <w:color w:val="2F5496" w:themeColor="accent1" w:themeShade="BF"/>
              </w:rPr>
              <w:fldChar w:fldCharType="begin"/>
            </w:r>
            <w:r w:rsidR="00D47379" w:rsidRPr="00D47379">
              <w:rPr>
                <w:noProof/>
                <w:webHidden/>
                <w:color w:val="2F5496" w:themeColor="accent1" w:themeShade="BF"/>
              </w:rPr>
              <w:instrText xml:space="preserve"> PAGEREF _Toc184111645 \h </w:instrText>
            </w:r>
            <w:r w:rsidR="00D47379" w:rsidRPr="00D47379">
              <w:rPr>
                <w:noProof/>
                <w:webHidden/>
                <w:color w:val="2F5496" w:themeColor="accent1" w:themeShade="BF"/>
              </w:rPr>
            </w:r>
            <w:r w:rsidR="00D47379" w:rsidRPr="00D47379">
              <w:rPr>
                <w:noProof/>
                <w:webHidden/>
                <w:color w:val="2F5496" w:themeColor="accent1" w:themeShade="BF"/>
              </w:rPr>
              <w:fldChar w:fldCharType="separate"/>
            </w:r>
            <w:r w:rsidR="00D47379" w:rsidRPr="00D47379">
              <w:rPr>
                <w:noProof/>
                <w:webHidden/>
                <w:color w:val="2F5496" w:themeColor="accent1" w:themeShade="BF"/>
              </w:rPr>
              <w:t>32</w:t>
            </w:r>
            <w:r w:rsidR="00D47379" w:rsidRPr="00D47379">
              <w:rPr>
                <w:noProof/>
                <w:webHidden/>
                <w:color w:val="2F5496" w:themeColor="accent1" w:themeShade="BF"/>
              </w:rPr>
              <w:fldChar w:fldCharType="end"/>
            </w:r>
          </w:hyperlink>
        </w:p>
        <w:p w14:paraId="3B18047D" w14:textId="407CC8E3" w:rsidR="00D47379" w:rsidRPr="00D47379" w:rsidRDefault="002716D9">
          <w:pPr>
            <w:pStyle w:val="TOC2"/>
            <w:tabs>
              <w:tab w:val="right" w:leader="dot" w:pos="9016"/>
            </w:tabs>
            <w:rPr>
              <w:rFonts w:eastAsiaTheme="minorEastAsia"/>
              <w:noProof/>
              <w:color w:val="2F5496" w:themeColor="accent1" w:themeShade="BF"/>
              <w:kern w:val="0"/>
              <w14:ligatures w14:val="none"/>
            </w:rPr>
          </w:pPr>
          <w:hyperlink w:anchor="_Toc184111646" w:history="1">
            <w:r w:rsidR="00D47379" w:rsidRPr="00D47379">
              <w:rPr>
                <w:rStyle w:val="Hyperlink"/>
                <w:rFonts w:cstheme="minorHAnsi"/>
                <w:b/>
                <w:noProof/>
                <w:color w:val="2F5496" w:themeColor="accent1" w:themeShade="BF"/>
                <w:lang w:val="sr-Latn-ME"/>
              </w:rPr>
              <w:t>4.3</w:t>
            </w:r>
            <w:r w:rsidR="00D47379">
              <w:rPr>
                <w:rStyle w:val="Hyperlink"/>
                <w:rFonts w:cstheme="minorHAnsi"/>
                <w:b/>
                <w:noProof/>
                <w:color w:val="2F5496" w:themeColor="accent1" w:themeShade="BF"/>
                <w:lang w:val="sr-Latn-ME"/>
              </w:rPr>
              <w:t>.</w:t>
            </w:r>
            <w:r w:rsidR="00D47379" w:rsidRPr="00D47379">
              <w:rPr>
                <w:rStyle w:val="Hyperlink"/>
                <w:rFonts w:cstheme="minorHAnsi"/>
                <w:b/>
                <w:noProof/>
                <w:color w:val="2F5496" w:themeColor="accent1" w:themeShade="BF"/>
                <w:lang w:val="sr-Latn-ME"/>
              </w:rPr>
              <w:t xml:space="preserve"> Budžetski planovi za 2025. godinu</w:t>
            </w:r>
            <w:r w:rsidR="00D47379" w:rsidRPr="00D47379">
              <w:rPr>
                <w:noProof/>
                <w:webHidden/>
                <w:color w:val="2F5496" w:themeColor="accent1" w:themeShade="BF"/>
              </w:rPr>
              <w:tab/>
            </w:r>
            <w:r w:rsidR="00D47379" w:rsidRPr="00D47379">
              <w:rPr>
                <w:noProof/>
                <w:webHidden/>
                <w:color w:val="2F5496" w:themeColor="accent1" w:themeShade="BF"/>
              </w:rPr>
              <w:fldChar w:fldCharType="begin"/>
            </w:r>
            <w:r w:rsidR="00D47379" w:rsidRPr="00D47379">
              <w:rPr>
                <w:noProof/>
                <w:webHidden/>
                <w:color w:val="2F5496" w:themeColor="accent1" w:themeShade="BF"/>
              </w:rPr>
              <w:instrText xml:space="preserve"> PAGEREF _Toc184111646 \h </w:instrText>
            </w:r>
            <w:r w:rsidR="00D47379" w:rsidRPr="00D47379">
              <w:rPr>
                <w:noProof/>
                <w:webHidden/>
                <w:color w:val="2F5496" w:themeColor="accent1" w:themeShade="BF"/>
              </w:rPr>
            </w:r>
            <w:r w:rsidR="00D47379" w:rsidRPr="00D47379">
              <w:rPr>
                <w:noProof/>
                <w:webHidden/>
                <w:color w:val="2F5496" w:themeColor="accent1" w:themeShade="BF"/>
              </w:rPr>
              <w:fldChar w:fldCharType="separate"/>
            </w:r>
            <w:r w:rsidR="00D47379" w:rsidRPr="00D47379">
              <w:rPr>
                <w:noProof/>
                <w:webHidden/>
                <w:color w:val="2F5496" w:themeColor="accent1" w:themeShade="BF"/>
              </w:rPr>
              <w:t>33</w:t>
            </w:r>
            <w:r w:rsidR="00D47379" w:rsidRPr="00D47379">
              <w:rPr>
                <w:noProof/>
                <w:webHidden/>
                <w:color w:val="2F5496" w:themeColor="accent1" w:themeShade="BF"/>
              </w:rPr>
              <w:fldChar w:fldCharType="end"/>
            </w:r>
          </w:hyperlink>
        </w:p>
        <w:p w14:paraId="237110F8" w14:textId="3859D37D" w:rsidR="00D47379" w:rsidRPr="00D47379" w:rsidRDefault="002716D9">
          <w:pPr>
            <w:pStyle w:val="TOC2"/>
            <w:tabs>
              <w:tab w:val="right" w:leader="dot" w:pos="9016"/>
            </w:tabs>
            <w:rPr>
              <w:rFonts w:eastAsiaTheme="minorEastAsia"/>
              <w:noProof/>
              <w:color w:val="2F5496" w:themeColor="accent1" w:themeShade="BF"/>
              <w:kern w:val="0"/>
              <w14:ligatures w14:val="none"/>
            </w:rPr>
          </w:pPr>
          <w:hyperlink w:anchor="_Toc184111647" w:history="1">
            <w:r w:rsidR="00D47379" w:rsidRPr="00D47379">
              <w:rPr>
                <w:rStyle w:val="Hyperlink"/>
                <w:rFonts w:cstheme="minorHAnsi"/>
                <w:b/>
                <w:noProof/>
                <w:color w:val="2F5496" w:themeColor="accent1" w:themeShade="BF"/>
                <w:lang w:val="sr-Latn-ME"/>
              </w:rPr>
              <w:t>4.4. Srednjoročni budžetski izgledi i politike podrške</w:t>
            </w:r>
            <w:r w:rsidR="00D47379" w:rsidRPr="00D47379">
              <w:rPr>
                <w:noProof/>
                <w:webHidden/>
                <w:color w:val="2F5496" w:themeColor="accent1" w:themeShade="BF"/>
              </w:rPr>
              <w:tab/>
            </w:r>
            <w:r w:rsidR="00D47379" w:rsidRPr="00D47379">
              <w:rPr>
                <w:noProof/>
                <w:webHidden/>
                <w:color w:val="2F5496" w:themeColor="accent1" w:themeShade="BF"/>
              </w:rPr>
              <w:fldChar w:fldCharType="begin"/>
            </w:r>
            <w:r w:rsidR="00D47379" w:rsidRPr="00D47379">
              <w:rPr>
                <w:noProof/>
                <w:webHidden/>
                <w:color w:val="2F5496" w:themeColor="accent1" w:themeShade="BF"/>
              </w:rPr>
              <w:instrText xml:space="preserve"> PAGEREF _Toc184111647 \h </w:instrText>
            </w:r>
            <w:r w:rsidR="00D47379" w:rsidRPr="00D47379">
              <w:rPr>
                <w:noProof/>
                <w:webHidden/>
                <w:color w:val="2F5496" w:themeColor="accent1" w:themeShade="BF"/>
              </w:rPr>
            </w:r>
            <w:r w:rsidR="00D47379" w:rsidRPr="00D47379">
              <w:rPr>
                <w:noProof/>
                <w:webHidden/>
                <w:color w:val="2F5496" w:themeColor="accent1" w:themeShade="BF"/>
              </w:rPr>
              <w:fldChar w:fldCharType="separate"/>
            </w:r>
            <w:r w:rsidR="00D47379" w:rsidRPr="00D47379">
              <w:rPr>
                <w:noProof/>
                <w:webHidden/>
                <w:color w:val="2F5496" w:themeColor="accent1" w:themeShade="BF"/>
              </w:rPr>
              <w:t>35</w:t>
            </w:r>
            <w:r w:rsidR="00D47379" w:rsidRPr="00D47379">
              <w:rPr>
                <w:noProof/>
                <w:webHidden/>
                <w:color w:val="2F5496" w:themeColor="accent1" w:themeShade="BF"/>
              </w:rPr>
              <w:fldChar w:fldCharType="end"/>
            </w:r>
          </w:hyperlink>
        </w:p>
        <w:p w14:paraId="43A4C09A" w14:textId="0E3386C2" w:rsidR="00D47379" w:rsidRPr="00D47379" w:rsidRDefault="002716D9">
          <w:pPr>
            <w:pStyle w:val="TOC2"/>
            <w:tabs>
              <w:tab w:val="right" w:leader="dot" w:pos="9016"/>
            </w:tabs>
            <w:rPr>
              <w:rFonts w:eastAsiaTheme="minorEastAsia"/>
              <w:noProof/>
              <w:color w:val="2F5496" w:themeColor="accent1" w:themeShade="BF"/>
              <w:kern w:val="0"/>
              <w14:ligatures w14:val="none"/>
            </w:rPr>
          </w:pPr>
          <w:hyperlink w:anchor="_Toc184111648" w:history="1">
            <w:r w:rsidR="00D47379" w:rsidRPr="00D47379">
              <w:rPr>
                <w:rStyle w:val="Hyperlink"/>
                <w:rFonts w:cstheme="minorHAnsi"/>
                <w:b/>
                <w:noProof/>
                <w:color w:val="2F5496" w:themeColor="accent1" w:themeShade="BF"/>
                <w:lang w:val="sr-Latn-ME"/>
              </w:rPr>
              <w:t>4.5</w:t>
            </w:r>
            <w:r w:rsidR="00D47379">
              <w:rPr>
                <w:rStyle w:val="Hyperlink"/>
                <w:rFonts w:cstheme="minorHAnsi"/>
                <w:b/>
                <w:noProof/>
                <w:color w:val="2F5496" w:themeColor="accent1" w:themeShade="BF"/>
                <w:lang w:val="sr-Latn-ME"/>
              </w:rPr>
              <w:t>.</w:t>
            </w:r>
            <w:r w:rsidR="00D47379" w:rsidRPr="00D47379">
              <w:rPr>
                <w:rStyle w:val="Hyperlink"/>
                <w:rFonts w:cstheme="minorHAnsi"/>
                <w:b/>
                <w:noProof/>
                <w:color w:val="2F5496" w:themeColor="accent1" w:themeShade="BF"/>
                <w:lang w:val="sr-Latn-ME"/>
              </w:rPr>
              <w:t xml:space="preserve"> Strukturni bilans (ciklična komponenta deficita, jednokratne i privremene mjere, fiskalni stav)</w:t>
            </w:r>
            <w:r w:rsidR="00D47379" w:rsidRPr="00D47379">
              <w:rPr>
                <w:noProof/>
                <w:webHidden/>
                <w:color w:val="2F5496" w:themeColor="accent1" w:themeShade="BF"/>
              </w:rPr>
              <w:tab/>
            </w:r>
            <w:r w:rsidR="00D47379" w:rsidRPr="00D47379">
              <w:rPr>
                <w:noProof/>
                <w:webHidden/>
                <w:color w:val="2F5496" w:themeColor="accent1" w:themeShade="BF"/>
              </w:rPr>
              <w:fldChar w:fldCharType="begin"/>
            </w:r>
            <w:r w:rsidR="00D47379" w:rsidRPr="00D47379">
              <w:rPr>
                <w:noProof/>
                <w:webHidden/>
                <w:color w:val="2F5496" w:themeColor="accent1" w:themeShade="BF"/>
              </w:rPr>
              <w:instrText xml:space="preserve"> PAGEREF _Toc184111648 \h </w:instrText>
            </w:r>
            <w:r w:rsidR="00D47379" w:rsidRPr="00D47379">
              <w:rPr>
                <w:noProof/>
                <w:webHidden/>
                <w:color w:val="2F5496" w:themeColor="accent1" w:themeShade="BF"/>
              </w:rPr>
            </w:r>
            <w:r w:rsidR="00D47379" w:rsidRPr="00D47379">
              <w:rPr>
                <w:noProof/>
                <w:webHidden/>
                <w:color w:val="2F5496" w:themeColor="accent1" w:themeShade="BF"/>
              </w:rPr>
              <w:fldChar w:fldCharType="separate"/>
            </w:r>
            <w:r w:rsidR="00D47379" w:rsidRPr="00D47379">
              <w:rPr>
                <w:noProof/>
                <w:webHidden/>
                <w:color w:val="2F5496" w:themeColor="accent1" w:themeShade="BF"/>
              </w:rPr>
              <w:t>39</w:t>
            </w:r>
            <w:r w:rsidR="00D47379" w:rsidRPr="00D47379">
              <w:rPr>
                <w:noProof/>
                <w:webHidden/>
                <w:color w:val="2F5496" w:themeColor="accent1" w:themeShade="BF"/>
              </w:rPr>
              <w:fldChar w:fldCharType="end"/>
            </w:r>
          </w:hyperlink>
        </w:p>
        <w:p w14:paraId="227DAADD" w14:textId="69C56F3B" w:rsidR="00D47379" w:rsidRPr="00D47379" w:rsidRDefault="002716D9">
          <w:pPr>
            <w:pStyle w:val="TOC2"/>
            <w:tabs>
              <w:tab w:val="right" w:leader="dot" w:pos="9016"/>
            </w:tabs>
            <w:rPr>
              <w:rFonts w:eastAsiaTheme="minorEastAsia"/>
              <w:noProof/>
              <w:color w:val="2F5496" w:themeColor="accent1" w:themeShade="BF"/>
              <w:kern w:val="0"/>
              <w14:ligatures w14:val="none"/>
            </w:rPr>
          </w:pPr>
          <w:hyperlink w:anchor="_Toc184111649" w:history="1">
            <w:r w:rsidR="00D47379" w:rsidRPr="00D47379">
              <w:rPr>
                <w:rStyle w:val="Hyperlink"/>
                <w:rFonts w:cstheme="minorHAnsi"/>
                <w:b/>
                <w:noProof/>
                <w:color w:val="2F5496" w:themeColor="accent1" w:themeShade="BF"/>
                <w:lang w:val="sr-Latn-ME"/>
              </w:rPr>
              <w:t>4.6</w:t>
            </w:r>
            <w:r w:rsidR="00D47379">
              <w:rPr>
                <w:rStyle w:val="Hyperlink"/>
                <w:rFonts w:cstheme="minorHAnsi"/>
                <w:b/>
                <w:noProof/>
                <w:color w:val="2F5496" w:themeColor="accent1" w:themeShade="BF"/>
                <w:lang w:val="sr-Latn-ME"/>
              </w:rPr>
              <w:t>.</w:t>
            </w:r>
            <w:r w:rsidR="00D47379" w:rsidRPr="00D47379">
              <w:rPr>
                <w:rStyle w:val="Hyperlink"/>
                <w:rFonts w:cstheme="minorHAnsi"/>
                <w:b/>
                <w:noProof/>
                <w:color w:val="2F5496" w:themeColor="accent1" w:themeShade="BF"/>
                <w:lang w:val="sr-Latn-ME"/>
              </w:rPr>
              <w:t xml:space="preserve"> Nivoi i trendovi zaduživanja, analiza operacija “ispod crte” i prilagođavanja tokova stanja</w:t>
            </w:r>
            <w:r w:rsidR="00D47379" w:rsidRPr="00D47379">
              <w:rPr>
                <w:noProof/>
                <w:webHidden/>
                <w:color w:val="2F5496" w:themeColor="accent1" w:themeShade="BF"/>
              </w:rPr>
              <w:tab/>
            </w:r>
            <w:r w:rsidR="00D47379" w:rsidRPr="00D47379">
              <w:rPr>
                <w:noProof/>
                <w:webHidden/>
                <w:color w:val="2F5496" w:themeColor="accent1" w:themeShade="BF"/>
              </w:rPr>
              <w:fldChar w:fldCharType="begin"/>
            </w:r>
            <w:r w:rsidR="00D47379" w:rsidRPr="00D47379">
              <w:rPr>
                <w:noProof/>
                <w:webHidden/>
                <w:color w:val="2F5496" w:themeColor="accent1" w:themeShade="BF"/>
              </w:rPr>
              <w:instrText xml:space="preserve"> PAGEREF _Toc184111649 \h </w:instrText>
            </w:r>
            <w:r w:rsidR="00D47379" w:rsidRPr="00D47379">
              <w:rPr>
                <w:noProof/>
                <w:webHidden/>
                <w:color w:val="2F5496" w:themeColor="accent1" w:themeShade="BF"/>
              </w:rPr>
            </w:r>
            <w:r w:rsidR="00D47379" w:rsidRPr="00D47379">
              <w:rPr>
                <w:noProof/>
                <w:webHidden/>
                <w:color w:val="2F5496" w:themeColor="accent1" w:themeShade="BF"/>
              </w:rPr>
              <w:fldChar w:fldCharType="separate"/>
            </w:r>
            <w:r w:rsidR="00D47379" w:rsidRPr="00D47379">
              <w:rPr>
                <w:noProof/>
                <w:webHidden/>
                <w:color w:val="2F5496" w:themeColor="accent1" w:themeShade="BF"/>
              </w:rPr>
              <w:t>41</w:t>
            </w:r>
            <w:r w:rsidR="00D47379" w:rsidRPr="00D47379">
              <w:rPr>
                <w:noProof/>
                <w:webHidden/>
                <w:color w:val="2F5496" w:themeColor="accent1" w:themeShade="BF"/>
              </w:rPr>
              <w:fldChar w:fldCharType="end"/>
            </w:r>
          </w:hyperlink>
        </w:p>
        <w:p w14:paraId="4A10AEBC" w14:textId="56491175" w:rsidR="00D47379" w:rsidRPr="00D47379" w:rsidRDefault="002716D9">
          <w:pPr>
            <w:pStyle w:val="TOC2"/>
            <w:tabs>
              <w:tab w:val="right" w:leader="dot" w:pos="9016"/>
            </w:tabs>
            <w:rPr>
              <w:rFonts w:eastAsiaTheme="minorEastAsia"/>
              <w:noProof/>
              <w:color w:val="2F5496" w:themeColor="accent1" w:themeShade="BF"/>
              <w:kern w:val="0"/>
              <w14:ligatures w14:val="none"/>
            </w:rPr>
          </w:pPr>
          <w:hyperlink w:anchor="_Toc184111650" w:history="1">
            <w:r w:rsidR="00D47379" w:rsidRPr="00D47379">
              <w:rPr>
                <w:rStyle w:val="Hyperlink"/>
                <w:rFonts w:cstheme="minorHAnsi"/>
                <w:b/>
                <w:noProof/>
                <w:color w:val="2F5496" w:themeColor="accent1" w:themeShade="BF"/>
                <w:lang w:val="sr-Latn-ME"/>
              </w:rPr>
              <w:t>4.7</w:t>
            </w:r>
            <w:r w:rsidR="00D47379">
              <w:rPr>
                <w:rStyle w:val="Hyperlink"/>
                <w:rFonts w:cstheme="minorHAnsi"/>
                <w:b/>
                <w:noProof/>
                <w:color w:val="2F5496" w:themeColor="accent1" w:themeShade="BF"/>
                <w:lang w:val="sr-Latn-ME"/>
              </w:rPr>
              <w:t>.</w:t>
            </w:r>
            <w:r w:rsidR="00D47379" w:rsidRPr="00D47379">
              <w:rPr>
                <w:rStyle w:val="Hyperlink"/>
                <w:rFonts w:cstheme="minorHAnsi"/>
                <w:b/>
                <w:noProof/>
                <w:color w:val="2F5496" w:themeColor="accent1" w:themeShade="BF"/>
                <w:lang w:val="sr-Latn-ME"/>
              </w:rPr>
              <w:t xml:space="preserve"> Analiza osjetljivosti i poređenje s prethodnim programom</w:t>
            </w:r>
            <w:r w:rsidR="00D47379" w:rsidRPr="00D47379">
              <w:rPr>
                <w:noProof/>
                <w:webHidden/>
                <w:color w:val="2F5496" w:themeColor="accent1" w:themeShade="BF"/>
              </w:rPr>
              <w:tab/>
            </w:r>
            <w:r w:rsidR="00D47379" w:rsidRPr="00D47379">
              <w:rPr>
                <w:noProof/>
                <w:webHidden/>
                <w:color w:val="2F5496" w:themeColor="accent1" w:themeShade="BF"/>
              </w:rPr>
              <w:fldChar w:fldCharType="begin"/>
            </w:r>
            <w:r w:rsidR="00D47379" w:rsidRPr="00D47379">
              <w:rPr>
                <w:noProof/>
                <w:webHidden/>
                <w:color w:val="2F5496" w:themeColor="accent1" w:themeShade="BF"/>
              </w:rPr>
              <w:instrText xml:space="preserve"> PAGEREF _Toc184111650 \h </w:instrText>
            </w:r>
            <w:r w:rsidR="00D47379" w:rsidRPr="00D47379">
              <w:rPr>
                <w:noProof/>
                <w:webHidden/>
                <w:color w:val="2F5496" w:themeColor="accent1" w:themeShade="BF"/>
              </w:rPr>
            </w:r>
            <w:r w:rsidR="00D47379" w:rsidRPr="00D47379">
              <w:rPr>
                <w:noProof/>
                <w:webHidden/>
                <w:color w:val="2F5496" w:themeColor="accent1" w:themeShade="BF"/>
              </w:rPr>
              <w:fldChar w:fldCharType="separate"/>
            </w:r>
            <w:r w:rsidR="00D47379" w:rsidRPr="00D47379">
              <w:rPr>
                <w:noProof/>
                <w:webHidden/>
                <w:color w:val="2F5496" w:themeColor="accent1" w:themeShade="BF"/>
              </w:rPr>
              <w:t>41</w:t>
            </w:r>
            <w:r w:rsidR="00D47379" w:rsidRPr="00D47379">
              <w:rPr>
                <w:noProof/>
                <w:webHidden/>
                <w:color w:val="2F5496" w:themeColor="accent1" w:themeShade="BF"/>
              </w:rPr>
              <w:fldChar w:fldCharType="end"/>
            </w:r>
          </w:hyperlink>
        </w:p>
        <w:p w14:paraId="7D0C42F3" w14:textId="36B41E78" w:rsidR="00D47379" w:rsidRPr="00D47379" w:rsidRDefault="002716D9">
          <w:pPr>
            <w:pStyle w:val="TOC2"/>
            <w:tabs>
              <w:tab w:val="right" w:leader="dot" w:pos="9016"/>
            </w:tabs>
            <w:rPr>
              <w:rFonts w:eastAsiaTheme="minorEastAsia"/>
              <w:noProof/>
              <w:color w:val="2F5496" w:themeColor="accent1" w:themeShade="BF"/>
              <w:kern w:val="0"/>
              <w14:ligatures w14:val="none"/>
            </w:rPr>
          </w:pPr>
          <w:hyperlink w:anchor="_Toc184111651" w:history="1">
            <w:r w:rsidR="00D47379" w:rsidRPr="00D47379">
              <w:rPr>
                <w:rStyle w:val="Hyperlink"/>
                <w:rFonts w:cstheme="minorHAnsi"/>
                <w:b/>
                <w:noProof/>
                <w:color w:val="2F5496" w:themeColor="accent1" w:themeShade="BF"/>
                <w:lang w:val="sr-Latn-ME"/>
              </w:rPr>
              <w:t>4.7.1 Osjetljivost projekcija javnih finansija na alternativne scenarije rizika</w:t>
            </w:r>
            <w:r w:rsidR="00D47379" w:rsidRPr="00D47379">
              <w:rPr>
                <w:noProof/>
                <w:webHidden/>
                <w:color w:val="2F5496" w:themeColor="accent1" w:themeShade="BF"/>
              </w:rPr>
              <w:tab/>
            </w:r>
            <w:r w:rsidR="00D47379" w:rsidRPr="00D47379">
              <w:rPr>
                <w:noProof/>
                <w:webHidden/>
                <w:color w:val="2F5496" w:themeColor="accent1" w:themeShade="BF"/>
              </w:rPr>
              <w:fldChar w:fldCharType="begin"/>
            </w:r>
            <w:r w:rsidR="00D47379" w:rsidRPr="00D47379">
              <w:rPr>
                <w:noProof/>
                <w:webHidden/>
                <w:color w:val="2F5496" w:themeColor="accent1" w:themeShade="BF"/>
              </w:rPr>
              <w:instrText xml:space="preserve"> PAGEREF _Toc184111651 \h </w:instrText>
            </w:r>
            <w:r w:rsidR="00D47379" w:rsidRPr="00D47379">
              <w:rPr>
                <w:noProof/>
                <w:webHidden/>
                <w:color w:val="2F5496" w:themeColor="accent1" w:themeShade="BF"/>
              </w:rPr>
            </w:r>
            <w:r w:rsidR="00D47379" w:rsidRPr="00D47379">
              <w:rPr>
                <w:noProof/>
                <w:webHidden/>
                <w:color w:val="2F5496" w:themeColor="accent1" w:themeShade="BF"/>
              </w:rPr>
              <w:fldChar w:fldCharType="separate"/>
            </w:r>
            <w:r w:rsidR="00D47379" w:rsidRPr="00D47379">
              <w:rPr>
                <w:noProof/>
                <w:webHidden/>
                <w:color w:val="2F5496" w:themeColor="accent1" w:themeShade="BF"/>
              </w:rPr>
              <w:t>41</w:t>
            </w:r>
            <w:r w:rsidR="00D47379" w:rsidRPr="00D47379">
              <w:rPr>
                <w:noProof/>
                <w:webHidden/>
                <w:color w:val="2F5496" w:themeColor="accent1" w:themeShade="BF"/>
              </w:rPr>
              <w:fldChar w:fldCharType="end"/>
            </w:r>
          </w:hyperlink>
        </w:p>
        <w:p w14:paraId="5A71709E" w14:textId="4C2FAC57" w:rsidR="00D47379" w:rsidRPr="00D47379" w:rsidRDefault="002716D9">
          <w:pPr>
            <w:pStyle w:val="TOC2"/>
            <w:tabs>
              <w:tab w:val="right" w:leader="dot" w:pos="9016"/>
            </w:tabs>
            <w:rPr>
              <w:rFonts w:eastAsiaTheme="minorEastAsia"/>
              <w:noProof/>
              <w:color w:val="2F5496" w:themeColor="accent1" w:themeShade="BF"/>
              <w:kern w:val="0"/>
              <w14:ligatures w14:val="none"/>
            </w:rPr>
          </w:pPr>
          <w:hyperlink w:anchor="_Toc184111652" w:history="1">
            <w:r w:rsidR="00D47379" w:rsidRPr="00D47379">
              <w:rPr>
                <w:rStyle w:val="Hyperlink"/>
                <w:rFonts w:cstheme="minorHAnsi"/>
                <w:b/>
                <w:noProof/>
                <w:color w:val="2F5496" w:themeColor="accent1" w:themeShade="BF"/>
                <w:lang w:val="sr-Latn-ME"/>
              </w:rPr>
              <w:t>4.8</w:t>
            </w:r>
            <w:r w:rsidR="00D47379">
              <w:rPr>
                <w:rStyle w:val="Hyperlink"/>
                <w:rFonts w:cstheme="minorHAnsi"/>
                <w:b/>
                <w:noProof/>
                <w:color w:val="2F5496" w:themeColor="accent1" w:themeShade="BF"/>
                <w:lang w:val="sr-Latn-ME"/>
              </w:rPr>
              <w:t>.</w:t>
            </w:r>
            <w:r w:rsidR="00D47379" w:rsidRPr="00D47379">
              <w:rPr>
                <w:rStyle w:val="Hyperlink"/>
                <w:rFonts w:cstheme="minorHAnsi"/>
                <w:b/>
                <w:noProof/>
                <w:color w:val="2F5496" w:themeColor="accent1" w:themeShade="BF"/>
                <w:lang w:val="sr-Latn-ME"/>
              </w:rPr>
              <w:t xml:space="preserve"> Kvalitet javnih finansija</w:t>
            </w:r>
            <w:r w:rsidR="00D47379" w:rsidRPr="00D47379">
              <w:rPr>
                <w:noProof/>
                <w:webHidden/>
                <w:color w:val="2F5496" w:themeColor="accent1" w:themeShade="BF"/>
              </w:rPr>
              <w:tab/>
            </w:r>
            <w:r w:rsidR="00D47379" w:rsidRPr="00D47379">
              <w:rPr>
                <w:noProof/>
                <w:webHidden/>
                <w:color w:val="2F5496" w:themeColor="accent1" w:themeShade="BF"/>
              </w:rPr>
              <w:fldChar w:fldCharType="begin"/>
            </w:r>
            <w:r w:rsidR="00D47379" w:rsidRPr="00D47379">
              <w:rPr>
                <w:noProof/>
                <w:webHidden/>
                <w:color w:val="2F5496" w:themeColor="accent1" w:themeShade="BF"/>
              </w:rPr>
              <w:instrText xml:space="preserve"> PAGEREF _Toc184111652 \h </w:instrText>
            </w:r>
            <w:r w:rsidR="00D47379" w:rsidRPr="00D47379">
              <w:rPr>
                <w:noProof/>
                <w:webHidden/>
                <w:color w:val="2F5496" w:themeColor="accent1" w:themeShade="BF"/>
              </w:rPr>
            </w:r>
            <w:r w:rsidR="00D47379" w:rsidRPr="00D47379">
              <w:rPr>
                <w:noProof/>
                <w:webHidden/>
                <w:color w:val="2F5496" w:themeColor="accent1" w:themeShade="BF"/>
              </w:rPr>
              <w:fldChar w:fldCharType="separate"/>
            </w:r>
            <w:r w:rsidR="00D47379" w:rsidRPr="00D47379">
              <w:rPr>
                <w:noProof/>
                <w:webHidden/>
                <w:color w:val="2F5496" w:themeColor="accent1" w:themeShade="BF"/>
              </w:rPr>
              <w:t>43</w:t>
            </w:r>
            <w:r w:rsidR="00D47379" w:rsidRPr="00D47379">
              <w:rPr>
                <w:noProof/>
                <w:webHidden/>
                <w:color w:val="2F5496" w:themeColor="accent1" w:themeShade="BF"/>
              </w:rPr>
              <w:fldChar w:fldCharType="end"/>
            </w:r>
          </w:hyperlink>
        </w:p>
        <w:p w14:paraId="4CFA3F7B" w14:textId="42292E34" w:rsidR="00D47379" w:rsidRPr="00D47379" w:rsidRDefault="002716D9">
          <w:pPr>
            <w:pStyle w:val="TOC2"/>
            <w:tabs>
              <w:tab w:val="right" w:leader="dot" w:pos="9016"/>
            </w:tabs>
            <w:rPr>
              <w:rFonts w:eastAsiaTheme="minorEastAsia"/>
              <w:noProof/>
              <w:color w:val="2F5496" w:themeColor="accent1" w:themeShade="BF"/>
              <w:kern w:val="0"/>
              <w14:ligatures w14:val="none"/>
            </w:rPr>
          </w:pPr>
          <w:hyperlink w:anchor="_Toc184111653" w:history="1">
            <w:r w:rsidR="00D47379" w:rsidRPr="00D47379">
              <w:rPr>
                <w:rStyle w:val="Hyperlink"/>
                <w:rFonts w:cstheme="minorHAnsi"/>
                <w:b/>
                <w:noProof/>
                <w:color w:val="2F5496" w:themeColor="accent1" w:themeShade="BF"/>
                <w:lang w:val="sr-Latn-ME"/>
              </w:rPr>
              <w:t>5. REFORMSKA AGENDA CRNE</w:t>
            </w:r>
            <w:r w:rsidR="00D47379" w:rsidRPr="00D47379">
              <w:rPr>
                <w:rStyle w:val="Hyperlink"/>
                <w:rFonts w:ascii="Garamond" w:hAnsi="Garamond" w:cs="Arial"/>
                <w:b/>
                <w:noProof/>
                <w:color w:val="2F5496" w:themeColor="accent1" w:themeShade="BF"/>
                <w:lang w:val="sr-Latn-ME"/>
              </w:rPr>
              <w:t xml:space="preserve"> </w:t>
            </w:r>
            <w:r w:rsidR="00D47379" w:rsidRPr="00D47379">
              <w:rPr>
                <w:rStyle w:val="Hyperlink"/>
                <w:rFonts w:cstheme="minorHAnsi"/>
                <w:b/>
                <w:noProof/>
                <w:color w:val="2F5496" w:themeColor="accent1" w:themeShade="BF"/>
                <w:lang w:val="sr-Latn-ME"/>
              </w:rPr>
              <w:t>GORE I UVEZANOST SA MAKROEKONOMSKIM OKVIROM</w:t>
            </w:r>
            <w:r w:rsidR="00D47379" w:rsidRPr="00D47379">
              <w:rPr>
                <w:noProof/>
                <w:webHidden/>
                <w:color w:val="2F5496" w:themeColor="accent1" w:themeShade="BF"/>
              </w:rPr>
              <w:tab/>
            </w:r>
            <w:r w:rsidR="00D47379" w:rsidRPr="00D47379">
              <w:rPr>
                <w:noProof/>
                <w:webHidden/>
                <w:color w:val="2F5496" w:themeColor="accent1" w:themeShade="BF"/>
              </w:rPr>
              <w:fldChar w:fldCharType="begin"/>
            </w:r>
            <w:r w:rsidR="00D47379" w:rsidRPr="00D47379">
              <w:rPr>
                <w:noProof/>
                <w:webHidden/>
                <w:color w:val="2F5496" w:themeColor="accent1" w:themeShade="BF"/>
              </w:rPr>
              <w:instrText xml:space="preserve"> PAGEREF _Toc184111653 \h </w:instrText>
            </w:r>
            <w:r w:rsidR="00D47379" w:rsidRPr="00D47379">
              <w:rPr>
                <w:noProof/>
                <w:webHidden/>
                <w:color w:val="2F5496" w:themeColor="accent1" w:themeShade="BF"/>
              </w:rPr>
            </w:r>
            <w:r w:rsidR="00D47379" w:rsidRPr="00D47379">
              <w:rPr>
                <w:noProof/>
                <w:webHidden/>
                <w:color w:val="2F5496" w:themeColor="accent1" w:themeShade="BF"/>
              </w:rPr>
              <w:fldChar w:fldCharType="separate"/>
            </w:r>
            <w:r w:rsidR="00D47379" w:rsidRPr="00D47379">
              <w:rPr>
                <w:noProof/>
                <w:webHidden/>
                <w:color w:val="2F5496" w:themeColor="accent1" w:themeShade="BF"/>
              </w:rPr>
              <w:t>45</w:t>
            </w:r>
            <w:r w:rsidR="00D47379" w:rsidRPr="00D47379">
              <w:rPr>
                <w:noProof/>
                <w:webHidden/>
                <w:color w:val="2F5496" w:themeColor="accent1" w:themeShade="BF"/>
              </w:rPr>
              <w:fldChar w:fldCharType="end"/>
            </w:r>
          </w:hyperlink>
        </w:p>
        <w:p w14:paraId="3762229B" w14:textId="1856EB8B" w:rsidR="00D47379" w:rsidRPr="00D47379" w:rsidRDefault="002716D9">
          <w:pPr>
            <w:pStyle w:val="TOC2"/>
            <w:tabs>
              <w:tab w:val="right" w:leader="dot" w:pos="9016"/>
            </w:tabs>
            <w:rPr>
              <w:rFonts w:eastAsiaTheme="minorEastAsia"/>
              <w:noProof/>
              <w:color w:val="2F5496" w:themeColor="accent1" w:themeShade="BF"/>
              <w:kern w:val="0"/>
              <w14:ligatures w14:val="none"/>
            </w:rPr>
          </w:pPr>
          <w:hyperlink w:anchor="_Toc184111654" w:history="1">
            <w:r w:rsidR="00D47379" w:rsidRPr="00D47379">
              <w:rPr>
                <w:rStyle w:val="Hyperlink"/>
                <w:rFonts w:cstheme="minorHAnsi"/>
                <w:b/>
                <w:noProof/>
                <w:color w:val="2F5496" w:themeColor="accent1" w:themeShade="BF"/>
                <w:lang w:val="sr-Latn-ME"/>
              </w:rPr>
              <w:t>5.1. Uvod</w:t>
            </w:r>
            <w:r w:rsidR="00D47379" w:rsidRPr="00D47379">
              <w:rPr>
                <w:noProof/>
                <w:webHidden/>
                <w:color w:val="2F5496" w:themeColor="accent1" w:themeShade="BF"/>
              </w:rPr>
              <w:tab/>
            </w:r>
            <w:r w:rsidR="00D47379" w:rsidRPr="00D47379">
              <w:rPr>
                <w:noProof/>
                <w:webHidden/>
                <w:color w:val="2F5496" w:themeColor="accent1" w:themeShade="BF"/>
              </w:rPr>
              <w:fldChar w:fldCharType="begin"/>
            </w:r>
            <w:r w:rsidR="00D47379" w:rsidRPr="00D47379">
              <w:rPr>
                <w:noProof/>
                <w:webHidden/>
                <w:color w:val="2F5496" w:themeColor="accent1" w:themeShade="BF"/>
              </w:rPr>
              <w:instrText xml:space="preserve"> PAGEREF _Toc184111654 \h </w:instrText>
            </w:r>
            <w:r w:rsidR="00D47379" w:rsidRPr="00D47379">
              <w:rPr>
                <w:noProof/>
                <w:webHidden/>
                <w:color w:val="2F5496" w:themeColor="accent1" w:themeShade="BF"/>
              </w:rPr>
            </w:r>
            <w:r w:rsidR="00D47379" w:rsidRPr="00D47379">
              <w:rPr>
                <w:noProof/>
                <w:webHidden/>
                <w:color w:val="2F5496" w:themeColor="accent1" w:themeShade="BF"/>
              </w:rPr>
              <w:fldChar w:fldCharType="separate"/>
            </w:r>
            <w:r w:rsidR="00D47379" w:rsidRPr="00D47379">
              <w:rPr>
                <w:noProof/>
                <w:webHidden/>
                <w:color w:val="2F5496" w:themeColor="accent1" w:themeShade="BF"/>
              </w:rPr>
              <w:t>45</w:t>
            </w:r>
            <w:r w:rsidR="00D47379" w:rsidRPr="00D47379">
              <w:rPr>
                <w:noProof/>
                <w:webHidden/>
                <w:color w:val="2F5496" w:themeColor="accent1" w:themeShade="BF"/>
              </w:rPr>
              <w:fldChar w:fldCharType="end"/>
            </w:r>
          </w:hyperlink>
        </w:p>
        <w:p w14:paraId="4AD674BE" w14:textId="152671EE" w:rsidR="00D47379" w:rsidRPr="00D47379" w:rsidRDefault="002716D9">
          <w:pPr>
            <w:pStyle w:val="TOC2"/>
            <w:tabs>
              <w:tab w:val="right" w:leader="dot" w:pos="9016"/>
            </w:tabs>
            <w:rPr>
              <w:rFonts w:eastAsiaTheme="minorEastAsia"/>
              <w:noProof/>
              <w:color w:val="2F5496" w:themeColor="accent1" w:themeShade="BF"/>
              <w:kern w:val="0"/>
              <w14:ligatures w14:val="none"/>
            </w:rPr>
          </w:pPr>
          <w:hyperlink w:anchor="_Toc184111655" w:history="1">
            <w:r w:rsidR="00D47379" w:rsidRPr="00D47379">
              <w:rPr>
                <w:rStyle w:val="Hyperlink"/>
                <w:rFonts w:cstheme="minorHAnsi"/>
                <w:b/>
                <w:noProof/>
                <w:color w:val="2F5496" w:themeColor="accent1" w:themeShade="BF"/>
                <w:lang w:val="sr-Latn-ME"/>
              </w:rPr>
              <w:t>5.2. Ciljevi Reformske agende</w:t>
            </w:r>
            <w:r w:rsidR="00D47379" w:rsidRPr="00D47379">
              <w:rPr>
                <w:noProof/>
                <w:webHidden/>
                <w:color w:val="2F5496" w:themeColor="accent1" w:themeShade="BF"/>
              </w:rPr>
              <w:tab/>
            </w:r>
            <w:r w:rsidR="00D47379" w:rsidRPr="00D47379">
              <w:rPr>
                <w:noProof/>
                <w:webHidden/>
                <w:color w:val="2F5496" w:themeColor="accent1" w:themeShade="BF"/>
              </w:rPr>
              <w:fldChar w:fldCharType="begin"/>
            </w:r>
            <w:r w:rsidR="00D47379" w:rsidRPr="00D47379">
              <w:rPr>
                <w:noProof/>
                <w:webHidden/>
                <w:color w:val="2F5496" w:themeColor="accent1" w:themeShade="BF"/>
              </w:rPr>
              <w:instrText xml:space="preserve"> PAGEREF _Toc184111655 \h </w:instrText>
            </w:r>
            <w:r w:rsidR="00D47379" w:rsidRPr="00D47379">
              <w:rPr>
                <w:noProof/>
                <w:webHidden/>
                <w:color w:val="2F5496" w:themeColor="accent1" w:themeShade="BF"/>
              </w:rPr>
            </w:r>
            <w:r w:rsidR="00D47379" w:rsidRPr="00D47379">
              <w:rPr>
                <w:noProof/>
                <w:webHidden/>
                <w:color w:val="2F5496" w:themeColor="accent1" w:themeShade="BF"/>
              </w:rPr>
              <w:fldChar w:fldCharType="separate"/>
            </w:r>
            <w:r w:rsidR="00D47379" w:rsidRPr="00D47379">
              <w:rPr>
                <w:noProof/>
                <w:webHidden/>
                <w:color w:val="2F5496" w:themeColor="accent1" w:themeShade="BF"/>
              </w:rPr>
              <w:t>46</w:t>
            </w:r>
            <w:r w:rsidR="00D47379" w:rsidRPr="00D47379">
              <w:rPr>
                <w:noProof/>
                <w:webHidden/>
                <w:color w:val="2F5496" w:themeColor="accent1" w:themeShade="BF"/>
              </w:rPr>
              <w:fldChar w:fldCharType="end"/>
            </w:r>
          </w:hyperlink>
        </w:p>
        <w:p w14:paraId="20496E19" w14:textId="7711C4B3" w:rsidR="00D47379" w:rsidRPr="00D47379" w:rsidRDefault="002716D9">
          <w:pPr>
            <w:pStyle w:val="TOC2"/>
            <w:tabs>
              <w:tab w:val="right" w:leader="dot" w:pos="9016"/>
            </w:tabs>
            <w:rPr>
              <w:rFonts w:eastAsiaTheme="minorEastAsia"/>
              <w:noProof/>
              <w:color w:val="2F5496" w:themeColor="accent1" w:themeShade="BF"/>
              <w:kern w:val="0"/>
              <w14:ligatures w14:val="none"/>
            </w:rPr>
          </w:pPr>
          <w:hyperlink w:anchor="_Toc184111656" w:history="1">
            <w:r w:rsidR="00D47379" w:rsidRPr="00D47379">
              <w:rPr>
                <w:rStyle w:val="Hyperlink"/>
                <w:rFonts w:cstheme="minorHAnsi"/>
                <w:b/>
                <w:noProof/>
                <w:color w:val="2F5496" w:themeColor="accent1" w:themeShade="BF"/>
                <w:lang w:val="sr-Latn-ME"/>
              </w:rPr>
              <w:t>5.3. Procjena uticaja Plana rasta EU na makroekonomska i fiskalna kretanja</w:t>
            </w:r>
            <w:r w:rsidR="00D47379" w:rsidRPr="00D47379">
              <w:rPr>
                <w:noProof/>
                <w:webHidden/>
                <w:color w:val="2F5496" w:themeColor="accent1" w:themeShade="BF"/>
              </w:rPr>
              <w:tab/>
            </w:r>
            <w:r w:rsidR="00D47379" w:rsidRPr="00D47379">
              <w:rPr>
                <w:noProof/>
                <w:webHidden/>
                <w:color w:val="2F5496" w:themeColor="accent1" w:themeShade="BF"/>
              </w:rPr>
              <w:fldChar w:fldCharType="begin"/>
            </w:r>
            <w:r w:rsidR="00D47379" w:rsidRPr="00D47379">
              <w:rPr>
                <w:noProof/>
                <w:webHidden/>
                <w:color w:val="2F5496" w:themeColor="accent1" w:themeShade="BF"/>
              </w:rPr>
              <w:instrText xml:space="preserve"> PAGEREF _Toc184111656 \h </w:instrText>
            </w:r>
            <w:r w:rsidR="00D47379" w:rsidRPr="00D47379">
              <w:rPr>
                <w:noProof/>
                <w:webHidden/>
                <w:color w:val="2F5496" w:themeColor="accent1" w:themeShade="BF"/>
              </w:rPr>
            </w:r>
            <w:r w:rsidR="00D47379" w:rsidRPr="00D47379">
              <w:rPr>
                <w:noProof/>
                <w:webHidden/>
                <w:color w:val="2F5496" w:themeColor="accent1" w:themeShade="BF"/>
              </w:rPr>
              <w:fldChar w:fldCharType="separate"/>
            </w:r>
            <w:r w:rsidR="00D47379" w:rsidRPr="00D47379">
              <w:rPr>
                <w:noProof/>
                <w:webHidden/>
                <w:color w:val="2F5496" w:themeColor="accent1" w:themeShade="BF"/>
              </w:rPr>
              <w:t>48</w:t>
            </w:r>
            <w:r w:rsidR="00D47379" w:rsidRPr="00D47379">
              <w:rPr>
                <w:noProof/>
                <w:webHidden/>
                <w:color w:val="2F5496" w:themeColor="accent1" w:themeShade="BF"/>
              </w:rPr>
              <w:fldChar w:fldCharType="end"/>
            </w:r>
          </w:hyperlink>
        </w:p>
        <w:p w14:paraId="652127C6" w14:textId="202C89CD" w:rsidR="009D0E01" w:rsidRPr="00335470" w:rsidRDefault="009D0E01">
          <w:r w:rsidRPr="00D47379">
            <w:rPr>
              <w:noProof/>
              <w:color w:val="2F5496" w:themeColor="accent1" w:themeShade="BF"/>
            </w:rPr>
            <w:fldChar w:fldCharType="end"/>
          </w:r>
        </w:p>
      </w:sdtContent>
    </w:sdt>
    <w:p w14:paraId="0604A6C1" w14:textId="77777777" w:rsidR="0065415E" w:rsidRDefault="0065415E" w:rsidP="0065415E">
      <w:pPr>
        <w:rPr>
          <w:b/>
          <w:bCs/>
          <w:noProof/>
          <w:color w:val="002060"/>
          <w:sz w:val="20"/>
          <w:szCs w:val="20"/>
          <w:lang w:val="pl-PL"/>
        </w:rPr>
      </w:pPr>
    </w:p>
    <w:p w14:paraId="26C625E9" w14:textId="77777777" w:rsidR="0065415E" w:rsidRDefault="0065415E" w:rsidP="0065415E">
      <w:pPr>
        <w:rPr>
          <w:b/>
          <w:bCs/>
          <w:noProof/>
          <w:color w:val="002060"/>
          <w:sz w:val="20"/>
          <w:szCs w:val="20"/>
          <w:lang w:val="pl-PL"/>
        </w:rPr>
      </w:pPr>
    </w:p>
    <w:p w14:paraId="67EBADED" w14:textId="77777777" w:rsidR="0065415E" w:rsidRDefault="0065415E" w:rsidP="0065415E">
      <w:pPr>
        <w:rPr>
          <w:b/>
          <w:bCs/>
          <w:noProof/>
          <w:color w:val="002060"/>
          <w:sz w:val="20"/>
          <w:szCs w:val="20"/>
          <w:lang w:val="pl-PL"/>
        </w:rPr>
      </w:pPr>
    </w:p>
    <w:p w14:paraId="54291D4A" w14:textId="77777777" w:rsidR="0065415E" w:rsidRDefault="0065415E" w:rsidP="0065415E">
      <w:pPr>
        <w:rPr>
          <w:b/>
          <w:bCs/>
          <w:noProof/>
          <w:color w:val="002060"/>
          <w:sz w:val="20"/>
          <w:szCs w:val="20"/>
          <w:lang w:val="pl-PL"/>
        </w:rPr>
      </w:pPr>
    </w:p>
    <w:p w14:paraId="043CDA0D" w14:textId="53AF2149" w:rsidR="0065415E" w:rsidRPr="00B3325E" w:rsidRDefault="0065415E" w:rsidP="0065415E">
      <w:pPr>
        <w:rPr>
          <w:b/>
          <w:bCs/>
          <w:noProof/>
          <w:color w:val="002060"/>
          <w:sz w:val="20"/>
          <w:szCs w:val="20"/>
        </w:rPr>
      </w:pPr>
    </w:p>
    <w:p w14:paraId="0E8560CC" w14:textId="17AB049B" w:rsidR="0090338A" w:rsidRDefault="00BE4674" w:rsidP="00BE4674">
      <w:pPr>
        <w:pStyle w:val="Heading1"/>
        <w:shd w:val="clear" w:color="auto" w:fill="B4C6E7" w:themeFill="accent1" w:themeFillTint="66"/>
        <w:rPr>
          <w:b/>
        </w:rPr>
      </w:pPr>
      <w:bookmarkStart w:id="1" w:name="_Toc184111615"/>
      <w:r w:rsidRPr="00BE4674">
        <w:rPr>
          <w:b/>
        </w:rPr>
        <w:t xml:space="preserve">1. </w:t>
      </w:r>
      <w:r w:rsidR="0090338A" w:rsidRPr="00BE4674">
        <w:rPr>
          <w:b/>
        </w:rPr>
        <w:t>OPŠTI OKVIR I CILJEVI POLITIKE</w:t>
      </w:r>
      <w:bookmarkEnd w:id="1"/>
    </w:p>
    <w:p w14:paraId="516B5784" w14:textId="2245D6DD" w:rsidR="00F7042B" w:rsidRDefault="00F7042B" w:rsidP="00F7042B">
      <w:pPr>
        <w:spacing w:line="276" w:lineRule="auto"/>
        <w:jc w:val="both"/>
        <w:rPr>
          <w:sz w:val="24"/>
          <w:szCs w:val="24"/>
          <w:highlight w:val="yellow"/>
          <w:lang w:val="sr-Latn-ME"/>
        </w:rPr>
      </w:pPr>
    </w:p>
    <w:p w14:paraId="6ACE8FC5" w14:textId="7569E5C5" w:rsidR="00FD1E08" w:rsidRPr="00FD1E08" w:rsidRDefault="00FD1E08" w:rsidP="00FD1E08">
      <w:pPr>
        <w:jc w:val="both"/>
        <w:rPr>
          <w:rFonts w:cstheme="minorHAnsi"/>
          <w:sz w:val="24"/>
          <w:szCs w:val="24"/>
        </w:rPr>
      </w:pPr>
      <w:r w:rsidRPr="00FD1E08">
        <w:rPr>
          <w:rFonts w:cstheme="minorHAnsi"/>
          <w:sz w:val="24"/>
          <w:szCs w:val="24"/>
        </w:rPr>
        <w:t>Strateški cilj ekonomske politike Crne Gore je: "ostvarenje pametnog, održivog i inkluzivnog ekonomskog rasta koji će doprinijeti unapređenju kvaliteta života svih njenih građana".</w:t>
      </w:r>
    </w:p>
    <w:p w14:paraId="53530F63" w14:textId="0FADA8A4" w:rsidR="00FD1E08" w:rsidRPr="00FD1E08" w:rsidRDefault="00FD1E08" w:rsidP="00FD1E08">
      <w:pPr>
        <w:pStyle w:val="Style1"/>
        <w:jc w:val="both"/>
        <w:rPr>
          <w:rFonts w:asciiTheme="minorHAnsi" w:hAnsiTheme="minorHAnsi" w:cstheme="minorHAnsi"/>
          <w:b w:val="0"/>
          <w:color w:val="auto"/>
          <w:kern w:val="2"/>
          <w:sz w:val="24"/>
          <w:szCs w:val="24"/>
          <w:lang w:val="en-US"/>
          <w14:ligatures w14:val="standardContextual"/>
        </w:rPr>
      </w:pPr>
      <w:r w:rsidRPr="00FD1E08">
        <w:rPr>
          <w:rFonts w:asciiTheme="minorHAnsi" w:hAnsiTheme="minorHAnsi" w:cstheme="minorHAnsi"/>
          <w:b w:val="0"/>
          <w:color w:val="auto"/>
          <w:kern w:val="2"/>
          <w:sz w:val="24"/>
          <w:szCs w:val="24"/>
          <w:lang w:val="en-US"/>
          <w14:ligatures w14:val="standardContextual"/>
        </w:rPr>
        <w:t xml:space="preserve">Cilj </w:t>
      </w:r>
      <w:r w:rsidR="00C7002B">
        <w:rPr>
          <w:rFonts w:asciiTheme="minorHAnsi" w:hAnsiTheme="minorHAnsi" w:cstheme="minorHAnsi"/>
          <w:b w:val="0"/>
          <w:color w:val="auto"/>
          <w:kern w:val="2"/>
          <w:sz w:val="24"/>
          <w:szCs w:val="24"/>
          <w:lang w:val="en-US"/>
          <w14:ligatures w14:val="standardContextual"/>
        </w:rPr>
        <w:t>ekonomske</w:t>
      </w:r>
      <w:r w:rsidRPr="00FD1E08">
        <w:rPr>
          <w:rFonts w:asciiTheme="minorHAnsi" w:hAnsiTheme="minorHAnsi" w:cstheme="minorHAnsi"/>
          <w:b w:val="0"/>
          <w:color w:val="auto"/>
          <w:kern w:val="2"/>
          <w:sz w:val="24"/>
          <w:szCs w:val="24"/>
          <w:lang w:val="en-US"/>
          <w14:ligatures w14:val="standardContextual"/>
        </w:rPr>
        <w:t xml:space="preserve"> politike u periodu trajanja mandata 44. Vlade Crne Gore je</w:t>
      </w:r>
      <w:r w:rsidR="00C7002B">
        <w:rPr>
          <w:rFonts w:asciiTheme="minorHAnsi" w:hAnsiTheme="minorHAnsi" w:cstheme="minorHAnsi"/>
          <w:b w:val="0"/>
          <w:color w:val="auto"/>
          <w:kern w:val="2"/>
          <w:sz w:val="24"/>
          <w:szCs w:val="24"/>
          <w:lang w:val="en-US"/>
          <w14:ligatures w14:val="standardContextual"/>
        </w:rPr>
        <w:t xml:space="preserve"> povećanje životnog standarda građana, kao i stvaranje predvidivog i podsticajnog investicionog i poslovnog ambijenta u cilju kreiranja novih radnih mjesta </w:t>
      </w:r>
      <w:r w:rsidRPr="00FD1E08">
        <w:rPr>
          <w:rFonts w:asciiTheme="minorHAnsi" w:hAnsiTheme="minorHAnsi" w:cstheme="minorHAnsi"/>
          <w:b w:val="0"/>
          <w:color w:val="auto"/>
          <w:kern w:val="2"/>
          <w:sz w:val="24"/>
          <w:szCs w:val="24"/>
          <w:lang w:val="en-US"/>
          <w14:ligatures w14:val="standardContextual"/>
        </w:rPr>
        <w:t>i ubrzavanju konvergencije dohotka i BDP per capita ka prosjeku EU.</w:t>
      </w:r>
    </w:p>
    <w:p w14:paraId="45155CEC" w14:textId="2A507E7F" w:rsidR="00257943" w:rsidRDefault="00BD259C" w:rsidP="00BD259C">
      <w:pPr>
        <w:spacing w:line="276" w:lineRule="auto"/>
        <w:jc w:val="both"/>
        <w:rPr>
          <w:rFonts w:cstheme="minorHAnsi"/>
          <w:sz w:val="24"/>
          <w:szCs w:val="24"/>
        </w:rPr>
      </w:pPr>
      <w:r w:rsidRPr="00BD12E6">
        <w:rPr>
          <w:rFonts w:cstheme="minorHAnsi"/>
          <w:sz w:val="24"/>
          <w:szCs w:val="24"/>
        </w:rPr>
        <w:t>Crna Gora je značajno napredovala u pregovorima o pristupanju EU i ostaje opredijeljena da postane</w:t>
      </w:r>
      <w:r w:rsidR="00774659">
        <w:rPr>
          <w:rFonts w:cstheme="minorHAnsi"/>
          <w:sz w:val="24"/>
          <w:szCs w:val="24"/>
        </w:rPr>
        <w:t xml:space="preserve"> prva naredna</w:t>
      </w:r>
      <w:r w:rsidRPr="00BD12E6">
        <w:rPr>
          <w:rFonts w:cstheme="minorHAnsi"/>
          <w:sz w:val="24"/>
          <w:szCs w:val="24"/>
        </w:rPr>
        <w:t xml:space="preserve"> članica</w:t>
      </w:r>
      <w:r w:rsidR="00774659">
        <w:rPr>
          <w:rFonts w:cstheme="minorHAnsi"/>
          <w:sz w:val="24"/>
          <w:szCs w:val="24"/>
        </w:rPr>
        <w:t xml:space="preserve"> EU</w:t>
      </w:r>
      <w:r w:rsidRPr="00BD12E6">
        <w:rPr>
          <w:rFonts w:cstheme="minorHAnsi"/>
          <w:sz w:val="24"/>
          <w:szCs w:val="24"/>
        </w:rPr>
        <w:t xml:space="preserve"> u što skorijoj budućnosti</w:t>
      </w:r>
      <w:r>
        <w:rPr>
          <w:rFonts w:cstheme="minorHAnsi"/>
          <w:sz w:val="24"/>
          <w:szCs w:val="24"/>
        </w:rPr>
        <w:t>.</w:t>
      </w:r>
      <w:r w:rsidRPr="00D47349">
        <w:rPr>
          <w:sz w:val="24"/>
          <w:szCs w:val="24"/>
          <w:lang w:val="sr-Latn-ME"/>
        </w:rPr>
        <w:t xml:space="preserve"> </w:t>
      </w:r>
      <w:r w:rsidR="00FD1E08">
        <w:rPr>
          <w:sz w:val="24"/>
          <w:szCs w:val="24"/>
          <w:lang w:val="sr-Latn-ME"/>
        </w:rPr>
        <w:t>Program ekonomskih reformi</w:t>
      </w:r>
      <w:r w:rsidR="00A42964" w:rsidRPr="00D47349">
        <w:rPr>
          <w:sz w:val="24"/>
          <w:szCs w:val="24"/>
          <w:lang w:val="sr-Latn-ME"/>
        </w:rPr>
        <w:t xml:space="preserve"> je najvažniji dokument u ispunjavanju ekonomskih kriterijuma u </w:t>
      </w:r>
      <w:r w:rsidR="00774659">
        <w:rPr>
          <w:sz w:val="24"/>
          <w:szCs w:val="24"/>
          <w:lang w:val="sr-Latn-ME"/>
        </w:rPr>
        <w:t>pristupnim pregovorima</w:t>
      </w:r>
      <w:r w:rsidR="00A42964" w:rsidRPr="00D47349">
        <w:rPr>
          <w:sz w:val="24"/>
          <w:szCs w:val="24"/>
          <w:lang w:val="sr-Latn-ME"/>
        </w:rPr>
        <w:t xml:space="preserve">. </w:t>
      </w:r>
      <w:r w:rsidR="00257943" w:rsidRPr="00BD12E6">
        <w:rPr>
          <w:rFonts w:cstheme="minorHAnsi"/>
          <w:sz w:val="24"/>
          <w:szCs w:val="24"/>
        </w:rPr>
        <w:t xml:space="preserve">S jedne strane, on predstavlja instrument za planiranje ekonomske politike zemlje i upravljanje reformama, koje imaju za cilj održavanje makroekonomske stabilnosti, jačanje međunarodne konkurentnosti i poboljšanje uslova za inkluzivni rast. S druge strane, </w:t>
      </w:r>
      <w:r w:rsidR="00774659">
        <w:rPr>
          <w:rFonts w:cstheme="minorHAnsi"/>
          <w:sz w:val="24"/>
          <w:szCs w:val="24"/>
        </w:rPr>
        <w:t>Program ekonomskih reformi</w:t>
      </w:r>
      <w:r w:rsidR="00257943" w:rsidRPr="00BD12E6">
        <w:rPr>
          <w:rFonts w:cstheme="minorHAnsi"/>
          <w:sz w:val="24"/>
          <w:szCs w:val="24"/>
        </w:rPr>
        <w:t xml:space="preserve"> je osnovni element pristupa „fundamentalno kao prvo“</w:t>
      </w:r>
      <w:r>
        <w:rPr>
          <w:rFonts w:cstheme="minorHAnsi"/>
          <w:sz w:val="24"/>
          <w:szCs w:val="24"/>
        </w:rPr>
        <w:t xml:space="preserve"> </w:t>
      </w:r>
      <w:r w:rsidR="00257943" w:rsidRPr="00BD12E6">
        <w:rPr>
          <w:rFonts w:cstheme="minorHAnsi"/>
          <w:sz w:val="24"/>
          <w:szCs w:val="24"/>
        </w:rPr>
        <w:t xml:space="preserve">(‘fundamental first”) u okviru pregovora Crne Gore o pristupanju EU, posebno u oblasti ispunjavanja kopenhaških ekonomskih kriterijuma. </w:t>
      </w:r>
    </w:p>
    <w:p w14:paraId="48FA4582" w14:textId="77777777" w:rsidR="000F6E17" w:rsidRDefault="000F6E17" w:rsidP="000F6E17">
      <w:pPr>
        <w:spacing w:line="276" w:lineRule="auto"/>
        <w:jc w:val="both"/>
        <w:rPr>
          <w:rFonts w:cstheme="minorHAnsi"/>
          <w:sz w:val="24"/>
          <w:szCs w:val="24"/>
        </w:rPr>
      </w:pPr>
      <w:r>
        <w:rPr>
          <w:rFonts w:cstheme="minorHAnsi"/>
          <w:sz w:val="24"/>
          <w:szCs w:val="24"/>
        </w:rPr>
        <w:t>U narednom periodu, očekuje se dalje očuvanje makroekonomske i stabilnosti javnih finansija, uz dinamiziranje ekonomskog rasta i investicionog ciklusa u državi.</w:t>
      </w:r>
    </w:p>
    <w:p w14:paraId="49A054E2" w14:textId="2D72C6EF" w:rsidR="000F6E17" w:rsidRPr="000F6E17" w:rsidRDefault="000F6E17" w:rsidP="000F6E17">
      <w:pPr>
        <w:spacing w:line="276" w:lineRule="auto"/>
        <w:jc w:val="both"/>
        <w:rPr>
          <w:rFonts w:cstheme="minorHAnsi"/>
          <w:sz w:val="24"/>
          <w:szCs w:val="24"/>
        </w:rPr>
      </w:pPr>
      <w:r w:rsidRPr="000F6E17">
        <w:rPr>
          <w:rFonts w:cstheme="minorHAnsi"/>
          <w:sz w:val="24"/>
          <w:szCs w:val="24"/>
        </w:rPr>
        <w:t>Shodno osnovnom makroekonomskom scenariju, crnogorska ekonomija će u srednjem roku prosječno godišnje rasti po stopi od 3,7%, odnosno po godinama, 4,8% u 2025, 3,</w:t>
      </w:r>
      <w:r>
        <w:rPr>
          <w:rFonts w:cstheme="minorHAnsi"/>
          <w:sz w:val="24"/>
          <w:szCs w:val="24"/>
        </w:rPr>
        <w:t>2</w:t>
      </w:r>
      <w:r w:rsidRPr="000F6E17">
        <w:rPr>
          <w:rFonts w:cstheme="minorHAnsi"/>
          <w:sz w:val="24"/>
          <w:szCs w:val="24"/>
        </w:rPr>
        <w:t>% i 3,</w:t>
      </w:r>
      <w:r>
        <w:rPr>
          <w:rFonts w:cstheme="minorHAnsi"/>
          <w:sz w:val="24"/>
          <w:szCs w:val="24"/>
        </w:rPr>
        <w:t>1</w:t>
      </w:r>
      <w:r w:rsidRPr="000F6E17">
        <w:rPr>
          <w:rFonts w:cstheme="minorHAnsi"/>
          <w:sz w:val="24"/>
          <w:szCs w:val="24"/>
        </w:rPr>
        <w:t xml:space="preserve">% u 2026. i 2027. godini. Usljed usporavanja pritisaka cijena na evropskom nivou, očekuje se postepeno usporavanje inflacije, koja će prosječno iznositi </w:t>
      </w:r>
      <w:r>
        <w:rPr>
          <w:rFonts w:cstheme="minorHAnsi"/>
          <w:sz w:val="24"/>
          <w:szCs w:val="24"/>
        </w:rPr>
        <w:t>2,9</w:t>
      </w:r>
      <w:r w:rsidRPr="000F6E17">
        <w:rPr>
          <w:rFonts w:cstheme="minorHAnsi"/>
          <w:sz w:val="24"/>
          <w:szCs w:val="24"/>
        </w:rPr>
        <w:t>% u periodu 2025-2027. godine.</w:t>
      </w:r>
    </w:p>
    <w:p w14:paraId="254DD248" w14:textId="362D80C9" w:rsidR="000F6E17" w:rsidRPr="000F6E17" w:rsidRDefault="000F6E17" w:rsidP="000F6E17">
      <w:pPr>
        <w:spacing w:after="200"/>
        <w:jc w:val="both"/>
        <w:rPr>
          <w:rFonts w:cstheme="minorHAnsi"/>
          <w:sz w:val="24"/>
          <w:szCs w:val="24"/>
        </w:rPr>
      </w:pPr>
      <w:r w:rsidRPr="000F6E17">
        <w:rPr>
          <w:rFonts w:cstheme="minorHAnsi"/>
          <w:sz w:val="24"/>
          <w:szCs w:val="24"/>
        </w:rPr>
        <w:t xml:space="preserve">Snažna potrošnja domaćinstava, </w:t>
      </w:r>
      <w:r w:rsidRPr="0009537F">
        <w:rPr>
          <w:rFonts w:cstheme="minorHAnsi"/>
          <w:sz w:val="24"/>
          <w:szCs w:val="24"/>
        </w:rPr>
        <w:t>povećanje minimalne i prosječne zarade i minimalne i prosječne penzije, reforme poreske politike i poslovnog ambijenta, rast investicione aktivnosti i nastavak rasta u turizmu, uz mjere sektorske podrške i relevantne prognoze ekonomske aktivnosti i inflacije u Evropi, čine osnovne pretpostavke makroekonomskog scenarija u srednjem roku.</w:t>
      </w:r>
    </w:p>
    <w:p w14:paraId="74335162" w14:textId="0A52F47C" w:rsidR="00BD259C" w:rsidRDefault="00BD259C" w:rsidP="000F6E17">
      <w:pPr>
        <w:spacing w:after="200" w:line="276" w:lineRule="auto"/>
        <w:jc w:val="both"/>
        <w:rPr>
          <w:rFonts w:cstheme="minorHAnsi"/>
          <w:sz w:val="24"/>
          <w:szCs w:val="24"/>
          <w:lang w:val="sr-Latn-ME"/>
        </w:rPr>
      </w:pPr>
      <w:r w:rsidRPr="00BD259C">
        <w:rPr>
          <w:rFonts w:cstheme="minorHAnsi"/>
          <w:sz w:val="24"/>
          <w:szCs w:val="24"/>
          <w:lang w:val="sr-Latn-ME"/>
        </w:rPr>
        <w:t>Crna Gora bilježi najnižu stopu nezaposlenosti u istoriji, što je rezultat uspješnih mjera za aktiviranje tržišta rada i podršku privatnom sektoru. Programi podrške preduzetništvu i investicijama, zajedno s modernizacijom poreskog sistema, omogućili su značajan rast zaposlenosti, penzija i zarada, čime se povećava životni standard građana.</w:t>
      </w:r>
    </w:p>
    <w:p w14:paraId="2B7A01CE" w14:textId="7D08E4CC" w:rsidR="00B7149D" w:rsidRDefault="00B7149D" w:rsidP="000F6E17">
      <w:pPr>
        <w:spacing w:after="200" w:line="276" w:lineRule="auto"/>
        <w:jc w:val="both"/>
        <w:rPr>
          <w:rFonts w:cstheme="minorHAnsi"/>
          <w:sz w:val="24"/>
          <w:szCs w:val="24"/>
          <w:lang w:val="sr-Latn-ME"/>
        </w:rPr>
      </w:pPr>
    </w:p>
    <w:p w14:paraId="593E60D5" w14:textId="77777777" w:rsidR="005E067C" w:rsidRDefault="005E067C" w:rsidP="000F6E17">
      <w:pPr>
        <w:spacing w:after="200" w:line="276" w:lineRule="auto"/>
        <w:jc w:val="both"/>
        <w:rPr>
          <w:rFonts w:cstheme="minorHAnsi"/>
          <w:sz w:val="24"/>
          <w:szCs w:val="24"/>
          <w:lang w:val="sr-Latn-ME"/>
        </w:rPr>
      </w:pPr>
    </w:p>
    <w:p w14:paraId="53BEC734" w14:textId="2143E80F" w:rsidR="004D0B97" w:rsidRDefault="000343A0" w:rsidP="004D0B97">
      <w:pPr>
        <w:spacing w:after="200" w:line="276" w:lineRule="auto"/>
        <w:jc w:val="both"/>
        <w:rPr>
          <w:rFonts w:cstheme="minorHAnsi"/>
          <w:sz w:val="24"/>
          <w:szCs w:val="24"/>
          <w:lang w:val="sr-Latn-ME"/>
        </w:rPr>
      </w:pPr>
      <w:bookmarkStart w:id="2" w:name="_Hlk184121191"/>
      <w:r>
        <w:rPr>
          <w:rFonts w:cstheme="minorHAnsi"/>
          <w:sz w:val="24"/>
          <w:szCs w:val="24"/>
          <w:lang w:val="sr-Latn-ME"/>
        </w:rPr>
        <w:t>U</w:t>
      </w:r>
      <w:r w:rsidR="004D0B97" w:rsidRPr="004D0B97">
        <w:rPr>
          <w:rFonts w:cstheme="minorHAnsi"/>
          <w:sz w:val="24"/>
          <w:szCs w:val="24"/>
          <w:lang w:val="sr-Latn-ME"/>
        </w:rPr>
        <w:t xml:space="preserve"> oblasti fiskalne politike</w:t>
      </w:r>
      <w:r>
        <w:rPr>
          <w:rFonts w:cstheme="minorHAnsi"/>
          <w:sz w:val="24"/>
          <w:szCs w:val="24"/>
          <w:lang w:val="sr-Latn-ME"/>
        </w:rPr>
        <w:t>,</w:t>
      </w:r>
      <w:r w:rsidR="004D0B97" w:rsidRPr="004D0B97">
        <w:rPr>
          <w:rFonts w:cstheme="minorHAnsi"/>
          <w:sz w:val="24"/>
          <w:szCs w:val="24"/>
          <w:lang w:val="sr-Latn-ME"/>
        </w:rPr>
        <w:t xml:space="preserve"> glavni ciljevi u periodu 202</w:t>
      </w:r>
      <w:r w:rsidR="000A5EFF">
        <w:rPr>
          <w:rFonts w:cstheme="minorHAnsi"/>
          <w:sz w:val="24"/>
          <w:szCs w:val="24"/>
          <w:lang w:val="sr-Latn-ME"/>
        </w:rPr>
        <w:t>5</w:t>
      </w:r>
      <w:r w:rsidR="004D0B97" w:rsidRPr="004D0B97">
        <w:rPr>
          <w:rFonts w:cstheme="minorHAnsi"/>
          <w:sz w:val="24"/>
          <w:szCs w:val="24"/>
          <w:lang w:val="sr-Latn-ME"/>
        </w:rPr>
        <w:t xml:space="preserve"> – 2027. godine odnose se na:</w:t>
      </w:r>
    </w:p>
    <w:p w14:paraId="657FAEB2" w14:textId="0FC12DA1" w:rsidR="000A5EFF" w:rsidRPr="000A5EFF" w:rsidRDefault="000A5EFF" w:rsidP="000A5EFF">
      <w:pPr>
        <w:pStyle w:val="ListParagraph"/>
        <w:numPr>
          <w:ilvl w:val="0"/>
          <w:numId w:val="4"/>
        </w:numPr>
        <w:spacing w:after="0" w:line="276" w:lineRule="auto"/>
        <w:jc w:val="both"/>
        <w:rPr>
          <w:rFonts w:cstheme="minorHAnsi"/>
          <w:sz w:val="24"/>
          <w:szCs w:val="24"/>
          <w:lang w:val="sr-Latn-ME"/>
        </w:rPr>
      </w:pPr>
      <w:r w:rsidRPr="004D0B97">
        <w:rPr>
          <w:rFonts w:cstheme="minorHAnsi"/>
          <w:sz w:val="24"/>
          <w:szCs w:val="24"/>
          <w:lang w:val="sr-Latn-ME"/>
        </w:rPr>
        <w:t>ostvarivanje suficita tekuće budžetske potrošnje;</w:t>
      </w:r>
    </w:p>
    <w:p w14:paraId="14A46B62" w14:textId="3E0D9830" w:rsidR="004D0B97" w:rsidRPr="004D0B97" w:rsidRDefault="004D0B97" w:rsidP="004D0B97">
      <w:pPr>
        <w:pStyle w:val="ListParagraph"/>
        <w:numPr>
          <w:ilvl w:val="0"/>
          <w:numId w:val="4"/>
        </w:numPr>
        <w:spacing w:after="0" w:line="276" w:lineRule="auto"/>
        <w:jc w:val="both"/>
        <w:rPr>
          <w:rFonts w:cstheme="minorHAnsi"/>
          <w:sz w:val="24"/>
          <w:szCs w:val="24"/>
          <w:lang w:val="sr-Latn-ME"/>
        </w:rPr>
      </w:pPr>
      <w:r w:rsidRPr="004D0B97">
        <w:rPr>
          <w:rFonts w:cstheme="minorHAnsi"/>
          <w:sz w:val="24"/>
          <w:szCs w:val="24"/>
          <w:lang w:val="sr-Latn-ME"/>
        </w:rPr>
        <w:t>ostvarenje budžetskog deficita na prosječnom nivou od 3,</w:t>
      </w:r>
      <w:r w:rsidR="000343A0">
        <w:rPr>
          <w:rFonts w:cstheme="minorHAnsi"/>
          <w:sz w:val="24"/>
          <w:szCs w:val="24"/>
          <w:lang w:val="sr-Latn-ME"/>
        </w:rPr>
        <w:t>2</w:t>
      </w:r>
      <w:r w:rsidRPr="004D0B97">
        <w:rPr>
          <w:rFonts w:cstheme="minorHAnsi"/>
          <w:sz w:val="24"/>
          <w:szCs w:val="24"/>
          <w:lang w:val="sr-Latn-ME"/>
        </w:rPr>
        <w:t>% BDP-a periodu 202</w:t>
      </w:r>
      <w:r w:rsidR="000343A0">
        <w:rPr>
          <w:rFonts w:cstheme="minorHAnsi"/>
          <w:sz w:val="24"/>
          <w:szCs w:val="24"/>
          <w:lang w:val="sr-Latn-ME"/>
        </w:rPr>
        <w:t>5</w:t>
      </w:r>
      <w:r w:rsidRPr="004D0B97">
        <w:rPr>
          <w:rFonts w:cstheme="minorHAnsi"/>
          <w:sz w:val="24"/>
          <w:szCs w:val="24"/>
          <w:lang w:val="sr-Latn-ME"/>
        </w:rPr>
        <w:t>-2027. godine;</w:t>
      </w:r>
    </w:p>
    <w:p w14:paraId="2AA5B252" w14:textId="77777777" w:rsidR="00BF24BE" w:rsidRPr="00F61CC4" w:rsidRDefault="00BF24BE" w:rsidP="00BF24BE">
      <w:pPr>
        <w:pStyle w:val="ListParagraph"/>
        <w:numPr>
          <w:ilvl w:val="0"/>
          <w:numId w:val="4"/>
        </w:numPr>
        <w:spacing w:after="0" w:line="276" w:lineRule="auto"/>
        <w:jc w:val="both"/>
        <w:rPr>
          <w:rFonts w:cstheme="minorHAnsi"/>
          <w:sz w:val="24"/>
          <w:szCs w:val="24"/>
          <w:lang w:val="sr-Latn-ME"/>
        </w:rPr>
      </w:pPr>
      <w:r w:rsidRPr="00F61CC4">
        <w:rPr>
          <w:rFonts w:cstheme="minorHAnsi"/>
          <w:sz w:val="24"/>
          <w:szCs w:val="24"/>
          <w:lang w:val="sr-Latn-ME"/>
        </w:rPr>
        <w:t>nivo javnog duga na prosječnom godišnjem nivou od oko 62,7% u periodu 2024-2027. godine uz neto javni dug na prosječnom godišnjem nivou od 60,2%;</w:t>
      </w:r>
    </w:p>
    <w:p w14:paraId="756F2108" w14:textId="618189FB" w:rsidR="004D0B97" w:rsidRPr="004D0B97" w:rsidRDefault="004D0B97" w:rsidP="004D0B97">
      <w:pPr>
        <w:pStyle w:val="ListParagraph"/>
        <w:numPr>
          <w:ilvl w:val="0"/>
          <w:numId w:val="4"/>
        </w:numPr>
        <w:spacing w:after="0" w:line="276" w:lineRule="auto"/>
        <w:jc w:val="both"/>
        <w:rPr>
          <w:rFonts w:cstheme="minorHAnsi"/>
          <w:sz w:val="24"/>
          <w:szCs w:val="24"/>
          <w:lang w:val="sr-Latn-ME"/>
        </w:rPr>
      </w:pPr>
      <w:r w:rsidRPr="004D0B97">
        <w:rPr>
          <w:rFonts w:cstheme="minorHAnsi"/>
          <w:sz w:val="24"/>
          <w:szCs w:val="24"/>
          <w:lang w:val="sr-Latn-ME"/>
        </w:rPr>
        <w:t>obezbjeđivanje uslova da se novo zaduživanje isključivo vrši za finansiranje kapitalnih projekata odnosno otplatu i refinansiranje postojećih dugova države;</w:t>
      </w:r>
    </w:p>
    <w:p w14:paraId="43533727" w14:textId="01347B7D" w:rsidR="004D0B97" w:rsidRDefault="004D0B97" w:rsidP="004D0B97">
      <w:pPr>
        <w:pStyle w:val="ListParagraph"/>
        <w:numPr>
          <w:ilvl w:val="0"/>
          <w:numId w:val="4"/>
        </w:numPr>
        <w:spacing w:after="0" w:line="276" w:lineRule="auto"/>
        <w:jc w:val="both"/>
        <w:rPr>
          <w:rFonts w:cstheme="minorHAnsi"/>
          <w:sz w:val="24"/>
          <w:szCs w:val="24"/>
          <w:lang w:val="sr-Latn-ME"/>
        </w:rPr>
      </w:pPr>
      <w:r w:rsidRPr="004D0B97">
        <w:rPr>
          <w:rFonts w:cstheme="minorHAnsi"/>
          <w:sz w:val="24"/>
          <w:szCs w:val="24"/>
          <w:lang w:val="sr-Latn-ME"/>
        </w:rPr>
        <w:t>značajno uvećanje sredstava kroz ulaganje kroz Kapitalni budžet i podršku kroz grantove obezbijeđene od strane EU, čime se otpočinje intenzivan investicioni ciklus i doprinosi ubrzavanju ekonomskog rasta;</w:t>
      </w:r>
    </w:p>
    <w:p w14:paraId="14B24D7F" w14:textId="77777777" w:rsidR="000A5EFF" w:rsidRPr="000A5EFF" w:rsidRDefault="000A5EFF" w:rsidP="000A5EFF">
      <w:pPr>
        <w:pStyle w:val="ListParagraph"/>
        <w:numPr>
          <w:ilvl w:val="0"/>
          <w:numId w:val="4"/>
        </w:numPr>
        <w:spacing w:after="0"/>
        <w:contextualSpacing w:val="0"/>
        <w:jc w:val="both"/>
        <w:rPr>
          <w:rFonts w:cstheme="minorHAnsi"/>
          <w:sz w:val="24"/>
          <w:szCs w:val="24"/>
          <w:lang w:val="sr-Latn-ME"/>
        </w:rPr>
      </w:pPr>
      <w:r w:rsidRPr="000A5EFF">
        <w:rPr>
          <w:rFonts w:cstheme="minorHAnsi"/>
          <w:sz w:val="24"/>
          <w:szCs w:val="24"/>
          <w:lang w:val="sr-Latn-ME"/>
        </w:rPr>
        <w:t>smanjenje "sive ekonomije" u cilju omogućavanja fer tržišne utakmice odnosno suzbijanja nelojalne konkurencije;</w:t>
      </w:r>
    </w:p>
    <w:p w14:paraId="55721591" w14:textId="41BC0B9C" w:rsidR="000A5EFF" w:rsidRPr="004D0B97" w:rsidRDefault="000A5EFF" w:rsidP="004D0B97">
      <w:pPr>
        <w:pStyle w:val="ListParagraph"/>
        <w:numPr>
          <w:ilvl w:val="0"/>
          <w:numId w:val="4"/>
        </w:numPr>
        <w:spacing w:after="0" w:line="276" w:lineRule="auto"/>
        <w:jc w:val="both"/>
        <w:rPr>
          <w:rFonts w:cstheme="minorHAnsi"/>
          <w:sz w:val="24"/>
          <w:szCs w:val="24"/>
          <w:lang w:val="sr-Latn-ME"/>
        </w:rPr>
      </w:pPr>
      <w:r w:rsidRPr="000A5EFF">
        <w:rPr>
          <w:rFonts w:cstheme="minorHAnsi"/>
          <w:sz w:val="24"/>
          <w:szCs w:val="24"/>
          <w:lang w:val="sr-Latn-ME"/>
        </w:rPr>
        <w:t>reformu poreske i carinske administracije</w:t>
      </w:r>
      <w:r>
        <w:rPr>
          <w:rFonts w:ascii="Garamond" w:hAnsi="Garamond" w:cs="Arial"/>
          <w:sz w:val="26"/>
          <w:szCs w:val="26"/>
        </w:rPr>
        <w:t>.</w:t>
      </w:r>
    </w:p>
    <w:bookmarkEnd w:id="2"/>
    <w:p w14:paraId="6F2D31AD" w14:textId="77777777" w:rsidR="000343A0" w:rsidRDefault="000343A0" w:rsidP="000343A0">
      <w:pPr>
        <w:pStyle w:val="ListParagraph"/>
        <w:spacing w:after="0" w:line="276" w:lineRule="auto"/>
        <w:jc w:val="both"/>
        <w:rPr>
          <w:rFonts w:cstheme="minorHAnsi"/>
          <w:sz w:val="24"/>
          <w:szCs w:val="24"/>
          <w:lang w:val="sr-Latn-ME"/>
        </w:rPr>
      </w:pPr>
    </w:p>
    <w:p w14:paraId="5E3F5A4D" w14:textId="54A3C4F9" w:rsidR="007006DA" w:rsidRDefault="00D44E71" w:rsidP="007006DA">
      <w:pPr>
        <w:spacing w:after="0"/>
        <w:jc w:val="both"/>
        <w:rPr>
          <w:rFonts w:cstheme="minorHAnsi"/>
          <w:sz w:val="24"/>
          <w:szCs w:val="24"/>
          <w:lang w:val="sr-Latn-ME"/>
        </w:rPr>
      </w:pPr>
      <w:r w:rsidRPr="003D273E">
        <w:rPr>
          <w:rFonts w:cstheme="minorHAnsi"/>
          <w:sz w:val="24"/>
          <w:szCs w:val="24"/>
          <w:lang w:val="sr-Latn-ME"/>
        </w:rPr>
        <w:t>Ujedno, period 2025-2027. godine karakteriše otpočinjanje intenzivnog investicionog ciklusa kroz ulaganja kako kroz Kapitalni budžet tako i kroz grantove obezbijeđene od strane Evropske unije od kojih su najznačajniji za izgradnju Autoputa (dionica Andrijevica-Mateševo) i rekonstrukciju željezničke infrastrukture koji su već obezbijeđeni. Uporedo, kroz Plan rasta za Zapadni Balkan</w:t>
      </w:r>
      <w:r>
        <w:rPr>
          <w:rFonts w:cstheme="minorHAnsi"/>
          <w:sz w:val="24"/>
          <w:szCs w:val="24"/>
          <w:lang w:val="sr-Latn-ME"/>
        </w:rPr>
        <w:t>,</w:t>
      </w:r>
      <w:r w:rsidRPr="003D273E">
        <w:rPr>
          <w:rFonts w:cstheme="minorHAnsi"/>
          <w:sz w:val="24"/>
          <w:szCs w:val="24"/>
          <w:lang w:val="sr-Latn-ME"/>
        </w:rPr>
        <w:t xml:space="preserve"> Crnoj Gori će na raspolaganju biti </w:t>
      </w:r>
      <w:r>
        <w:rPr>
          <w:rFonts w:cstheme="minorHAnsi"/>
          <w:sz w:val="24"/>
          <w:szCs w:val="24"/>
          <w:lang w:val="sr-Latn-ME"/>
        </w:rPr>
        <w:t>383</w:t>
      </w:r>
      <w:r w:rsidRPr="003D273E">
        <w:rPr>
          <w:rFonts w:cstheme="minorHAnsi"/>
          <w:sz w:val="24"/>
          <w:szCs w:val="24"/>
          <w:lang w:val="sr-Latn-ME"/>
        </w:rPr>
        <w:t xml:space="preserve"> mil. € u period</w:t>
      </w:r>
      <w:r>
        <w:rPr>
          <w:rFonts w:cstheme="minorHAnsi"/>
          <w:sz w:val="24"/>
          <w:szCs w:val="24"/>
          <w:lang w:val="sr-Latn-ME"/>
        </w:rPr>
        <w:t>u</w:t>
      </w:r>
      <w:r w:rsidRPr="003D273E">
        <w:rPr>
          <w:rFonts w:cstheme="minorHAnsi"/>
          <w:sz w:val="24"/>
          <w:szCs w:val="24"/>
          <w:lang w:val="sr-Latn-ME"/>
        </w:rPr>
        <w:t xml:space="preserve"> 2024-2027. godine za sprovođenje strukturnih reformi i ulaganje u infrastrukturu. Preostala sredstva neohodna za ambiciozni plan izgradnje infrastrukture, kojom će se omogućiti, širenje ekonomskog potencija</w:t>
      </w:r>
      <w:r w:rsidR="004D6C3F">
        <w:rPr>
          <w:rFonts w:cstheme="minorHAnsi"/>
          <w:sz w:val="24"/>
          <w:szCs w:val="24"/>
          <w:lang w:val="sr-Latn-ME"/>
        </w:rPr>
        <w:t>la</w:t>
      </w:r>
      <w:r w:rsidRPr="003D273E">
        <w:rPr>
          <w:rFonts w:cstheme="minorHAnsi"/>
          <w:sz w:val="24"/>
          <w:szCs w:val="24"/>
          <w:lang w:val="sr-Latn-ME"/>
        </w:rPr>
        <w:t xml:space="preserve"> obezbijediće se iz kreditnih sredstava.</w:t>
      </w:r>
    </w:p>
    <w:p w14:paraId="0F4A94BC" w14:textId="77777777" w:rsidR="007006DA" w:rsidRDefault="007006DA" w:rsidP="007006DA">
      <w:pPr>
        <w:spacing w:after="0"/>
        <w:jc w:val="both"/>
        <w:rPr>
          <w:rFonts w:cstheme="minorHAnsi"/>
          <w:sz w:val="24"/>
          <w:szCs w:val="24"/>
          <w:lang w:val="sr-Latn-ME"/>
        </w:rPr>
      </w:pPr>
    </w:p>
    <w:p w14:paraId="421740A9" w14:textId="5986467A" w:rsidR="00B1175C" w:rsidRDefault="00D57D5B" w:rsidP="003D273E">
      <w:pPr>
        <w:spacing w:after="0"/>
        <w:jc w:val="both"/>
        <w:rPr>
          <w:rFonts w:cstheme="minorHAnsi"/>
          <w:sz w:val="24"/>
          <w:szCs w:val="24"/>
          <w:lang w:val="sr-Latn-ME"/>
        </w:rPr>
      </w:pPr>
      <w:r>
        <w:rPr>
          <w:rFonts w:cstheme="minorHAnsi"/>
          <w:sz w:val="24"/>
          <w:szCs w:val="24"/>
          <w:lang w:val="sr-Latn-ME"/>
        </w:rPr>
        <w:t xml:space="preserve">Strategija upravljanja javnim finansijama u periodu 2025-2027. godine usmjerena je na ostvarivanje suficita tekuće javne potrošnje čime se ostvaruje „zlatno pravilo“ fiskalne odgovornosti a to je da država sve tekuće obaveze finansira iz tekućih prihoda. Suficit tekuće potrošnje omogućava se i pored smanjenja poreskog opterećenja na zarade, kao mjere imlementirane u cilju podrške konkurentnosti privrede kroz kreiranje podsticajne poreske politike. </w:t>
      </w:r>
      <w:r w:rsidR="005B61E1">
        <w:rPr>
          <w:rFonts w:cstheme="minorHAnsi"/>
          <w:sz w:val="24"/>
          <w:szCs w:val="24"/>
          <w:lang w:val="sr-Latn-ME"/>
        </w:rPr>
        <w:t xml:space="preserve">Smanjenjem poreskog opterećenja na zarade, smanjuju se fiksni troškovi za poslodavca, dok se na drugoj strani usljed kompenzatornih mjera </w:t>
      </w:r>
      <w:r w:rsidR="00AC5FCF">
        <w:rPr>
          <w:rFonts w:cstheme="minorHAnsi"/>
          <w:sz w:val="24"/>
          <w:szCs w:val="24"/>
          <w:lang w:val="sr-Latn-ME"/>
        </w:rPr>
        <w:t>obezbjeđuje rast ukupnih javnih prihoda i</w:t>
      </w:r>
      <w:r w:rsidR="005B61E1">
        <w:rPr>
          <w:rFonts w:cstheme="minorHAnsi"/>
          <w:sz w:val="24"/>
          <w:szCs w:val="24"/>
          <w:lang w:val="sr-Latn-ME"/>
        </w:rPr>
        <w:t xml:space="preserve"> ne dovodi u pitanje održivost javnih finansija.</w:t>
      </w:r>
    </w:p>
    <w:p w14:paraId="6F885255" w14:textId="77777777" w:rsidR="003D273E" w:rsidRDefault="003D273E" w:rsidP="001E5546">
      <w:pPr>
        <w:spacing w:after="0"/>
        <w:jc w:val="both"/>
        <w:rPr>
          <w:rFonts w:cstheme="minorHAnsi"/>
          <w:sz w:val="24"/>
          <w:szCs w:val="24"/>
          <w:lang w:val="sr-Latn-ME"/>
        </w:rPr>
      </w:pPr>
    </w:p>
    <w:p w14:paraId="105A787F" w14:textId="4D50D01B" w:rsidR="001E5546" w:rsidRDefault="00BD259C" w:rsidP="001E5546">
      <w:pPr>
        <w:spacing w:after="0"/>
        <w:jc w:val="both"/>
        <w:rPr>
          <w:rFonts w:cstheme="minorHAnsi"/>
          <w:sz w:val="24"/>
          <w:szCs w:val="24"/>
          <w:lang w:val="sr-Latn-ME"/>
        </w:rPr>
      </w:pPr>
      <w:r w:rsidRPr="00BD259C">
        <w:rPr>
          <w:rFonts w:cstheme="minorHAnsi"/>
          <w:sz w:val="24"/>
          <w:szCs w:val="24"/>
          <w:lang w:val="sr-Latn-ME"/>
        </w:rPr>
        <w:t>Kroz fiskalnu disciplinu, odgovorno upravljanje dugom i strateška ulaganja u ključne sektore, Crna Gora ostaje posvećena održivom ekonomskom rastu i stabilnosti.</w:t>
      </w:r>
      <w:r w:rsidR="007F5BF9">
        <w:rPr>
          <w:rFonts w:cstheme="minorHAnsi"/>
          <w:sz w:val="24"/>
          <w:szCs w:val="24"/>
          <w:lang w:val="sr-Latn-ME"/>
        </w:rPr>
        <w:t xml:space="preserve"> Sve mjere </w:t>
      </w:r>
      <w:r w:rsidR="001E5546" w:rsidRPr="003D273E">
        <w:rPr>
          <w:rFonts w:cstheme="minorHAnsi"/>
          <w:sz w:val="24"/>
          <w:szCs w:val="24"/>
          <w:lang w:val="sr-Latn-ME"/>
        </w:rPr>
        <w:t xml:space="preserve">fiskalne politike usmjerene na unapređenje poslovnog ambijenta i konkurentnosti privrede sa jedne i unapređenje standarda građana sa druge strane, uz očuvanje makroekonomske i fiskalne </w:t>
      </w:r>
      <w:r w:rsidR="001E5546" w:rsidRPr="003D273E">
        <w:rPr>
          <w:rFonts w:cstheme="minorHAnsi"/>
          <w:sz w:val="24"/>
          <w:szCs w:val="24"/>
          <w:lang w:val="sr-Latn-ME"/>
        </w:rPr>
        <w:lastRenderedPageBreak/>
        <w:t>stabilnosti</w:t>
      </w:r>
      <w:r w:rsidR="001E5546">
        <w:rPr>
          <w:rFonts w:cstheme="minorHAnsi"/>
          <w:sz w:val="24"/>
          <w:szCs w:val="24"/>
          <w:lang w:val="sr-Latn-ME"/>
        </w:rPr>
        <w:t xml:space="preserve"> </w:t>
      </w:r>
      <w:r w:rsidR="007F5BF9">
        <w:rPr>
          <w:rFonts w:cstheme="minorHAnsi"/>
          <w:sz w:val="24"/>
          <w:szCs w:val="24"/>
          <w:lang w:val="sr-Latn-ME"/>
        </w:rPr>
        <w:t>prezent</w:t>
      </w:r>
      <w:r w:rsidR="00E92602">
        <w:rPr>
          <w:rFonts w:cstheme="minorHAnsi"/>
          <w:sz w:val="24"/>
          <w:szCs w:val="24"/>
          <w:lang w:val="sr-Latn-ME"/>
        </w:rPr>
        <w:t>ov</w:t>
      </w:r>
      <w:r w:rsidR="007F5BF9">
        <w:rPr>
          <w:rFonts w:cstheme="minorHAnsi"/>
          <w:sz w:val="24"/>
          <w:szCs w:val="24"/>
          <w:lang w:val="sr-Latn-ME"/>
        </w:rPr>
        <w:t>ane su u Fiskalnoj strategiji Crne Gore za period 2024-2027. godine, usvojenom od strane Vlade Crne Gore</w:t>
      </w:r>
      <w:r w:rsidR="001E5546">
        <w:rPr>
          <w:rFonts w:cstheme="minorHAnsi"/>
          <w:sz w:val="24"/>
          <w:szCs w:val="24"/>
          <w:lang w:val="sr-Latn-ME"/>
        </w:rPr>
        <w:t xml:space="preserve">. </w:t>
      </w:r>
      <w:r w:rsidR="00E92602">
        <w:rPr>
          <w:rFonts w:cstheme="minorHAnsi"/>
          <w:sz w:val="24"/>
          <w:szCs w:val="24"/>
          <w:lang w:val="sr-Latn-ME"/>
        </w:rPr>
        <w:t xml:space="preserve">Usvajanjem Fiskalne stretegije obezbjeđuje se transparentnost fiskalne politike i predvidivost poreske politike, što je posebno važno imajući u vidu da Crna Gora </w:t>
      </w:r>
      <w:r w:rsidR="001E5546">
        <w:rPr>
          <w:rFonts w:cstheme="minorHAnsi"/>
          <w:sz w:val="24"/>
          <w:szCs w:val="24"/>
          <w:lang w:val="sr-Latn-ME"/>
        </w:rPr>
        <w:t xml:space="preserve">prethodno </w:t>
      </w:r>
      <w:r w:rsidR="00E92602">
        <w:rPr>
          <w:rFonts w:cstheme="minorHAnsi"/>
          <w:sz w:val="24"/>
          <w:szCs w:val="24"/>
          <w:lang w:val="sr-Latn-ME"/>
        </w:rPr>
        <w:t>nije donijela Fiskalnu strategiju od 2021. godine.</w:t>
      </w:r>
      <w:r w:rsidR="001E5546">
        <w:rPr>
          <w:rFonts w:cstheme="minorHAnsi"/>
          <w:sz w:val="24"/>
          <w:szCs w:val="24"/>
          <w:lang w:val="sr-Latn-ME"/>
        </w:rPr>
        <w:t xml:space="preserve"> </w:t>
      </w:r>
    </w:p>
    <w:p w14:paraId="304C70A1" w14:textId="77777777" w:rsidR="003D273E" w:rsidRPr="005877D1" w:rsidRDefault="003D273E" w:rsidP="001E5546">
      <w:pPr>
        <w:spacing w:after="0"/>
        <w:jc w:val="both"/>
        <w:rPr>
          <w:rFonts w:ascii="Garamond" w:hAnsi="Garamond"/>
          <w:sz w:val="26"/>
          <w:szCs w:val="26"/>
          <w:lang w:val="sr-Latn-RS"/>
        </w:rPr>
      </w:pPr>
    </w:p>
    <w:p w14:paraId="7E31DE81" w14:textId="6F826C53" w:rsidR="00BD259C" w:rsidRPr="00BD12E6" w:rsidRDefault="00BD259C" w:rsidP="00BD259C">
      <w:pPr>
        <w:jc w:val="both"/>
        <w:rPr>
          <w:rFonts w:cstheme="minorHAnsi"/>
          <w:sz w:val="24"/>
          <w:szCs w:val="24"/>
        </w:rPr>
      </w:pPr>
      <w:r w:rsidRPr="00BD12E6">
        <w:rPr>
          <w:rFonts w:cstheme="minorHAnsi"/>
          <w:sz w:val="24"/>
          <w:szCs w:val="24"/>
        </w:rPr>
        <w:t>Mjere ekonomske i fiskalne politike</w:t>
      </w:r>
      <w:r>
        <w:rPr>
          <w:rFonts w:cstheme="minorHAnsi"/>
          <w:sz w:val="24"/>
          <w:szCs w:val="24"/>
        </w:rPr>
        <w:t xml:space="preserve"> </w:t>
      </w:r>
      <w:r w:rsidRPr="00BD12E6">
        <w:rPr>
          <w:rFonts w:cstheme="minorHAnsi"/>
          <w:sz w:val="24"/>
          <w:szCs w:val="24"/>
        </w:rPr>
        <w:t xml:space="preserve">za naredni srednjoročni period i njihov doprinos postizanju pametnog, održivog i inkluzivnog ekonomskog rasta, kao i usklađenost sa zajedničkim zaključcima EU i Crne Gore </w:t>
      </w:r>
      <w:r w:rsidR="00EF22FB">
        <w:rPr>
          <w:rFonts w:cstheme="minorHAnsi"/>
          <w:sz w:val="24"/>
          <w:szCs w:val="24"/>
        </w:rPr>
        <w:t>sa</w:t>
      </w:r>
      <w:r w:rsidRPr="00BD12E6">
        <w:rPr>
          <w:rFonts w:cstheme="minorHAnsi"/>
          <w:sz w:val="24"/>
          <w:szCs w:val="24"/>
        </w:rPr>
        <w:t xml:space="preserve"> ministarskog dijaloga</w:t>
      </w:r>
      <w:r w:rsidR="00B7149D">
        <w:rPr>
          <w:rFonts w:cstheme="minorHAnsi"/>
          <w:sz w:val="24"/>
          <w:szCs w:val="24"/>
        </w:rPr>
        <w:t xml:space="preserve"> iz maja</w:t>
      </w:r>
      <w:r w:rsidRPr="00BD12E6">
        <w:rPr>
          <w:rFonts w:cstheme="minorHAnsi"/>
          <w:sz w:val="24"/>
          <w:szCs w:val="24"/>
        </w:rPr>
        <w:t xml:space="preserve"> 202</w:t>
      </w:r>
      <w:r w:rsidR="00B7149D">
        <w:rPr>
          <w:rFonts w:cstheme="minorHAnsi"/>
          <w:sz w:val="24"/>
          <w:szCs w:val="24"/>
        </w:rPr>
        <w:t>4</w:t>
      </w:r>
      <w:r w:rsidRPr="00BD12E6">
        <w:rPr>
          <w:rFonts w:cstheme="minorHAnsi"/>
          <w:sz w:val="24"/>
          <w:szCs w:val="24"/>
        </w:rPr>
        <w:t xml:space="preserve">. godine, opisane su u narednim poglavljima </w:t>
      </w:r>
      <w:r w:rsidR="002B004C">
        <w:rPr>
          <w:rFonts w:cstheme="minorHAnsi"/>
          <w:sz w:val="24"/>
          <w:szCs w:val="24"/>
        </w:rPr>
        <w:t>Programa ekonomskih reformi.</w:t>
      </w:r>
    </w:p>
    <w:p w14:paraId="6E379AE4" w14:textId="7E8D07C9" w:rsidR="00CA7341" w:rsidRPr="0047692E" w:rsidRDefault="00CA7341" w:rsidP="00BE4674">
      <w:pPr>
        <w:pStyle w:val="Heading1"/>
        <w:shd w:val="clear" w:color="auto" w:fill="B4C6E7" w:themeFill="accent1" w:themeFillTint="66"/>
        <w:rPr>
          <w:b/>
        </w:rPr>
      </w:pPr>
      <w:bookmarkStart w:id="3" w:name="_Toc125545748"/>
      <w:bookmarkStart w:id="4" w:name="_Toc184111616"/>
      <w:r w:rsidRPr="0047692E">
        <w:rPr>
          <w:b/>
        </w:rPr>
        <w:t xml:space="preserve">2. IMPLEMENTACIJA </w:t>
      </w:r>
      <w:bookmarkEnd w:id="3"/>
      <w:r w:rsidR="00BE4674" w:rsidRPr="0047692E">
        <w:rPr>
          <w:b/>
        </w:rPr>
        <w:t>PREPORUKA SA MINISTARSKOG DIJALOGA</w:t>
      </w:r>
      <w:bookmarkEnd w:id="4"/>
    </w:p>
    <w:p w14:paraId="225D9501" w14:textId="76475355" w:rsidR="00F7042B" w:rsidRDefault="00F7042B" w:rsidP="00CB2E14">
      <w:pPr>
        <w:spacing w:after="0" w:line="276" w:lineRule="auto"/>
        <w:jc w:val="both"/>
        <w:rPr>
          <w:rFonts w:eastAsia="Calibri" w:cstheme="minorHAnsi"/>
          <w:sz w:val="24"/>
          <w:lang w:val="sr-Latn-ME" w:eastAsia="sr-Latn-ME"/>
        </w:rPr>
      </w:pPr>
    </w:p>
    <w:p w14:paraId="5DF798E2" w14:textId="77777777" w:rsidR="00F7042B" w:rsidRPr="008016D8" w:rsidRDefault="00F7042B" w:rsidP="00F7042B">
      <w:pPr>
        <w:jc w:val="both"/>
        <w:rPr>
          <w:rFonts w:cstheme="minorHAnsi"/>
          <w:sz w:val="24"/>
          <w:szCs w:val="24"/>
          <w:lang w:val="sr-Latn-ME"/>
        </w:rPr>
      </w:pPr>
      <w:r w:rsidRPr="008016D8">
        <w:rPr>
          <w:rFonts w:cstheme="minorHAnsi"/>
          <w:sz w:val="24"/>
          <w:szCs w:val="24"/>
          <w:lang w:val="sr-Latn-ME"/>
        </w:rPr>
        <w:t xml:space="preserve">U ovom poglavlju je prikazan odgovor Crne Gore na zajedničke zaključke sa ministarskog sastanka iz maja 2024. godine, u okviru ekonomskog i finansijskog dijaloga EU sa zemljama Zapadnog Balkana i Turskom. Naredna tabela prikazuje pregled aktivnosti u odgovoru na navedene preporuke EU sa ministarskog sastanka 2024. godine. </w:t>
      </w:r>
    </w:p>
    <w:p w14:paraId="7EB11028" w14:textId="77777777" w:rsidR="00F7042B" w:rsidRPr="008016D8" w:rsidRDefault="00F7042B" w:rsidP="00F7042B">
      <w:pPr>
        <w:jc w:val="both"/>
        <w:rPr>
          <w:rFonts w:cstheme="minorHAnsi"/>
          <w:b/>
          <w:bCs/>
          <w:sz w:val="24"/>
          <w:szCs w:val="24"/>
          <w:lang w:val="sr-Latn-ME"/>
        </w:rPr>
      </w:pPr>
      <w:r w:rsidRPr="008016D8">
        <w:rPr>
          <w:rFonts w:cstheme="minorHAnsi"/>
          <w:b/>
          <w:bCs/>
          <w:sz w:val="24"/>
          <w:szCs w:val="24"/>
          <w:lang w:val="sr-Latn-ME"/>
        </w:rPr>
        <w:t>Tabela 2.1: Preporuke EU Crnoj Gori za PER 2025-2027. i odgovor na preporuke.</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F7042B" w:rsidRPr="008016D8" w14:paraId="63FABB14" w14:textId="77777777" w:rsidTr="006A00CE">
        <w:tc>
          <w:tcPr>
            <w:tcW w:w="9175" w:type="dxa"/>
            <w:shd w:val="clear" w:color="auto" w:fill="D9E2F3" w:themeFill="accent1" w:themeFillTint="33"/>
            <w:tcMar>
              <w:top w:w="144" w:type="dxa"/>
              <w:left w:w="58" w:type="dxa"/>
              <w:bottom w:w="144" w:type="dxa"/>
              <w:right w:w="58" w:type="dxa"/>
            </w:tcMar>
          </w:tcPr>
          <w:p w14:paraId="69C5CA9C" w14:textId="77777777" w:rsidR="00F7042B" w:rsidRPr="008016D8" w:rsidRDefault="00F7042B" w:rsidP="008016D8">
            <w:pPr>
              <w:pStyle w:val="NormalWeb"/>
              <w:spacing w:line="256" w:lineRule="auto"/>
              <w:jc w:val="both"/>
              <w:rPr>
                <w:rFonts w:asciiTheme="minorHAnsi" w:hAnsiTheme="minorHAnsi" w:cstheme="minorHAnsi"/>
              </w:rPr>
            </w:pPr>
            <w:r w:rsidRPr="008016D8">
              <w:rPr>
                <w:rFonts w:asciiTheme="minorHAnsi" w:hAnsiTheme="minorHAnsi" w:cstheme="minorHAnsi"/>
                <w:b/>
                <w:bCs/>
                <w:i/>
                <w:iCs/>
                <w:lang w:val="sr-Latn-ME"/>
              </w:rPr>
              <w:t>Preporuka 1</w:t>
            </w:r>
            <w:r w:rsidRPr="008016D8">
              <w:rPr>
                <w:rFonts w:asciiTheme="minorHAnsi" w:hAnsiTheme="minorHAnsi" w:cstheme="minorHAnsi"/>
                <w:b/>
                <w:bCs/>
                <w:i/>
              </w:rPr>
              <w:t>. Usvoji održivu fiskalnu strategiju u 2024. godini kako bi se uskladila sa budžetskim ciljem i podržala dalja dezinflacija, te iskoristi višak prihoda za smanjenje deficita i akumulaciju državnih depozita. Usvoji srednjoročnu fiskalnu strategiju, uključujući konkretne mjere konsolidacije koje podržavaju postizanje nenegativnog primarnog bilansa i udjela javnog duga koji ne prelazi 60% BDP-a do 2026. godine</w:t>
            </w:r>
            <w:bookmarkStart w:id="5" w:name="_Hlk184122997"/>
            <w:r w:rsidRPr="008016D8">
              <w:rPr>
                <w:rFonts w:asciiTheme="minorHAnsi" w:hAnsiTheme="minorHAnsi" w:cstheme="minorHAnsi"/>
                <w:b/>
                <w:bCs/>
                <w:i/>
              </w:rPr>
              <w:t xml:space="preserve">. Članovi Fiskalnog savjeta treba da budu izabrani i imenovani, i da se osigura i javno objavi adekvatan obračun troškova novih fiskalnih inicijativa. </w:t>
            </w:r>
            <w:bookmarkEnd w:id="5"/>
          </w:p>
        </w:tc>
      </w:tr>
      <w:tr w:rsidR="00F7042B" w:rsidRPr="008016D8" w14:paraId="7E53B02E" w14:textId="77777777" w:rsidTr="006A00CE">
        <w:tc>
          <w:tcPr>
            <w:tcW w:w="9175" w:type="dxa"/>
            <w:tcMar>
              <w:top w:w="144" w:type="dxa"/>
              <w:left w:w="58" w:type="dxa"/>
              <w:bottom w:w="144" w:type="dxa"/>
              <w:right w:w="58" w:type="dxa"/>
            </w:tcMar>
          </w:tcPr>
          <w:p w14:paraId="1963B3C8" w14:textId="77777777" w:rsidR="00FC55FF" w:rsidRPr="005E617A" w:rsidRDefault="00FC55FF" w:rsidP="00FC55FF">
            <w:pPr>
              <w:jc w:val="both"/>
              <w:rPr>
                <w:sz w:val="24"/>
                <w:szCs w:val="24"/>
              </w:rPr>
            </w:pPr>
            <w:r w:rsidRPr="00C25A12">
              <w:rPr>
                <w:b/>
                <w:sz w:val="24"/>
                <w:szCs w:val="24"/>
              </w:rPr>
              <w:t>Vlada je u skladu sa Zakonom o budžetu i fiskalnoj odgovornosti, u septembru 2024. godine usvojila Predlog fiskalne strategije Crne Gore za period 2024-2027. godine. Na temelju ekonomske politike Crne Gore, strateških opredjeljenja i kriterijuma fiskalne odgovornosti, Fiskalnom strategijom prezentovani su ciljevi fiskalne politike, mjere i aktivnosti za postizanje tih ciljeva i makroekonomske i fiskalne projekcije u periodu 2024 – 2027. godine.</w:t>
            </w:r>
          </w:p>
          <w:p w14:paraId="0AE1E624" w14:textId="77777777" w:rsidR="00FC55FF" w:rsidRPr="005E617A" w:rsidRDefault="00FC55FF" w:rsidP="00FC55FF">
            <w:pPr>
              <w:jc w:val="both"/>
              <w:rPr>
                <w:sz w:val="24"/>
                <w:szCs w:val="24"/>
              </w:rPr>
            </w:pPr>
            <w:r w:rsidRPr="005E617A">
              <w:rPr>
                <w:sz w:val="24"/>
                <w:szCs w:val="24"/>
              </w:rPr>
              <w:t>Kako bi se omogućilo kontinuirano praćenje ciljeva i rezultata planiranih Fiskalnom strategijom, Vlada će, svake godine, uz Predlog zakona o završnom računu budžeta, dostavljati i sažeti izvještaj o realizaciji Fiskalne strategije za tu godinu.</w:t>
            </w:r>
          </w:p>
          <w:p w14:paraId="1746A608" w14:textId="77777777" w:rsidR="00FC55FF" w:rsidRPr="005E617A" w:rsidRDefault="00FC55FF" w:rsidP="00FC55FF">
            <w:pPr>
              <w:jc w:val="both"/>
              <w:rPr>
                <w:sz w:val="24"/>
                <w:szCs w:val="24"/>
              </w:rPr>
            </w:pPr>
            <w:r w:rsidRPr="005E617A">
              <w:rPr>
                <w:sz w:val="24"/>
                <w:szCs w:val="24"/>
              </w:rPr>
              <w:t xml:space="preserve">Strateški okvir rada u pripremi Fiskalne strategije činili su Ekspoze predsjednika Vlade Crne Gore, Srednjoročni program rada Vlade za period 2024 – 2027. godine, Program pristupanja Crne Gore Evropskoj uniji 2024 – 2027, Reformska agenda – Plan rasta za Zapadni Balkan 2024 – 2027. godine, Program ekonomskih reformi Crne Gore za period 2024-2026. godine, Program </w:t>
            </w:r>
            <w:r w:rsidRPr="005E617A">
              <w:rPr>
                <w:sz w:val="24"/>
                <w:szCs w:val="24"/>
              </w:rPr>
              <w:lastRenderedPageBreak/>
              <w:t>reforme upravljanja javnim finansijama 2022 – 2026. godine, kao i sektorske strategije i programi kojima se bliže definišu strateški pravci djelovanja u pojedinim oblastima politika.</w:t>
            </w:r>
          </w:p>
          <w:p w14:paraId="0C5C482B" w14:textId="1C37B3D8" w:rsidR="00FC55FF" w:rsidRDefault="00FC55FF" w:rsidP="00FC55FF">
            <w:pPr>
              <w:jc w:val="both"/>
              <w:rPr>
                <w:sz w:val="24"/>
                <w:szCs w:val="24"/>
              </w:rPr>
            </w:pPr>
            <w:r w:rsidRPr="005E617A">
              <w:rPr>
                <w:sz w:val="24"/>
                <w:szCs w:val="24"/>
              </w:rPr>
              <w:t xml:space="preserve">Osim toga, </w:t>
            </w:r>
            <w:r>
              <w:rPr>
                <w:sz w:val="24"/>
                <w:szCs w:val="24"/>
              </w:rPr>
              <w:t>Predlog</w:t>
            </w:r>
            <w:r w:rsidRPr="005E617A">
              <w:rPr>
                <w:sz w:val="24"/>
                <w:szCs w:val="24"/>
              </w:rPr>
              <w:t xml:space="preserve"> fiskalne strategije Crne Gore</w:t>
            </w:r>
            <w:r>
              <w:rPr>
                <w:sz w:val="24"/>
                <w:szCs w:val="24"/>
              </w:rPr>
              <w:t xml:space="preserve"> za period</w:t>
            </w:r>
            <w:r w:rsidRPr="005E617A">
              <w:rPr>
                <w:sz w:val="24"/>
                <w:szCs w:val="24"/>
              </w:rPr>
              <w:t xml:space="preserve"> 2024-2027. godine bio je predmet javne rasprave i široke diskusije i konsultacija sa svim zainteresovanim stranama u zemlji (privredi, organizacijama, udruženjima i pojedincima), a u cilju doprinosa unapr</w:t>
            </w:r>
            <w:r>
              <w:rPr>
                <w:sz w:val="24"/>
                <w:szCs w:val="24"/>
              </w:rPr>
              <w:t>j</w:t>
            </w:r>
            <w:r w:rsidRPr="005E617A">
              <w:rPr>
                <w:sz w:val="24"/>
                <w:szCs w:val="24"/>
              </w:rPr>
              <w:t>eđenju kvaliteta strategije kao jednog od najvažnijih dokumenata koje utvrđuje Vlada.</w:t>
            </w:r>
          </w:p>
          <w:p w14:paraId="4B494322" w14:textId="77777777" w:rsidR="00FC55FF" w:rsidRDefault="00FC55FF" w:rsidP="00FC55FF">
            <w:pPr>
              <w:jc w:val="both"/>
              <w:rPr>
                <w:rFonts w:cstheme="minorHAnsi"/>
                <w:bCs/>
                <w:sz w:val="24"/>
                <w:szCs w:val="24"/>
              </w:rPr>
            </w:pPr>
            <w:r w:rsidRPr="008016D8">
              <w:rPr>
                <w:rFonts w:cstheme="minorHAnsi"/>
                <w:bCs/>
                <w:sz w:val="24"/>
                <w:szCs w:val="24"/>
              </w:rPr>
              <w:t>Fiskalna strategija predstavlja ključni razvojni dokument za vremenski okvir mandata Vlade, u kojem su definisane ključne mjere ekonomske i fiskalne politike, kao i druge reforme u oblasti poslovnog ambijenta. Upravo postojanje Fiskalne strategije omogućava predvidivost politika i vizije Vlade kako za privredu i investitore tako i za građane. Osnovni cilj u oblasti fiskalne politike je stvaranje preduslova za sveobuhvatnu reformu poreskog sistema u cilju proširenja poreske baze, a samim tim i stvaranja novih izvora prihoda, izmjena dalje regulative u skladu sa zakonodavstvom EU, kao i unaprijeđenje konkurentnosti putem smanjenja poreskog opterećenja na rad, koje će Crnu Goru svrstati među državama sa najnižim nametima na zarade zaposlenih u Evropi. U sinergiji sa brojnim drugim mjerama unaprjeđenja ambijenta poslovanja, cilj je stvaranje predvidivog okvira poreske politike, koji će biti okosnica održivog poslovanja i konkurentnosti crnogorske ekonomije u godinama koje dolaze. Usvajanje Fiskalne strategije od strane Skupštine se očekuje do kraja tekuće 2024.</w:t>
            </w:r>
            <w:r>
              <w:rPr>
                <w:rFonts w:cstheme="minorHAnsi"/>
                <w:bCs/>
                <w:sz w:val="24"/>
                <w:szCs w:val="24"/>
              </w:rPr>
              <w:t xml:space="preserve"> </w:t>
            </w:r>
            <w:r w:rsidRPr="008016D8">
              <w:rPr>
                <w:rFonts w:cstheme="minorHAnsi"/>
                <w:bCs/>
                <w:sz w:val="24"/>
                <w:szCs w:val="24"/>
              </w:rPr>
              <w:t>godine.</w:t>
            </w:r>
          </w:p>
          <w:p w14:paraId="79F174E2" w14:textId="6A305E63" w:rsidR="00F7042B" w:rsidRPr="007A22F3" w:rsidRDefault="007A22F3" w:rsidP="008016D8">
            <w:pPr>
              <w:jc w:val="both"/>
              <w:rPr>
                <w:rFonts w:cstheme="minorHAnsi"/>
                <w:bCs/>
                <w:sz w:val="24"/>
                <w:szCs w:val="24"/>
              </w:rPr>
            </w:pPr>
            <w:bookmarkStart w:id="6" w:name="_Hlk184123021"/>
            <w:r w:rsidRPr="007A22F3">
              <w:rPr>
                <w:rFonts w:cstheme="minorHAnsi"/>
                <w:bCs/>
                <w:sz w:val="24"/>
                <w:szCs w:val="24"/>
              </w:rPr>
              <w:t>Odbor za ekonomiju, finansije i budžet shodno članu 27c Zakona o budžetu i fiskalnoj odgovornosti („Službeni list CG“, br. 20/14, 56/14, 70/17, 4/18, 55/18, 66/19, 70/21, 145/21, 27/23 i 125/23), 11. Novembra 2024. godine je uputio javni poziv za imenovanje tri člana Fiskalnog savjeta Crne Gore. U toku je pregled dokumentacije prijavljenih kandidata.</w:t>
            </w:r>
          </w:p>
          <w:p w14:paraId="3F1E0933" w14:textId="77777777" w:rsidR="00F7042B" w:rsidRPr="008016D8" w:rsidRDefault="00F7042B" w:rsidP="008016D8">
            <w:pPr>
              <w:jc w:val="both"/>
              <w:rPr>
                <w:rFonts w:cstheme="minorHAnsi"/>
                <w:bCs/>
                <w:sz w:val="24"/>
                <w:szCs w:val="24"/>
              </w:rPr>
            </w:pPr>
            <w:r w:rsidRPr="007A22F3">
              <w:rPr>
                <w:rFonts w:cstheme="minorHAnsi"/>
                <w:bCs/>
                <w:sz w:val="24"/>
                <w:szCs w:val="24"/>
              </w:rPr>
              <w:t>Za izradu nacrta procedura i pravilnika koji će omogućiti optimalno funkcionisanje Fiskalnog savjeta, predviđena je značajna podrška Svjetske banke, koja će biti realizovana nakon formiranja Fiskalnog savjeta.</w:t>
            </w:r>
            <w:bookmarkEnd w:id="6"/>
          </w:p>
        </w:tc>
      </w:tr>
      <w:tr w:rsidR="00F7042B" w:rsidRPr="008016D8" w14:paraId="2F8D73D2" w14:textId="77777777" w:rsidTr="006A00CE">
        <w:tc>
          <w:tcPr>
            <w:tcW w:w="9175" w:type="dxa"/>
            <w:shd w:val="clear" w:color="auto" w:fill="D9E2F3" w:themeFill="accent1" w:themeFillTint="33"/>
            <w:tcMar>
              <w:top w:w="144" w:type="dxa"/>
              <w:left w:w="58" w:type="dxa"/>
              <w:bottom w:w="144" w:type="dxa"/>
              <w:right w:w="58" w:type="dxa"/>
            </w:tcMar>
          </w:tcPr>
          <w:p w14:paraId="6B9ADFED" w14:textId="77777777" w:rsidR="00F7042B" w:rsidRPr="008016D8" w:rsidRDefault="00F7042B" w:rsidP="008016D8">
            <w:pPr>
              <w:pStyle w:val="NormalWeb"/>
              <w:spacing w:line="256" w:lineRule="auto"/>
              <w:jc w:val="both"/>
              <w:rPr>
                <w:rFonts w:asciiTheme="minorHAnsi" w:hAnsiTheme="minorHAnsi" w:cstheme="minorHAnsi"/>
              </w:rPr>
            </w:pPr>
            <w:r w:rsidRPr="008016D8">
              <w:rPr>
                <w:rFonts w:asciiTheme="minorHAnsi" w:hAnsiTheme="minorHAnsi" w:cstheme="minorHAnsi"/>
                <w:b/>
                <w:bCs/>
                <w:i/>
                <w:iCs/>
                <w:lang w:val="sr-Latn-ME"/>
              </w:rPr>
              <w:lastRenderedPageBreak/>
              <w:t>Preporuka 2. Na osnovu analize ekonomskog i fiskalnog uticaja svih poreskih izdataka koje treba dostaviti Komisiji, da pripremi konkretne budžetske preporuke za smanjenje poreskih rashoda (kao što su izuzeća, odbici, krediti, odložena plaćanja). Da poboljša nadzor nad državnim preduzećima kroz izradu i objavljivanje odgovarajuće procjene fiskalnih rizika. Da implementira preporuke o ocjeni upravljanja javnim investicijama (PIMA), dajući prioritet ključnim radovima na javnoj infrastrukturi unutar raspoloživog fiskalnog prostora, uz izbjegavanje izuzetaka u pogledu izbora projekata.</w:t>
            </w:r>
          </w:p>
        </w:tc>
      </w:tr>
      <w:tr w:rsidR="00F7042B" w:rsidRPr="008016D8" w14:paraId="059723A1" w14:textId="77777777" w:rsidTr="006A00CE">
        <w:tc>
          <w:tcPr>
            <w:tcW w:w="9175" w:type="dxa"/>
            <w:tcMar>
              <w:top w:w="144" w:type="dxa"/>
              <w:left w:w="58" w:type="dxa"/>
              <w:bottom w:w="144" w:type="dxa"/>
              <w:right w:w="58" w:type="dxa"/>
            </w:tcMar>
          </w:tcPr>
          <w:p w14:paraId="544ADB78" w14:textId="77777777" w:rsidR="005C53D7" w:rsidRDefault="005C53D7" w:rsidP="005C53D7">
            <w:pPr>
              <w:jc w:val="both"/>
              <w:rPr>
                <w:sz w:val="24"/>
                <w:szCs w:val="24"/>
                <w:lang w:val="sr-Latn-ME"/>
              </w:rPr>
            </w:pPr>
            <w:bookmarkStart w:id="7" w:name="_Hlk184109322"/>
            <w:r w:rsidRPr="004D22B2">
              <w:rPr>
                <w:rFonts w:cstheme="minorHAnsi"/>
                <w:b/>
                <w:bCs/>
                <w:sz w:val="24"/>
                <w:szCs w:val="24"/>
              </w:rPr>
              <w:t xml:space="preserve">Ministarstvo finansija je </w:t>
            </w:r>
            <w:r>
              <w:rPr>
                <w:rFonts w:cstheme="minorHAnsi"/>
                <w:b/>
                <w:bCs/>
                <w:sz w:val="24"/>
                <w:szCs w:val="24"/>
              </w:rPr>
              <w:t>pripremilo Izvještaj o</w:t>
            </w:r>
            <w:r w:rsidRPr="004D22B2">
              <w:rPr>
                <w:rFonts w:cstheme="minorHAnsi"/>
                <w:b/>
                <w:bCs/>
                <w:sz w:val="24"/>
                <w:szCs w:val="24"/>
              </w:rPr>
              <w:t xml:space="preserve"> poreski</w:t>
            </w:r>
            <w:r>
              <w:rPr>
                <w:rFonts w:cstheme="minorHAnsi"/>
                <w:b/>
                <w:bCs/>
                <w:sz w:val="24"/>
                <w:szCs w:val="24"/>
              </w:rPr>
              <w:t>m</w:t>
            </w:r>
            <w:r w:rsidRPr="004D22B2">
              <w:rPr>
                <w:rFonts w:cstheme="minorHAnsi"/>
                <w:b/>
                <w:bCs/>
                <w:sz w:val="24"/>
                <w:szCs w:val="24"/>
              </w:rPr>
              <w:t xml:space="preserve"> rashod</w:t>
            </w:r>
            <w:r>
              <w:rPr>
                <w:rFonts w:cstheme="minorHAnsi"/>
                <w:b/>
                <w:bCs/>
                <w:sz w:val="24"/>
                <w:szCs w:val="24"/>
              </w:rPr>
              <w:t>im</w:t>
            </w:r>
            <w:r w:rsidRPr="004D22B2">
              <w:rPr>
                <w:rFonts w:cstheme="minorHAnsi"/>
                <w:b/>
                <w:bCs/>
                <w:sz w:val="24"/>
                <w:szCs w:val="24"/>
              </w:rPr>
              <w:t>a</w:t>
            </w:r>
            <w:r>
              <w:rPr>
                <w:rFonts w:cstheme="minorHAnsi"/>
                <w:bCs/>
                <w:sz w:val="24"/>
                <w:szCs w:val="24"/>
              </w:rPr>
              <w:t xml:space="preserve">, koristeći </w:t>
            </w:r>
            <w:r w:rsidRPr="0091439E">
              <w:rPr>
                <w:sz w:val="24"/>
                <w:szCs w:val="24"/>
              </w:rPr>
              <w:t xml:space="preserve">procjene dobijene </w:t>
            </w:r>
            <w:r>
              <w:rPr>
                <w:sz w:val="24"/>
                <w:szCs w:val="24"/>
              </w:rPr>
              <w:t>na osnovu</w:t>
            </w:r>
            <w:r w:rsidRPr="0091439E">
              <w:rPr>
                <w:sz w:val="24"/>
                <w:szCs w:val="24"/>
              </w:rPr>
              <w:t xml:space="preserve"> relevantn</w:t>
            </w:r>
            <w:r>
              <w:rPr>
                <w:sz w:val="24"/>
                <w:szCs w:val="24"/>
              </w:rPr>
              <w:t>e</w:t>
            </w:r>
            <w:r w:rsidRPr="0091439E">
              <w:rPr>
                <w:sz w:val="24"/>
                <w:szCs w:val="24"/>
              </w:rPr>
              <w:t xml:space="preserve"> metodologij</w:t>
            </w:r>
            <w:r>
              <w:rPr>
                <w:sz w:val="24"/>
                <w:szCs w:val="24"/>
              </w:rPr>
              <w:t>e</w:t>
            </w:r>
            <w:r w:rsidRPr="0091439E">
              <w:rPr>
                <w:sz w:val="24"/>
                <w:szCs w:val="24"/>
              </w:rPr>
              <w:t>, intern</w:t>
            </w:r>
            <w:r>
              <w:rPr>
                <w:sz w:val="24"/>
                <w:szCs w:val="24"/>
              </w:rPr>
              <w:t>e</w:t>
            </w:r>
            <w:r w:rsidRPr="0091439E">
              <w:rPr>
                <w:sz w:val="24"/>
                <w:szCs w:val="24"/>
              </w:rPr>
              <w:t xml:space="preserve"> procjen</w:t>
            </w:r>
            <w:r>
              <w:rPr>
                <w:sz w:val="24"/>
                <w:szCs w:val="24"/>
              </w:rPr>
              <w:t>e</w:t>
            </w:r>
            <w:r w:rsidRPr="0091439E">
              <w:rPr>
                <w:sz w:val="24"/>
                <w:szCs w:val="24"/>
              </w:rPr>
              <w:t xml:space="preserve"> i analiz</w:t>
            </w:r>
            <w:r>
              <w:rPr>
                <w:sz w:val="24"/>
                <w:szCs w:val="24"/>
              </w:rPr>
              <w:t>e</w:t>
            </w:r>
            <w:r w:rsidRPr="0091439E">
              <w:rPr>
                <w:sz w:val="24"/>
                <w:szCs w:val="24"/>
              </w:rPr>
              <w:t>,</w:t>
            </w:r>
            <w:r>
              <w:rPr>
                <w:sz w:val="24"/>
                <w:szCs w:val="24"/>
              </w:rPr>
              <w:t xml:space="preserve"> podatke Poreske uprave i Uprave carina,</w:t>
            </w:r>
            <w:r w:rsidRPr="0091439E">
              <w:rPr>
                <w:sz w:val="24"/>
                <w:szCs w:val="24"/>
              </w:rPr>
              <w:t xml:space="preserve"> uz tehničku i ekspertsku pomoć MMF-a.</w:t>
            </w:r>
            <w:r>
              <w:rPr>
                <w:sz w:val="24"/>
                <w:szCs w:val="24"/>
              </w:rPr>
              <w:t xml:space="preserve"> </w:t>
            </w:r>
            <w:r w:rsidRPr="00093385">
              <w:rPr>
                <w:sz w:val="24"/>
                <w:szCs w:val="24"/>
              </w:rPr>
              <w:t xml:space="preserve">Izvještaj o poreskim rashodima </w:t>
            </w:r>
            <w:r w:rsidRPr="00093385">
              <w:rPr>
                <w:sz w:val="24"/>
                <w:szCs w:val="24"/>
              </w:rPr>
              <w:lastRenderedPageBreak/>
              <w:t>će predstavljati adekvatnu osnovu za analizu ekonomskog i fiskalnog uticaja poreskih rashoda, te pripremu budžetskih preporuka za smanjenje poreskih rashoda</w:t>
            </w:r>
            <w:r>
              <w:rPr>
                <w:sz w:val="24"/>
                <w:szCs w:val="24"/>
              </w:rPr>
              <w:t>.</w:t>
            </w:r>
            <w:r w:rsidRPr="0091439E">
              <w:rPr>
                <w:sz w:val="24"/>
                <w:szCs w:val="24"/>
              </w:rPr>
              <w:t xml:space="preserve"> Priprema pregleda svih poreskih izdataka (olakšica, podsticaja, nultih stopa, izuzeća itd.) u važećim zakonskim rješenjima sastojala se od pregleda svih zakona i pružanja podrške ekspertima MMF-a u uspostavljanju registra svih poreskih izdataka i njihovoj podjeli na poreski izdatak i referentni sistem vrijednosti odnosno standard, tj. svih izdataka definisanih na osnovu pomenutih zakona. Imajući u vidu navedeno, određene kategorije poreskih izdataka su kvantifikovane, dok će se u narednom periodu konkretnije izvršiti kvantifikacija svih ostalih kategorija po stavkama, a u skladu sa relevantnom zakonskom regulativom.</w:t>
            </w:r>
            <w:r>
              <w:rPr>
                <w:sz w:val="24"/>
                <w:szCs w:val="24"/>
              </w:rPr>
              <w:t xml:space="preserve"> Izvještaj o poreskim rashodima će biti usvojen u IV kvartalu 2024, što je u skladu sa Programom rada Vlade.</w:t>
            </w:r>
            <w:r w:rsidRPr="0091439E">
              <w:rPr>
                <w:sz w:val="24"/>
                <w:szCs w:val="24"/>
              </w:rPr>
              <w:t xml:space="preserve"> </w:t>
            </w:r>
            <w:r w:rsidRPr="0091439E">
              <w:rPr>
                <w:b/>
                <w:sz w:val="24"/>
                <w:szCs w:val="24"/>
              </w:rPr>
              <w:t xml:space="preserve">Navedena analiza predstavljaće i osnov za odlučivanje o mjerama fiskalne politike u srednjem i dugom roku, kao i o efektima već uvedenih mjera i reformi. </w:t>
            </w:r>
            <w:r w:rsidRPr="0091439E">
              <w:rPr>
                <w:sz w:val="24"/>
                <w:szCs w:val="24"/>
                <w:lang w:val="sr-Latn-ME"/>
              </w:rPr>
              <w:t>Važno je istaći da će izvještavanje o poreskim rashodima ostati prioritet u narednom periodu, kao i da će se u tom smislu jačati kapaciteti kako bi se unaprijedio kvalitet izvještavanja</w:t>
            </w:r>
            <w:r>
              <w:rPr>
                <w:sz w:val="24"/>
                <w:szCs w:val="24"/>
                <w:lang w:val="sr-Latn-ME"/>
              </w:rPr>
              <w:t>, uz dalje sprovođenje obuka</w:t>
            </w:r>
            <w:r w:rsidRPr="0091439E">
              <w:rPr>
                <w:sz w:val="24"/>
                <w:szCs w:val="24"/>
                <w:lang w:val="sr-Latn-ME"/>
              </w:rPr>
              <w:t xml:space="preserve">. </w:t>
            </w:r>
            <w:r>
              <w:rPr>
                <w:rFonts w:cstheme="minorHAnsi"/>
                <w:sz w:val="24"/>
                <w:szCs w:val="24"/>
                <w:lang w:val="sr-Latn-ME"/>
              </w:rPr>
              <w:t>Ministarstvo finansija će, shodno očekivanoj tehničkoj podršci MMF-a u 2025. godini, nastaviti sa detaljnijim procjenama poreskih izdataka po kategorijama prihoda.</w:t>
            </w:r>
          </w:p>
          <w:p w14:paraId="56D279A3" w14:textId="77777777" w:rsidR="005C53D7" w:rsidRDefault="005C53D7" w:rsidP="005C53D7">
            <w:pPr>
              <w:jc w:val="both"/>
              <w:rPr>
                <w:sz w:val="24"/>
                <w:szCs w:val="24"/>
              </w:rPr>
            </w:pPr>
            <w:r w:rsidRPr="0091439E">
              <w:rPr>
                <w:sz w:val="24"/>
                <w:szCs w:val="24"/>
              </w:rPr>
              <w:t xml:space="preserve">Tokom 2024. godine, došlo je do izmjene konkretne zakonske regulative kojom je ukinut određeni broj poreskih </w:t>
            </w:r>
            <w:r>
              <w:rPr>
                <w:sz w:val="24"/>
                <w:szCs w:val="24"/>
              </w:rPr>
              <w:t>rashoda</w:t>
            </w:r>
            <w:r w:rsidRPr="0091439E">
              <w:rPr>
                <w:sz w:val="24"/>
                <w:szCs w:val="24"/>
              </w:rPr>
              <w:t>, a navedeno će za rezultat imati i snažan fiskalni efekat. U pitanju su mjere i izmjene zakonske regulative sadržane u Fiskalnoj strategiji Crne Gore za period 202</w:t>
            </w:r>
            <w:r>
              <w:rPr>
                <w:sz w:val="24"/>
                <w:szCs w:val="24"/>
              </w:rPr>
              <w:t>4</w:t>
            </w:r>
            <w:r w:rsidRPr="0091439E">
              <w:rPr>
                <w:sz w:val="24"/>
                <w:szCs w:val="24"/>
              </w:rPr>
              <w:t xml:space="preserve">-2027. godine. </w:t>
            </w:r>
          </w:p>
          <w:p w14:paraId="63914365" w14:textId="77777777" w:rsidR="005C53D7" w:rsidRPr="0091439E" w:rsidRDefault="005C53D7" w:rsidP="005C53D7">
            <w:pPr>
              <w:jc w:val="both"/>
              <w:rPr>
                <w:sz w:val="24"/>
                <w:szCs w:val="24"/>
              </w:rPr>
            </w:pPr>
            <w:r w:rsidRPr="0091439E">
              <w:rPr>
                <w:sz w:val="24"/>
                <w:szCs w:val="24"/>
              </w:rPr>
              <w:t>U cilju realizacije mjera iz dokumenta Fiskalna strategija Crne Gore za period 2024-2027, donijet je set poreskih propisa kojim je izvršeno ukidanje (smanjenje) poreskih rashoda i to:</w:t>
            </w:r>
          </w:p>
          <w:p w14:paraId="56D36A15" w14:textId="77777777" w:rsidR="005C53D7" w:rsidRPr="0091439E" w:rsidRDefault="005C53D7" w:rsidP="005C53D7">
            <w:pPr>
              <w:jc w:val="both"/>
              <w:rPr>
                <w:sz w:val="24"/>
                <w:szCs w:val="24"/>
              </w:rPr>
            </w:pPr>
            <w:r w:rsidRPr="0091439E">
              <w:rPr>
                <w:sz w:val="24"/>
                <w:szCs w:val="24"/>
              </w:rPr>
              <w:t>- Zakonom o izmjenama i dopunama Zakona o PDV („Službeni list CG“, broj 94/24), izvršeno je ukidanje poreskog rashoda, odnosno nulte stope PDV-a na isporuku proizvoda i usluga za gradnju i opremanje ugostiteljskog objekta kategorije pet i više zvjezdica, energetskog objekta za proizvodnju električne energije instalisane snage veće od 10 MW i kapaciteta za proizvodnju prehrambenih proizvoda. Takođe, ovim zakonom je izvršeno ukidanje odredbe koja se odnosi na oslobođenje kod uvoza proizvoda na pošiljke neznatne vrijednosti do 75 € kao i reforma snižene stope PDV-a, u skladu sa Direktivom</w:t>
            </w:r>
            <w:r>
              <w:rPr>
                <w:sz w:val="24"/>
                <w:szCs w:val="24"/>
              </w:rPr>
              <w:t xml:space="preserve"> EU</w:t>
            </w:r>
            <w:r w:rsidRPr="0091439E">
              <w:rPr>
                <w:sz w:val="24"/>
                <w:szCs w:val="24"/>
              </w:rPr>
              <w:t xml:space="preserve"> 2006/112, kroz uvođenje druge snižene stope PDV-a od 15%. Shodno naveden</w:t>
            </w:r>
            <w:r>
              <w:rPr>
                <w:sz w:val="24"/>
                <w:szCs w:val="24"/>
              </w:rPr>
              <w:t>i</w:t>
            </w:r>
            <w:r w:rsidRPr="0091439E">
              <w:rPr>
                <w:sz w:val="24"/>
                <w:szCs w:val="24"/>
              </w:rPr>
              <w:t>m izmjenama PDV se obračunava i plaća po sniženoj stopi od 15% od prometa proizvoda, usluga i uvoza proizvoda, i to:</w:t>
            </w:r>
          </w:p>
          <w:p w14:paraId="07999328" w14:textId="77777777" w:rsidR="005C53D7" w:rsidRPr="0091439E" w:rsidRDefault="005C53D7" w:rsidP="005C53D7">
            <w:pPr>
              <w:jc w:val="both"/>
              <w:rPr>
                <w:sz w:val="24"/>
                <w:szCs w:val="24"/>
              </w:rPr>
            </w:pPr>
            <w:r w:rsidRPr="0091439E">
              <w:rPr>
                <w:sz w:val="24"/>
                <w:szCs w:val="24"/>
              </w:rPr>
              <w:t>1) knjiga, monografskih i serijskih publikacija;</w:t>
            </w:r>
          </w:p>
          <w:p w14:paraId="29AF0BBF" w14:textId="77777777" w:rsidR="005C53D7" w:rsidRPr="0091439E" w:rsidRDefault="005C53D7" w:rsidP="005C53D7">
            <w:pPr>
              <w:jc w:val="both"/>
              <w:rPr>
                <w:sz w:val="24"/>
                <w:szCs w:val="24"/>
              </w:rPr>
            </w:pPr>
            <w:r w:rsidRPr="0091439E">
              <w:rPr>
                <w:sz w:val="24"/>
                <w:szCs w:val="24"/>
              </w:rPr>
              <w:t>2) usluga smještaja u ugostiteljskim objektima za smještaj, a koji objekti su definisani zakonom kojim se uređuje turizam i ugostiteljstvo;</w:t>
            </w:r>
          </w:p>
          <w:p w14:paraId="3B626A4A" w14:textId="77777777" w:rsidR="005C53D7" w:rsidRPr="0091439E" w:rsidRDefault="005C53D7" w:rsidP="005C53D7">
            <w:pPr>
              <w:jc w:val="both"/>
              <w:rPr>
                <w:sz w:val="24"/>
                <w:szCs w:val="24"/>
              </w:rPr>
            </w:pPr>
            <w:r w:rsidRPr="0091439E">
              <w:rPr>
                <w:sz w:val="24"/>
                <w:szCs w:val="24"/>
              </w:rPr>
              <w:t>3) usluga pripremanja i usluživanja hrane, pića i napitaka, osim alkoholnih pića, gaziranih i negaziranih pića sa dodatkom šećera i kafe u objektima za pružanje ugostiteljskih usluga;</w:t>
            </w:r>
          </w:p>
          <w:p w14:paraId="499472CC" w14:textId="77777777" w:rsidR="005C53D7" w:rsidRPr="0091439E" w:rsidRDefault="005C53D7" w:rsidP="005C53D7">
            <w:pPr>
              <w:jc w:val="both"/>
              <w:rPr>
                <w:sz w:val="24"/>
                <w:szCs w:val="24"/>
              </w:rPr>
            </w:pPr>
            <w:r w:rsidRPr="0091439E">
              <w:rPr>
                <w:sz w:val="24"/>
                <w:szCs w:val="24"/>
              </w:rPr>
              <w:lastRenderedPageBreak/>
              <w:t>4) autorskih prava i usluga iz oblasti obrazovanja, književnosti i umjetnosti;</w:t>
            </w:r>
          </w:p>
          <w:p w14:paraId="5F04D4BF" w14:textId="77777777" w:rsidR="005C53D7" w:rsidRPr="0091439E" w:rsidRDefault="005C53D7" w:rsidP="005C53D7">
            <w:pPr>
              <w:jc w:val="both"/>
              <w:rPr>
                <w:sz w:val="24"/>
                <w:szCs w:val="24"/>
              </w:rPr>
            </w:pPr>
            <w:r w:rsidRPr="0091439E">
              <w:rPr>
                <w:sz w:val="24"/>
                <w:szCs w:val="24"/>
              </w:rPr>
              <w:t>5) autorskih prava iz oblasti nauke i umjetničkih predmeta, zbirki i antikviteta iz člana 45 ovog zakona;</w:t>
            </w:r>
          </w:p>
          <w:p w14:paraId="57629F04" w14:textId="77777777" w:rsidR="005C53D7" w:rsidRPr="0091439E" w:rsidRDefault="005C53D7" w:rsidP="005C53D7">
            <w:pPr>
              <w:jc w:val="both"/>
              <w:rPr>
                <w:sz w:val="24"/>
                <w:szCs w:val="24"/>
              </w:rPr>
            </w:pPr>
            <w:r w:rsidRPr="0091439E">
              <w:rPr>
                <w:sz w:val="24"/>
                <w:szCs w:val="24"/>
              </w:rPr>
              <w:t>6) usluga koje se naplaćuju putem ulaznica za bioskopske i pozorišne predstave, koncerte, muzeje, sajmove, zabavne parkove, izložbe, zoološke vrtove i slične kulturne i sportske priredbe, osim onih za koje je propisano oslobođenje od plaćanja PDV;</w:t>
            </w:r>
          </w:p>
          <w:p w14:paraId="7D7B516A" w14:textId="77777777" w:rsidR="005C53D7" w:rsidRPr="0091439E" w:rsidRDefault="005C53D7" w:rsidP="005C53D7">
            <w:pPr>
              <w:jc w:val="both"/>
              <w:rPr>
                <w:sz w:val="24"/>
                <w:szCs w:val="24"/>
              </w:rPr>
            </w:pPr>
            <w:r w:rsidRPr="0091439E">
              <w:rPr>
                <w:sz w:val="24"/>
                <w:szCs w:val="24"/>
              </w:rPr>
              <w:t>7) usluga upotrebe sportskih objekata u neprofitne svrhe;</w:t>
            </w:r>
          </w:p>
          <w:p w14:paraId="7EEF3E19" w14:textId="77777777" w:rsidR="005C53D7" w:rsidRPr="0091439E" w:rsidRDefault="005C53D7" w:rsidP="005C53D7">
            <w:pPr>
              <w:jc w:val="both"/>
              <w:rPr>
                <w:sz w:val="24"/>
                <w:szCs w:val="24"/>
              </w:rPr>
            </w:pPr>
            <w:r w:rsidRPr="0091439E">
              <w:rPr>
                <w:sz w:val="24"/>
                <w:szCs w:val="24"/>
              </w:rPr>
              <w:t>8) servisnih usluga koje se pružaju u marinama;</w:t>
            </w:r>
          </w:p>
          <w:p w14:paraId="3B2E492E" w14:textId="77777777" w:rsidR="005C53D7" w:rsidRPr="0091439E" w:rsidRDefault="005C53D7" w:rsidP="005C53D7">
            <w:pPr>
              <w:jc w:val="both"/>
              <w:rPr>
                <w:sz w:val="24"/>
                <w:szCs w:val="24"/>
              </w:rPr>
            </w:pPr>
            <w:r w:rsidRPr="0091439E">
              <w:rPr>
                <w:sz w:val="24"/>
                <w:szCs w:val="24"/>
              </w:rPr>
              <w:t>9) solarnih panela (ploča);</w:t>
            </w:r>
          </w:p>
          <w:p w14:paraId="79BA4C8A" w14:textId="77777777" w:rsidR="005C53D7" w:rsidRPr="0091439E" w:rsidRDefault="005C53D7" w:rsidP="005C53D7">
            <w:pPr>
              <w:jc w:val="both"/>
              <w:rPr>
                <w:sz w:val="24"/>
                <w:szCs w:val="24"/>
              </w:rPr>
            </w:pPr>
            <w:r w:rsidRPr="0091439E">
              <w:rPr>
                <w:sz w:val="24"/>
                <w:szCs w:val="24"/>
              </w:rPr>
              <w:t>10) frizerskih usluga.</w:t>
            </w:r>
          </w:p>
          <w:p w14:paraId="7B173A5F" w14:textId="77777777" w:rsidR="005C53D7" w:rsidRPr="0091439E" w:rsidRDefault="005C53D7" w:rsidP="005C53D7">
            <w:pPr>
              <w:jc w:val="both"/>
              <w:rPr>
                <w:sz w:val="24"/>
                <w:szCs w:val="24"/>
              </w:rPr>
            </w:pPr>
            <w:r w:rsidRPr="0091439E">
              <w:rPr>
                <w:sz w:val="24"/>
                <w:szCs w:val="24"/>
              </w:rPr>
              <w:t>Navedene odredbe će se primjenjivati od 1. januara 2025. godine.</w:t>
            </w:r>
          </w:p>
          <w:p w14:paraId="4527529C" w14:textId="77777777" w:rsidR="005C53D7" w:rsidRPr="0091439E" w:rsidRDefault="005C53D7" w:rsidP="005C53D7">
            <w:pPr>
              <w:jc w:val="both"/>
              <w:rPr>
                <w:sz w:val="24"/>
                <w:szCs w:val="24"/>
              </w:rPr>
            </w:pPr>
            <w:r w:rsidRPr="0091439E">
              <w:rPr>
                <w:sz w:val="24"/>
                <w:szCs w:val="24"/>
              </w:rPr>
              <w:t>- Zakonom o izmjenama i dopunama Zakona o porezu na dohodak fizičkih lica („Službeni list CG“, broj 88/24), izvršene su izmjene koje se, pored ostalog odnose na oporezivanje prihoda od igara na sreću po stopi od 15%.</w:t>
            </w:r>
          </w:p>
          <w:p w14:paraId="10990D81" w14:textId="77777777" w:rsidR="005C53D7" w:rsidRPr="0091439E" w:rsidRDefault="005C53D7" w:rsidP="005C53D7">
            <w:pPr>
              <w:jc w:val="both"/>
              <w:rPr>
                <w:sz w:val="24"/>
                <w:szCs w:val="24"/>
              </w:rPr>
            </w:pPr>
            <w:r w:rsidRPr="0091439E">
              <w:rPr>
                <w:sz w:val="24"/>
                <w:szCs w:val="24"/>
              </w:rPr>
              <w:t>- Zakonom o izmjenama i dopunama Zakona o akcizama („Službeni list CG“, broj 94/24“),  predviđeno je širenje obuhvata negazirane vode sa dodatkom šećera ili drugih sredstava za zaslađivanje ili aromatizaciju, kao i uvođenje akcize na mirna vina. Navedene odredbe će se primjenjivat</w:t>
            </w:r>
            <w:r>
              <w:rPr>
                <w:sz w:val="24"/>
                <w:szCs w:val="24"/>
              </w:rPr>
              <w:t>i</w:t>
            </w:r>
            <w:r w:rsidRPr="0091439E">
              <w:rPr>
                <w:sz w:val="24"/>
                <w:szCs w:val="24"/>
              </w:rPr>
              <w:t xml:space="preserve"> od 1. januara 2025. godine.</w:t>
            </w:r>
          </w:p>
          <w:p w14:paraId="5AA7D7BE" w14:textId="77777777" w:rsidR="005C53D7" w:rsidRDefault="005C53D7" w:rsidP="005C53D7">
            <w:pPr>
              <w:jc w:val="both"/>
              <w:rPr>
                <w:rFonts w:cstheme="minorHAnsi"/>
                <w:sz w:val="24"/>
                <w:szCs w:val="24"/>
                <w:lang w:val="sr-Latn-ME"/>
              </w:rPr>
            </w:pPr>
            <w:r>
              <w:rPr>
                <w:rFonts w:cstheme="minorHAnsi"/>
                <w:sz w:val="24"/>
                <w:szCs w:val="24"/>
                <w:lang w:val="sr-Latn-ME"/>
              </w:rPr>
              <w:t>Ministarstvo finansija će pripremiti informaciju o poreskim rashodima, koja će donosiocima odluka predstavljati osnov za dalje odlučivanje o izmjenama u oblasti poreske politike. Takođe će se, shodno očekivanoj tehničkoj podršci MMF-a nastaviti sa detaljnijim procjenama poreskih izdataka po kategorijama prihoda, pa samim tim i unaprijediti kvalitativni i kvantitativni okvir analize.</w:t>
            </w:r>
          </w:p>
          <w:p w14:paraId="03592CCA" w14:textId="77777777" w:rsidR="00AB363A" w:rsidRDefault="00AB363A" w:rsidP="008016D8">
            <w:pPr>
              <w:jc w:val="both"/>
              <w:rPr>
                <w:rFonts w:cstheme="minorHAnsi"/>
                <w:sz w:val="24"/>
                <w:szCs w:val="24"/>
                <w:lang w:val="sr-Latn-ME"/>
              </w:rPr>
            </w:pPr>
          </w:p>
          <w:p w14:paraId="15714912" w14:textId="1C25065E" w:rsidR="002A66E2" w:rsidRPr="002A66E2" w:rsidRDefault="002A66E2" w:rsidP="002A66E2">
            <w:pPr>
              <w:jc w:val="both"/>
              <w:rPr>
                <w:rFonts w:cstheme="minorHAnsi"/>
                <w:sz w:val="24"/>
                <w:szCs w:val="24"/>
                <w:u w:val="single"/>
                <w:lang w:val="sr-Latn-ME"/>
              </w:rPr>
            </w:pPr>
            <w:r w:rsidRPr="002A66E2">
              <w:rPr>
                <w:rFonts w:cstheme="minorHAnsi"/>
                <w:sz w:val="24"/>
                <w:szCs w:val="24"/>
                <w:u w:val="single"/>
                <w:lang w:val="sr-Latn-ME"/>
              </w:rPr>
              <w:t>Reforma upravljanja preduzećima u vlasništvu države</w:t>
            </w:r>
          </w:p>
          <w:p w14:paraId="360CE266" w14:textId="77777777" w:rsidR="002A66E2" w:rsidRPr="002A66E2" w:rsidRDefault="002A66E2" w:rsidP="002A66E2">
            <w:pPr>
              <w:rPr>
                <w:rFonts w:cstheme="minorHAnsi"/>
                <w:sz w:val="24"/>
                <w:szCs w:val="24"/>
                <w:u w:val="single"/>
                <w:lang w:val="sr-Latn-RS"/>
              </w:rPr>
            </w:pPr>
            <w:r w:rsidRPr="002A66E2">
              <w:rPr>
                <w:rFonts w:cstheme="minorHAnsi"/>
                <w:sz w:val="24"/>
                <w:szCs w:val="24"/>
                <w:u w:val="single"/>
                <w:lang w:val="sr-Latn-RS"/>
              </w:rPr>
              <w:t>Realizovane aktivnosti u 2024. godini:</w:t>
            </w:r>
          </w:p>
          <w:p w14:paraId="27563900" w14:textId="77777777" w:rsidR="002A66E2" w:rsidRPr="002A66E2" w:rsidRDefault="002A66E2" w:rsidP="002A66E2">
            <w:pPr>
              <w:numPr>
                <w:ilvl w:val="0"/>
                <w:numId w:val="1"/>
              </w:numPr>
              <w:spacing w:line="256" w:lineRule="auto"/>
              <w:contextualSpacing/>
              <w:jc w:val="both"/>
              <w:rPr>
                <w:rFonts w:cstheme="minorHAnsi"/>
                <w:sz w:val="24"/>
                <w:szCs w:val="24"/>
                <w:lang w:val="hr-HR"/>
              </w:rPr>
            </w:pPr>
            <w:r w:rsidRPr="002A66E2">
              <w:rPr>
                <w:rFonts w:cstheme="minorHAnsi"/>
                <w:sz w:val="24"/>
                <w:szCs w:val="24"/>
                <w:lang w:val="hr-HR"/>
              </w:rPr>
              <w:t>Analiza institucionalnog i regulatornog okvira za poslovanje javnih preduzeća i privrednih društava u većinskom vlasništvu države usvojena od strane Vlade u julu 2024.</w:t>
            </w:r>
          </w:p>
          <w:p w14:paraId="31D57597" w14:textId="57BF1494" w:rsidR="002A66E2" w:rsidRPr="002A66E2" w:rsidRDefault="002A66E2" w:rsidP="002A66E2">
            <w:pPr>
              <w:numPr>
                <w:ilvl w:val="0"/>
                <w:numId w:val="1"/>
              </w:numPr>
              <w:spacing w:line="256" w:lineRule="auto"/>
              <w:contextualSpacing/>
              <w:jc w:val="both"/>
              <w:rPr>
                <w:rFonts w:cstheme="minorHAnsi"/>
                <w:sz w:val="24"/>
                <w:szCs w:val="24"/>
                <w:lang w:val="hr-HR"/>
              </w:rPr>
            </w:pPr>
            <w:r w:rsidRPr="002A66E2">
              <w:rPr>
                <w:rFonts w:cstheme="minorHAnsi"/>
                <w:sz w:val="24"/>
                <w:szCs w:val="24"/>
                <w:lang w:val="hr-HR"/>
              </w:rPr>
              <w:t>Na web stranici M</w:t>
            </w:r>
            <w:r w:rsidR="003D262C">
              <w:rPr>
                <w:rFonts w:cstheme="minorHAnsi"/>
                <w:sz w:val="24"/>
                <w:szCs w:val="24"/>
                <w:lang w:val="hr-HR"/>
              </w:rPr>
              <w:t>inistarstva finansija</w:t>
            </w:r>
            <w:r w:rsidRPr="002A66E2">
              <w:rPr>
                <w:rFonts w:cstheme="minorHAnsi"/>
                <w:sz w:val="24"/>
                <w:szCs w:val="24"/>
                <w:lang w:val="hr-HR"/>
              </w:rPr>
              <w:t xml:space="preserve"> objavljen je ažurirani Registar privrednih društava i javnih preduzeća sa centralnog nivoa vlasti, zaključno sa poslednjim dostupnim  podacima  za 2023.</w:t>
            </w:r>
            <w:r w:rsidR="003D262C">
              <w:rPr>
                <w:rFonts w:cstheme="minorHAnsi"/>
                <w:sz w:val="24"/>
                <w:szCs w:val="24"/>
                <w:lang w:val="hr-HR"/>
              </w:rPr>
              <w:t xml:space="preserve"> </w:t>
            </w:r>
            <w:r w:rsidRPr="002A66E2">
              <w:rPr>
                <w:rFonts w:cstheme="minorHAnsi"/>
                <w:sz w:val="24"/>
                <w:szCs w:val="24"/>
                <w:lang w:val="hr-HR"/>
              </w:rPr>
              <w:t>godinu;</w:t>
            </w:r>
          </w:p>
          <w:p w14:paraId="650CEB5C" w14:textId="5885580B" w:rsidR="002A66E2" w:rsidRPr="002A66E2" w:rsidRDefault="002A66E2" w:rsidP="002A66E2">
            <w:pPr>
              <w:numPr>
                <w:ilvl w:val="0"/>
                <w:numId w:val="1"/>
              </w:numPr>
              <w:spacing w:line="256" w:lineRule="auto"/>
              <w:contextualSpacing/>
              <w:jc w:val="both"/>
              <w:rPr>
                <w:rFonts w:cstheme="minorHAnsi"/>
                <w:sz w:val="24"/>
                <w:szCs w:val="24"/>
                <w:lang w:val="hr-HR"/>
              </w:rPr>
            </w:pPr>
            <w:r w:rsidRPr="002A66E2">
              <w:rPr>
                <w:rFonts w:cstheme="minorHAnsi"/>
                <w:sz w:val="24"/>
                <w:szCs w:val="24"/>
                <w:lang w:val="hr-HR"/>
              </w:rPr>
              <w:lastRenderedPageBreak/>
              <w:t>U saradnji sa expertima M</w:t>
            </w:r>
            <w:r w:rsidR="007F0151">
              <w:rPr>
                <w:rFonts w:cstheme="minorHAnsi"/>
                <w:sz w:val="24"/>
                <w:szCs w:val="24"/>
                <w:lang w:val="hr-HR"/>
              </w:rPr>
              <w:t>eđunarodnog monetarnog fonda (M</w:t>
            </w:r>
            <w:r w:rsidRPr="002A66E2">
              <w:rPr>
                <w:rFonts w:cstheme="minorHAnsi"/>
                <w:sz w:val="24"/>
                <w:szCs w:val="24"/>
                <w:lang w:val="hr-HR"/>
              </w:rPr>
              <w:t>MF</w:t>
            </w:r>
            <w:r w:rsidR="007F0151">
              <w:rPr>
                <w:rFonts w:cstheme="minorHAnsi"/>
                <w:sz w:val="24"/>
                <w:szCs w:val="24"/>
                <w:lang w:val="hr-HR"/>
              </w:rPr>
              <w:t>)</w:t>
            </w:r>
            <w:r w:rsidRPr="002A66E2">
              <w:rPr>
                <w:rFonts w:cstheme="minorHAnsi"/>
                <w:sz w:val="24"/>
                <w:szCs w:val="24"/>
                <w:lang w:val="hr-HR"/>
              </w:rPr>
              <w:t xml:space="preserve">, tokom juna </w:t>
            </w:r>
            <w:r w:rsidR="00C81D7A">
              <w:rPr>
                <w:rFonts w:cstheme="minorHAnsi"/>
                <w:sz w:val="24"/>
                <w:szCs w:val="24"/>
                <w:lang w:val="hr-HR"/>
              </w:rPr>
              <w:t>2024. godine</w:t>
            </w:r>
            <w:r w:rsidRPr="002A66E2">
              <w:rPr>
                <w:rFonts w:cstheme="minorHAnsi"/>
                <w:sz w:val="24"/>
                <w:szCs w:val="24"/>
                <w:lang w:val="hr-HR"/>
              </w:rPr>
              <w:t>, održana je četvrta misija obuka na daljinu, na temu Snaženje nadzora nad preduzećima u državnom vlasništvu, kako bi zaposleni Direkcije za fiskalne rizike javnih preduzeća ojačali svoje kapacitete za analizu i izvještavanje o fisk</w:t>
            </w:r>
            <w:r w:rsidR="005E58F1">
              <w:rPr>
                <w:rFonts w:cstheme="minorHAnsi"/>
                <w:sz w:val="24"/>
                <w:szCs w:val="24"/>
                <w:lang w:val="hr-HR"/>
              </w:rPr>
              <w:t>l</w:t>
            </w:r>
            <w:r w:rsidRPr="002A66E2">
              <w:rPr>
                <w:rFonts w:cstheme="minorHAnsi"/>
                <w:sz w:val="24"/>
                <w:szCs w:val="24"/>
                <w:lang w:val="hr-HR"/>
              </w:rPr>
              <w:t xml:space="preserve">anim rizicima koji proizilaze iz poslovanja sektora državnih preduzeća. Tokom jeseni 2024. Ministarstvo finansija je samostalno održalo godišnje sastanke sa 13 privrednih društava/javnih preduzeća. U planu je da ovo bude kontinuirana praksa u budućnosti. </w:t>
            </w:r>
          </w:p>
          <w:p w14:paraId="3BAE0988" w14:textId="77777777" w:rsidR="002A66E2" w:rsidRPr="002A66E2" w:rsidRDefault="002A66E2" w:rsidP="002A66E2">
            <w:pPr>
              <w:numPr>
                <w:ilvl w:val="0"/>
                <w:numId w:val="1"/>
              </w:numPr>
              <w:spacing w:line="256" w:lineRule="auto"/>
              <w:contextualSpacing/>
              <w:jc w:val="both"/>
              <w:rPr>
                <w:rFonts w:cstheme="minorHAnsi"/>
                <w:sz w:val="24"/>
                <w:szCs w:val="24"/>
                <w:lang w:val="hr-HR"/>
              </w:rPr>
            </w:pPr>
            <w:r w:rsidRPr="002A66E2">
              <w:rPr>
                <w:rFonts w:cstheme="minorHAnsi"/>
                <w:sz w:val="24"/>
                <w:szCs w:val="24"/>
                <w:lang w:val="hr-HR"/>
              </w:rPr>
              <w:t>Pripremljene pojedinačne analize poslovanja za 15 preduzeća koja su ocijenjena kategorijom visokog fiskalnog rizika (kategorije 4 i 5).</w:t>
            </w:r>
          </w:p>
          <w:p w14:paraId="1EB06978" w14:textId="2C3DCEAF" w:rsidR="002A66E2" w:rsidRPr="002A66E2" w:rsidRDefault="002A66E2" w:rsidP="002A66E2">
            <w:pPr>
              <w:numPr>
                <w:ilvl w:val="0"/>
                <w:numId w:val="1"/>
              </w:numPr>
              <w:spacing w:line="256" w:lineRule="auto"/>
              <w:contextualSpacing/>
              <w:jc w:val="both"/>
              <w:rPr>
                <w:rFonts w:cstheme="minorHAnsi"/>
                <w:sz w:val="24"/>
                <w:szCs w:val="24"/>
                <w:lang w:val="hr-HR"/>
              </w:rPr>
            </w:pPr>
            <w:r w:rsidRPr="002A66E2">
              <w:rPr>
                <w:rFonts w:cstheme="minorHAnsi"/>
                <w:sz w:val="24"/>
                <w:szCs w:val="24"/>
                <w:lang w:val="hr-HR"/>
              </w:rPr>
              <w:t xml:space="preserve">Pripremljena analiza ključnih agregatnih rezultata sektora državnih preduzeća zaključno sa 2023. godinom sa Izjavom o fiskalnim rizicima. Dokument će </w:t>
            </w:r>
            <w:r w:rsidR="00C81D7A">
              <w:rPr>
                <w:rFonts w:cstheme="minorHAnsi"/>
                <w:sz w:val="24"/>
                <w:szCs w:val="24"/>
                <w:lang w:val="hr-HR"/>
              </w:rPr>
              <w:t>tokom</w:t>
            </w:r>
            <w:r w:rsidRPr="002A66E2">
              <w:rPr>
                <w:rFonts w:cstheme="minorHAnsi"/>
                <w:sz w:val="24"/>
                <w:szCs w:val="24"/>
                <w:lang w:val="hr-HR"/>
              </w:rPr>
              <w:t xml:space="preserve"> decembra biti upućen Vladi na razmatranje i usvajanje.</w:t>
            </w:r>
          </w:p>
          <w:p w14:paraId="70CAE9DF" w14:textId="35CEF4D9" w:rsidR="002A66E2" w:rsidRPr="002A66E2" w:rsidRDefault="002A66E2" w:rsidP="002A66E2">
            <w:pPr>
              <w:numPr>
                <w:ilvl w:val="0"/>
                <w:numId w:val="1"/>
              </w:numPr>
              <w:spacing w:line="256" w:lineRule="auto"/>
              <w:contextualSpacing/>
              <w:jc w:val="both"/>
              <w:rPr>
                <w:rFonts w:cstheme="minorHAnsi"/>
                <w:sz w:val="24"/>
                <w:szCs w:val="24"/>
                <w:lang w:val="hr-HR"/>
              </w:rPr>
            </w:pPr>
            <w:r w:rsidRPr="002A66E2">
              <w:rPr>
                <w:rFonts w:cstheme="minorHAnsi"/>
                <w:sz w:val="24"/>
                <w:szCs w:val="24"/>
                <w:lang w:val="hr-HR"/>
              </w:rPr>
              <w:t>U saradnji sa ekspertima S</w:t>
            </w:r>
            <w:r w:rsidR="00C81D7A">
              <w:rPr>
                <w:rFonts w:cstheme="minorHAnsi"/>
                <w:sz w:val="24"/>
                <w:szCs w:val="24"/>
                <w:lang w:val="hr-HR"/>
              </w:rPr>
              <w:t>vjetske banke</w:t>
            </w:r>
            <w:r w:rsidRPr="002A66E2">
              <w:rPr>
                <w:rFonts w:cstheme="minorHAnsi"/>
                <w:sz w:val="24"/>
                <w:szCs w:val="24"/>
                <w:lang w:val="hr-HR"/>
              </w:rPr>
              <w:t>, zaposleni Direkcije za fiskalne rizike, tokom jeseni, pohađaju online obuku na temu SOE Leadership program.</w:t>
            </w:r>
          </w:p>
          <w:p w14:paraId="337B0294" w14:textId="60807678" w:rsidR="002A66E2" w:rsidRPr="002A66E2" w:rsidRDefault="002A66E2" w:rsidP="002A66E2">
            <w:pPr>
              <w:numPr>
                <w:ilvl w:val="0"/>
                <w:numId w:val="1"/>
              </w:numPr>
              <w:spacing w:line="256" w:lineRule="auto"/>
              <w:contextualSpacing/>
              <w:jc w:val="both"/>
              <w:rPr>
                <w:rFonts w:cstheme="minorHAnsi"/>
                <w:sz w:val="24"/>
                <w:szCs w:val="24"/>
                <w:lang w:val="hr-HR"/>
              </w:rPr>
            </w:pPr>
            <w:r w:rsidRPr="002A66E2">
              <w:rPr>
                <w:rFonts w:cstheme="minorHAnsi"/>
                <w:sz w:val="24"/>
                <w:szCs w:val="24"/>
                <w:lang w:val="hr-HR"/>
              </w:rPr>
              <w:t>U oktobru i novembru</w:t>
            </w:r>
            <w:r w:rsidR="00C81D7A">
              <w:rPr>
                <w:rFonts w:cstheme="minorHAnsi"/>
                <w:sz w:val="24"/>
                <w:szCs w:val="24"/>
                <w:lang w:val="hr-HR"/>
              </w:rPr>
              <w:t xml:space="preserve"> 2024. godine</w:t>
            </w:r>
            <w:r w:rsidRPr="002A66E2">
              <w:rPr>
                <w:rFonts w:cstheme="minorHAnsi"/>
                <w:sz w:val="24"/>
                <w:szCs w:val="24"/>
                <w:lang w:val="hr-HR"/>
              </w:rPr>
              <w:t xml:space="preserve"> su održane još dvije misije Svjetske banke sa ciljem implementacije BEST programa- komponente 2 koja se odnosi na Jačanje upravljanja sektorom državnih preduzeća;</w:t>
            </w:r>
          </w:p>
          <w:p w14:paraId="111EB745" w14:textId="309C026D" w:rsidR="002A66E2" w:rsidRPr="002A66E2" w:rsidRDefault="002A66E2" w:rsidP="002A66E2">
            <w:pPr>
              <w:numPr>
                <w:ilvl w:val="0"/>
                <w:numId w:val="1"/>
              </w:numPr>
              <w:spacing w:line="256" w:lineRule="auto"/>
              <w:contextualSpacing/>
              <w:jc w:val="both"/>
              <w:rPr>
                <w:rFonts w:cstheme="minorHAnsi"/>
                <w:sz w:val="24"/>
                <w:szCs w:val="24"/>
                <w:lang w:val="hr-HR"/>
              </w:rPr>
            </w:pPr>
            <w:r w:rsidRPr="002A66E2">
              <w:rPr>
                <w:rFonts w:cstheme="minorHAnsi"/>
                <w:sz w:val="24"/>
                <w:szCs w:val="24"/>
                <w:lang w:val="hr-HR"/>
              </w:rPr>
              <w:t xml:space="preserve">Formirana je radna grupa koja će raditi na pripremi Politike vlasništva i Zakona o upavljanju privrednim društvima u državnom vlasništvu. </w:t>
            </w:r>
          </w:p>
          <w:p w14:paraId="62697AD3" w14:textId="77777777" w:rsidR="002A66E2" w:rsidRPr="002A66E2" w:rsidRDefault="002A66E2" w:rsidP="002A66E2">
            <w:pPr>
              <w:numPr>
                <w:ilvl w:val="0"/>
                <w:numId w:val="1"/>
              </w:numPr>
              <w:spacing w:line="256" w:lineRule="auto"/>
              <w:contextualSpacing/>
              <w:jc w:val="both"/>
              <w:rPr>
                <w:rFonts w:cstheme="minorHAnsi"/>
                <w:sz w:val="24"/>
                <w:szCs w:val="24"/>
                <w:lang w:val="hr-HR"/>
              </w:rPr>
            </w:pPr>
            <w:r w:rsidRPr="002A66E2">
              <w:rPr>
                <w:rFonts w:cstheme="minorHAnsi"/>
                <w:sz w:val="24"/>
                <w:szCs w:val="24"/>
                <w:lang w:val="hr-HR"/>
              </w:rPr>
              <w:t>U procesu finalizacije su dvije radne grupe koje će raditi na implementaciji BEST programa- Koordinacioni tim i operativnii tim.</w:t>
            </w:r>
          </w:p>
          <w:p w14:paraId="0399E9AA" w14:textId="77777777" w:rsidR="002A66E2" w:rsidRPr="002A66E2" w:rsidRDefault="002A66E2" w:rsidP="002A66E2">
            <w:pPr>
              <w:spacing w:line="256" w:lineRule="auto"/>
              <w:ind w:left="720"/>
              <w:contextualSpacing/>
              <w:rPr>
                <w:rFonts w:cstheme="minorHAnsi"/>
                <w:sz w:val="24"/>
                <w:szCs w:val="24"/>
                <w:lang w:val="hr-HR"/>
              </w:rPr>
            </w:pPr>
          </w:p>
          <w:p w14:paraId="42A5DFA5" w14:textId="77777777" w:rsidR="002A66E2" w:rsidRPr="002A66E2" w:rsidRDefault="002A66E2" w:rsidP="002A66E2">
            <w:pPr>
              <w:spacing w:line="256" w:lineRule="auto"/>
              <w:contextualSpacing/>
              <w:rPr>
                <w:rFonts w:cstheme="minorHAnsi"/>
                <w:sz w:val="24"/>
                <w:szCs w:val="24"/>
                <w:u w:val="single"/>
                <w:lang w:val="hr-HR"/>
              </w:rPr>
            </w:pPr>
            <w:r w:rsidRPr="002A66E2">
              <w:rPr>
                <w:rFonts w:cstheme="minorHAnsi"/>
                <w:sz w:val="24"/>
                <w:szCs w:val="24"/>
                <w:u w:val="single"/>
                <w:lang w:val="hr-HR"/>
              </w:rPr>
              <w:t xml:space="preserve">Naredni koraci reforme: </w:t>
            </w:r>
          </w:p>
          <w:p w14:paraId="7081A251" w14:textId="5A2ED149" w:rsidR="002A66E2" w:rsidRPr="002A66E2" w:rsidRDefault="002A66E2" w:rsidP="002A66E2">
            <w:pPr>
              <w:numPr>
                <w:ilvl w:val="0"/>
                <w:numId w:val="2"/>
              </w:numPr>
              <w:spacing w:line="256" w:lineRule="auto"/>
              <w:contextualSpacing/>
              <w:rPr>
                <w:rFonts w:cstheme="minorHAnsi"/>
                <w:sz w:val="24"/>
                <w:szCs w:val="24"/>
                <w:lang w:val="hr-HR"/>
              </w:rPr>
            </w:pPr>
            <w:r w:rsidRPr="002A66E2">
              <w:rPr>
                <w:rFonts w:cstheme="minorHAnsi"/>
                <w:sz w:val="24"/>
                <w:szCs w:val="24"/>
                <w:lang w:val="hr-HR"/>
              </w:rPr>
              <w:t>Pri</w:t>
            </w:r>
            <w:r w:rsidR="00C81D7A">
              <w:rPr>
                <w:rFonts w:cstheme="minorHAnsi"/>
                <w:sz w:val="24"/>
                <w:szCs w:val="24"/>
                <w:lang w:val="hr-HR"/>
              </w:rPr>
              <w:t>p</w:t>
            </w:r>
            <w:r w:rsidRPr="002A66E2">
              <w:rPr>
                <w:rFonts w:cstheme="minorHAnsi"/>
                <w:sz w:val="24"/>
                <w:szCs w:val="24"/>
                <w:lang w:val="hr-HR"/>
              </w:rPr>
              <w:t>rema nacrta zakona o upravljanju privrednim društvima u državnom vlasništvu;</w:t>
            </w:r>
          </w:p>
          <w:p w14:paraId="383CF46A" w14:textId="77777777" w:rsidR="002A66E2" w:rsidRPr="002A66E2" w:rsidRDefault="002A66E2" w:rsidP="002A66E2">
            <w:pPr>
              <w:numPr>
                <w:ilvl w:val="0"/>
                <w:numId w:val="2"/>
              </w:numPr>
              <w:spacing w:line="256" w:lineRule="auto"/>
              <w:contextualSpacing/>
              <w:rPr>
                <w:rFonts w:cstheme="minorHAnsi"/>
                <w:sz w:val="24"/>
                <w:szCs w:val="24"/>
                <w:lang w:val="hr-HR"/>
              </w:rPr>
            </w:pPr>
            <w:r w:rsidRPr="002A66E2">
              <w:rPr>
                <w:rFonts w:cstheme="minorHAnsi"/>
                <w:sz w:val="24"/>
                <w:szCs w:val="24"/>
                <w:lang w:val="hr-HR"/>
              </w:rPr>
              <w:t>Donošenje vlasničke politike Države;</w:t>
            </w:r>
          </w:p>
          <w:p w14:paraId="15794B12" w14:textId="77777777" w:rsidR="002A66E2" w:rsidRPr="002A66E2" w:rsidRDefault="002A66E2" w:rsidP="002A66E2">
            <w:pPr>
              <w:numPr>
                <w:ilvl w:val="0"/>
                <w:numId w:val="2"/>
              </w:numPr>
              <w:spacing w:line="256" w:lineRule="auto"/>
              <w:contextualSpacing/>
              <w:jc w:val="both"/>
              <w:rPr>
                <w:rFonts w:cstheme="minorHAnsi"/>
                <w:sz w:val="24"/>
                <w:szCs w:val="24"/>
                <w:lang w:val="hr-HR"/>
              </w:rPr>
            </w:pPr>
            <w:r w:rsidRPr="002A66E2">
              <w:rPr>
                <w:rFonts w:cstheme="minorHAnsi"/>
                <w:sz w:val="24"/>
                <w:szCs w:val="24"/>
                <w:lang w:val="hr-HR"/>
              </w:rPr>
              <w:t>Priprema strateškog dokumenta za upravljanje javnim preduzećima i privrednim društvima koja su u većinskom državnom vlasništvu sa akcionim planom dalje reforme u sektoru državnih preduzeća.</w:t>
            </w:r>
          </w:p>
          <w:p w14:paraId="72364CAC" w14:textId="77777777" w:rsidR="00F7042B" w:rsidRPr="008016D8" w:rsidRDefault="00F7042B" w:rsidP="008016D8">
            <w:pPr>
              <w:jc w:val="both"/>
              <w:rPr>
                <w:rFonts w:cstheme="minorHAnsi"/>
                <w:sz w:val="24"/>
                <w:szCs w:val="24"/>
                <w:u w:val="single"/>
                <w:lang w:val="sr-Latn-ME"/>
              </w:rPr>
            </w:pPr>
          </w:p>
          <w:p w14:paraId="282849AA" w14:textId="77777777" w:rsidR="00F7042B" w:rsidRPr="008016D8" w:rsidRDefault="00F7042B" w:rsidP="008016D8">
            <w:pPr>
              <w:jc w:val="both"/>
              <w:rPr>
                <w:rFonts w:cstheme="minorHAnsi"/>
                <w:sz w:val="24"/>
                <w:szCs w:val="24"/>
                <w:u w:val="single"/>
                <w:lang w:val="sr-Latn-ME"/>
              </w:rPr>
            </w:pPr>
            <w:r w:rsidRPr="008016D8">
              <w:rPr>
                <w:rFonts w:cstheme="minorHAnsi"/>
                <w:sz w:val="24"/>
                <w:szCs w:val="24"/>
                <w:u w:val="single"/>
                <w:lang w:val="sr-Latn-ME"/>
              </w:rPr>
              <w:t>Procjena upravljanja javnim investicijama (PIMA)</w:t>
            </w:r>
          </w:p>
          <w:p w14:paraId="5FDAB173" w14:textId="77777777" w:rsidR="00F7042B" w:rsidRPr="008016D8" w:rsidRDefault="00F7042B" w:rsidP="008016D8">
            <w:pPr>
              <w:jc w:val="both"/>
              <w:rPr>
                <w:rFonts w:cstheme="minorHAnsi"/>
                <w:sz w:val="24"/>
                <w:szCs w:val="24"/>
                <w:lang w:val="sr-Latn-ME"/>
              </w:rPr>
            </w:pPr>
            <w:r w:rsidRPr="008016D8">
              <w:rPr>
                <w:rFonts w:cstheme="minorHAnsi"/>
                <w:sz w:val="24"/>
                <w:szCs w:val="24"/>
                <w:lang w:val="sr-Latn-ME"/>
              </w:rPr>
              <w:t>U cilju unaprjeđenja aktivnosti planiranja i upravljanja kapitalnim projektima koji se realizuju iz Kapitalnog budžeta Crne Gore, kroz realizaciju preporuka iz izvještaja PIMA-e, Ministarstvo finansija je, sa novom sistematizacijom koja je usvojena u decembru 2023. godine, formiralo posebnu direkciju za upravljanje javnim ulaganjima i politikama javnih nabavki. Razlog navedenom je izgradnja kapaciteta i fokusiranje na unapređenje politike upravljanja svim javnim investicijama, kako kapitalnih projekata finansiranih iz javnih sredstava, tako i projekata javno-privatnog partnerstva.</w:t>
            </w:r>
          </w:p>
          <w:p w14:paraId="63D66F34" w14:textId="77777777" w:rsidR="00F7042B" w:rsidRPr="008016D8" w:rsidRDefault="00F7042B" w:rsidP="008016D8">
            <w:pPr>
              <w:jc w:val="both"/>
              <w:rPr>
                <w:rFonts w:cstheme="minorHAnsi"/>
                <w:sz w:val="24"/>
                <w:szCs w:val="24"/>
                <w:lang w:val="sr-Latn-ME"/>
              </w:rPr>
            </w:pPr>
            <w:r w:rsidRPr="008016D8">
              <w:rPr>
                <w:rFonts w:cstheme="minorHAnsi"/>
                <w:sz w:val="24"/>
                <w:szCs w:val="24"/>
                <w:lang w:val="sr-Latn-ME"/>
              </w:rPr>
              <w:lastRenderedPageBreak/>
              <w:t>U skladu sa utvrđenim procedurama srednjoročnog planiranja budžeta, donošenjem Zakona o budžetu Crne Gore na godišnjem nivou, Ministarstvo finansija planira rashode na trogodišnjem nivou iz opštih prihoda za finansiranje kapitalnog budžeta, dok se projekti iz kredita i donacija EU realizuju do nivoa izvršenja u skladu sa ugovorenim kreditnim aranžmanima i međunarodnim ugovorima, u skladu sa dinamikom povlačenja sredstava.</w:t>
            </w:r>
          </w:p>
          <w:p w14:paraId="34750358" w14:textId="1BBE0C7F" w:rsidR="00F7042B" w:rsidRPr="008016D8" w:rsidRDefault="00F7042B" w:rsidP="008016D8">
            <w:pPr>
              <w:jc w:val="both"/>
              <w:rPr>
                <w:rFonts w:cstheme="minorHAnsi"/>
                <w:sz w:val="24"/>
                <w:szCs w:val="24"/>
                <w:lang w:val="sr-Latn-ME"/>
              </w:rPr>
            </w:pPr>
            <w:r w:rsidRPr="008016D8">
              <w:rPr>
                <w:rFonts w:cstheme="minorHAnsi"/>
                <w:sz w:val="24"/>
                <w:szCs w:val="24"/>
                <w:lang w:val="sr-Latn-ME"/>
              </w:rPr>
              <w:t>Prema preporukama PIMA-e, nakon jačanja institucionalnih kapaciteta i obuke zaposlenih u Ministarstvu finansija, u narednom periodu će se intenzivno raditi na preciznom srednjoročnom planiranju za sve izvore finansiranja, uključujući i nadogradnju</w:t>
            </w:r>
            <w:r w:rsidR="004E629A">
              <w:rPr>
                <w:rFonts w:cstheme="minorHAnsi"/>
                <w:sz w:val="24"/>
                <w:szCs w:val="24"/>
                <w:lang w:val="sr-Latn-ME"/>
              </w:rPr>
              <w:t>softvera za planiranje i izvršenje kapitalnih projekata</w:t>
            </w:r>
            <w:r w:rsidRPr="008016D8">
              <w:rPr>
                <w:rFonts w:cstheme="minorHAnsi"/>
                <w:sz w:val="24"/>
                <w:szCs w:val="24"/>
                <w:lang w:val="sr-Latn-ME"/>
              </w:rPr>
              <w:t>.</w:t>
            </w:r>
          </w:p>
          <w:p w14:paraId="080E1E90" w14:textId="77777777" w:rsidR="00F7042B" w:rsidRPr="008016D8" w:rsidRDefault="00F7042B" w:rsidP="008016D8">
            <w:pPr>
              <w:jc w:val="both"/>
              <w:rPr>
                <w:rFonts w:cstheme="minorHAnsi"/>
                <w:sz w:val="24"/>
                <w:szCs w:val="24"/>
                <w:lang w:val="sr-Latn-ME"/>
              </w:rPr>
            </w:pPr>
            <w:r w:rsidRPr="008016D8">
              <w:rPr>
                <w:rFonts w:cstheme="minorHAnsi"/>
                <w:sz w:val="24"/>
                <w:szCs w:val="24"/>
                <w:lang w:val="sr-Latn-ME"/>
              </w:rPr>
              <w:t>Kao rezultat aktivnosti sprovedenih u proteklih devet mjeseci (Savjet za javne investicije, Registar kapitalnih projekata, Odluka o izradi Kapitalnog budžeta, Fiskalna strategija 2024-2027), stvoreni su preduslovi za detaljniju analizu realizovanih aktivnosti i odabir zrelih projekata koji će se uključiti u kapitalni budžet. Međutim, s obzirom na složenost pojedinih projekata, Ministarstvo je u fazi obezbjeđivanja tehničke podrške od strane međunarodnih partnera, za nekoliko ključnih preporuka iz PIMA izvještaja, kao što su:</w:t>
            </w:r>
          </w:p>
          <w:p w14:paraId="20B73AC1" w14:textId="77777777" w:rsidR="00F7042B" w:rsidRPr="008016D8" w:rsidRDefault="00F7042B" w:rsidP="008016D8">
            <w:pPr>
              <w:jc w:val="both"/>
              <w:rPr>
                <w:rFonts w:cstheme="minorHAnsi"/>
                <w:sz w:val="24"/>
                <w:szCs w:val="24"/>
                <w:lang w:val="sr-Latn-ME"/>
              </w:rPr>
            </w:pPr>
            <w:r w:rsidRPr="008016D8">
              <w:rPr>
                <w:rFonts w:cstheme="minorHAnsi"/>
                <w:sz w:val="24"/>
                <w:szCs w:val="24"/>
                <w:lang w:val="sr-Latn-ME"/>
              </w:rPr>
              <w:t>1) Izrada metodologije procjene za pripremu projekata i centralizovanih smjernica za njihovu implementaciju u cilju poboljšanja kvaliteta projektnih prijedloga;</w:t>
            </w:r>
          </w:p>
          <w:p w14:paraId="3055B9AF" w14:textId="77777777" w:rsidR="00F7042B" w:rsidRPr="008016D8" w:rsidRDefault="00F7042B" w:rsidP="008016D8">
            <w:pPr>
              <w:jc w:val="both"/>
              <w:rPr>
                <w:rFonts w:cstheme="minorHAnsi"/>
                <w:sz w:val="24"/>
                <w:szCs w:val="24"/>
                <w:lang w:val="sr-Latn-ME"/>
              </w:rPr>
            </w:pPr>
            <w:r w:rsidRPr="008016D8">
              <w:rPr>
                <w:rFonts w:cstheme="minorHAnsi"/>
                <w:sz w:val="24"/>
                <w:szCs w:val="24"/>
                <w:lang w:val="sr-Latn-ME"/>
              </w:rPr>
              <w:t>2) Razvoj procedura za obezbeđivanje ex-post evaluacije velikih kapitalnih projekata, kao i razmenu rezultata sa relevantnim zainteresovanim stranama;</w:t>
            </w:r>
          </w:p>
          <w:p w14:paraId="63C1318F" w14:textId="77777777" w:rsidR="00F7042B" w:rsidRPr="008016D8" w:rsidRDefault="00F7042B" w:rsidP="008016D8">
            <w:pPr>
              <w:jc w:val="both"/>
              <w:rPr>
                <w:rFonts w:cstheme="minorHAnsi"/>
                <w:sz w:val="24"/>
                <w:szCs w:val="24"/>
              </w:rPr>
            </w:pPr>
            <w:r w:rsidRPr="008016D8">
              <w:rPr>
                <w:rFonts w:cstheme="minorHAnsi"/>
                <w:sz w:val="24"/>
                <w:szCs w:val="24"/>
                <w:lang w:val="sr-Latn-ME"/>
              </w:rPr>
              <w:t>3) Izrada master plana za razvoj infrastrukture (već smo formirali interresorni tim) i metodologije za planiranje, održavanje i budžetiranje velikih infrastrukturnih projekata, uključujući rutinsko (tekuće) održavanje i veliku obnovu ili rekonstrukciju (kapitalno ili investiciono održavanje).</w:t>
            </w:r>
          </w:p>
        </w:tc>
      </w:tr>
      <w:bookmarkEnd w:id="7"/>
      <w:tr w:rsidR="00F7042B" w:rsidRPr="008016D8" w14:paraId="02F8E7D5" w14:textId="77777777" w:rsidTr="006A00CE">
        <w:tc>
          <w:tcPr>
            <w:tcW w:w="9175" w:type="dxa"/>
            <w:shd w:val="clear" w:color="auto" w:fill="D9E2F3" w:themeFill="accent1" w:themeFillTint="33"/>
            <w:tcMar>
              <w:top w:w="144" w:type="dxa"/>
              <w:left w:w="58" w:type="dxa"/>
              <w:bottom w:w="144" w:type="dxa"/>
              <w:right w:w="58" w:type="dxa"/>
            </w:tcMar>
          </w:tcPr>
          <w:p w14:paraId="123E8174" w14:textId="77777777" w:rsidR="00F7042B" w:rsidRPr="008016D8" w:rsidRDefault="00F7042B" w:rsidP="008016D8">
            <w:pPr>
              <w:pStyle w:val="NormalWeb"/>
              <w:spacing w:line="256" w:lineRule="auto"/>
              <w:jc w:val="both"/>
              <w:rPr>
                <w:rFonts w:asciiTheme="minorHAnsi" w:hAnsiTheme="minorHAnsi" w:cstheme="minorHAnsi"/>
                <w:i/>
              </w:rPr>
            </w:pPr>
            <w:r w:rsidRPr="008016D8">
              <w:rPr>
                <w:rFonts w:asciiTheme="minorHAnsi" w:hAnsiTheme="minorHAnsi" w:cstheme="minorHAnsi"/>
                <w:b/>
                <w:bCs/>
                <w:i/>
                <w:lang w:val="sr-Latn-ME"/>
              </w:rPr>
              <w:lastRenderedPageBreak/>
              <w:t>Preporuka 3. Nastavi sa temeljnom procjenom kretanja cijena i bude spremna da koristi ograničene alate koji su dostupni u okviru odabranog monetarnog okvira kako bi se osigurala stabilnost cijena. Napreduje u implementaciji podzakonskih akata za Zakon o kreditnim institucijama i Zakona o sanaciji kreditnih institucija i transponovanje Direktive o oporavku i sanaciji banaka II. Dalje poboljša nadzor zasnovan na riziku u skladu s najboljom međunarodnom i evropskom praksom, uključujući poboljšanje prikupljanja podataka kako bi se omogućila sveobuhvatna procjena rizika finansijskog sektora.</w:t>
            </w:r>
          </w:p>
        </w:tc>
      </w:tr>
      <w:tr w:rsidR="00F7042B" w:rsidRPr="008016D8" w14:paraId="63B23DB8" w14:textId="77777777" w:rsidTr="006A00CE">
        <w:tc>
          <w:tcPr>
            <w:tcW w:w="9175" w:type="dxa"/>
            <w:tcMar>
              <w:top w:w="144" w:type="dxa"/>
              <w:left w:w="58" w:type="dxa"/>
              <w:bottom w:w="144" w:type="dxa"/>
              <w:right w:w="58" w:type="dxa"/>
            </w:tcMar>
          </w:tcPr>
          <w:p w14:paraId="21E27BB2" w14:textId="77777777" w:rsidR="00F7042B" w:rsidRPr="008016D8" w:rsidRDefault="00F7042B" w:rsidP="008016D8">
            <w:pPr>
              <w:spacing w:before="240" w:after="240" w:line="276" w:lineRule="auto"/>
              <w:jc w:val="both"/>
              <w:rPr>
                <w:rFonts w:eastAsia="Times New Roman" w:cstheme="minorHAnsi"/>
                <w:bCs/>
                <w:sz w:val="24"/>
                <w:szCs w:val="24"/>
                <w:u w:val="single"/>
                <w:lang w:val="bs-Latn-BA"/>
              </w:rPr>
            </w:pPr>
            <w:r w:rsidRPr="008016D8">
              <w:rPr>
                <w:rFonts w:eastAsia="Times New Roman" w:cstheme="minorHAnsi"/>
                <w:bCs/>
                <w:sz w:val="24"/>
                <w:szCs w:val="24"/>
                <w:u w:val="single"/>
                <w:lang w:val="bs-Latn-BA"/>
              </w:rPr>
              <w:t>Procjena kretanja cijena</w:t>
            </w:r>
          </w:p>
          <w:p w14:paraId="27D0B9AD" w14:textId="5937B520" w:rsidR="00EE351C" w:rsidRDefault="00467A48" w:rsidP="00A24AC4">
            <w:pPr>
              <w:jc w:val="both"/>
              <w:rPr>
                <w:rFonts w:cstheme="minorHAnsi"/>
                <w:sz w:val="24"/>
                <w:szCs w:val="24"/>
              </w:rPr>
            </w:pPr>
            <w:r>
              <w:rPr>
                <w:rFonts w:cstheme="minorHAnsi"/>
                <w:sz w:val="24"/>
                <w:szCs w:val="24"/>
              </w:rPr>
              <w:t xml:space="preserve">U toku 2024. godine, Crna Gora bilježi pozitivne trendove kada </w:t>
            </w:r>
            <w:r w:rsidR="0047525B">
              <w:rPr>
                <w:rFonts w:cstheme="minorHAnsi"/>
                <w:sz w:val="24"/>
                <w:szCs w:val="24"/>
              </w:rPr>
              <w:t xml:space="preserve">je </w:t>
            </w:r>
            <w:r>
              <w:rPr>
                <w:rFonts w:cstheme="minorHAnsi"/>
                <w:sz w:val="24"/>
                <w:szCs w:val="24"/>
              </w:rPr>
              <w:t xml:space="preserve">u pitanju </w:t>
            </w:r>
            <w:r w:rsidR="0047525B">
              <w:rPr>
                <w:rFonts w:cstheme="minorHAnsi"/>
                <w:sz w:val="24"/>
                <w:szCs w:val="24"/>
              </w:rPr>
              <w:t xml:space="preserve">ograničavanje </w:t>
            </w:r>
            <w:r>
              <w:rPr>
                <w:rFonts w:cstheme="minorHAnsi"/>
                <w:sz w:val="24"/>
                <w:szCs w:val="24"/>
              </w:rPr>
              <w:t>inflatorn</w:t>
            </w:r>
            <w:r w:rsidR="0047525B">
              <w:rPr>
                <w:rFonts w:cstheme="minorHAnsi"/>
                <w:sz w:val="24"/>
                <w:szCs w:val="24"/>
              </w:rPr>
              <w:t>ih</w:t>
            </w:r>
            <w:r>
              <w:rPr>
                <w:rFonts w:cstheme="minorHAnsi"/>
                <w:sz w:val="24"/>
                <w:szCs w:val="24"/>
              </w:rPr>
              <w:t xml:space="preserve"> </w:t>
            </w:r>
            <w:r w:rsidR="0047525B">
              <w:rPr>
                <w:rFonts w:cstheme="minorHAnsi"/>
                <w:sz w:val="24"/>
                <w:szCs w:val="24"/>
              </w:rPr>
              <w:t>pritisaka</w:t>
            </w:r>
            <w:r>
              <w:rPr>
                <w:rFonts w:cstheme="minorHAnsi"/>
                <w:sz w:val="24"/>
                <w:szCs w:val="24"/>
              </w:rPr>
              <w:t xml:space="preserve">. U oktobru mjesecu godišnja inflacija iznosila je 1,2%, </w:t>
            </w:r>
            <w:r w:rsidR="00396628">
              <w:rPr>
                <w:rFonts w:cstheme="minorHAnsi"/>
                <w:sz w:val="24"/>
                <w:szCs w:val="24"/>
              </w:rPr>
              <w:t xml:space="preserve">što je najniža stopa </w:t>
            </w:r>
            <w:r w:rsidR="00396628">
              <w:rPr>
                <w:rFonts w:cstheme="minorHAnsi"/>
                <w:sz w:val="24"/>
                <w:szCs w:val="24"/>
              </w:rPr>
              <w:lastRenderedPageBreak/>
              <w:t xml:space="preserve">inflacije od marta 2021. Godine. U isto vrijeme </w:t>
            </w:r>
            <w:r>
              <w:rPr>
                <w:rFonts w:cstheme="minorHAnsi"/>
                <w:sz w:val="24"/>
                <w:szCs w:val="24"/>
              </w:rPr>
              <w:t xml:space="preserve">mjesečna stopa inflacija iznosila </w:t>
            </w:r>
            <w:r w:rsidR="00396628">
              <w:rPr>
                <w:rFonts w:cstheme="minorHAnsi"/>
                <w:sz w:val="24"/>
                <w:szCs w:val="24"/>
              </w:rPr>
              <w:t xml:space="preserve">je </w:t>
            </w:r>
            <w:r>
              <w:rPr>
                <w:rFonts w:cstheme="minorHAnsi"/>
                <w:sz w:val="24"/>
                <w:szCs w:val="24"/>
              </w:rPr>
              <w:t xml:space="preserve">0%. U septembru i oktobu mjesecu, zabilježen je pad cijena hrane, čemu je doprinijelo sprovođenje vladine akcije ograničavanja marži u većim trgovinama. </w:t>
            </w:r>
            <w:r w:rsidR="0047525B">
              <w:rPr>
                <w:rFonts w:cstheme="minorHAnsi"/>
                <w:sz w:val="24"/>
                <w:szCs w:val="24"/>
              </w:rPr>
              <w:t>U isto vrijeme, godišnja stopa inflacije u euro zoni iznosila je 2%</w:t>
            </w:r>
            <w:r w:rsidR="002C4B11">
              <w:rPr>
                <w:rFonts w:cstheme="minorHAnsi"/>
                <w:sz w:val="24"/>
                <w:szCs w:val="24"/>
              </w:rPr>
              <w:t>.</w:t>
            </w:r>
          </w:p>
          <w:p w14:paraId="38412BC3" w14:textId="1B264FD1" w:rsidR="00A24AC4" w:rsidRDefault="00A24AC4" w:rsidP="00A24AC4">
            <w:pPr>
              <w:jc w:val="both"/>
              <w:rPr>
                <w:rFonts w:cstheme="minorHAnsi"/>
                <w:sz w:val="24"/>
                <w:szCs w:val="24"/>
              </w:rPr>
            </w:pPr>
            <w:r w:rsidRPr="002A7B8B">
              <w:rPr>
                <w:rFonts w:cstheme="minorHAnsi"/>
                <w:sz w:val="24"/>
                <w:szCs w:val="24"/>
              </w:rPr>
              <w:t>C</w:t>
            </w:r>
            <w:r>
              <w:rPr>
                <w:rFonts w:cstheme="minorHAnsi"/>
                <w:sz w:val="24"/>
                <w:szCs w:val="24"/>
              </w:rPr>
              <w:t>entralna banka Crne Gore</w:t>
            </w:r>
            <w:r w:rsidRPr="002A7B8B">
              <w:rPr>
                <w:rFonts w:cstheme="minorHAnsi"/>
                <w:sz w:val="24"/>
                <w:szCs w:val="24"/>
              </w:rPr>
              <w:t xml:space="preserve"> kontinuirano prati i analizira kretanje cijena u Crnoj Gori kako bi se osigurala stabilnost cijena. Projekcije inflacije se rade kvartalno za period od 12 mjeseci, uzimajući u obzir unutrašnje i spoljne faktore koji utiču na inflaciju. Pored toga, prate se i analiziraju inflatorna očekivanja na osnovu podataka dobijenih kroz anketiranja preduzeća i banaka koja se sprovode kvartalno. Procijenjena stopa inflacije za 2024. godinu iznosi u rasponu od 2% do 4%, sa centralnom tendencijom od 3%. Osim toga, urađena je radna studija koja analizira uticaj domaćih i međunarodnih faktora na inflaciju u Crnoj Gori od januara 2006. do decembra 2023. godine, i promoviše model inflacije koji profiliše međuzavisnost unutrašnjih i spoljašnjih inflatornih determinanti.</w:t>
            </w:r>
          </w:p>
          <w:p w14:paraId="71060AE1" w14:textId="77777777" w:rsidR="00A24AC4" w:rsidRDefault="00A24AC4" w:rsidP="00A24AC4">
            <w:pPr>
              <w:jc w:val="both"/>
              <w:rPr>
                <w:rFonts w:cstheme="minorHAnsi"/>
                <w:sz w:val="24"/>
                <w:szCs w:val="24"/>
              </w:rPr>
            </w:pPr>
            <w:r w:rsidRPr="002A7B8B">
              <w:rPr>
                <w:rFonts w:cstheme="minorHAnsi"/>
                <w:sz w:val="24"/>
                <w:szCs w:val="24"/>
              </w:rPr>
              <w:t>U cilju prevazilaženja jaza u statistici cijena nekretnina, CBCG sprovodi polugodišnje istraživanje o subjektivnoj perspektivi stanovništva u pogledu cijena nekretnina. Na osnovu ovih rezultata izračunava se hedonistički indeks. Iz svih dostupnih podataka proizilazi da su cijene nekretnina prvenstveno vođene direktnim stranim investicijama (SDI) u nekretnine. Prilivi SDI u nekretnine iznosili su oko 6,4% BDP-a godišnje od 2021. godine, u poređenju sa 3,5% u periodu od 2015. do 2020. godine.</w:t>
            </w:r>
          </w:p>
          <w:p w14:paraId="3E38F303" w14:textId="5371F36D" w:rsidR="00A24AC4" w:rsidRPr="002A7B8B" w:rsidRDefault="00A24AC4" w:rsidP="00A24AC4">
            <w:pPr>
              <w:jc w:val="both"/>
              <w:rPr>
                <w:rFonts w:cstheme="minorHAnsi"/>
                <w:sz w:val="24"/>
                <w:szCs w:val="24"/>
              </w:rPr>
            </w:pPr>
            <w:r w:rsidRPr="002A7B8B">
              <w:rPr>
                <w:rFonts w:cstheme="minorHAnsi"/>
                <w:sz w:val="24"/>
                <w:szCs w:val="24"/>
              </w:rPr>
              <w:t xml:space="preserve"> Najnovija preliminarna procjena odstupanja cijena nekretnina u odnosu na njihovu baznu vrijednost u periodu 2006 - 2024. godina, pokazala je da su cijene u drugom kvartalu 2024. godine umjereno precijenjene, u manjoj mjeri nego na kraju 2023. godine. Prisutan je usporeni pad cijena nekretnina ka njihovoj fer vrijednosti. Međutim, ovaj pad nije nagli ili trenutni kao 2008-2009. godine već se čini prilično postepenim, čime se ublažava svaki rizik od cjenovnog balona na tržištu nekretnina, što je pozitivno u kontekstu finansijske stabilnosti. Pored toga, CBCG je koristila raspoložive makroprudencijalne instrumente da zaštiti finansijsku stabilnost od rizika koji bi se sa tržišta nekretnina mogli preliti na bankarski sektor. CBCG je u martu 2024. godine usvojila mjere za podizanje stope kontracikličkog bafera sa 0% na 0,5%, koji će biti na snazi od aprila 2025. godine.</w:t>
            </w:r>
          </w:p>
          <w:p w14:paraId="683131C1" w14:textId="77777777" w:rsidR="00F7042B" w:rsidRPr="008016D8" w:rsidRDefault="00F7042B" w:rsidP="008016D8">
            <w:pPr>
              <w:spacing w:before="240" w:after="120" w:line="276" w:lineRule="auto"/>
              <w:rPr>
                <w:rFonts w:eastAsia="Times New Roman" w:cstheme="minorHAnsi"/>
                <w:bCs/>
                <w:sz w:val="24"/>
                <w:szCs w:val="24"/>
                <w:u w:val="single"/>
                <w:lang w:val="bs-Latn-BA"/>
              </w:rPr>
            </w:pPr>
            <w:r w:rsidRPr="008016D8">
              <w:rPr>
                <w:rFonts w:eastAsia="Times New Roman" w:cstheme="minorHAnsi"/>
                <w:bCs/>
                <w:sz w:val="24"/>
                <w:szCs w:val="24"/>
                <w:u w:val="single"/>
                <w:lang w:val="bs-Latn-BA"/>
              </w:rPr>
              <w:t>Napredak u implementaciji zakonodavstva</w:t>
            </w:r>
          </w:p>
          <w:p w14:paraId="18096FE7" w14:textId="3C57A464" w:rsidR="00A24AC4" w:rsidRPr="002A7B8B" w:rsidRDefault="00A24AC4" w:rsidP="00A24AC4">
            <w:pPr>
              <w:jc w:val="both"/>
              <w:rPr>
                <w:rFonts w:cstheme="minorHAnsi"/>
                <w:sz w:val="24"/>
                <w:szCs w:val="24"/>
              </w:rPr>
            </w:pPr>
            <w:r w:rsidRPr="002A7B8B">
              <w:rPr>
                <w:rFonts w:cstheme="minorHAnsi"/>
                <w:sz w:val="24"/>
                <w:szCs w:val="24"/>
              </w:rPr>
              <w:t xml:space="preserve">U cilju realizacije preporuke Evropske komisije br. 3 u dijelu: </w:t>
            </w:r>
            <w:r w:rsidRPr="002A7B8B">
              <w:rPr>
                <w:rFonts w:cstheme="minorHAnsi"/>
                <w:b/>
                <w:bCs/>
                <w:sz w:val="24"/>
                <w:szCs w:val="24"/>
              </w:rPr>
              <w:t>“Napreduje u implementaciji podzakonskih akata za Zakon o kreditnim institucijama i Zakon o sanaciji kreditnih institucija i transponovanje Direktive o oporavku i sanaciji banaka II”,</w:t>
            </w:r>
            <w:r w:rsidRPr="002A7B8B">
              <w:rPr>
                <w:rFonts w:cstheme="minorHAnsi"/>
                <w:sz w:val="24"/>
                <w:szCs w:val="24"/>
              </w:rPr>
              <w:t xml:space="preserve"> CBCG je intenzivirala aktivnosti usmjerene kako na unapređenje zakona iz oblasti supervizije i sanacije kreditnih institucija, tako i na izradu podzakonske regulative za njihovo sprovođenje. </w:t>
            </w:r>
          </w:p>
          <w:p w14:paraId="3D16B421" w14:textId="77777777" w:rsidR="00A24AC4" w:rsidRPr="002A7B8B" w:rsidRDefault="00A24AC4" w:rsidP="00A24AC4">
            <w:pPr>
              <w:jc w:val="both"/>
              <w:rPr>
                <w:rFonts w:cstheme="minorHAnsi"/>
                <w:sz w:val="24"/>
                <w:szCs w:val="24"/>
                <w:highlight w:val="green"/>
              </w:rPr>
            </w:pPr>
            <w:r w:rsidRPr="002A7B8B">
              <w:rPr>
                <w:rFonts w:cstheme="minorHAnsi"/>
                <w:sz w:val="24"/>
                <w:szCs w:val="24"/>
              </w:rPr>
              <w:lastRenderedPageBreak/>
              <w:t>CBCG je u cilju potpunog ukslađivanja sa BRRD2 zahtjevima pripemila predloge izmjena i dopuna Zakona o sanaciji kreditnih institucija i Zakona o stečaju i likvidaciji banaka, koje je usvojila Skupština Crne Gore 19.11.2024. godine, kao i predlog izmjena i dopuna Zakona o kreditnim institucijama u cilju finalnog usklađivanja sa zahtjevima CRD5/CRR2 (u proceduri usvajanja). U okviru ovih aktivnosti, intenzivno se radi i na usaglašavanju podzakonske regulative koja proizilazi iz pomenutih zakona.</w:t>
            </w:r>
            <w:r w:rsidRPr="002A7B8B">
              <w:rPr>
                <w:rFonts w:cstheme="minorHAnsi"/>
                <w:sz w:val="24"/>
                <w:szCs w:val="24"/>
                <w:highlight w:val="green"/>
              </w:rPr>
              <w:t xml:space="preserve"> </w:t>
            </w:r>
          </w:p>
          <w:p w14:paraId="2B092D35" w14:textId="77777777" w:rsidR="00A24AC4" w:rsidRPr="002A7B8B" w:rsidRDefault="00A24AC4" w:rsidP="00A24AC4">
            <w:pPr>
              <w:jc w:val="both"/>
              <w:rPr>
                <w:rFonts w:cstheme="minorHAnsi"/>
                <w:sz w:val="24"/>
                <w:szCs w:val="24"/>
              </w:rPr>
            </w:pPr>
            <w:r w:rsidRPr="002A7B8B">
              <w:rPr>
                <w:rFonts w:cstheme="minorHAnsi"/>
                <w:sz w:val="24"/>
                <w:szCs w:val="24"/>
              </w:rPr>
              <w:t>U oblasti supervizije kreditnih institucija, u junu 2024. godine usvojena je Odluka o izmjenama i dopunama Odluke o minimalnim standardima za upravljanje rizicima u kreditnim institucijama („Službeni list CG“ broj 62/24), koja će se primjenjivati od 1. jula 2025. godine, a kojom je izvršeno usaglašavanje sa EU propisima po pitanju IRRBB zahtjeva.</w:t>
            </w:r>
          </w:p>
          <w:p w14:paraId="1A180E37" w14:textId="77777777" w:rsidR="00A24AC4" w:rsidRPr="002A7B8B" w:rsidRDefault="00A24AC4" w:rsidP="00A24AC4">
            <w:pPr>
              <w:jc w:val="both"/>
              <w:rPr>
                <w:rFonts w:cstheme="minorHAnsi"/>
                <w:sz w:val="24"/>
                <w:szCs w:val="24"/>
              </w:rPr>
            </w:pPr>
            <w:r w:rsidRPr="002A7B8B">
              <w:rPr>
                <w:rFonts w:cstheme="minorHAnsi"/>
                <w:sz w:val="24"/>
                <w:szCs w:val="24"/>
              </w:rPr>
              <w:t>Takođe, pripremljena je i izmjena Odluke o upravljanju rizikom likvidnosti u kreditnim institucijama kojom se prenose EU zahtjevi za NSFR</w:t>
            </w:r>
            <w:r w:rsidRPr="002A7B8B">
              <w:rPr>
                <w:rStyle w:val="FootnoteReference"/>
                <w:rFonts w:cstheme="minorHAnsi"/>
                <w:sz w:val="24"/>
                <w:szCs w:val="24"/>
              </w:rPr>
              <w:footnoteReference w:id="1"/>
            </w:r>
            <w:r w:rsidRPr="002A7B8B">
              <w:rPr>
                <w:rFonts w:cstheme="minorHAnsi"/>
                <w:sz w:val="24"/>
                <w:szCs w:val="24"/>
              </w:rPr>
              <w:t>, a u vezi sa čijom primjenom je u septembru 2024. godine sprovedena i analiza uticaja (QIS</w:t>
            </w:r>
            <w:r w:rsidRPr="002A7B8B">
              <w:rPr>
                <w:rStyle w:val="FootnoteReference"/>
                <w:rFonts w:cstheme="minorHAnsi"/>
                <w:sz w:val="24"/>
                <w:szCs w:val="24"/>
              </w:rPr>
              <w:footnoteReference w:id="2"/>
            </w:r>
            <w:r w:rsidRPr="002A7B8B">
              <w:rPr>
                <w:rFonts w:cstheme="minorHAnsi"/>
                <w:sz w:val="24"/>
                <w:szCs w:val="24"/>
              </w:rPr>
              <w:t>) na kreditne institucije i bankarski sistem. Pripremljene su i izmjene odluka kojima se regulišu primanja u kreditnim institucijama, primjerenost članova organa upravljanja u kreditnim institucijama, velike izloženosti, dalje izmjene odluke o upravljanju rizicima, a u pripremi su izmjene propisa u vezi sa adekvatnosti kapitala I izvještavanja kreditnih institucija. Svi navedeni propisi, kao i ostali koji proizilaze iz ovog zakona, biće usvojeni po usvajanju i stupanju na snagu izmjena zakona.</w:t>
            </w:r>
          </w:p>
          <w:p w14:paraId="27E62428" w14:textId="77777777" w:rsidR="00A24AC4" w:rsidRPr="002A7B8B" w:rsidRDefault="00A24AC4" w:rsidP="00A24AC4">
            <w:pPr>
              <w:jc w:val="both"/>
              <w:rPr>
                <w:rFonts w:cstheme="minorHAnsi"/>
                <w:sz w:val="24"/>
                <w:szCs w:val="24"/>
              </w:rPr>
            </w:pPr>
            <w:r w:rsidRPr="002A7B8B">
              <w:rPr>
                <w:rFonts w:cstheme="minorHAnsi"/>
                <w:sz w:val="24"/>
                <w:szCs w:val="24"/>
              </w:rPr>
              <w:t>U pogledu sprovođenja makroprudencijalnih mjera uvedenih u cilju sprečavanja negativnih uticaja COVID-19 i situacije u Ukrajini na finansijski sistem, CBCG je u aprilu 2024. godine usvojila Odluku o prestanku važenja Odluke o privremenim mjerama za ublažavanje negativnih uticaja epidemije zarazne bolesti COVID 19 i situacije u Ukrajini na finansijski sistem („Službeni list CG“ broj 35/24), čime se u potpunosti prestaje sa primjenom ovih mjera u bankarskom sektoru.</w:t>
            </w:r>
          </w:p>
          <w:p w14:paraId="4305D3A5" w14:textId="77777777" w:rsidR="00A24AC4" w:rsidRPr="002A7B8B" w:rsidRDefault="00A24AC4" w:rsidP="00A24AC4">
            <w:pPr>
              <w:jc w:val="both"/>
              <w:rPr>
                <w:rFonts w:cstheme="minorHAnsi"/>
                <w:sz w:val="24"/>
                <w:szCs w:val="24"/>
              </w:rPr>
            </w:pPr>
            <w:r w:rsidRPr="002A7B8B">
              <w:rPr>
                <w:rFonts w:cstheme="minorHAnsi"/>
                <w:sz w:val="24"/>
                <w:szCs w:val="24"/>
              </w:rPr>
              <w:t>U cilju ispunjavanja obaveza o pristupanju Crne Gore Evropskoj uniji koja se odnosi na usklađivanje sa Direktivom 2002/87/EZ o dodatnom nadzoru kreditnih institucija, društava za osiguranje i investicionih društava u finansijskom konglomeratu, konačan predlog zakona je zajedno sa obaveznom pratećom dokumentacijom upućen u proceduru za usvajanje u julu 2024. godine. Planirani rok za usvajanje ovog zakona je IV kvartal 2024 godine.</w:t>
            </w:r>
          </w:p>
          <w:p w14:paraId="519534DC" w14:textId="77777777" w:rsidR="00A24AC4" w:rsidRPr="002A7B8B" w:rsidRDefault="00A24AC4" w:rsidP="00A24AC4">
            <w:pPr>
              <w:jc w:val="both"/>
              <w:rPr>
                <w:rFonts w:cstheme="minorHAnsi"/>
                <w:sz w:val="24"/>
                <w:szCs w:val="24"/>
              </w:rPr>
            </w:pPr>
            <w:r w:rsidRPr="002A7B8B">
              <w:rPr>
                <w:rFonts w:cstheme="minorHAnsi"/>
                <w:sz w:val="24"/>
                <w:szCs w:val="24"/>
              </w:rPr>
              <w:t xml:space="preserve">Na kraju, u okviru projekta unapređenja regulatornog okvira kojim se reguliše poslovanje pružaoca finansijskih usluga, zasnovan na Zakonu o finansijskom lizingu, faktoringu, otkupu potraživanja, mikrokreditiranju i kreditno-garantnim poslovima, CBCG je pripremila i proslijedila u dalju proceduru za usvajanje u septembru 2024. godine konačnu verziju predloga </w:t>
            </w:r>
            <w:r w:rsidRPr="002A7B8B">
              <w:rPr>
                <w:rFonts w:cstheme="minorHAnsi"/>
                <w:sz w:val="24"/>
                <w:szCs w:val="24"/>
              </w:rPr>
              <w:lastRenderedPageBreak/>
              <w:t xml:space="preserve">izmjena i dopuna pomenutog zakona. Rok za usvajanje ovog zakona je takođe IV kvartal 2024. godine.  Centralna banka je nastavila sa pripremom pratećih podzakonskih propisa. </w:t>
            </w:r>
          </w:p>
          <w:p w14:paraId="6419C68B" w14:textId="77777777" w:rsidR="00A24AC4" w:rsidRPr="002A7B8B" w:rsidRDefault="00A24AC4" w:rsidP="00A24AC4">
            <w:pPr>
              <w:jc w:val="both"/>
              <w:rPr>
                <w:rFonts w:cstheme="minorHAnsi"/>
                <w:b/>
                <w:sz w:val="24"/>
                <w:szCs w:val="24"/>
              </w:rPr>
            </w:pPr>
            <w:r w:rsidRPr="002A7B8B">
              <w:rPr>
                <w:rFonts w:cstheme="minorHAnsi"/>
                <w:sz w:val="24"/>
                <w:szCs w:val="24"/>
              </w:rPr>
              <w:t>Centralna banka u kontinuitetu ostvaruje komunikaciju sa kreditnim institucijama i drugim subjektima supervizije u cilju pružanja podrške i neophodne pomoći tim institucijama u primjeni svih postojećih zakonskih i podzakonskih propisa.</w:t>
            </w:r>
          </w:p>
          <w:p w14:paraId="62D6C0E0" w14:textId="618AC934" w:rsidR="00A24AC4" w:rsidRPr="008016D8" w:rsidRDefault="00A24AC4" w:rsidP="00541F1D">
            <w:pPr>
              <w:jc w:val="both"/>
              <w:rPr>
                <w:rFonts w:cstheme="minorHAnsi"/>
                <w:iCs/>
                <w:sz w:val="24"/>
                <w:szCs w:val="24"/>
              </w:rPr>
            </w:pPr>
            <w:r w:rsidRPr="002A7B8B">
              <w:rPr>
                <w:rFonts w:cstheme="minorHAnsi"/>
                <w:sz w:val="24"/>
                <w:szCs w:val="24"/>
              </w:rPr>
              <w:t xml:space="preserve">U cilju realizacije preporuke Evropske komisije br.3 u dijelu </w:t>
            </w:r>
            <w:r w:rsidRPr="002A7B8B">
              <w:rPr>
                <w:rFonts w:cstheme="minorHAnsi"/>
                <w:b/>
                <w:bCs/>
                <w:sz w:val="24"/>
                <w:szCs w:val="24"/>
              </w:rPr>
              <w:t>“Dalje poboljša nadzor zasnovan na riziku u skladu s najboljom međunarodnom i evropskom praksom, uključujući poboljšanje prikupljanja podataka kako bi se omogućila sveobuhvatna procjena rizika finansijskog sektora</w:t>
            </w:r>
            <w:r w:rsidRPr="002A7B8B">
              <w:rPr>
                <w:rFonts w:cstheme="minorHAnsi"/>
                <w:sz w:val="24"/>
                <w:szCs w:val="24"/>
              </w:rPr>
              <w:t>”, CBCG je sredinom 2024. inicirala prikupljanje podataka o zaduženosti dužnika koji je fizičko lice, na nivou svake pojedinačne kreditne partije odobrene u datom mjesecu. U pitanju su podaci koje su banke i do sada bile u obavezi da računaju, ali bez obaveze dostavljanja prema CBCG. U srednjem roku, sprovešće se detaljno definisanje tih podataka i njihovo dostavljanje kroz Kreditni registar, čime će se obuhvat dostupnih podataka neophodnih za praćenje sistemskih rizika bitno proširiti.</w:t>
            </w:r>
          </w:p>
        </w:tc>
      </w:tr>
    </w:tbl>
    <w:p w14:paraId="47F6AEB5" w14:textId="342D7C12" w:rsidR="00F7042B" w:rsidRDefault="00F7042B" w:rsidP="00F7042B">
      <w:pPr>
        <w:rPr>
          <w:rFonts w:cstheme="minorHAnsi"/>
          <w:sz w:val="24"/>
          <w:szCs w:val="24"/>
        </w:rPr>
      </w:pPr>
    </w:p>
    <w:p w14:paraId="4FFD9F59" w14:textId="4FD6E6E2" w:rsidR="00E05341" w:rsidRDefault="00E05341" w:rsidP="00F7042B">
      <w:pPr>
        <w:rPr>
          <w:rFonts w:cstheme="minorHAnsi"/>
          <w:sz w:val="24"/>
          <w:szCs w:val="24"/>
        </w:rPr>
      </w:pPr>
    </w:p>
    <w:p w14:paraId="6AE0810E" w14:textId="01858872" w:rsidR="00EA0E2C" w:rsidRPr="00553506" w:rsidRDefault="00BE0D91" w:rsidP="00EA0E2C">
      <w:pPr>
        <w:pStyle w:val="Heading2"/>
        <w:shd w:val="clear" w:color="auto" w:fill="9CC2E5" w:themeFill="accent5" w:themeFillTint="99"/>
        <w:spacing w:after="240"/>
        <w:rPr>
          <w:rFonts w:cstheme="majorHAnsi"/>
          <w:b/>
          <w:color w:val="4472C4" w:themeColor="accent1"/>
          <w:lang w:val="sr-Latn-ME"/>
        </w:rPr>
      </w:pPr>
      <w:bookmarkStart w:id="8" w:name="_Toc184111617"/>
      <w:r>
        <w:rPr>
          <w:rFonts w:cstheme="majorHAnsi"/>
          <w:b/>
          <w:color w:val="4472C4" w:themeColor="accent1"/>
          <w:lang w:val="sr-Latn-ME"/>
        </w:rPr>
        <w:t>3</w:t>
      </w:r>
      <w:r w:rsidR="00EA0E2C" w:rsidRPr="00553506">
        <w:rPr>
          <w:rFonts w:cstheme="majorHAnsi"/>
          <w:b/>
          <w:color w:val="4472C4" w:themeColor="accent1"/>
          <w:lang w:val="sr-Latn-ME"/>
        </w:rPr>
        <w:t>. MAKROEKONOMSKI OKVIR</w:t>
      </w:r>
      <w:bookmarkEnd w:id="8"/>
    </w:p>
    <w:p w14:paraId="39D390A7" w14:textId="77777777" w:rsidR="00E05341" w:rsidRPr="004A4EB8" w:rsidRDefault="00E05341" w:rsidP="00E05341">
      <w:pPr>
        <w:spacing w:after="200" w:line="276" w:lineRule="auto"/>
        <w:jc w:val="both"/>
        <w:rPr>
          <w:rFonts w:cstheme="minorHAnsi"/>
          <w:color w:val="000000" w:themeColor="text1"/>
          <w:sz w:val="24"/>
          <w:szCs w:val="24"/>
          <w:lang w:val="sr-Latn-ME"/>
        </w:rPr>
      </w:pPr>
      <w:r w:rsidRPr="004A4EB8">
        <w:rPr>
          <w:rFonts w:cstheme="minorHAnsi"/>
          <w:color w:val="000000" w:themeColor="text1"/>
          <w:sz w:val="24"/>
          <w:szCs w:val="24"/>
          <w:lang w:val="sr-Latn-ME"/>
        </w:rPr>
        <w:t>Globalna ekonomija je tokom posljednjih godina, uprkos pandemiji, geopolitičkim sukobima i ekstremnim vremenskim događajima</w:t>
      </w:r>
      <w:r>
        <w:rPr>
          <w:rFonts w:cstheme="minorHAnsi"/>
          <w:color w:val="000000" w:themeColor="text1"/>
          <w:sz w:val="24"/>
          <w:szCs w:val="24"/>
          <w:lang w:val="sr-Latn-ME"/>
        </w:rPr>
        <w:t>,</w:t>
      </w:r>
      <w:r w:rsidRPr="004A4EB8">
        <w:rPr>
          <w:rFonts w:cstheme="minorHAnsi"/>
          <w:color w:val="000000" w:themeColor="text1"/>
          <w:sz w:val="24"/>
          <w:szCs w:val="24"/>
          <w:lang w:val="sr-Latn-ME"/>
        </w:rPr>
        <w:t xml:space="preserve"> pokazala otpornost. Prema projekcijama Međunarodnog monetarnog fonda (MMF), globalni ekonomski rast će ostati stabilan, uz blago usporavanje sa 3,3% u 2023. godini, na 3,2% u 2024. i 2025. godini.</w:t>
      </w:r>
      <w:r w:rsidRPr="004A4EB8">
        <w:rPr>
          <w:rStyle w:val="FootnoteReference"/>
          <w:rFonts w:cstheme="minorHAnsi"/>
          <w:color w:val="000000" w:themeColor="text1"/>
          <w:sz w:val="24"/>
          <w:szCs w:val="24"/>
          <w:lang w:val="sr-Latn-ME"/>
        </w:rPr>
        <w:footnoteReference w:id="3"/>
      </w:r>
    </w:p>
    <w:p w14:paraId="04611949" w14:textId="77777777" w:rsidR="00E05341" w:rsidRPr="004A4EB8" w:rsidRDefault="00E05341" w:rsidP="00E05341">
      <w:pPr>
        <w:spacing w:after="200" w:line="276" w:lineRule="auto"/>
        <w:jc w:val="both"/>
        <w:rPr>
          <w:rFonts w:cstheme="minorHAnsi"/>
          <w:sz w:val="24"/>
          <w:szCs w:val="24"/>
          <w:lang w:val="sr-Latn-ME"/>
        </w:rPr>
      </w:pPr>
      <w:r>
        <w:rPr>
          <w:rFonts w:cstheme="minorHAnsi"/>
          <w:color w:val="000000" w:themeColor="text1"/>
          <w:sz w:val="24"/>
          <w:szCs w:val="24"/>
          <w:lang w:val="sr-Latn-ME"/>
        </w:rPr>
        <w:t>O</w:t>
      </w:r>
      <w:r w:rsidRPr="004A4EB8">
        <w:rPr>
          <w:rFonts w:cstheme="minorHAnsi"/>
          <w:color w:val="000000" w:themeColor="text1"/>
          <w:sz w:val="24"/>
          <w:szCs w:val="24"/>
          <w:lang w:val="sr-Latn-ME"/>
        </w:rPr>
        <w:t>porava</w:t>
      </w:r>
      <w:r>
        <w:rPr>
          <w:rFonts w:cstheme="minorHAnsi"/>
          <w:color w:val="000000" w:themeColor="text1"/>
          <w:sz w:val="24"/>
          <w:szCs w:val="24"/>
          <w:lang w:val="sr-Latn-ME"/>
        </w:rPr>
        <w:t>k</w:t>
      </w:r>
      <w:r w:rsidRPr="004A4EB8">
        <w:rPr>
          <w:rFonts w:cstheme="minorHAnsi"/>
          <w:color w:val="000000" w:themeColor="text1"/>
          <w:sz w:val="24"/>
          <w:szCs w:val="24"/>
          <w:lang w:val="sr-Latn-ME"/>
        </w:rPr>
        <w:t xml:space="preserve"> evropske ekonomije, </w:t>
      </w:r>
      <w:r>
        <w:rPr>
          <w:rFonts w:cstheme="minorHAnsi"/>
          <w:color w:val="000000" w:themeColor="text1"/>
          <w:sz w:val="24"/>
          <w:szCs w:val="24"/>
          <w:lang w:val="sr-Latn-ME"/>
        </w:rPr>
        <w:t>na bazi</w:t>
      </w:r>
      <w:r w:rsidRPr="004A4EB8">
        <w:rPr>
          <w:rFonts w:cstheme="minorHAnsi"/>
          <w:color w:val="000000" w:themeColor="text1"/>
          <w:sz w:val="24"/>
          <w:szCs w:val="24"/>
          <w:lang w:val="sr-Latn-ME"/>
        </w:rPr>
        <w:t xml:space="preserve"> rast</w:t>
      </w:r>
      <w:r>
        <w:rPr>
          <w:rFonts w:cstheme="minorHAnsi"/>
          <w:color w:val="000000" w:themeColor="text1"/>
          <w:sz w:val="24"/>
          <w:szCs w:val="24"/>
          <w:lang w:val="sr-Latn-ME"/>
        </w:rPr>
        <w:t>a</w:t>
      </w:r>
      <w:r w:rsidRPr="004A4EB8">
        <w:rPr>
          <w:rFonts w:cstheme="minorHAnsi"/>
          <w:color w:val="000000" w:themeColor="text1"/>
          <w:sz w:val="24"/>
          <w:szCs w:val="24"/>
          <w:lang w:val="sr-Latn-ME"/>
        </w:rPr>
        <w:t xml:space="preserve"> u prvoj polovini 2024. godine i snažnijoj potrošnji i dalje je ključna osnova projekcija, iako ekonomski podaci ukazuju na slabljenje izgleda za rast u Eurozoni. Najnoviji ekonomski pokazatelji </w:t>
      </w:r>
      <w:r w:rsidRPr="004A4EB8">
        <w:rPr>
          <w:rFonts w:cstheme="minorHAnsi"/>
          <w:sz w:val="24"/>
          <w:szCs w:val="24"/>
          <w:lang w:val="sr-Latn-ME"/>
        </w:rPr>
        <w:t>sugerišu da će se rast nastaviti na kratki rok, ali po stopama blago revidiranim naniže u poređenju sa ljetnjim projekcijama. Prema jesenjim projekcijama Evropske komisije, očekuje se da će u 2024. realni rast BDP-a iznositi 0,9% u EU i 0,8% u Eurozoni, dok se, sa druge strane, za Njemačku, najveću evropsku ekonomiju, prognozira blagi pad ekonomske aktivnosti od 0,1%, dominantno usljed visoke neizvjesnosti i pogoršanih izgleda za trgovinu zbog slabljenja globalne tražnje za industrijskim dobrima. Očekuje se da će</w:t>
      </w:r>
      <w:r>
        <w:rPr>
          <w:rFonts w:cstheme="minorHAnsi"/>
          <w:sz w:val="24"/>
          <w:szCs w:val="24"/>
          <w:lang w:val="sr-Latn-ME"/>
        </w:rPr>
        <w:t xml:space="preserve"> inflacija u Eurozoni u narednoj godini usporiti na 2,1%, sa 2,4% iz 2024. godine</w:t>
      </w:r>
      <w:r>
        <w:rPr>
          <w:rStyle w:val="FootnoteReference"/>
          <w:rFonts w:cstheme="minorHAnsi"/>
          <w:sz w:val="24"/>
          <w:szCs w:val="24"/>
          <w:lang w:val="sr-Latn-ME"/>
        </w:rPr>
        <w:footnoteReference w:id="4"/>
      </w:r>
      <w:r>
        <w:rPr>
          <w:rFonts w:cstheme="minorHAnsi"/>
          <w:sz w:val="24"/>
          <w:szCs w:val="24"/>
          <w:lang w:val="sr-Latn-ME"/>
        </w:rPr>
        <w:t>.</w:t>
      </w:r>
    </w:p>
    <w:p w14:paraId="1C13B075" w14:textId="77777777" w:rsidR="00E05341" w:rsidRPr="004A4EB8" w:rsidRDefault="00E05341" w:rsidP="00E05341">
      <w:pPr>
        <w:spacing w:after="200" w:line="276" w:lineRule="auto"/>
        <w:jc w:val="both"/>
        <w:rPr>
          <w:rFonts w:cstheme="minorHAnsi"/>
          <w:color w:val="000000" w:themeColor="text1"/>
          <w:sz w:val="24"/>
          <w:szCs w:val="24"/>
          <w:lang w:val="sr-Latn-ME"/>
        </w:rPr>
      </w:pPr>
      <w:r w:rsidRPr="004A4EB8">
        <w:rPr>
          <w:rFonts w:cstheme="minorHAnsi"/>
          <w:color w:val="000000" w:themeColor="text1"/>
          <w:sz w:val="24"/>
          <w:szCs w:val="24"/>
          <w:lang w:val="sr-Latn-ME"/>
        </w:rPr>
        <w:lastRenderedPageBreak/>
        <w:t>Prema projekcijama Redovnog ekonomskog izvještaja Svjetske banke za zemlje Zapadnog Balkana</w:t>
      </w:r>
      <w:r w:rsidRPr="004A4EB8">
        <w:rPr>
          <w:rStyle w:val="FootnoteReference"/>
          <w:rFonts w:cstheme="minorHAnsi"/>
          <w:color w:val="000000" w:themeColor="text1"/>
          <w:sz w:val="24"/>
          <w:szCs w:val="24"/>
          <w:lang w:val="sr-Latn-ME"/>
        </w:rPr>
        <w:footnoteReference w:id="5"/>
      </w:r>
      <w:r>
        <w:rPr>
          <w:rFonts w:cstheme="minorHAnsi"/>
          <w:color w:val="000000" w:themeColor="text1"/>
          <w:sz w:val="24"/>
          <w:szCs w:val="24"/>
          <w:lang w:val="sr-Latn-ME"/>
        </w:rPr>
        <w:t>,</w:t>
      </w:r>
      <w:r w:rsidRPr="004A4EB8">
        <w:rPr>
          <w:rFonts w:cstheme="minorHAnsi"/>
          <w:color w:val="000000" w:themeColor="text1"/>
          <w:sz w:val="24"/>
          <w:szCs w:val="24"/>
          <w:lang w:val="sr-Latn-ME"/>
        </w:rPr>
        <w:t xml:space="preserve"> očekuje se umjereno ubrzanje ekonomskog rasta na Zapadnom Balkanu tokom 2025, prvenstveno vođeno rastom potrošnje i investicija, podstaknutih jačanjem kupovne moći. </w:t>
      </w:r>
      <w:r>
        <w:rPr>
          <w:rFonts w:cstheme="minorHAnsi"/>
          <w:color w:val="000000" w:themeColor="text1"/>
          <w:sz w:val="24"/>
          <w:szCs w:val="24"/>
          <w:lang w:val="sr-Latn-ME"/>
        </w:rPr>
        <w:t>E</w:t>
      </w:r>
      <w:r w:rsidRPr="004A4EB8">
        <w:rPr>
          <w:rFonts w:cstheme="minorHAnsi"/>
          <w:color w:val="000000" w:themeColor="text1"/>
          <w:sz w:val="24"/>
          <w:szCs w:val="24"/>
          <w:lang w:val="sr-Latn-ME"/>
        </w:rPr>
        <w:t xml:space="preserve">konomski rast </w:t>
      </w:r>
      <w:r>
        <w:rPr>
          <w:rFonts w:cstheme="minorHAnsi"/>
          <w:color w:val="000000" w:themeColor="text1"/>
          <w:sz w:val="24"/>
          <w:szCs w:val="24"/>
          <w:lang w:val="sr-Latn-ME"/>
        </w:rPr>
        <w:t>regiona</w:t>
      </w:r>
      <w:r w:rsidRPr="004A4EB8">
        <w:rPr>
          <w:rFonts w:cstheme="minorHAnsi"/>
          <w:color w:val="000000" w:themeColor="text1"/>
          <w:sz w:val="24"/>
          <w:szCs w:val="24"/>
          <w:lang w:val="sr-Latn-ME"/>
        </w:rPr>
        <w:t xml:space="preserve"> od 3,7% u 2025. godini, koji bi trebalo da bude podržan povoljnim domaćim faktorima i postepenim oporavkom ekonomske aktivnosti u Evropskoj uniji na srednji rok, predstavlja revidiranje očekivanja Svjetske banke naviše u odnosu na proljećne projekcije.</w:t>
      </w:r>
    </w:p>
    <w:p w14:paraId="3A652F0D" w14:textId="77777777" w:rsidR="00E05341" w:rsidRPr="004A4EB8" w:rsidRDefault="00E05341" w:rsidP="00E05341">
      <w:pPr>
        <w:jc w:val="both"/>
        <w:rPr>
          <w:rFonts w:cstheme="minorHAnsi"/>
          <w:b/>
          <w:color w:val="2E74B5" w:themeColor="accent5" w:themeShade="BF"/>
          <w:lang w:val="sr-Latn-ME"/>
        </w:rPr>
      </w:pPr>
      <w:r w:rsidRPr="004A4EB8">
        <w:rPr>
          <w:rFonts w:cstheme="minorHAnsi"/>
          <w:b/>
          <w:color w:val="2E74B5" w:themeColor="accent5" w:themeShade="BF"/>
          <w:lang w:val="sr-Latn-ME"/>
        </w:rPr>
        <w:t>Tabela: Projekcije rasta BDP-a za Crnu Goru i zemlje Zapadnog Balkana</w:t>
      </w:r>
    </w:p>
    <w:tbl>
      <w:tblPr>
        <w:tblStyle w:val="GridTable2-Accent11"/>
        <w:tblW w:w="5000" w:type="pct"/>
        <w:tblLook w:val="04A0" w:firstRow="1" w:lastRow="0" w:firstColumn="1" w:lastColumn="0" w:noHBand="0" w:noVBand="1"/>
      </w:tblPr>
      <w:tblGrid>
        <w:gridCol w:w="2604"/>
        <w:gridCol w:w="1071"/>
        <w:gridCol w:w="1071"/>
        <w:gridCol w:w="1070"/>
        <w:gridCol w:w="1070"/>
        <w:gridCol w:w="1070"/>
        <w:gridCol w:w="1070"/>
      </w:tblGrid>
      <w:tr w:rsidR="00E05341" w:rsidRPr="00D016C8" w14:paraId="714CB78A" w14:textId="77777777" w:rsidTr="00E05341">
        <w:trPr>
          <w:cnfStyle w:val="100000000000" w:firstRow="1" w:lastRow="0" w:firstColumn="0" w:lastColumn="0" w:oddVBand="0" w:evenVBand="0" w:oddHBand="0"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1442" w:type="pct"/>
            <w:tcBorders>
              <w:bottom w:val="single" w:sz="12" w:space="0" w:color="2E74B5" w:themeColor="accent5" w:themeShade="BF"/>
            </w:tcBorders>
            <w:noWrap/>
            <w:hideMark/>
          </w:tcPr>
          <w:p w14:paraId="56CAE88D" w14:textId="77777777" w:rsidR="00E05341" w:rsidRPr="00D016C8" w:rsidRDefault="00E05341" w:rsidP="00E05341">
            <w:pPr>
              <w:jc w:val="both"/>
              <w:rPr>
                <w:rFonts w:cstheme="minorHAnsi"/>
                <w:color w:val="000000" w:themeColor="text1"/>
                <w:sz w:val="18"/>
                <w:szCs w:val="18"/>
                <w:lang w:val="sr-Latn-ME"/>
              </w:rPr>
            </w:pPr>
            <w:r w:rsidRPr="00D016C8">
              <w:rPr>
                <w:rFonts w:cstheme="minorHAnsi"/>
                <w:color w:val="000000" w:themeColor="text1"/>
                <w:sz w:val="18"/>
                <w:szCs w:val="18"/>
                <w:lang w:val="sr-Latn-ME"/>
              </w:rPr>
              <w:t>Realni rast BDP-a, u %</w:t>
            </w:r>
          </w:p>
        </w:tc>
        <w:tc>
          <w:tcPr>
            <w:tcW w:w="1186" w:type="pct"/>
            <w:gridSpan w:val="2"/>
            <w:tcBorders>
              <w:bottom w:val="single" w:sz="12" w:space="0" w:color="2E74B5" w:themeColor="accent5" w:themeShade="BF"/>
            </w:tcBorders>
            <w:noWrap/>
            <w:hideMark/>
          </w:tcPr>
          <w:p w14:paraId="41485977" w14:textId="77777777" w:rsidR="00E05341" w:rsidRPr="00D016C8" w:rsidRDefault="00E05341" w:rsidP="00E05341">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Svjetska banka</w:t>
            </w:r>
          </w:p>
        </w:tc>
        <w:tc>
          <w:tcPr>
            <w:tcW w:w="1186" w:type="pct"/>
            <w:gridSpan w:val="2"/>
            <w:tcBorders>
              <w:bottom w:val="single" w:sz="12" w:space="0" w:color="2E74B5" w:themeColor="accent5" w:themeShade="BF"/>
            </w:tcBorders>
            <w:noWrap/>
            <w:hideMark/>
          </w:tcPr>
          <w:p w14:paraId="0F9D07D2" w14:textId="77777777" w:rsidR="00E05341" w:rsidRPr="00D016C8" w:rsidRDefault="00E05341" w:rsidP="00E05341">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MMF</w:t>
            </w:r>
          </w:p>
        </w:tc>
        <w:tc>
          <w:tcPr>
            <w:tcW w:w="1186" w:type="pct"/>
            <w:gridSpan w:val="2"/>
            <w:tcBorders>
              <w:bottom w:val="single" w:sz="12" w:space="0" w:color="2E74B5" w:themeColor="accent5" w:themeShade="BF"/>
            </w:tcBorders>
            <w:noWrap/>
            <w:hideMark/>
          </w:tcPr>
          <w:p w14:paraId="1641B1BF" w14:textId="77777777" w:rsidR="00E05341" w:rsidRPr="00D016C8" w:rsidRDefault="00E05341" w:rsidP="00E05341">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Evropska komisija</w:t>
            </w:r>
          </w:p>
        </w:tc>
      </w:tr>
      <w:tr w:rsidR="00E05341" w:rsidRPr="00D016C8" w14:paraId="35C7EED6" w14:textId="77777777" w:rsidTr="00E05341">
        <w:trPr>
          <w:cnfStyle w:val="000000100000" w:firstRow="0" w:lastRow="0" w:firstColumn="0" w:lastColumn="0" w:oddVBand="0" w:evenVBand="0" w:oddHBand="1"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1442" w:type="pct"/>
            <w:tcBorders>
              <w:top w:val="single" w:sz="12" w:space="0" w:color="2E74B5" w:themeColor="accent5" w:themeShade="BF"/>
            </w:tcBorders>
            <w:noWrap/>
            <w:hideMark/>
          </w:tcPr>
          <w:p w14:paraId="272A0A18" w14:textId="77777777" w:rsidR="00E05341" w:rsidRPr="00D016C8" w:rsidRDefault="00E05341" w:rsidP="00E05341">
            <w:pPr>
              <w:jc w:val="both"/>
              <w:rPr>
                <w:rFonts w:cstheme="minorHAnsi"/>
                <w:color w:val="000000" w:themeColor="text1"/>
                <w:sz w:val="18"/>
                <w:szCs w:val="18"/>
                <w:lang w:val="sr-Latn-ME"/>
              </w:rPr>
            </w:pPr>
          </w:p>
        </w:tc>
        <w:tc>
          <w:tcPr>
            <w:tcW w:w="593" w:type="pct"/>
            <w:tcBorders>
              <w:top w:val="single" w:sz="12" w:space="0" w:color="2E74B5" w:themeColor="accent5" w:themeShade="BF"/>
            </w:tcBorders>
            <w:noWrap/>
            <w:hideMark/>
          </w:tcPr>
          <w:p w14:paraId="12D1EFFF"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2024</w:t>
            </w:r>
          </w:p>
        </w:tc>
        <w:tc>
          <w:tcPr>
            <w:tcW w:w="593" w:type="pct"/>
            <w:tcBorders>
              <w:top w:val="single" w:sz="12" w:space="0" w:color="2E74B5" w:themeColor="accent5" w:themeShade="BF"/>
            </w:tcBorders>
            <w:noWrap/>
            <w:hideMark/>
          </w:tcPr>
          <w:p w14:paraId="1AF0C2BC"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2025</w:t>
            </w:r>
          </w:p>
        </w:tc>
        <w:tc>
          <w:tcPr>
            <w:tcW w:w="593" w:type="pct"/>
            <w:tcBorders>
              <w:top w:val="single" w:sz="12" w:space="0" w:color="2E74B5" w:themeColor="accent5" w:themeShade="BF"/>
            </w:tcBorders>
            <w:noWrap/>
            <w:hideMark/>
          </w:tcPr>
          <w:p w14:paraId="216B6982"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2024</w:t>
            </w:r>
          </w:p>
        </w:tc>
        <w:tc>
          <w:tcPr>
            <w:tcW w:w="593" w:type="pct"/>
            <w:tcBorders>
              <w:top w:val="single" w:sz="12" w:space="0" w:color="2E74B5" w:themeColor="accent5" w:themeShade="BF"/>
            </w:tcBorders>
            <w:noWrap/>
            <w:hideMark/>
          </w:tcPr>
          <w:p w14:paraId="30BB7772"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2025</w:t>
            </w:r>
          </w:p>
        </w:tc>
        <w:tc>
          <w:tcPr>
            <w:tcW w:w="593" w:type="pct"/>
            <w:tcBorders>
              <w:top w:val="single" w:sz="12" w:space="0" w:color="2E74B5" w:themeColor="accent5" w:themeShade="BF"/>
            </w:tcBorders>
            <w:noWrap/>
            <w:hideMark/>
          </w:tcPr>
          <w:p w14:paraId="22E21460"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2024</w:t>
            </w:r>
          </w:p>
        </w:tc>
        <w:tc>
          <w:tcPr>
            <w:tcW w:w="593" w:type="pct"/>
            <w:tcBorders>
              <w:top w:val="single" w:sz="12" w:space="0" w:color="2E74B5" w:themeColor="accent5" w:themeShade="BF"/>
            </w:tcBorders>
            <w:noWrap/>
            <w:hideMark/>
          </w:tcPr>
          <w:p w14:paraId="5634770C"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2025</w:t>
            </w:r>
          </w:p>
        </w:tc>
      </w:tr>
      <w:tr w:rsidR="00E05341" w:rsidRPr="00D016C8" w14:paraId="308BACA6" w14:textId="77777777" w:rsidTr="00E05341">
        <w:trPr>
          <w:trHeight w:hRule="exact" w:val="227"/>
        </w:trPr>
        <w:tc>
          <w:tcPr>
            <w:cnfStyle w:val="001000000000" w:firstRow="0" w:lastRow="0" w:firstColumn="1" w:lastColumn="0" w:oddVBand="0" w:evenVBand="0" w:oddHBand="0" w:evenHBand="0" w:firstRowFirstColumn="0" w:firstRowLastColumn="0" w:lastRowFirstColumn="0" w:lastRowLastColumn="0"/>
            <w:tcW w:w="1442" w:type="pct"/>
            <w:noWrap/>
            <w:hideMark/>
          </w:tcPr>
          <w:p w14:paraId="52225BA9" w14:textId="77777777" w:rsidR="00E05341" w:rsidRPr="00D016C8" w:rsidRDefault="00E05341" w:rsidP="00E05341">
            <w:pPr>
              <w:jc w:val="both"/>
              <w:rPr>
                <w:rFonts w:cstheme="minorHAnsi"/>
                <w:color w:val="000000" w:themeColor="text1"/>
                <w:sz w:val="18"/>
                <w:szCs w:val="18"/>
                <w:lang w:val="sr-Latn-ME"/>
              </w:rPr>
            </w:pPr>
            <w:r w:rsidRPr="00D016C8">
              <w:rPr>
                <w:rFonts w:cstheme="minorHAnsi"/>
                <w:color w:val="000000" w:themeColor="text1"/>
                <w:sz w:val="18"/>
                <w:szCs w:val="18"/>
                <w:lang w:val="sr-Latn-ME"/>
              </w:rPr>
              <w:t>Crna Gora</w:t>
            </w:r>
          </w:p>
        </w:tc>
        <w:tc>
          <w:tcPr>
            <w:tcW w:w="593" w:type="pct"/>
            <w:noWrap/>
            <w:hideMark/>
          </w:tcPr>
          <w:p w14:paraId="0B234D05" w14:textId="77777777" w:rsidR="00E05341" w:rsidRPr="00D016C8" w:rsidRDefault="00E05341" w:rsidP="00E0534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3.4</w:t>
            </w:r>
          </w:p>
        </w:tc>
        <w:tc>
          <w:tcPr>
            <w:tcW w:w="593" w:type="pct"/>
            <w:noWrap/>
            <w:hideMark/>
          </w:tcPr>
          <w:p w14:paraId="644E7E7F" w14:textId="77777777" w:rsidR="00E05341" w:rsidRPr="00D016C8" w:rsidRDefault="00E05341" w:rsidP="00E0534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3.5</w:t>
            </w:r>
          </w:p>
        </w:tc>
        <w:tc>
          <w:tcPr>
            <w:tcW w:w="593" w:type="pct"/>
            <w:noWrap/>
            <w:hideMark/>
          </w:tcPr>
          <w:p w14:paraId="3257CB7E" w14:textId="77777777" w:rsidR="00E05341" w:rsidRPr="00D016C8" w:rsidRDefault="00E05341" w:rsidP="00E0534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3.7</w:t>
            </w:r>
          </w:p>
        </w:tc>
        <w:tc>
          <w:tcPr>
            <w:tcW w:w="593" w:type="pct"/>
            <w:noWrap/>
            <w:hideMark/>
          </w:tcPr>
          <w:p w14:paraId="6D267630" w14:textId="77777777" w:rsidR="00E05341" w:rsidRPr="00D016C8" w:rsidRDefault="00E05341" w:rsidP="00E0534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3.7</w:t>
            </w:r>
          </w:p>
        </w:tc>
        <w:tc>
          <w:tcPr>
            <w:tcW w:w="593" w:type="pct"/>
            <w:noWrap/>
            <w:hideMark/>
          </w:tcPr>
          <w:p w14:paraId="77911256" w14:textId="77777777" w:rsidR="00E05341" w:rsidRPr="00D016C8" w:rsidRDefault="00E05341" w:rsidP="00E0534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3.9</w:t>
            </w:r>
          </w:p>
        </w:tc>
        <w:tc>
          <w:tcPr>
            <w:tcW w:w="593" w:type="pct"/>
            <w:noWrap/>
            <w:hideMark/>
          </w:tcPr>
          <w:p w14:paraId="137953AC" w14:textId="77777777" w:rsidR="00E05341" w:rsidRPr="00D016C8" w:rsidRDefault="00E05341" w:rsidP="00E0534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4.2</w:t>
            </w:r>
          </w:p>
        </w:tc>
      </w:tr>
      <w:tr w:rsidR="00E05341" w:rsidRPr="00D016C8" w14:paraId="2632DA81" w14:textId="77777777" w:rsidTr="00E05341">
        <w:trPr>
          <w:cnfStyle w:val="000000100000" w:firstRow="0" w:lastRow="0" w:firstColumn="0" w:lastColumn="0" w:oddVBand="0" w:evenVBand="0" w:oddHBand="1"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1442" w:type="pct"/>
            <w:noWrap/>
            <w:hideMark/>
          </w:tcPr>
          <w:p w14:paraId="796B3ADC" w14:textId="77777777" w:rsidR="00E05341" w:rsidRPr="00D016C8" w:rsidRDefault="00E05341" w:rsidP="00E05341">
            <w:pPr>
              <w:jc w:val="both"/>
              <w:rPr>
                <w:rFonts w:cstheme="minorHAnsi"/>
                <w:color w:val="000000" w:themeColor="text1"/>
                <w:sz w:val="18"/>
                <w:szCs w:val="18"/>
                <w:lang w:val="sr-Latn-ME"/>
              </w:rPr>
            </w:pPr>
            <w:r w:rsidRPr="00D016C8">
              <w:rPr>
                <w:rFonts w:cstheme="minorHAnsi"/>
                <w:color w:val="000000" w:themeColor="text1"/>
                <w:sz w:val="18"/>
                <w:szCs w:val="18"/>
                <w:lang w:val="sr-Latn-ME"/>
              </w:rPr>
              <w:t>Srbija</w:t>
            </w:r>
          </w:p>
        </w:tc>
        <w:tc>
          <w:tcPr>
            <w:tcW w:w="593" w:type="pct"/>
            <w:noWrap/>
            <w:hideMark/>
          </w:tcPr>
          <w:p w14:paraId="21BE12F8"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3.8</w:t>
            </w:r>
          </w:p>
        </w:tc>
        <w:tc>
          <w:tcPr>
            <w:tcW w:w="593" w:type="pct"/>
            <w:noWrap/>
            <w:hideMark/>
          </w:tcPr>
          <w:p w14:paraId="13EA701D"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4.2</w:t>
            </w:r>
          </w:p>
        </w:tc>
        <w:tc>
          <w:tcPr>
            <w:tcW w:w="593" w:type="pct"/>
            <w:noWrap/>
            <w:hideMark/>
          </w:tcPr>
          <w:p w14:paraId="23DBCEF8"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3.9</w:t>
            </w:r>
          </w:p>
        </w:tc>
        <w:tc>
          <w:tcPr>
            <w:tcW w:w="593" w:type="pct"/>
            <w:noWrap/>
            <w:hideMark/>
          </w:tcPr>
          <w:p w14:paraId="429FD00B"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4.1</w:t>
            </w:r>
          </w:p>
        </w:tc>
        <w:tc>
          <w:tcPr>
            <w:tcW w:w="593" w:type="pct"/>
            <w:noWrap/>
            <w:hideMark/>
          </w:tcPr>
          <w:p w14:paraId="07FD0892"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3.9</w:t>
            </w:r>
          </w:p>
        </w:tc>
        <w:tc>
          <w:tcPr>
            <w:tcW w:w="593" w:type="pct"/>
            <w:noWrap/>
            <w:hideMark/>
          </w:tcPr>
          <w:p w14:paraId="113E82F6"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4.2</w:t>
            </w:r>
          </w:p>
        </w:tc>
      </w:tr>
      <w:tr w:rsidR="00E05341" w:rsidRPr="00D016C8" w14:paraId="60123203" w14:textId="77777777" w:rsidTr="00E05341">
        <w:trPr>
          <w:trHeight w:hRule="exact" w:val="227"/>
        </w:trPr>
        <w:tc>
          <w:tcPr>
            <w:cnfStyle w:val="001000000000" w:firstRow="0" w:lastRow="0" w:firstColumn="1" w:lastColumn="0" w:oddVBand="0" w:evenVBand="0" w:oddHBand="0" w:evenHBand="0" w:firstRowFirstColumn="0" w:firstRowLastColumn="0" w:lastRowFirstColumn="0" w:lastRowLastColumn="0"/>
            <w:tcW w:w="1442" w:type="pct"/>
            <w:noWrap/>
            <w:hideMark/>
          </w:tcPr>
          <w:p w14:paraId="07F5571D" w14:textId="77777777" w:rsidR="00E05341" w:rsidRPr="00D016C8" w:rsidRDefault="00E05341" w:rsidP="00E05341">
            <w:pPr>
              <w:jc w:val="both"/>
              <w:rPr>
                <w:rFonts w:cstheme="minorHAnsi"/>
                <w:color w:val="000000" w:themeColor="text1"/>
                <w:sz w:val="18"/>
                <w:szCs w:val="18"/>
                <w:lang w:val="sr-Latn-ME"/>
              </w:rPr>
            </w:pPr>
            <w:r w:rsidRPr="00D016C8">
              <w:rPr>
                <w:rFonts w:cstheme="minorHAnsi"/>
                <w:color w:val="000000" w:themeColor="text1"/>
                <w:sz w:val="18"/>
                <w:szCs w:val="18"/>
                <w:lang w:val="sr-Latn-ME"/>
              </w:rPr>
              <w:t>Bosna i Hercegovina</w:t>
            </w:r>
          </w:p>
        </w:tc>
        <w:tc>
          <w:tcPr>
            <w:tcW w:w="593" w:type="pct"/>
            <w:noWrap/>
            <w:hideMark/>
          </w:tcPr>
          <w:p w14:paraId="6A1BBB9D" w14:textId="77777777" w:rsidR="00E05341" w:rsidRPr="00D016C8" w:rsidRDefault="00E05341" w:rsidP="00E0534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2.8</w:t>
            </w:r>
          </w:p>
        </w:tc>
        <w:tc>
          <w:tcPr>
            <w:tcW w:w="593" w:type="pct"/>
            <w:noWrap/>
            <w:hideMark/>
          </w:tcPr>
          <w:p w14:paraId="44F96C32" w14:textId="77777777" w:rsidR="00E05341" w:rsidRPr="00D016C8" w:rsidRDefault="00E05341" w:rsidP="00E0534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3.2</w:t>
            </w:r>
          </w:p>
        </w:tc>
        <w:tc>
          <w:tcPr>
            <w:tcW w:w="593" w:type="pct"/>
            <w:noWrap/>
            <w:hideMark/>
          </w:tcPr>
          <w:p w14:paraId="2FB8A52A" w14:textId="77777777" w:rsidR="00E05341" w:rsidRPr="00D016C8" w:rsidRDefault="00E05341" w:rsidP="00E0534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2.5</w:t>
            </w:r>
          </w:p>
        </w:tc>
        <w:tc>
          <w:tcPr>
            <w:tcW w:w="593" w:type="pct"/>
            <w:noWrap/>
            <w:hideMark/>
          </w:tcPr>
          <w:p w14:paraId="59A4FE6B" w14:textId="77777777" w:rsidR="00E05341" w:rsidRPr="00D016C8" w:rsidRDefault="00E05341" w:rsidP="00E0534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3.0</w:t>
            </w:r>
          </w:p>
        </w:tc>
        <w:tc>
          <w:tcPr>
            <w:tcW w:w="593" w:type="pct"/>
            <w:noWrap/>
            <w:hideMark/>
          </w:tcPr>
          <w:p w14:paraId="29C1379F" w14:textId="77777777" w:rsidR="00E05341" w:rsidRPr="00D016C8" w:rsidRDefault="00E05341" w:rsidP="00E0534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2.3</w:t>
            </w:r>
          </w:p>
        </w:tc>
        <w:tc>
          <w:tcPr>
            <w:tcW w:w="593" w:type="pct"/>
            <w:noWrap/>
            <w:hideMark/>
          </w:tcPr>
          <w:p w14:paraId="747FA60D" w14:textId="77777777" w:rsidR="00E05341" w:rsidRPr="00D016C8" w:rsidRDefault="00E05341" w:rsidP="00E0534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2.4</w:t>
            </w:r>
          </w:p>
        </w:tc>
      </w:tr>
      <w:tr w:rsidR="00E05341" w:rsidRPr="00D016C8" w14:paraId="157BEFB6" w14:textId="77777777" w:rsidTr="00E05341">
        <w:trPr>
          <w:cnfStyle w:val="000000100000" w:firstRow="0" w:lastRow="0" w:firstColumn="0" w:lastColumn="0" w:oddVBand="0" w:evenVBand="0" w:oddHBand="1"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1442" w:type="pct"/>
            <w:noWrap/>
            <w:hideMark/>
          </w:tcPr>
          <w:p w14:paraId="35158F82" w14:textId="77777777" w:rsidR="00E05341" w:rsidRPr="00D016C8" w:rsidRDefault="00E05341" w:rsidP="00E05341">
            <w:pPr>
              <w:jc w:val="both"/>
              <w:rPr>
                <w:rFonts w:cstheme="minorHAnsi"/>
                <w:color w:val="000000" w:themeColor="text1"/>
                <w:sz w:val="18"/>
                <w:szCs w:val="18"/>
                <w:lang w:val="sr-Latn-ME"/>
              </w:rPr>
            </w:pPr>
            <w:r w:rsidRPr="00D016C8">
              <w:rPr>
                <w:rFonts w:cstheme="minorHAnsi"/>
                <w:color w:val="000000" w:themeColor="text1"/>
                <w:sz w:val="18"/>
                <w:szCs w:val="18"/>
                <w:lang w:val="sr-Latn-ME"/>
              </w:rPr>
              <w:t>Kosovo</w:t>
            </w:r>
          </w:p>
        </w:tc>
        <w:tc>
          <w:tcPr>
            <w:tcW w:w="593" w:type="pct"/>
            <w:noWrap/>
            <w:hideMark/>
          </w:tcPr>
          <w:p w14:paraId="172F2FB7"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3.8</w:t>
            </w:r>
          </w:p>
        </w:tc>
        <w:tc>
          <w:tcPr>
            <w:tcW w:w="593" w:type="pct"/>
            <w:noWrap/>
            <w:hideMark/>
          </w:tcPr>
          <w:p w14:paraId="08464FE2"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3.9</w:t>
            </w:r>
          </w:p>
        </w:tc>
        <w:tc>
          <w:tcPr>
            <w:tcW w:w="593" w:type="pct"/>
            <w:noWrap/>
            <w:hideMark/>
          </w:tcPr>
          <w:p w14:paraId="0C7340C2"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3.8</w:t>
            </w:r>
          </w:p>
        </w:tc>
        <w:tc>
          <w:tcPr>
            <w:tcW w:w="593" w:type="pct"/>
            <w:noWrap/>
            <w:hideMark/>
          </w:tcPr>
          <w:p w14:paraId="3C881A09"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4.0</w:t>
            </w:r>
          </w:p>
        </w:tc>
        <w:tc>
          <w:tcPr>
            <w:tcW w:w="593" w:type="pct"/>
            <w:noWrap/>
            <w:hideMark/>
          </w:tcPr>
          <w:p w14:paraId="4C5B90A7"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n/p</w:t>
            </w:r>
          </w:p>
        </w:tc>
        <w:tc>
          <w:tcPr>
            <w:tcW w:w="593" w:type="pct"/>
            <w:noWrap/>
            <w:hideMark/>
          </w:tcPr>
          <w:p w14:paraId="6FC93826"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n/p</w:t>
            </w:r>
          </w:p>
        </w:tc>
      </w:tr>
      <w:tr w:rsidR="00E05341" w:rsidRPr="00D016C8" w14:paraId="59181689" w14:textId="77777777" w:rsidTr="00E05341">
        <w:trPr>
          <w:trHeight w:hRule="exact" w:val="227"/>
        </w:trPr>
        <w:tc>
          <w:tcPr>
            <w:cnfStyle w:val="001000000000" w:firstRow="0" w:lastRow="0" w:firstColumn="1" w:lastColumn="0" w:oddVBand="0" w:evenVBand="0" w:oddHBand="0" w:evenHBand="0" w:firstRowFirstColumn="0" w:firstRowLastColumn="0" w:lastRowFirstColumn="0" w:lastRowLastColumn="0"/>
            <w:tcW w:w="1442" w:type="pct"/>
            <w:noWrap/>
            <w:hideMark/>
          </w:tcPr>
          <w:p w14:paraId="4EA7CDCB" w14:textId="77777777" w:rsidR="00E05341" w:rsidRPr="00D016C8" w:rsidRDefault="00E05341" w:rsidP="00E05341">
            <w:pPr>
              <w:jc w:val="both"/>
              <w:rPr>
                <w:rFonts w:cstheme="minorHAnsi"/>
                <w:color w:val="000000" w:themeColor="text1"/>
                <w:sz w:val="18"/>
                <w:szCs w:val="18"/>
                <w:lang w:val="sr-Latn-ME"/>
              </w:rPr>
            </w:pPr>
            <w:r w:rsidRPr="00D016C8">
              <w:rPr>
                <w:rFonts w:cstheme="minorHAnsi"/>
                <w:color w:val="000000" w:themeColor="text1"/>
                <w:sz w:val="18"/>
                <w:szCs w:val="18"/>
                <w:lang w:val="sr-Latn-ME"/>
              </w:rPr>
              <w:t>Albanija</w:t>
            </w:r>
          </w:p>
        </w:tc>
        <w:tc>
          <w:tcPr>
            <w:tcW w:w="593" w:type="pct"/>
            <w:noWrap/>
            <w:hideMark/>
          </w:tcPr>
          <w:p w14:paraId="168EB2D3" w14:textId="77777777" w:rsidR="00E05341" w:rsidRPr="00D016C8" w:rsidRDefault="00E05341" w:rsidP="00E0534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3.3</w:t>
            </w:r>
          </w:p>
        </w:tc>
        <w:tc>
          <w:tcPr>
            <w:tcW w:w="593" w:type="pct"/>
            <w:noWrap/>
            <w:hideMark/>
          </w:tcPr>
          <w:p w14:paraId="7B6F0677" w14:textId="77777777" w:rsidR="00E05341" w:rsidRPr="00D016C8" w:rsidRDefault="00E05341" w:rsidP="00E0534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3.4</w:t>
            </w:r>
          </w:p>
        </w:tc>
        <w:tc>
          <w:tcPr>
            <w:tcW w:w="593" w:type="pct"/>
            <w:noWrap/>
            <w:hideMark/>
          </w:tcPr>
          <w:p w14:paraId="6D57FDD0" w14:textId="77777777" w:rsidR="00E05341" w:rsidRPr="00D016C8" w:rsidRDefault="00E05341" w:rsidP="00E0534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3.3</w:t>
            </w:r>
          </w:p>
        </w:tc>
        <w:tc>
          <w:tcPr>
            <w:tcW w:w="593" w:type="pct"/>
            <w:noWrap/>
            <w:hideMark/>
          </w:tcPr>
          <w:p w14:paraId="63B0F4B2" w14:textId="77777777" w:rsidR="00E05341" w:rsidRPr="00D016C8" w:rsidRDefault="00E05341" w:rsidP="00E0534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3.4</w:t>
            </w:r>
          </w:p>
        </w:tc>
        <w:tc>
          <w:tcPr>
            <w:tcW w:w="593" w:type="pct"/>
            <w:noWrap/>
            <w:hideMark/>
          </w:tcPr>
          <w:p w14:paraId="16A82C4E" w14:textId="77777777" w:rsidR="00E05341" w:rsidRPr="00D016C8" w:rsidRDefault="00E05341" w:rsidP="00E0534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3.8</w:t>
            </w:r>
          </w:p>
        </w:tc>
        <w:tc>
          <w:tcPr>
            <w:tcW w:w="593" w:type="pct"/>
            <w:noWrap/>
            <w:hideMark/>
          </w:tcPr>
          <w:p w14:paraId="4CB8656E" w14:textId="77777777" w:rsidR="00E05341" w:rsidRPr="00D016C8" w:rsidRDefault="00E05341" w:rsidP="00E05341">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3.6</w:t>
            </w:r>
          </w:p>
        </w:tc>
      </w:tr>
      <w:tr w:rsidR="00E05341" w:rsidRPr="00D016C8" w14:paraId="685D84E4" w14:textId="77777777" w:rsidTr="00E05341">
        <w:trPr>
          <w:cnfStyle w:val="000000100000" w:firstRow="0" w:lastRow="0" w:firstColumn="0" w:lastColumn="0" w:oddVBand="0" w:evenVBand="0" w:oddHBand="1"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1442" w:type="pct"/>
            <w:tcBorders>
              <w:bottom w:val="single" w:sz="12" w:space="0" w:color="2E74B5" w:themeColor="accent5" w:themeShade="BF"/>
            </w:tcBorders>
            <w:noWrap/>
            <w:hideMark/>
          </w:tcPr>
          <w:p w14:paraId="0C255CFD" w14:textId="77777777" w:rsidR="00E05341" w:rsidRPr="00D016C8" w:rsidRDefault="00E05341" w:rsidP="00E05341">
            <w:pPr>
              <w:jc w:val="both"/>
              <w:rPr>
                <w:rFonts w:cstheme="minorHAnsi"/>
                <w:color w:val="000000" w:themeColor="text1"/>
                <w:sz w:val="18"/>
                <w:szCs w:val="18"/>
                <w:lang w:val="sr-Latn-ME"/>
              </w:rPr>
            </w:pPr>
            <w:r w:rsidRPr="00D016C8">
              <w:rPr>
                <w:rFonts w:cstheme="minorHAnsi"/>
                <w:color w:val="000000" w:themeColor="text1"/>
                <w:sz w:val="18"/>
                <w:szCs w:val="18"/>
                <w:lang w:val="sr-Latn-ME"/>
              </w:rPr>
              <w:t>Sjeverna Makedonija</w:t>
            </w:r>
          </w:p>
        </w:tc>
        <w:tc>
          <w:tcPr>
            <w:tcW w:w="593" w:type="pct"/>
            <w:tcBorders>
              <w:bottom w:val="single" w:sz="12" w:space="0" w:color="2E74B5" w:themeColor="accent5" w:themeShade="BF"/>
            </w:tcBorders>
            <w:noWrap/>
            <w:hideMark/>
          </w:tcPr>
          <w:p w14:paraId="106D19E0"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1.8</w:t>
            </w:r>
          </w:p>
        </w:tc>
        <w:tc>
          <w:tcPr>
            <w:tcW w:w="593" w:type="pct"/>
            <w:tcBorders>
              <w:bottom w:val="single" w:sz="12" w:space="0" w:color="2E74B5" w:themeColor="accent5" w:themeShade="BF"/>
            </w:tcBorders>
            <w:noWrap/>
            <w:hideMark/>
          </w:tcPr>
          <w:p w14:paraId="4486502F"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2.5</w:t>
            </w:r>
          </w:p>
        </w:tc>
        <w:tc>
          <w:tcPr>
            <w:tcW w:w="593" w:type="pct"/>
            <w:tcBorders>
              <w:bottom w:val="single" w:sz="12" w:space="0" w:color="2E74B5" w:themeColor="accent5" w:themeShade="BF"/>
            </w:tcBorders>
            <w:noWrap/>
            <w:hideMark/>
          </w:tcPr>
          <w:p w14:paraId="6FBF028C"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2.2</w:t>
            </w:r>
          </w:p>
        </w:tc>
        <w:tc>
          <w:tcPr>
            <w:tcW w:w="593" w:type="pct"/>
            <w:tcBorders>
              <w:bottom w:val="single" w:sz="12" w:space="0" w:color="2E74B5" w:themeColor="accent5" w:themeShade="BF"/>
            </w:tcBorders>
            <w:noWrap/>
            <w:hideMark/>
          </w:tcPr>
          <w:p w14:paraId="0DD1AF25"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3.6</w:t>
            </w:r>
          </w:p>
        </w:tc>
        <w:tc>
          <w:tcPr>
            <w:tcW w:w="593" w:type="pct"/>
            <w:tcBorders>
              <w:bottom w:val="single" w:sz="12" w:space="0" w:color="2E74B5" w:themeColor="accent5" w:themeShade="BF"/>
            </w:tcBorders>
            <w:noWrap/>
            <w:hideMark/>
          </w:tcPr>
          <w:p w14:paraId="4038E2B4"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2.0</w:t>
            </w:r>
          </w:p>
        </w:tc>
        <w:tc>
          <w:tcPr>
            <w:tcW w:w="593" w:type="pct"/>
            <w:tcBorders>
              <w:bottom w:val="single" w:sz="12" w:space="0" w:color="2E74B5" w:themeColor="accent5" w:themeShade="BF"/>
            </w:tcBorders>
            <w:noWrap/>
            <w:hideMark/>
          </w:tcPr>
          <w:p w14:paraId="615DD912" w14:textId="77777777" w:rsidR="00E05341" w:rsidRPr="00D016C8"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8"/>
                <w:szCs w:val="18"/>
                <w:lang w:val="sr-Latn-ME"/>
              </w:rPr>
            </w:pPr>
            <w:r w:rsidRPr="00D016C8">
              <w:rPr>
                <w:rFonts w:cstheme="minorHAnsi"/>
                <w:color w:val="000000" w:themeColor="text1"/>
                <w:sz w:val="18"/>
                <w:szCs w:val="18"/>
                <w:lang w:val="sr-Latn-ME"/>
              </w:rPr>
              <w:t>2.6</w:t>
            </w:r>
          </w:p>
        </w:tc>
      </w:tr>
    </w:tbl>
    <w:p w14:paraId="66C01A9C" w14:textId="77777777" w:rsidR="00E05341" w:rsidRPr="004A4EB8" w:rsidRDefault="00E05341" w:rsidP="00E05341">
      <w:pPr>
        <w:jc w:val="both"/>
        <w:rPr>
          <w:rFonts w:cstheme="minorHAnsi"/>
          <w:i/>
          <w:color w:val="000000" w:themeColor="text1"/>
          <w:sz w:val="20"/>
          <w:szCs w:val="20"/>
          <w:lang w:val="sr-Latn-ME"/>
        </w:rPr>
      </w:pPr>
      <w:r w:rsidRPr="004A4EB8">
        <w:rPr>
          <w:rFonts w:cstheme="minorHAnsi"/>
          <w:i/>
          <w:color w:val="000000" w:themeColor="text1"/>
          <w:sz w:val="20"/>
          <w:szCs w:val="20"/>
          <w:lang w:val="sr-Latn-ME"/>
        </w:rPr>
        <w:t>Izvori: Svjetska banka – Redovni ekonomski izvještaj za zemlje Zapadnog Balkana, jesen 2024; MMF –Svjetski ekonomski izgledi, oktobar 2024; Evropska komisija – Ekonomski izgledi, jesen 2024.</w:t>
      </w:r>
    </w:p>
    <w:p w14:paraId="72C9AF35" w14:textId="77777777" w:rsidR="00E05341" w:rsidRPr="004A4EB8" w:rsidRDefault="00E05341" w:rsidP="00E05341">
      <w:pPr>
        <w:spacing w:after="120" w:line="276" w:lineRule="auto"/>
        <w:jc w:val="both"/>
        <w:rPr>
          <w:rFonts w:cstheme="minorHAnsi"/>
          <w:color w:val="000000" w:themeColor="text1"/>
          <w:sz w:val="24"/>
          <w:szCs w:val="24"/>
          <w:lang w:val="sr-Latn-ME"/>
        </w:rPr>
      </w:pPr>
      <w:r>
        <w:rPr>
          <w:rFonts w:cstheme="minorHAnsi"/>
          <w:color w:val="000000" w:themeColor="text1"/>
          <w:sz w:val="24"/>
          <w:szCs w:val="24"/>
          <w:lang w:val="sr-Latn-ME"/>
        </w:rPr>
        <w:t>M</w:t>
      </w:r>
      <w:r w:rsidRPr="004A4EB8">
        <w:rPr>
          <w:rFonts w:cstheme="minorHAnsi"/>
          <w:color w:val="000000" w:themeColor="text1"/>
          <w:sz w:val="24"/>
          <w:szCs w:val="24"/>
          <w:lang w:val="sr-Latn-ME"/>
        </w:rPr>
        <w:t xml:space="preserve">eđunarodne organizacije projektuju nastavak ekonomskog rasta </w:t>
      </w:r>
      <w:r>
        <w:rPr>
          <w:rFonts w:cstheme="minorHAnsi"/>
          <w:color w:val="000000" w:themeColor="text1"/>
          <w:sz w:val="24"/>
          <w:szCs w:val="24"/>
          <w:lang w:val="sr-Latn-ME"/>
        </w:rPr>
        <w:t>Crne Gore</w:t>
      </w:r>
      <w:r w:rsidRPr="004A4EB8">
        <w:rPr>
          <w:rFonts w:cstheme="minorHAnsi"/>
          <w:color w:val="000000" w:themeColor="text1"/>
          <w:sz w:val="24"/>
          <w:szCs w:val="24"/>
          <w:lang w:val="sr-Latn-ME"/>
        </w:rPr>
        <w:t xml:space="preserve"> u narednoj godini, te tako Svjetska banka očekuje da će Crna Gora u 2025. godini ostvariti rast od 3,5%, dok MMF i Evropska komisija projektuju još dinamičniji rast od 3,7% i 4,2%, respektivno.</w:t>
      </w:r>
    </w:p>
    <w:p w14:paraId="3E536A9B" w14:textId="77777777" w:rsidR="00E05341" w:rsidRPr="004A4EB8" w:rsidRDefault="00E05341" w:rsidP="00E05341">
      <w:pPr>
        <w:pStyle w:val="Heading2"/>
        <w:rPr>
          <w:rFonts w:asciiTheme="minorHAnsi" w:hAnsiTheme="minorHAnsi" w:cstheme="minorHAnsi"/>
          <w:b/>
          <w:sz w:val="24"/>
          <w:szCs w:val="24"/>
          <w:lang w:val="sr-Latn-ME"/>
        </w:rPr>
      </w:pPr>
      <w:bookmarkStart w:id="9" w:name="_Toc184111618"/>
      <w:r>
        <w:rPr>
          <w:rFonts w:asciiTheme="minorHAnsi" w:hAnsiTheme="minorHAnsi" w:cstheme="minorHAnsi"/>
          <w:b/>
          <w:sz w:val="24"/>
          <w:szCs w:val="24"/>
          <w:lang w:val="sr-Latn-ME"/>
        </w:rPr>
        <w:t>1</w:t>
      </w:r>
      <w:r w:rsidRPr="004A4EB8">
        <w:rPr>
          <w:rFonts w:asciiTheme="minorHAnsi" w:hAnsiTheme="minorHAnsi" w:cstheme="minorHAnsi"/>
          <w:b/>
          <w:sz w:val="24"/>
          <w:szCs w:val="24"/>
          <w:lang w:val="sr-Latn-ME"/>
        </w:rPr>
        <w:t>.1. Najnovija ekonomska kretanja</w:t>
      </w:r>
      <w:bookmarkEnd w:id="9"/>
      <w:r w:rsidRPr="004A4EB8">
        <w:rPr>
          <w:rFonts w:asciiTheme="minorHAnsi" w:hAnsiTheme="minorHAnsi" w:cstheme="minorHAnsi"/>
          <w:b/>
          <w:sz w:val="24"/>
          <w:szCs w:val="24"/>
          <w:lang w:val="sr-Latn-ME"/>
        </w:rPr>
        <w:t xml:space="preserve"> </w:t>
      </w:r>
    </w:p>
    <w:p w14:paraId="212D9AF2" w14:textId="77777777" w:rsidR="00E05341" w:rsidRPr="005F1ED2" w:rsidRDefault="00E05341" w:rsidP="00E05341">
      <w:pPr>
        <w:pStyle w:val="Heading3"/>
        <w:spacing w:after="240"/>
        <w:rPr>
          <w:rFonts w:asciiTheme="minorHAnsi" w:hAnsiTheme="minorHAnsi" w:cstheme="minorHAnsi"/>
          <w:b/>
          <w:color w:val="2F5496" w:themeColor="accent1" w:themeShade="BF"/>
          <w:lang w:val="sr-Latn-ME"/>
        </w:rPr>
      </w:pPr>
      <w:bookmarkStart w:id="10" w:name="_Toc184111619"/>
      <w:r>
        <w:rPr>
          <w:rFonts w:asciiTheme="minorHAnsi" w:hAnsiTheme="minorHAnsi" w:cstheme="minorHAnsi"/>
          <w:b/>
          <w:color w:val="2F5496" w:themeColor="accent1" w:themeShade="BF"/>
          <w:lang w:val="sr-Latn-ME"/>
        </w:rPr>
        <w:t>1</w:t>
      </w:r>
      <w:r w:rsidRPr="004A4EB8">
        <w:rPr>
          <w:rFonts w:asciiTheme="minorHAnsi" w:hAnsiTheme="minorHAnsi" w:cstheme="minorHAnsi"/>
          <w:b/>
          <w:color w:val="2F5496" w:themeColor="accent1" w:themeShade="BF"/>
          <w:lang w:val="sr-Latn-ME"/>
        </w:rPr>
        <w:t>.1.1. Bruto domaći proizvod</w:t>
      </w:r>
      <w:bookmarkEnd w:id="10"/>
      <w:r w:rsidRPr="004A4EB8">
        <w:rPr>
          <w:rFonts w:asciiTheme="minorHAnsi" w:hAnsiTheme="minorHAnsi" w:cstheme="minorHAnsi"/>
          <w:b/>
          <w:color w:val="2F5496" w:themeColor="accent1" w:themeShade="BF"/>
          <w:lang w:val="sr-Latn-ME"/>
        </w:rPr>
        <w:t xml:space="preserve"> </w:t>
      </w:r>
    </w:p>
    <w:p w14:paraId="6D9DF932" w14:textId="3BF8E8CD" w:rsidR="00E05341" w:rsidRPr="004A4EB8" w:rsidRDefault="00E05341" w:rsidP="00E05341">
      <w:pPr>
        <w:spacing w:after="200" w:line="276" w:lineRule="auto"/>
        <w:jc w:val="both"/>
        <w:rPr>
          <w:rFonts w:cstheme="minorHAnsi"/>
          <w:sz w:val="24"/>
          <w:szCs w:val="24"/>
          <w:lang w:val="sr-Latn-ME"/>
        </w:rPr>
      </w:pPr>
      <w:r w:rsidRPr="004A4EB8">
        <w:rPr>
          <w:rFonts w:cstheme="minorHAnsi"/>
          <w:sz w:val="24"/>
          <w:szCs w:val="24"/>
          <w:lang w:val="sr-Latn-ME"/>
        </w:rPr>
        <w:t>Nakon snažnog ekonomskog rasta Crne Gore u 2023. godini, koji je rezultat uspješne turističke sezone, priliva nerezidenata i pozitivnih kretanja na tržištu rada, povoljni makroekonomski trendovi nastavljaju se i tokom 2024. godine.</w:t>
      </w:r>
    </w:p>
    <w:p w14:paraId="606DF7B6" w14:textId="77777777" w:rsidR="00E05341" w:rsidRPr="004A4EB8" w:rsidRDefault="00E05341" w:rsidP="00E05341">
      <w:pPr>
        <w:spacing w:after="200" w:line="276" w:lineRule="auto"/>
        <w:jc w:val="both"/>
        <w:rPr>
          <w:rFonts w:cstheme="minorHAnsi"/>
          <w:sz w:val="24"/>
          <w:szCs w:val="24"/>
          <w:lang w:val="sr-Latn-ME"/>
        </w:rPr>
      </w:pPr>
      <w:r w:rsidRPr="004A4EB8">
        <w:rPr>
          <w:rFonts w:cstheme="minorHAnsi"/>
          <w:sz w:val="24"/>
          <w:szCs w:val="24"/>
          <w:lang w:val="sr-Latn-ME"/>
        </w:rPr>
        <w:t>U prvoj polovini 2024. godine, realni ekonomski rast Crne Gore iznosio je 3,4%, pri čemu je ključni generator rasta bila privatna potrošnja, s</w:t>
      </w:r>
      <w:r>
        <w:rPr>
          <w:rFonts w:cstheme="minorHAnsi"/>
          <w:sz w:val="24"/>
          <w:szCs w:val="24"/>
          <w:lang w:val="sr-Latn-ME"/>
        </w:rPr>
        <w:t>a</w:t>
      </w:r>
      <w:r w:rsidRPr="004A4EB8">
        <w:rPr>
          <w:rFonts w:cstheme="minorHAnsi"/>
          <w:sz w:val="24"/>
          <w:szCs w:val="24"/>
          <w:lang w:val="sr-Latn-ME"/>
        </w:rPr>
        <w:t xml:space="preserve"> doprinosom od 6,5 procentnih poena. Detaljna analiza pokazuje da je u prvom kvartalu ostvaren rast od 4,4%, čime se Crna Gora pozicionirala među tri evropske zemlje s najvišom stopom ekonomskog rasta. U istom periodu, godišnji rast ekonomije EU(27) iznosio je 0,1%. U drugom kvartalu, bruto domaći proizvod (BDP) Crne Gore porastao je za 2,7%, pri čemu su najveći rast zabilježile bruto investicije u osnovna sredstva (11,7%), što ukazuje na oporavak investicione aktivnosti.</w:t>
      </w:r>
    </w:p>
    <w:p w14:paraId="75C4E764" w14:textId="77777777" w:rsidR="00E05341" w:rsidRPr="004A4EB8" w:rsidRDefault="00E05341" w:rsidP="00E05341">
      <w:pPr>
        <w:spacing w:after="200" w:line="276" w:lineRule="auto"/>
        <w:jc w:val="both"/>
        <w:rPr>
          <w:rFonts w:cstheme="minorHAnsi"/>
          <w:sz w:val="24"/>
          <w:szCs w:val="24"/>
          <w:lang w:val="sr-Latn-ME"/>
        </w:rPr>
      </w:pPr>
      <w:r w:rsidRPr="004A4EB8">
        <w:rPr>
          <w:rFonts w:cstheme="minorHAnsi"/>
          <w:sz w:val="24"/>
          <w:szCs w:val="24"/>
          <w:lang w:val="sr-Latn-ME"/>
        </w:rPr>
        <w:t xml:space="preserve">Dostupni kratkoročni indikatori </w:t>
      </w:r>
      <w:r>
        <w:rPr>
          <w:rFonts w:cstheme="minorHAnsi"/>
          <w:sz w:val="24"/>
          <w:szCs w:val="24"/>
          <w:lang w:val="sr-Latn-ME"/>
        </w:rPr>
        <w:t>pokazuju</w:t>
      </w:r>
      <w:r w:rsidRPr="004A4EB8">
        <w:rPr>
          <w:rFonts w:cstheme="minorHAnsi"/>
          <w:sz w:val="24"/>
          <w:szCs w:val="24"/>
          <w:lang w:val="sr-Latn-ME"/>
        </w:rPr>
        <w:t xml:space="preserve"> rast </w:t>
      </w:r>
      <w:r>
        <w:rPr>
          <w:rFonts w:cstheme="minorHAnsi"/>
          <w:sz w:val="24"/>
          <w:szCs w:val="24"/>
          <w:lang w:val="sr-Latn-ME"/>
        </w:rPr>
        <w:t>građevinarstva u prvih devet mjeseci 2024. i povećanje</w:t>
      </w:r>
      <w:r w:rsidRPr="004A4EB8">
        <w:rPr>
          <w:rFonts w:cstheme="minorHAnsi"/>
          <w:sz w:val="24"/>
          <w:szCs w:val="24"/>
          <w:lang w:val="sr-Latn-ME"/>
        </w:rPr>
        <w:t xml:space="preserve"> vrijednosti</w:t>
      </w:r>
      <w:r>
        <w:rPr>
          <w:rFonts w:cstheme="minorHAnsi"/>
          <w:sz w:val="24"/>
          <w:szCs w:val="24"/>
          <w:lang w:val="sr-Latn-ME"/>
        </w:rPr>
        <w:t xml:space="preserve"> izvršenih</w:t>
      </w:r>
      <w:r w:rsidRPr="004A4EB8">
        <w:rPr>
          <w:rFonts w:cstheme="minorHAnsi"/>
          <w:sz w:val="24"/>
          <w:szCs w:val="24"/>
          <w:lang w:val="sr-Latn-ME"/>
        </w:rPr>
        <w:t xml:space="preserve"> građevinskih radova za 2,4% na godišnjem nivou, dok je promet u maloprodaji porastao za 10,0%. Indeks prometa u uslugama u trećem kvartalu 2024. </w:t>
      </w:r>
      <w:r w:rsidRPr="004A4EB8">
        <w:rPr>
          <w:rFonts w:cstheme="minorHAnsi"/>
          <w:sz w:val="24"/>
          <w:szCs w:val="24"/>
          <w:lang w:val="sr-Latn-ME"/>
        </w:rPr>
        <w:lastRenderedPageBreak/>
        <w:t>veći je za 9,7% na godišnjem nivou. Broj noćenja domaćih i stranih gostiju u kolektivnom smještaju bilježi godišnji rast od 1,6% u prvih devet mjeseci tekuće godine, dok je broj prevezenih putnika na crnogorskim aerodromima porastao za 16,5%. Prihodi od turizma su, prema preliminarnim podacima Centralne banke Crne Gore, u prva tri kvartala tekuće godine iznosili 1,31 milijardu eura i bilježe blagi pad od 3,6%, dok su u odnosu na uporedni, pretkrizni period 2019. godine veći 29,0%. Industrijska proizvodnja je opala za 6,0%, pod uticajem pada proizvodnje električne energije od 20,5% uzrokovanog nepovoljnim hidrološkim uslovima. Sektori vađenja rude i kamena i prerađivačke industrije su porasli 8,1% i 4,2%, respektivno.</w:t>
      </w:r>
    </w:p>
    <w:p w14:paraId="1DEDE536" w14:textId="77777777" w:rsidR="00E05341" w:rsidRPr="004A4EB8" w:rsidRDefault="00E05341" w:rsidP="00E05341">
      <w:pPr>
        <w:spacing w:line="276" w:lineRule="auto"/>
        <w:jc w:val="both"/>
        <w:rPr>
          <w:rFonts w:cstheme="minorHAnsi"/>
          <w:sz w:val="24"/>
          <w:szCs w:val="24"/>
          <w:lang w:val="sr-Latn-ME"/>
        </w:rPr>
      </w:pPr>
      <w:r w:rsidRPr="004A4EB8">
        <w:rPr>
          <w:rFonts w:cstheme="minorHAnsi"/>
          <w:sz w:val="24"/>
          <w:szCs w:val="24"/>
          <w:lang w:val="sr-Latn-ME"/>
        </w:rPr>
        <w:t xml:space="preserve">U narednoj tabeli prikazana je razlika između projekcija iz prošlogodišnjeg i novog PER-a: </w:t>
      </w:r>
    </w:p>
    <w:p w14:paraId="4A7F0216" w14:textId="77777777" w:rsidR="00E05341" w:rsidRPr="004A4EB8" w:rsidRDefault="00E05341" w:rsidP="00E05341">
      <w:pPr>
        <w:jc w:val="both"/>
        <w:rPr>
          <w:rFonts w:cstheme="minorHAnsi"/>
          <w:b/>
          <w:color w:val="2F5496" w:themeColor="accent1" w:themeShade="BF"/>
          <w:lang w:val="sr-Latn-ME"/>
        </w:rPr>
      </w:pPr>
      <w:r w:rsidRPr="004A4EB8">
        <w:rPr>
          <w:rFonts w:cstheme="minorHAnsi"/>
          <w:b/>
          <w:color w:val="2F5496" w:themeColor="accent1" w:themeShade="BF"/>
          <w:lang w:val="sr-Latn-ME"/>
        </w:rPr>
        <w:t xml:space="preserve">Tabela </w:t>
      </w:r>
      <w:r>
        <w:rPr>
          <w:rFonts w:cstheme="minorHAnsi"/>
          <w:b/>
          <w:color w:val="2F5496" w:themeColor="accent1" w:themeShade="BF"/>
          <w:lang w:val="sr-Latn-ME"/>
        </w:rPr>
        <w:t>1</w:t>
      </w:r>
      <w:r w:rsidRPr="004A4EB8">
        <w:rPr>
          <w:rFonts w:cstheme="minorHAnsi"/>
          <w:b/>
          <w:color w:val="2F5496" w:themeColor="accent1" w:themeShade="BF"/>
          <w:lang w:val="sr-Latn-ME"/>
        </w:rPr>
        <w:t xml:space="preserve">.1.1: Razlika između prošlogodišnjeg PER-a i najnovijih procjena za 2024. godinu </w:t>
      </w:r>
    </w:p>
    <w:tbl>
      <w:tblPr>
        <w:tblStyle w:val="GridTable4-Accent1"/>
        <w:tblW w:w="5000" w:type="pct"/>
        <w:tblLook w:val="04A0" w:firstRow="1" w:lastRow="0" w:firstColumn="1" w:lastColumn="0" w:noHBand="0" w:noVBand="1"/>
      </w:tblPr>
      <w:tblGrid>
        <w:gridCol w:w="3136"/>
        <w:gridCol w:w="2016"/>
        <w:gridCol w:w="2016"/>
        <w:gridCol w:w="1848"/>
      </w:tblGrid>
      <w:tr w:rsidR="00E05341" w:rsidRPr="00477C47" w14:paraId="2651DFD1" w14:textId="77777777" w:rsidTr="00E0534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39" w:type="pct"/>
            <w:noWrap/>
            <w:hideMark/>
          </w:tcPr>
          <w:p w14:paraId="057FEC0C" w14:textId="77777777" w:rsidR="00E05341" w:rsidRPr="00477C47" w:rsidRDefault="00E05341" w:rsidP="00E05341">
            <w:pPr>
              <w:rPr>
                <w:rFonts w:eastAsia="Times New Roman" w:cstheme="minorHAnsi"/>
                <w:color w:val="000000"/>
                <w:sz w:val="18"/>
                <w:szCs w:val="24"/>
                <w:lang w:val="sr-Latn-ME"/>
              </w:rPr>
            </w:pPr>
            <w:r w:rsidRPr="00477C47">
              <w:rPr>
                <w:rFonts w:eastAsia="Times New Roman" w:cstheme="minorHAnsi"/>
                <w:color w:val="000000"/>
                <w:sz w:val="18"/>
                <w:szCs w:val="24"/>
                <w:lang w:val="sr-Latn-ME"/>
              </w:rPr>
              <w:t>Realni rast u 2024, u %</w:t>
            </w:r>
          </w:p>
        </w:tc>
        <w:tc>
          <w:tcPr>
            <w:tcW w:w="1118" w:type="pct"/>
            <w:noWrap/>
            <w:hideMark/>
          </w:tcPr>
          <w:p w14:paraId="178F4AF9" w14:textId="77777777" w:rsidR="00E05341" w:rsidRPr="00477C47" w:rsidRDefault="00E05341" w:rsidP="00E05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24"/>
                <w:lang w:val="sr-Latn-ME"/>
              </w:rPr>
            </w:pPr>
            <w:r w:rsidRPr="00477C47">
              <w:rPr>
                <w:rFonts w:eastAsia="Times New Roman" w:cstheme="minorHAnsi"/>
                <w:color w:val="000000"/>
                <w:sz w:val="18"/>
                <w:szCs w:val="24"/>
                <w:lang w:val="sr-Latn-ME"/>
              </w:rPr>
              <w:t>PER 2024-2026</w:t>
            </w:r>
          </w:p>
        </w:tc>
        <w:tc>
          <w:tcPr>
            <w:tcW w:w="1118" w:type="pct"/>
            <w:noWrap/>
            <w:hideMark/>
          </w:tcPr>
          <w:p w14:paraId="6F3BF84A" w14:textId="77777777" w:rsidR="00E05341" w:rsidRPr="00477C47" w:rsidRDefault="00E05341" w:rsidP="00E05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24"/>
                <w:lang w:val="sr-Latn-ME"/>
              </w:rPr>
            </w:pPr>
            <w:r w:rsidRPr="00477C47">
              <w:rPr>
                <w:rFonts w:eastAsia="Times New Roman" w:cstheme="minorHAnsi"/>
                <w:color w:val="000000"/>
                <w:sz w:val="18"/>
                <w:szCs w:val="24"/>
                <w:lang w:val="sr-Latn-ME"/>
              </w:rPr>
              <w:t>PER 2025-2027</w:t>
            </w:r>
          </w:p>
        </w:tc>
        <w:tc>
          <w:tcPr>
            <w:tcW w:w="1025" w:type="pct"/>
            <w:noWrap/>
            <w:hideMark/>
          </w:tcPr>
          <w:p w14:paraId="6AB113CF" w14:textId="77777777" w:rsidR="00E05341" w:rsidRPr="00477C47" w:rsidRDefault="00E05341" w:rsidP="00E05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24"/>
                <w:lang w:val="sr-Latn-ME"/>
              </w:rPr>
            </w:pPr>
            <w:r w:rsidRPr="00477C47">
              <w:rPr>
                <w:rFonts w:eastAsia="Times New Roman" w:cstheme="minorHAnsi"/>
                <w:color w:val="000000"/>
                <w:sz w:val="18"/>
                <w:szCs w:val="24"/>
                <w:lang w:val="sr-Latn-ME"/>
              </w:rPr>
              <w:t>Razlika (u p.p)</w:t>
            </w:r>
          </w:p>
        </w:tc>
      </w:tr>
      <w:tr w:rsidR="00E05341" w:rsidRPr="00477C47" w14:paraId="52B58C14" w14:textId="77777777" w:rsidTr="00E053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39" w:type="pct"/>
            <w:noWrap/>
            <w:hideMark/>
          </w:tcPr>
          <w:p w14:paraId="2E0412D1" w14:textId="77777777" w:rsidR="00E05341" w:rsidRPr="00477C47" w:rsidRDefault="00E05341" w:rsidP="00E05341">
            <w:pPr>
              <w:rPr>
                <w:rFonts w:eastAsia="Times New Roman" w:cstheme="minorHAnsi"/>
                <w:color w:val="000000"/>
                <w:sz w:val="18"/>
                <w:szCs w:val="24"/>
                <w:lang w:val="sr-Latn-ME"/>
              </w:rPr>
            </w:pPr>
            <w:r w:rsidRPr="00477C47">
              <w:rPr>
                <w:rFonts w:eastAsia="Times New Roman" w:cstheme="minorHAnsi"/>
                <w:color w:val="000000"/>
                <w:sz w:val="18"/>
                <w:szCs w:val="24"/>
                <w:lang w:val="sr-Latn-ME"/>
              </w:rPr>
              <w:t>Realni rast BDP-a</w:t>
            </w:r>
          </w:p>
        </w:tc>
        <w:tc>
          <w:tcPr>
            <w:tcW w:w="1118" w:type="pct"/>
            <w:noWrap/>
            <w:hideMark/>
          </w:tcPr>
          <w:p w14:paraId="6D52B71C" w14:textId="77777777" w:rsidR="00E05341" w:rsidRPr="00477C47" w:rsidRDefault="00E05341" w:rsidP="00E05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24"/>
                <w:lang w:val="sr-Latn-ME"/>
              </w:rPr>
            </w:pPr>
            <w:r w:rsidRPr="00477C47">
              <w:rPr>
                <w:rFonts w:eastAsia="Times New Roman" w:cstheme="minorHAnsi"/>
                <w:color w:val="000000"/>
                <w:sz w:val="18"/>
                <w:szCs w:val="24"/>
                <w:lang w:val="sr-Latn-ME"/>
              </w:rPr>
              <w:t>3.8</w:t>
            </w:r>
          </w:p>
        </w:tc>
        <w:tc>
          <w:tcPr>
            <w:tcW w:w="1118" w:type="pct"/>
            <w:noWrap/>
            <w:hideMark/>
          </w:tcPr>
          <w:p w14:paraId="1947AF8D" w14:textId="77777777" w:rsidR="00E05341" w:rsidRPr="00477C47" w:rsidRDefault="00E05341" w:rsidP="00E05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24"/>
                <w:lang w:val="sr-Latn-ME"/>
              </w:rPr>
            </w:pPr>
            <w:r w:rsidRPr="00477C47">
              <w:rPr>
                <w:rFonts w:eastAsia="Times New Roman" w:cstheme="minorHAnsi"/>
                <w:color w:val="000000"/>
                <w:sz w:val="18"/>
                <w:szCs w:val="24"/>
                <w:lang w:val="sr-Latn-ME"/>
              </w:rPr>
              <w:t>3.8</w:t>
            </w:r>
          </w:p>
        </w:tc>
        <w:tc>
          <w:tcPr>
            <w:tcW w:w="1025" w:type="pct"/>
            <w:noWrap/>
            <w:vAlign w:val="bottom"/>
            <w:hideMark/>
          </w:tcPr>
          <w:p w14:paraId="6E2669CB" w14:textId="77777777" w:rsidR="00E05341" w:rsidRPr="00477C47"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24"/>
                <w:lang w:val="sr-Latn-ME"/>
              </w:rPr>
            </w:pPr>
            <w:r w:rsidRPr="00477C47">
              <w:rPr>
                <w:rFonts w:cstheme="minorHAnsi"/>
                <w:color w:val="000000"/>
                <w:sz w:val="18"/>
                <w:szCs w:val="24"/>
                <w:lang w:val="sr-Latn-ME"/>
              </w:rPr>
              <w:t>0.0</w:t>
            </w:r>
          </w:p>
        </w:tc>
      </w:tr>
      <w:tr w:rsidR="00E05341" w:rsidRPr="00477C47" w14:paraId="295A4BCA" w14:textId="77777777" w:rsidTr="00E05341">
        <w:trPr>
          <w:trHeight w:val="288"/>
        </w:trPr>
        <w:tc>
          <w:tcPr>
            <w:cnfStyle w:val="001000000000" w:firstRow="0" w:lastRow="0" w:firstColumn="1" w:lastColumn="0" w:oddVBand="0" w:evenVBand="0" w:oddHBand="0" w:evenHBand="0" w:firstRowFirstColumn="0" w:firstRowLastColumn="0" w:lastRowFirstColumn="0" w:lastRowLastColumn="0"/>
            <w:tcW w:w="1739" w:type="pct"/>
            <w:noWrap/>
            <w:hideMark/>
          </w:tcPr>
          <w:p w14:paraId="19CBB482" w14:textId="77777777" w:rsidR="00E05341" w:rsidRPr="00477C47" w:rsidRDefault="00E05341" w:rsidP="00E05341">
            <w:pPr>
              <w:rPr>
                <w:rFonts w:eastAsia="Times New Roman" w:cstheme="minorHAnsi"/>
                <w:color w:val="000000"/>
                <w:sz w:val="18"/>
                <w:szCs w:val="24"/>
                <w:lang w:val="sr-Latn-ME"/>
              </w:rPr>
            </w:pPr>
            <w:r w:rsidRPr="00477C47">
              <w:rPr>
                <w:rFonts w:eastAsia="Times New Roman" w:cstheme="minorHAnsi"/>
                <w:color w:val="000000"/>
                <w:sz w:val="18"/>
                <w:szCs w:val="24"/>
                <w:lang w:val="sr-Latn-ME"/>
              </w:rPr>
              <w:t>Potrošnja domaćinstava</w:t>
            </w:r>
          </w:p>
        </w:tc>
        <w:tc>
          <w:tcPr>
            <w:tcW w:w="1118" w:type="pct"/>
            <w:noWrap/>
            <w:hideMark/>
          </w:tcPr>
          <w:p w14:paraId="36D89F84" w14:textId="77777777" w:rsidR="00E05341" w:rsidRPr="00477C47" w:rsidRDefault="00E05341" w:rsidP="00E05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24"/>
                <w:lang w:val="sr-Latn-ME"/>
              </w:rPr>
            </w:pPr>
            <w:r w:rsidRPr="00477C47">
              <w:rPr>
                <w:rFonts w:eastAsia="Times New Roman" w:cstheme="minorHAnsi"/>
                <w:color w:val="000000"/>
                <w:sz w:val="18"/>
                <w:szCs w:val="24"/>
                <w:lang w:val="sr-Latn-ME"/>
              </w:rPr>
              <w:t>4.9</w:t>
            </w:r>
          </w:p>
        </w:tc>
        <w:tc>
          <w:tcPr>
            <w:tcW w:w="1118" w:type="pct"/>
            <w:noWrap/>
            <w:hideMark/>
          </w:tcPr>
          <w:p w14:paraId="2F6C5EF3" w14:textId="77777777" w:rsidR="00E05341" w:rsidRPr="00477C47" w:rsidRDefault="00E05341" w:rsidP="00E05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24"/>
                <w:lang w:val="sr-Latn-ME"/>
              </w:rPr>
            </w:pPr>
            <w:r w:rsidRPr="00477C47">
              <w:rPr>
                <w:rFonts w:eastAsia="Times New Roman" w:cstheme="minorHAnsi"/>
                <w:color w:val="000000"/>
                <w:sz w:val="18"/>
                <w:szCs w:val="24"/>
                <w:lang w:val="sr-Latn-ME"/>
              </w:rPr>
              <w:t>4.0</w:t>
            </w:r>
          </w:p>
        </w:tc>
        <w:tc>
          <w:tcPr>
            <w:tcW w:w="1025" w:type="pct"/>
            <w:noWrap/>
            <w:vAlign w:val="bottom"/>
            <w:hideMark/>
          </w:tcPr>
          <w:p w14:paraId="6B835B81" w14:textId="77777777" w:rsidR="00E05341" w:rsidRPr="00477C47" w:rsidRDefault="00E05341" w:rsidP="00E05341">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24"/>
                <w:lang w:val="sr-Latn-ME"/>
              </w:rPr>
            </w:pPr>
            <w:r w:rsidRPr="00477C47">
              <w:rPr>
                <w:rFonts w:cstheme="minorHAnsi"/>
                <w:color w:val="000000"/>
                <w:sz w:val="18"/>
                <w:szCs w:val="24"/>
                <w:lang w:val="sr-Latn-ME"/>
              </w:rPr>
              <w:t>-0.9</w:t>
            </w:r>
          </w:p>
        </w:tc>
      </w:tr>
      <w:tr w:rsidR="00E05341" w:rsidRPr="00477C47" w14:paraId="414C1E4C" w14:textId="77777777" w:rsidTr="00E053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39" w:type="pct"/>
            <w:noWrap/>
            <w:hideMark/>
          </w:tcPr>
          <w:p w14:paraId="081A5BD4" w14:textId="77777777" w:rsidR="00E05341" w:rsidRPr="00477C47" w:rsidRDefault="00E05341" w:rsidP="00E05341">
            <w:pPr>
              <w:rPr>
                <w:rFonts w:eastAsia="Times New Roman" w:cstheme="minorHAnsi"/>
                <w:color w:val="000000"/>
                <w:sz w:val="18"/>
                <w:szCs w:val="24"/>
                <w:lang w:val="sr-Latn-ME"/>
              </w:rPr>
            </w:pPr>
            <w:r w:rsidRPr="00477C47">
              <w:rPr>
                <w:rFonts w:eastAsia="Times New Roman" w:cstheme="minorHAnsi"/>
                <w:color w:val="000000"/>
                <w:sz w:val="18"/>
                <w:szCs w:val="24"/>
                <w:lang w:val="sr-Latn-ME"/>
              </w:rPr>
              <w:t>Potrošnja države</w:t>
            </w:r>
          </w:p>
        </w:tc>
        <w:tc>
          <w:tcPr>
            <w:tcW w:w="1118" w:type="pct"/>
            <w:noWrap/>
            <w:hideMark/>
          </w:tcPr>
          <w:p w14:paraId="76418684" w14:textId="77777777" w:rsidR="00E05341" w:rsidRPr="00477C47" w:rsidRDefault="00E05341" w:rsidP="00E05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24"/>
                <w:lang w:val="sr-Latn-ME"/>
              </w:rPr>
            </w:pPr>
            <w:r w:rsidRPr="00477C47">
              <w:rPr>
                <w:rFonts w:eastAsia="Times New Roman" w:cstheme="minorHAnsi"/>
                <w:color w:val="000000"/>
                <w:sz w:val="18"/>
                <w:szCs w:val="24"/>
                <w:lang w:val="sr-Latn-ME"/>
              </w:rPr>
              <w:t>2.5</w:t>
            </w:r>
          </w:p>
        </w:tc>
        <w:tc>
          <w:tcPr>
            <w:tcW w:w="1118" w:type="pct"/>
            <w:noWrap/>
            <w:hideMark/>
          </w:tcPr>
          <w:p w14:paraId="4AD26020" w14:textId="77777777" w:rsidR="00E05341" w:rsidRPr="00477C47" w:rsidRDefault="00E05341" w:rsidP="00E05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24"/>
                <w:lang w:val="sr-Latn-ME"/>
              </w:rPr>
            </w:pPr>
            <w:r w:rsidRPr="00477C47">
              <w:rPr>
                <w:rFonts w:eastAsia="Times New Roman" w:cstheme="minorHAnsi"/>
                <w:color w:val="000000"/>
                <w:sz w:val="18"/>
                <w:szCs w:val="24"/>
                <w:lang w:val="sr-Latn-ME"/>
              </w:rPr>
              <w:t>3.0</w:t>
            </w:r>
          </w:p>
        </w:tc>
        <w:tc>
          <w:tcPr>
            <w:tcW w:w="1025" w:type="pct"/>
            <w:noWrap/>
            <w:vAlign w:val="bottom"/>
            <w:hideMark/>
          </w:tcPr>
          <w:p w14:paraId="03BE944E" w14:textId="77777777" w:rsidR="00E05341" w:rsidRPr="00477C47"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24"/>
                <w:lang w:val="sr-Latn-ME"/>
              </w:rPr>
            </w:pPr>
            <w:r w:rsidRPr="00477C47">
              <w:rPr>
                <w:rFonts w:cstheme="minorHAnsi"/>
                <w:color w:val="000000"/>
                <w:sz w:val="18"/>
                <w:szCs w:val="24"/>
                <w:lang w:val="sr-Latn-ME"/>
              </w:rPr>
              <w:t>0.5</w:t>
            </w:r>
          </w:p>
        </w:tc>
      </w:tr>
      <w:tr w:rsidR="00E05341" w:rsidRPr="00477C47" w14:paraId="32BE5F73" w14:textId="77777777" w:rsidTr="00E05341">
        <w:trPr>
          <w:trHeight w:val="288"/>
        </w:trPr>
        <w:tc>
          <w:tcPr>
            <w:cnfStyle w:val="001000000000" w:firstRow="0" w:lastRow="0" w:firstColumn="1" w:lastColumn="0" w:oddVBand="0" w:evenVBand="0" w:oddHBand="0" w:evenHBand="0" w:firstRowFirstColumn="0" w:firstRowLastColumn="0" w:lastRowFirstColumn="0" w:lastRowLastColumn="0"/>
            <w:tcW w:w="1739" w:type="pct"/>
            <w:noWrap/>
            <w:hideMark/>
          </w:tcPr>
          <w:p w14:paraId="203318A9" w14:textId="77777777" w:rsidR="00E05341" w:rsidRPr="00477C47" w:rsidRDefault="00E05341" w:rsidP="00E05341">
            <w:pPr>
              <w:rPr>
                <w:rFonts w:eastAsia="Times New Roman" w:cstheme="minorHAnsi"/>
                <w:color w:val="000000"/>
                <w:sz w:val="18"/>
                <w:szCs w:val="24"/>
                <w:lang w:val="sr-Latn-ME"/>
              </w:rPr>
            </w:pPr>
            <w:r w:rsidRPr="00477C47">
              <w:rPr>
                <w:rFonts w:eastAsia="Times New Roman" w:cstheme="minorHAnsi"/>
                <w:color w:val="000000"/>
                <w:sz w:val="18"/>
                <w:szCs w:val="24"/>
                <w:lang w:val="sr-Latn-ME"/>
              </w:rPr>
              <w:t>Investicije</w:t>
            </w:r>
          </w:p>
        </w:tc>
        <w:tc>
          <w:tcPr>
            <w:tcW w:w="1118" w:type="pct"/>
            <w:noWrap/>
            <w:hideMark/>
          </w:tcPr>
          <w:p w14:paraId="6345D712" w14:textId="77777777" w:rsidR="00E05341" w:rsidRPr="00477C47" w:rsidRDefault="00E05341" w:rsidP="00E05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24"/>
                <w:lang w:val="sr-Latn-ME"/>
              </w:rPr>
            </w:pPr>
            <w:r w:rsidRPr="00477C47">
              <w:rPr>
                <w:rFonts w:eastAsia="Times New Roman" w:cstheme="minorHAnsi"/>
                <w:color w:val="000000"/>
                <w:sz w:val="18"/>
                <w:szCs w:val="24"/>
                <w:lang w:val="sr-Latn-ME"/>
              </w:rPr>
              <w:t>2.8</w:t>
            </w:r>
          </w:p>
        </w:tc>
        <w:tc>
          <w:tcPr>
            <w:tcW w:w="1118" w:type="pct"/>
            <w:noWrap/>
            <w:hideMark/>
          </w:tcPr>
          <w:p w14:paraId="0958B8EA" w14:textId="77777777" w:rsidR="00E05341" w:rsidRPr="00477C47" w:rsidRDefault="00E05341" w:rsidP="00E05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24"/>
                <w:lang w:val="sr-Latn-ME"/>
              </w:rPr>
            </w:pPr>
            <w:r w:rsidRPr="00477C47">
              <w:rPr>
                <w:rFonts w:eastAsia="Times New Roman" w:cstheme="minorHAnsi"/>
                <w:color w:val="000000"/>
                <w:sz w:val="18"/>
                <w:szCs w:val="24"/>
                <w:lang w:val="sr-Latn-ME"/>
              </w:rPr>
              <w:t>4.6</w:t>
            </w:r>
          </w:p>
        </w:tc>
        <w:tc>
          <w:tcPr>
            <w:tcW w:w="1025" w:type="pct"/>
            <w:noWrap/>
            <w:vAlign w:val="bottom"/>
            <w:hideMark/>
          </w:tcPr>
          <w:p w14:paraId="2BBAA7A6" w14:textId="77777777" w:rsidR="00E05341" w:rsidRPr="00477C47" w:rsidRDefault="00E05341" w:rsidP="00E05341">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24"/>
                <w:lang w:val="sr-Latn-ME"/>
              </w:rPr>
            </w:pPr>
            <w:r w:rsidRPr="00477C47">
              <w:rPr>
                <w:rFonts w:cstheme="minorHAnsi"/>
                <w:color w:val="000000"/>
                <w:sz w:val="18"/>
                <w:szCs w:val="24"/>
                <w:lang w:val="sr-Latn-ME"/>
              </w:rPr>
              <w:t>1.8</w:t>
            </w:r>
          </w:p>
        </w:tc>
      </w:tr>
      <w:tr w:rsidR="00E05341" w:rsidRPr="00477C47" w14:paraId="4FB0E75E" w14:textId="77777777" w:rsidTr="00E0534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39" w:type="pct"/>
            <w:noWrap/>
            <w:hideMark/>
          </w:tcPr>
          <w:p w14:paraId="4C6097F1" w14:textId="77777777" w:rsidR="00E05341" w:rsidRPr="00477C47" w:rsidRDefault="00E05341" w:rsidP="00E05341">
            <w:pPr>
              <w:rPr>
                <w:rFonts w:eastAsia="Times New Roman" w:cstheme="minorHAnsi"/>
                <w:color w:val="000000"/>
                <w:sz w:val="18"/>
                <w:szCs w:val="24"/>
                <w:lang w:val="sr-Latn-ME"/>
              </w:rPr>
            </w:pPr>
            <w:r w:rsidRPr="00477C47">
              <w:rPr>
                <w:rFonts w:eastAsia="Times New Roman" w:cstheme="minorHAnsi"/>
                <w:color w:val="000000"/>
                <w:sz w:val="18"/>
                <w:szCs w:val="24"/>
                <w:lang w:val="sr-Latn-ME"/>
              </w:rPr>
              <w:t>Izvoz roba i usluga</w:t>
            </w:r>
          </w:p>
        </w:tc>
        <w:tc>
          <w:tcPr>
            <w:tcW w:w="1118" w:type="pct"/>
            <w:noWrap/>
            <w:hideMark/>
          </w:tcPr>
          <w:p w14:paraId="30B1D83C" w14:textId="77777777" w:rsidR="00E05341" w:rsidRPr="00477C47" w:rsidRDefault="00E05341" w:rsidP="00E05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24"/>
                <w:lang w:val="sr-Latn-ME"/>
              </w:rPr>
            </w:pPr>
            <w:r w:rsidRPr="00477C47">
              <w:rPr>
                <w:rFonts w:eastAsia="Times New Roman" w:cstheme="minorHAnsi"/>
                <w:color w:val="000000"/>
                <w:sz w:val="18"/>
                <w:szCs w:val="24"/>
                <w:lang w:val="sr-Latn-ME"/>
              </w:rPr>
              <w:t>6.8</w:t>
            </w:r>
          </w:p>
        </w:tc>
        <w:tc>
          <w:tcPr>
            <w:tcW w:w="1118" w:type="pct"/>
            <w:noWrap/>
            <w:hideMark/>
          </w:tcPr>
          <w:p w14:paraId="31C14DEA" w14:textId="77777777" w:rsidR="00E05341" w:rsidRPr="00477C47" w:rsidRDefault="00E05341" w:rsidP="00E05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24"/>
                <w:lang w:val="sr-Latn-ME"/>
              </w:rPr>
            </w:pPr>
            <w:r w:rsidRPr="00477C47">
              <w:rPr>
                <w:rFonts w:eastAsia="Times New Roman" w:cstheme="minorHAnsi"/>
                <w:color w:val="000000"/>
                <w:sz w:val="18"/>
                <w:szCs w:val="24"/>
                <w:lang w:val="sr-Latn-ME"/>
              </w:rPr>
              <w:t>2.5</w:t>
            </w:r>
          </w:p>
        </w:tc>
        <w:tc>
          <w:tcPr>
            <w:tcW w:w="1025" w:type="pct"/>
            <w:noWrap/>
            <w:vAlign w:val="bottom"/>
            <w:hideMark/>
          </w:tcPr>
          <w:p w14:paraId="5FD6D4DC" w14:textId="77777777" w:rsidR="00E05341" w:rsidRPr="00477C47" w:rsidRDefault="00E05341" w:rsidP="00E05341">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24"/>
                <w:lang w:val="sr-Latn-ME"/>
              </w:rPr>
            </w:pPr>
            <w:r w:rsidRPr="00477C47">
              <w:rPr>
                <w:rFonts w:cstheme="minorHAnsi"/>
                <w:color w:val="000000"/>
                <w:sz w:val="18"/>
                <w:szCs w:val="24"/>
                <w:lang w:val="sr-Latn-ME"/>
              </w:rPr>
              <w:t>-4.3</w:t>
            </w:r>
          </w:p>
        </w:tc>
      </w:tr>
      <w:tr w:rsidR="00E05341" w:rsidRPr="00477C47" w14:paraId="4479596B" w14:textId="77777777" w:rsidTr="00E05341">
        <w:trPr>
          <w:trHeight w:val="288"/>
        </w:trPr>
        <w:tc>
          <w:tcPr>
            <w:cnfStyle w:val="001000000000" w:firstRow="0" w:lastRow="0" w:firstColumn="1" w:lastColumn="0" w:oddVBand="0" w:evenVBand="0" w:oddHBand="0" w:evenHBand="0" w:firstRowFirstColumn="0" w:firstRowLastColumn="0" w:lastRowFirstColumn="0" w:lastRowLastColumn="0"/>
            <w:tcW w:w="1739" w:type="pct"/>
            <w:noWrap/>
            <w:hideMark/>
          </w:tcPr>
          <w:p w14:paraId="50A8ED1F" w14:textId="77777777" w:rsidR="00E05341" w:rsidRPr="00477C47" w:rsidRDefault="00E05341" w:rsidP="00E05341">
            <w:pPr>
              <w:rPr>
                <w:rFonts w:eastAsia="Times New Roman" w:cstheme="minorHAnsi"/>
                <w:color w:val="000000"/>
                <w:sz w:val="18"/>
                <w:szCs w:val="24"/>
                <w:lang w:val="sr-Latn-ME"/>
              </w:rPr>
            </w:pPr>
            <w:r w:rsidRPr="00477C47">
              <w:rPr>
                <w:rFonts w:eastAsia="Times New Roman" w:cstheme="minorHAnsi"/>
                <w:color w:val="000000"/>
                <w:sz w:val="18"/>
                <w:szCs w:val="24"/>
                <w:lang w:val="sr-Latn-ME"/>
              </w:rPr>
              <w:t>Uvoz roba i usluga</w:t>
            </w:r>
          </w:p>
        </w:tc>
        <w:tc>
          <w:tcPr>
            <w:tcW w:w="1118" w:type="pct"/>
            <w:noWrap/>
            <w:hideMark/>
          </w:tcPr>
          <w:p w14:paraId="7B9D8E48" w14:textId="77777777" w:rsidR="00E05341" w:rsidRPr="00477C47" w:rsidRDefault="00E05341" w:rsidP="00E05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24"/>
                <w:lang w:val="sr-Latn-ME"/>
              </w:rPr>
            </w:pPr>
            <w:r w:rsidRPr="00477C47">
              <w:rPr>
                <w:rFonts w:eastAsia="Times New Roman" w:cstheme="minorHAnsi"/>
                <w:color w:val="000000"/>
                <w:sz w:val="18"/>
                <w:szCs w:val="24"/>
                <w:lang w:val="sr-Latn-ME"/>
              </w:rPr>
              <w:t>6.4</w:t>
            </w:r>
          </w:p>
        </w:tc>
        <w:tc>
          <w:tcPr>
            <w:tcW w:w="1118" w:type="pct"/>
            <w:noWrap/>
            <w:hideMark/>
          </w:tcPr>
          <w:p w14:paraId="6668600F" w14:textId="77777777" w:rsidR="00E05341" w:rsidRPr="00477C47" w:rsidRDefault="00E05341" w:rsidP="00E05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24"/>
                <w:lang w:val="sr-Latn-ME"/>
              </w:rPr>
            </w:pPr>
            <w:r w:rsidRPr="00477C47">
              <w:rPr>
                <w:rFonts w:eastAsia="Times New Roman" w:cstheme="minorHAnsi"/>
                <w:color w:val="000000"/>
                <w:sz w:val="18"/>
                <w:szCs w:val="24"/>
                <w:lang w:val="sr-Latn-ME"/>
              </w:rPr>
              <w:t>3.2</w:t>
            </w:r>
          </w:p>
        </w:tc>
        <w:tc>
          <w:tcPr>
            <w:tcW w:w="1025" w:type="pct"/>
            <w:noWrap/>
            <w:vAlign w:val="bottom"/>
            <w:hideMark/>
          </w:tcPr>
          <w:p w14:paraId="4D39FBAF" w14:textId="77777777" w:rsidR="00E05341" w:rsidRPr="00477C47" w:rsidRDefault="00E05341" w:rsidP="00E05341">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24"/>
                <w:lang w:val="sr-Latn-ME"/>
              </w:rPr>
            </w:pPr>
            <w:r w:rsidRPr="00477C47">
              <w:rPr>
                <w:rFonts w:cstheme="minorHAnsi"/>
                <w:color w:val="000000"/>
                <w:sz w:val="18"/>
                <w:szCs w:val="24"/>
                <w:lang w:val="sr-Latn-ME"/>
              </w:rPr>
              <w:t>-3.2</w:t>
            </w:r>
          </w:p>
        </w:tc>
      </w:tr>
    </w:tbl>
    <w:p w14:paraId="7E682679" w14:textId="77777777" w:rsidR="00E05341" w:rsidRPr="007441C3" w:rsidRDefault="00E05341" w:rsidP="00E05341">
      <w:pPr>
        <w:jc w:val="both"/>
        <w:rPr>
          <w:rFonts w:cstheme="minorHAnsi"/>
          <w:i/>
          <w:sz w:val="18"/>
          <w:szCs w:val="24"/>
          <w:lang w:val="sr-Latn-ME"/>
        </w:rPr>
      </w:pPr>
      <w:r w:rsidRPr="007441C3">
        <w:rPr>
          <w:rFonts w:cstheme="minorHAnsi"/>
          <w:i/>
          <w:sz w:val="18"/>
          <w:szCs w:val="24"/>
          <w:lang w:val="sr-Latn-ME"/>
        </w:rPr>
        <w:t xml:space="preserve">Izvor: Projekcije Ministarstva finansija </w:t>
      </w:r>
    </w:p>
    <w:p w14:paraId="7C98F088" w14:textId="77777777" w:rsidR="00E05341" w:rsidRPr="004A4EB8" w:rsidRDefault="00E05341" w:rsidP="00E05341">
      <w:pPr>
        <w:spacing w:before="240"/>
        <w:jc w:val="both"/>
        <w:rPr>
          <w:rFonts w:cstheme="minorHAnsi"/>
          <w:sz w:val="24"/>
          <w:szCs w:val="24"/>
          <w:lang w:val="sr-Latn-ME"/>
        </w:rPr>
      </w:pPr>
      <w:r w:rsidRPr="004A4EB8">
        <w:rPr>
          <w:rFonts w:eastAsia="Times New Roman" w:cstheme="minorHAnsi"/>
          <w:sz w:val="24"/>
          <w:szCs w:val="24"/>
          <w:lang w:val="sr-Latn-ME"/>
        </w:rPr>
        <w:t xml:space="preserve">Uporedni prikaz projekcija ukazuje na određena odstupanja u kretanju komponenti bruto domaćeg proizvoda, iako je ukupna stopa ekonomskog rasta ostala nepromijenjena. </w:t>
      </w:r>
      <w:r w:rsidRPr="004A4EB8">
        <w:rPr>
          <w:rFonts w:eastAsia="Times New Roman" w:cstheme="minorHAnsi"/>
          <w:bCs/>
          <w:sz w:val="24"/>
          <w:szCs w:val="24"/>
          <w:lang w:val="sr-Latn-ME"/>
        </w:rPr>
        <w:t>Privatna i javna potrošnja</w:t>
      </w:r>
      <w:r w:rsidRPr="004A4EB8">
        <w:rPr>
          <w:rFonts w:eastAsia="Times New Roman" w:cstheme="minorHAnsi"/>
          <w:sz w:val="24"/>
          <w:szCs w:val="24"/>
          <w:lang w:val="sr-Latn-ME"/>
        </w:rPr>
        <w:t xml:space="preserve"> zabilježile su manja odstupanja, dok su </w:t>
      </w:r>
      <w:r w:rsidRPr="004A4EB8">
        <w:rPr>
          <w:rFonts w:eastAsia="Times New Roman" w:cstheme="minorHAnsi"/>
          <w:bCs/>
          <w:sz w:val="24"/>
          <w:szCs w:val="24"/>
          <w:lang w:val="sr-Latn-ME"/>
        </w:rPr>
        <w:t>investicije u 2024. godini</w:t>
      </w:r>
      <w:r w:rsidRPr="004A4EB8">
        <w:rPr>
          <w:rFonts w:eastAsia="Times New Roman" w:cstheme="minorHAnsi"/>
          <w:sz w:val="24"/>
          <w:szCs w:val="24"/>
          <w:lang w:val="sr-Latn-ME"/>
        </w:rPr>
        <w:t xml:space="preserve"> premašile prošlogodišnje procjene, ostvarivši značajan rast. </w:t>
      </w:r>
      <w:r w:rsidRPr="004A4EB8">
        <w:rPr>
          <w:rFonts w:cstheme="minorHAnsi"/>
          <w:sz w:val="24"/>
          <w:szCs w:val="24"/>
          <w:lang w:val="sr-Latn-ME"/>
        </w:rPr>
        <w:t xml:space="preserve">Podaci pokazuju blagi pad turističkog sektora, dok je uvoz rastao sporije shodno dinamici privredne aktivnosti. </w:t>
      </w:r>
    </w:p>
    <w:p w14:paraId="125085EC" w14:textId="347C3913" w:rsidR="00E05341" w:rsidRPr="005F1ED2" w:rsidRDefault="00E05341" w:rsidP="00E05341">
      <w:pPr>
        <w:pStyle w:val="Heading3"/>
        <w:spacing w:before="240" w:after="240"/>
        <w:rPr>
          <w:rFonts w:asciiTheme="minorHAnsi" w:hAnsiTheme="minorHAnsi" w:cstheme="minorHAnsi"/>
          <w:b/>
          <w:color w:val="2F5496" w:themeColor="accent1" w:themeShade="BF"/>
          <w:lang w:val="sr-Latn-ME"/>
        </w:rPr>
      </w:pPr>
      <w:bookmarkStart w:id="11" w:name="_Toc184111620"/>
      <w:r>
        <w:rPr>
          <w:rFonts w:asciiTheme="minorHAnsi" w:hAnsiTheme="minorHAnsi" w:cstheme="minorHAnsi"/>
          <w:b/>
          <w:color w:val="2F5496" w:themeColor="accent1" w:themeShade="BF"/>
          <w:lang w:val="sr-Latn-ME"/>
        </w:rPr>
        <w:t>1</w:t>
      </w:r>
      <w:r w:rsidRPr="004A4EB8">
        <w:rPr>
          <w:rFonts w:asciiTheme="minorHAnsi" w:hAnsiTheme="minorHAnsi" w:cstheme="minorHAnsi"/>
          <w:b/>
          <w:color w:val="2F5496" w:themeColor="accent1" w:themeShade="BF"/>
          <w:lang w:val="sr-Latn-ME"/>
        </w:rPr>
        <w:t>.1.2</w:t>
      </w:r>
      <w:r w:rsidR="002E35FA">
        <w:rPr>
          <w:rFonts w:asciiTheme="minorHAnsi" w:hAnsiTheme="minorHAnsi" w:cstheme="minorHAnsi"/>
          <w:b/>
          <w:color w:val="2F5496" w:themeColor="accent1" w:themeShade="BF"/>
          <w:lang w:val="sr-Latn-ME"/>
        </w:rPr>
        <w:t>.</w:t>
      </w:r>
      <w:r w:rsidRPr="004A4EB8">
        <w:rPr>
          <w:rFonts w:asciiTheme="minorHAnsi" w:hAnsiTheme="minorHAnsi" w:cstheme="minorHAnsi"/>
          <w:b/>
          <w:color w:val="2F5496" w:themeColor="accent1" w:themeShade="BF"/>
          <w:lang w:val="sr-Latn-ME"/>
        </w:rPr>
        <w:t xml:space="preserve"> Inflacija</w:t>
      </w:r>
      <w:bookmarkEnd w:id="11"/>
    </w:p>
    <w:p w14:paraId="362E7398" w14:textId="77777777" w:rsidR="00E05341" w:rsidRPr="004A4EB8" w:rsidRDefault="00E05341" w:rsidP="00E05341">
      <w:pPr>
        <w:spacing w:after="200" w:line="276" w:lineRule="auto"/>
        <w:jc w:val="both"/>
        <w:rPr>
          <w:rFonts w:cstheme="minorHAnsi"/>
          <w:sz w:val="24"/>
          <w:szCs w:val="24"/>
          <w:lang w:val="sr-Latn-ME"/>
        </w:rPr>
      </w:pPr>
      <w:r w:rsidRPr="004A4EB8">
        <w:rPr>
          <w:rFonts w:cstheme="minorHAnsi"/>
          <w:sz w:val="24"/>
          <w:szCs w:val="24"/>
          <w:lang w:val="sr-Latn-ME"/>
        </w:rPr>
        <w:t xml:space="preserve">Nakon rekordne stope inflacije od 17,5% krajem 2022. godine i </w:t>
      </w:r>
      <w:r>
        <w:rPr>
          <w:rFonts w:cstheme="minorHAnsi"/>
          <w:sz w:val="24"/>
          <w:szCs w:val="24"/>
          <w:lang w:val="sr-Latn-ME"/>
        </w:rPr>
        <w:t>visokih stopa</w:t>
      </w:r>
      <w:r w:rsidRPr="004A4EB8">
        <w:rPr>
          <w:rFonts w:cstheme="minorHAnsi"/>
          <w:sz w:val="24"/>
          <w:szCs w:val="24"/>
          <w:lang w:val="sr-Latn-ME"/>
        </w:rPr>
        <w:t xml:space="preserve"> tokom 2023. godine, inflacija u 2024. godini bilježi izuzetno pozitivne trendove. U prvih deset mjeseci 2024. godine, prosječna inflacija je iznosila 3,6%, dok je u septembru zabilježena stopa inflacije od samo 1,0%, što predstavlja najnižu stopu inflacije od marta 2021. godine. U ovom periodu, najveći doprinos rastu cijena dale su cijene u kategoriji “Stanovanje, voda, struja, gas i druga goriva” (uticaj 0,84 procentnih poena, rast cijena 5,9%), kao i cijene odjeće i obuće (uticaj 0,69 procentnih poena, rast cijena 9,0%) i hrane i bezalkoholnih pića (uticaj 0,51 procentnih poena, rast cijena 1,4%). Zabilježena godišnja stopa inflacije od 1,2% u oktobru u Crnoj Gori niža je od oktobarske inflacije Evropske unije (2,3%) i Eurozone (2,0%).</w:t>
      </w:r>
    </w:p>
    <w:p w14:paraId="2F156549" w14:textId="77777777" w:rsidR="00E05341" w:rsidRDefault="00E05341" w:rsidP="00E05341">
      <w:pPr>
        <w:spacing w:after="200" w:line="276" w:lineRule="auto"/>
        <w:jc w:val="both"/>
        <w:rPr>
          <w:rFonts w:cstheme="minorHAnsi"/>
          <w:sz w:val="24"/>
          <w:szCs w:val="24"/>
          <w:lang w:val="sr-Latn-ME"/>
        </w:rPr>
      </w:pPr>
      <w:r w:rsidRPr="004A4EB8">
        <w:rPr>
          <w:rFonts w:cstheme="minorHAnsi"/>
          <w:sz w:val="24"/>
          <w:szCs w:val="24"/>
          <w:lang w:val="sr-Latn-ME"/>
        </w:rPr>
        <w:t xml:space="preserve">U 2024. godini je došlo do rasta cijena industrijskih proizvoda za izvoz od 6,6% u trećem kvartalu 2024. godine u odnosu na treći kvartal 2023. godine, zbog rasta cijena u sektoru </w:t>
      </w:r>
      <w:r w:rsidRPr="004A4EB8">
        <w:rPr>
          <w:rFonts w:cstheme="minorHAnsi"/>
          <w:sz w:val="24"/>
          <w:szCs w:val="24"/>
          <w:lang w:val="sr-Latn-ME"/>
        </w:rPr>
        <w:lastRenderedPageBreak/>
        <w:t>Vađenja ruda i kamena i u sektoru Prerađivačka industrija. Uvozne cijene su u trećem kvartalu 2024. zabilježile godišnji rast od 0,2%, takođe podstaknut rastom u oba prethodno navedena sektora.</w:t>
      </w:r>
    </w:p>
    <w:p w14:paraId="62DB7DE8" w14:textId="1CA6528A" w:rsidR="00E05341" w:rsidRDefault="00E05341" w:rsidP="00E05341">
      <w:pPr>
        <w:spacing w:line="276" w:lineRule="auto"/>
        <w:jc w:val="both"/>
        <w:rPr>
          <w:rFonts w:eastAsiaTheme="majorEastAsia" w:cstheme="minorHAnsi"/>
          <w:b/>
          <w:color w:val="2F5496" w:themeColor="accent1" w:themeShade="BF"/>
          <w:sz w:val="24"/>
          <w:szCs w:val="24"/>
          <w:lang w:val="sr-Latn-ME"/>
        </w:rPr>
      </w:pPr>
      <w:r w:rsidRPr="0009269B">
        <w:rPr>
          <w:rFonts w:eastAsiaTheme="majorEastAsia" w:cstheme="minorHAnsi"/>
          <w:b/>
          <w:color w:val="2F5496" w:themeColor="accent1" w:themeShade="BF"/>
          <w:sz w:val="24"/>
          <w:szCs w:val="24"/>
          <w:lang w:val="sr-Latn-ME"/>
        </w:rPr>
        <w:t>1.1.3</w:t>
      </w:r>
      <w:r w:rsidR="002E35FA">
        <w:rPr>
          <w:rFonts w:eastAsiaTheme="majorEastAsia" w:cstheme="minorHAnsi"/>
          <w:b/>
          <w:color w:val="2F5496" w:themeColor="accent1" w:themeShade="BF"/>
          <w:sz w:val="24"/>
          <w:szCs w:val="24"/>
          <w:lang w:val="sr-Latn-ME"/>
        </w:rPr>
        <w:t>.</w:t>
      </w:r>
      <w:r w:rsidRPr="0009269B">
        <w:rPr>
          <w:rFonts w:eastAsiaTheme="majorEastAsia" w:cstheme="minorHAnsi"/>
          <w:b/>
          <w:color w:val="2F5496" w:themeColor="accent1" w:themeShade="BF"/>
          <w:sz w:val="24"/>
          <w:szCs w:val="24"/>
          <w:lang w:val="sr-Latn-ME"/>
        </w:rPr>
        <w:t xml:space="preserve"> Zaposlenost i zarade</w:t>
      </w:r>
    </w:p>
    <w:p w14:paraId="197A05B3" w14:textId="77777777" w:rsidR="00E05341" w:rsidRPr="006F09C8" w:rsidRDefault="00E05341" w:rsidP="00E05341">
      <w:pPr>
        <w:jc w:val="both"/>
        <w:rPr>
          <w:rFonts w:cstheme="minorHAnsi"/>
          <w:sz w:val="24"/>
          <w:szCs w:val="24"/>
          <w:lang w:val="sr-Latn-ME"/>
        </w:rPr>
      </w:pPr>
      <w:r w:rsidRPr="006F09C8">
        <w:rPr>
          <w:rFonts w:cstheme="minorHAnsi"/>
          <w:sz w:val="24"/>
          <w:szCs w:val="24"/>
          <w:lang w:val="sr-Latn-ME"/>
        </w:rPr>
        <w:t>Tržište rada pokazuje pozitivne trendove zahvaljuj</w:t>
      </w:r>
      <w:r>
        <w:rPr>
          <w:rFonts w:cstheme="minorHAnsi"/>
          <w:sz w:val="24"/>
          <w:szCs w:val="24"/>
          <w:lang w:val="sr-Latn-ME"/>
        </w:rPr>
        <w:t>ući rastu privredne aktivnosti i smanjenju sive ekonomije</w:t>
      </w:r>
      <w:r w:rsidRPr="006F09C8">
        <w:rPr>
          <w:rFonts w:cstheme="minorHAnsi"/>
          <w:sz w:val="24"/>
          <w:szCs w:val="24"/>
          <w:lang w:val="sr-Latn-ME"/>
        </w:rPr>
        <w:t>. Zaposlenost je porasla na 257,3 hiljade u prvih de</w:t>
      </w:r>
      <w:r>
        <w:rPr>
          <w:rFonts w:cstheme="minorHAnsi"/>
          <w:sz w:val="24"/>
          <w:szCs w:val="24"/>
          <w:lang w:val="sr-Latn-ME"/>
        </w:rPr>
        <w:t>s</w:t>
      </w:r>
      <w:r w:rsidRPr="006F09C8">
        <w:rPr>
          <w:rFonts w:cstheme="minorHAnsi"/>
          <w:sz w:val="24"/>
          <w:szCs w:val="24"/>
          <w:lang w:val="sr-Latn-ME"/>
        </w:rPr>
        <w:t xml:space="preserve">et mjeseci 2024. godine, što je rast od </w:t>
      </w:r>
      <w:r>
        <w:rPr>
          <w:rFonts w:cstheme="minorHAnsi"/>
          <w:sz w:val="24"/>
          <w:szCs w:val="24"/>
          <w:lang w:val="sr-Latn-ME"/>
        </w:rPr>
        <w:t>5,4</w:t>
      </w:r>
      <w:r w:rsidRPr="006F09C8">
        <w:rPr>
          <w:rFonts w:cstheme="minorHAnsi"/>
          <w:sz w:val="24"/>
          <w:szCs w:val="24"/>
          <w:lang w:val="sr-Latn-ME"/>
        </w:rPr>
        <w:t>% u odnosu na isti period 2023. godine. Stopa nezaposlenosti je na kraju drugog kvartala 2024. iznosila 11,4%, što je istorijski minimum prema podacima iz Ankete o radnoj snazi. Registrovana stopa nezaposlenosti u septembru 2024. bila je 11,06% (pad od 2,08 procentnih poena u odnosu n</w:t>
      </w:r>
      <w:r>
        <w:rPr>
          <w:rFonts w:cstheme="minorHAnsi"/>
          <w:sz w:val="24"/>
          <w:szCs w:val="24"/>
          <w:lang w:val="sr-Latn-ME"/>
        </w:rPr>
        <w:t>a isti period prethodne godine)</w:t>
      </w:r>
      <w:r w:rsidRPr="006F09C8">
        <w:rPr>
          <w:rFonts w:cstheme="minorHAnsi"/>
          <w:sz w:val="24"/>
          <w:szCs w:val="24"/>
          <w:lang w:val="sr-Latn-ME"/>
        </w:rPr>
        <w:t>. Prosječna neto zarada u prvih de</w:t>
      </w:r>
      <w:r>
        <w:rPr>
          <w:rFonts w:cstheme="minorHAnsi"/>
          <w:sz w:val="24"/>
          <w:szCs w:val="24"/>
          <w:lang w:val="sr-Latn-ME"/>
        </w:rPr>
        <w:t>s</w:t>
      </w:r>
      <w:r w:rsidRPr="006F09C8">
        <w:rPr>
          <w:rFonts w:cstheme="minorHAnsi"/>
          <w:sz w:val="24"/>
          <w:szCs w:val="24"/>
          <w:lang w:val="sr-Latn-ME"/>
        </w:rPr>
        <w:t xml:space="preserve">et mjeseci 2024. povećana je za </w:t>
      </w:r>
      <w:r>
        <w:rPr>
          <w:rFonts w:cstheme="minorHAnsi"/>
          <w:sz w:val="24"/>
          <w:szCs w:val="24"/>
          <w:lang w:val="sr-Latn-ME"/>
        </w:rPr>
        <w:t>7</w:t>
      </w:r>
      <w:r w:rsidRPr="006F09C8">
        <w:rPr>
          <w:rFonts w:cstheme="minorHAnsi"/>
          <w:sz w:val="24"/>
          <w:szCs w:val="24"/>
          <w:lang w:val="sr-Latn-ME"/>
        </w:rPr>
        <w:t>,7% u odnosu na isti period prošle godine i iznosila je 8</w:t>
      </w:r>
      <w:r>
        <w:rPr>
          <w:rFonts w:cstheme="minorHAnsi"/>
          <w:sz w:val="24"/>
          <w:szCs w:val="24"/>
          <w:lang w:val="sr-Latn-ME"/>
        </w:rPr>
        <w:t>5</w:t>
      </w:r>
      <w:r w:rsidRPr="006F09C8">
        <w:rPr>
          <w:rFonts w:cstheme="minorHAnsi"/>
          <w:sz w:val="24"/>
          <w:szCs w:val="24"/>
          <w:lang w:val="sr-Latn-ME"/>
        </w:rPr>
        <w:t>0€. Prosječna bruto zarada za prvih de</w:t>
      </w:r>
      <w:r>
        <w:rPr>
          <w:rFonts w:cstheme="minorHAnsi"/>
          <w:sz w:val="24"/>
          <w:szCs w:val="24"/>
          <w:lang w:val="sr-Latn-ME"/>
        </w:rPr>
        <w:t>s</w:t>
      </w:r>
      <w:r w:rsidRPr="006F09C8">
        <w:rPr>
          <w:rFonts w:cstheme="minorHAnsi"/>
          <w:sz w:val="24"/>
          <w:szCs w:val="24"/>
          <w:lang w:val="sr-Latn-ME"/>
        </w:rPr>
        <w:t>et mjeseci 2024. iznosila je 10</w:t>
      </w:r>
      <w:r>
        <w:rPr>
          <w:rFonts w:cstheme="minorHAnsi"/>
          <w:sz w:val="24"/>
          <w:szCs w:val="24"/>
          <w:lang w:val="sr-Latn-ME"/>
        </w:rPr>
        <w:t>60</w:t>
      </w:r>
      <w:r w:rsidRPr="006F09C8">
        <w:rPr>
          <w:rFonts w:cstheme="minorHAnsi"/>
          <w:sz w:val="24"/>
          <w:szCs w:val="24"/>
          <w:lang w:val="sr-Latn-ME"/>
        </w:rPr>
        <w:t xml:space="preserve"> eura, što je povećanje od 7,</w:t>
      </w:r>
      <w:r>
        <w:rPr>
          <w:rFonts w:cstheme="minorHAnsi"/>
          <w:sz w:val="24"/>
          <w:szCs w:val="24"/>
          <w:lang w:val="sr-Latn-ME"/>
        </w:rPr>
        <w:t>9</w:t>
      </w:r>
      <w:r w:rsidRPr="006F09C8">
        <w:rPr>
          <w:rFonts w:cstheme="minorHAnsi"/>
          <w:sz w:val="24"/>
          <w:szCs w:val="24"/>
          <w:lang w:val="sr-Latn-ME"/>
        </w:rPr>
        <w:t>% u odnosu na isti period 2023. godine.</w:t>
      </w:r>
      <w:r>
        <w:rPr>
          <w:rFonts w:cstheme="minorHAnsi"/>
          <w:sz w:val="24"/>
          <w:szCs w:val="24"/>
          <w:lang w:val="sr-Latn-ME"/>
        </w:rPr>
        <w:t xml:space="preserve"> Imajući u vidu dinamiku kretanja inflacije i zarada, u prvih deset mjeseci zabilježen je realni rast prosječne neto zarade od 4%, dok je samo u oktobru shodno isplaćenim zaradama nakon implementacije reforme poreske politike i nižih stopa doprinosa, realna zarada povećana preko 16% na godišnjem nivou.</w:t>
      </w:r>
    </w:p>
    <w:p w14:paraId="79396463" w14:textId="33B93A4C" w:rsidR="00E05341" w:rsidRDefault="00E05341" w:rsidP="00E05341">
      <w:pPr>
        <w:spacing w:line="276" w:lineRule="auto"/>
        <w:jc w:val="both"/>
        <w:rPr>
          <w:rFonts w:eastAsiaTheme="majorEastAsia" w:cstheme="minorHAnsi"/>
          <w:b/>
          <w:color w:val="2F5496" w:themeColor="accent1" w:themeShade="BF"/>
          <w:sz w:val="24"/>
          <w:szCs w:val="24"/>
          <w:lang w:val="sr-Latn-ME"/>
        </w:rPr>
      </w:pPr>
      <w:r>
        <w:rPr>
          <w:rFonts w:eastAsiaTheme="majorEastAsia" w:cstheme="minorHAnsi"/>
          <w:b/>
          <w:color w:val="2F5496" w:themeColor="accent1" w:themeShade="BF"/>
          <w:sz w:val="24"/>
          <w:szCs w:val="24"/>
          <w:lang w:val="sr-Latn-ME"/>
        </w:rPr>
        <w:t>1.1.4</w:t>
      </w:r>
      <w:r w:rsidR="002E35FA">
        <w:rPr>
          <w:rFonts w:eastAsiaTheme="majorEastAsia" w:cstheme="minorHAnsi"/>
          <w:b/>
          <w:color w:val="2F5496" w:themeColor="accent1" w:themeShade="BF"/>
          <w:sz w:val="24"/>
          <w:szCs w:val="24"/>
          <w:lang w:val="sr-Latn-ME"/>
        </w:rPr>
        <w:t>.</w:t>
      </w:r>
      <w:r>
        <w:rPr>
          <w:rFonts w:eastAsiaTheme="majorEastAsia" w:cstheme="minorHAnsi"/>
          <w:b/>
          <w:color w:val="2F5496" w:themeColor="accent1" w:themeShade="BF"/>
          <w:sz w:val="24"/>
          <w:szCs w:val="24"/>
          <w:lang w:val="sr-Latn-ME"/>
        </w:rPr>
        <w:t xml:space="preserve"> Kreditna aktivnost banaka</w:t>
      </w:r>
    </w:p>
    <w:p w14:paraId="29CD2B4B" w14:textId="77777777" w:rsidR="00E05341" w:rsidRPr="002A7B8B" w:rsidRDefault="00E05341" w:rsidP="00E05341">
      <w:pPr>
        <w:spacing w:after="200"/>
        <w:jc w:val="both"/>
        <w:rPr>
          <w:rFonts w:cstheme="minorHAnsi"/>
          <w:sz w:val="24"/>
          <w:szCs w:val="24"/>
          <w:lang w:val="sr-Latn-ME"/>
        </w:rPr>
      </w:pPr>
      <w:r w:rsidRPr="002A7B8B">
        <w:rPr>
          <w:rFonts w:cstheme="minorHAnsi"/>
          <w:sz w:val="24"/>
          <w:szCs w:val="24"/>
          <w:lang w:val="sr-Latn-ME"/>
        </w:rPr>
        <w:t>Bankarski sektor je u 2024. godini zadržao stabilnost i visoku likvidnost, očuvao profitabilnost i dobru kapitalizovanost. Sve ključne bilansne pozicije na godišnjem nivou ostvaruju rast, i to: aktiva 2,95%, krediti 15,32%, depoziti 2,55% i kapital od 9,79%. Na kraju septembra 2024. godine, novčana sredstva bankarskog sektora iznose 985,4 mil.€ i predstavljaju 14,12% ukupne aktive. Koeficijent nekvalitetnih kredita (NPL</w:t>
      </w:r>
      <w:r w:rsidRPr="002A7B8B">
        <w:rPr>
          <w:rFonts w:cstheme="minorHAnsi"/>
          <w:sz w:val="24"/>
          <w:szCs w:val="24"/>
          <w:lang w:val="sr-Latn-ME"/>
        </w:rPr>
        <w:footnoteReference w:id="6"/>
      </w:r>
      <w:r w:rsidRPr="002A7B8B">
        <w:rPr>
          <w:rFonts w:cstheme="minorHAnsi"/>
          <w:sz w:val="24"/>
          <w:szCs w:val="24"/>
          <w:lang w:val="sr-Latn-ME"/>
        </w:rPr>
        <w:t>) iznosi 3,96%.</w:t>
      </w:r>
    </w:p>
    <w:p w14:paraId="3F02A381" w14:textId="77777777" w:rsidR="00E05341" w:rsidRPr="002A7B8B" w:rsidRDefault="00E05341" w:rsidP="00E05341">
      <w:pPr>
        <w:spacing w:after="200"/>
        <w:jc w:val="both"/>
        <w:rPr>
          <w:rFonts w:cstheme="minorHAnsi"/>
          <w:sz w:val="24"/>
          <w:szCs w:val="24"/>
          <w:lang w:val="sr-Latn-ME"/>
        </w:rPr>
      </w:pPr>
      <w:r w:rsidRPr="002A7B8B">
        <w:rPr>
          <w:rFonts w:cstheme="minorHAnsi"/>
          <w:sz w:val="24"/>
          <w:szCs w:val="24"/>
          <w:lang w:val="sr-Latn-ME"/>
        </w:rPr>
        <w:t xml:space="preserve">Krediti pravnim licima iznose 2.663,6 mil.€ ili 57,82% ukupnih kredita, dok krediti fizičkim licima iznose 1.943,1 mil.€ ili 42,18% ukupnih kredita. Ovaj procentualni odnos je približno konstantan u posmatranom jednogodišnjem periodu. U istom periodu, krediti odobreni fizičkim licima bilježe rast od 15,03%, dok su krediti pravnim licima zabilježili rast od 15,54%. U strukturi kredita po ključnim nosiocima, nakon kredita fizičkim licima koji su dominantni sa 42,18%, slijede krediti privredi sa 31,26%, krediti Vladi Crne Gore sa 5,13%, plasmani bankama sa 17,16% i ostali krediti sa 4,27% učešća u ukupnim kreditima. Krediti privredi (privredna društva u privatnom i državnom vlasništvu) iznose 1.440 mil.€ i bilježe rast od 13,11% na godišnjem nivou. Krediti u drugim valutama čine 3,31% ukupnih kredita, dok krediti nerezidentima učestvuju sa 20,73% u ukupnim kreditima i navedeno se u najvećoj mjeri odnosi na sredstva na korespodentskim računima ino banaka. Dugoročni krediti, koji čine 77,08% svih kredita u sistemu, su dominantno finansirani iz stabilnih kratkoročnih depozita, koji čine 91,94% ukupnih depozita u sistemu. Na kraju septembra 2024. godine, prosječna </w:t>
      </w:r>
      <w:r w:rsidRPr="002A7B8B">
        <w:rPr>
          <w:rFonts w:cstheme="minorHAnsi"/>
          <w:sz w:val="24"/>
          <w:szCs w:val="24"/>
          <w:lang w:val="sr-Latn-ME"/>
        </w:rPr>
        <w:lastRenderedPageBreak/>
        <w:t>ponderisana efektivna kamatna stopa (PPEKS) na ukupne kredite iznosila je 6,59% i viša je za 0,12 pp u odnosu na isti mjesec prethodne godine.</w:t>
      </w:r>
    </w:p>
    <w:p w14:paraId="63475BBC" w14:textId="77777777" w:rsidR="00E05341" w:rsidRPr="002A7B8B" w:rsidRDefault="00E05341" w:rsidP="00E05341">
      <w:pPr>
        <w:spacing w:after="200"/>
        <w:jc w:val="both"/>
        <w:rPr>
          <w:rFonts w:cstheme="minorHAnsi"/>
          <w:sz w:val="24"/>
          <w:szCs w:val="24"/>
          <w:lang w:val="sr-Latn-ME"/>
        </w:rPr>
      </w:pPr>
      <w:r w:rsidRPr="002A7B8B">
        <w:rPr>
          <w:rFonts w:cstheme="minorHAnsi"/>
          <w:sz w:val="24"/>
          <w:szCs w:val="24"/>
          <w:lang w:val="sr-Latn-ME"/>
        </w:rPr>
        <w:t>Tokom devet mjeseci 2024. godine, pravnim licima je odobreno 677,8 mil.€ novih kredita i ovi krediti ostvaruju rast od 18,94% u odnosu na isti period prethodne godine, dok je fizičkim licima odobreno 596,1 mil.€, što je za oko 45,62% više u odnosu na isti period 2023. godine. PPEKS na novoodobrene kredite iznosi 6,64% i u odnosu na septembar 2023. godine ostvaruje pad od 0,41 p.p. Krediti pravnim licima odobravani su po PPEKS od 5,80% što je više za 0,08 p.p u odnosu na septembar 2023. godine, a fizičkim licima po stopi od 7,55% što je za 1,16 p.p niže u odnosu na isti period prethodne godine.</w:t>
      </w:r>
    </w:p>
    <w:p w14:paraId="43972D43" w14:textId="77777777" w:rsidR="00E05341" w:rsidRPr="002A7B8B" w:rsidRDefault="00E05341" w:rsidP="00E05341">
      <w:pPr>
        <w:spacing w:after="200" w:line="240" w:lineRule="auto"/>
        <w:jc w:val="both"/>
        <w:rPr>
          <w:rFonts w:cstheme="minorHAnsi"/>
          <w:sz w:val="24"/>
          <w:szCs w:val="24"/>
          <w:lang w:val="sr-Latn-ME"/>
        </w:rPr>
      </w:pPr>
      <w:r w:rsidRPr="002A7B8B">
        <w:rPr>
          <w:rFonts w:cstheme="minorHAnsi"/>
          <w:sz w:val="24"/>
          <w:szCs w:val="24"/>
          <w:lang w:val="sr-Latn-ME"/>
        </w:rPr>
        <w:t>Ukupni depoziti na kraju septembra 2024. godine iznosili su 5.665,4 mil.€. U jednogodišnjem uporednom periodu</w:t>
      </w:r>
      <w:r>
        <w:rPr>
          <w:rFonts w:cstheme="minorHAnsi"/>
          <w:sz w:val="24"/>
          <w:szCs w:val="24"/>
          <w:lang w:val="sr-Latn-ME"/>
        </w:rPr>
        <w:t>,</w:t>
      </w:r>
      <w:r w:rsidRPr="002A7B8B">
        <w:rPr>
          <w:rFonts w:cstheme="minorHAnsi"/>
          <w:sz w:val="24"/>
          <w:szCs w:val="24"/>
          <w:lang w:val="sr-Latn-ME"/>
        </w:rPr>
        <w:t xml:space="preserve"> ukupni depoziti bilježe rast od 140,6 mil.€</w:t>
      </w:r>
      <w:r>
        <w:rPr>
          <w:rFonts w:cstheme="minorHAnsi"/>
          <w:sz w:val="24"/>
          <w:szCs w:val="24"/>
          <w:lang w:val="sr-Latn-ME"/>
        </w:rPr>
        <w:t xml:space="preserve"> </w:t>
      </w:r>
      <w:r w:rsidRPr="002A7B8B">
        <w:rPr>
          <w:rFonts w:cstheme="minorHAnsi"/>
          <w:sz w:val="24"/>
          <w:szCs w:val="24"/>
          <w:lang w:val="sr-Latn-ME"/>
        </w:rPr>
        <w:t>ili 2,55%. Na kraju septembra 2024. godine, u strukturi ukupnih depozita na depozite fizičkih lica se odnosilo 2.869,9 mil.€ ili 50,66%, dok se na depozite pravnih lica odnosilo 2.795,5 mil.€ ili 49,34%. Posmatrano u jednogodišnjem uporednom periodu depoziti fizičkih lica ostvaruju rast od 215,6 mil.€ ili 8,12%, dok depoziti pravnih lica ostvaruju pad od 75 mil</w:t>
      </w:r>
      <w:r>
        <w:rPr>
          <w:rFonts w:cstheme="minorHAnsi"/>
          <w:sz w:val="24"/>
          <w:szCs w:val="24"/>
          <w:lang w:val="sr-Latn-ME"/>
        </w:rPr>
        <w:t>.€</w:t>
      </w:r>
      <w:r w:rsidRPr="002A7B8B">
        <w:rPr>
          <w:rFonts w:cstheme="minorHAnsi"/>
          <w:sz w:val="24"/>
          <w:szCs w:val="24"/>
          <w:lang w:val="sr-Latn-ME"/>
        </w:rPr>
        <w:t xml:space="preserve"> ili 2,61%. Depoziti po viđenju su dominantni sa 84,76% u ukupnim depozitima. U bankarskom sistemu i dalje je prisutna ročna neusklađenost depozitnog potencijala. Učešće nerezidentnih depozita je značajno i iznosi 22,39%, dok depoziti u drugim valutama čine 4,93% ukupnih depozita. </w:t>
      </w:r>
    </w:p>
    <w:p w14:paraId="19B047BF" w14:textId="77777777" w:rsidR="00E05341" w:rsidRPr="002A7B8B" w:rsidRDefault="00E05341" w:rsidP="00E05341">
      <w:pPr>
        <w:spacing w:after="200"/>
        <w:jc w:val="both"/>
        <w:rPr>
          <w:rFonts w:cstheme="minorHAnsi"/>
          <w:sz w:val="24"/>
          <w:szCs w:val="24"/>
          <w:lang w:val="sr-Latn-ME"/>
        </w:rPr>
      </w:pPr>
      <w:r w:rsidRPr="002A7B8B">
        <w:rPr>
          <w:rFonts w:cstheme="minorHAnsi"/>
          <w:sz w:val="24"/>
          <w:szCs w:val="24"/>
          <w:lang w:val="sr-Latn-ME"/>
        </w:rPr>
        <w:t>U septembru 2024. godine, pasivna PPEKS iznosila je 0,25% i u poređenju sa istim periodom prethodne godine bilježi rast od 0,01 p.p.</w:t>
      </w:r>
    </w:p>
    <w:p w14:paraId="1ABD2D27" w14:textId="77777777" w:rsidR="00E05341" w:rsidRPr="002A7B8B" w:rsidRDefault="00E05341" w:rsidP="00E05341">
      <w:pPr>
        <w:spacing w:after="200"/>
        <w:jc w:val="both"/>
        <w:rPr>
          <w:rFonts w:cstheme="minorHAnsi"/>
          <w:sz w:val="24"/>
          <w:szCs w:val="24"/>
          <w:lang w:val="sr-Latn-ME"/>
        </w:rPr>
      </w:pPr>
      <w:r w:rsidRPr="002A7B8B">
        <w:rPr>
          <w:rFonts w:cstheme="minorHAnsi"/>
          <w:sz w:val="24"/>
          <w:szCs w:val="24"/>
          <w:lang w:val="sr-Latn-ME"/>
        </w:rPr>
        <w:t>Vrijednost koeficijenta kredita i potraživanja u odnosu na depozite iznosi 81,31%, što znači da je u sistemu 1.058,7 mil.€ više depozitnog potencijala u odnosu na potraživanja po osnovu odobrenih kredita.</w:t>
      </w:r>
    </w:p>
    <w:p w14:paraId="6679DE93" w14:textId="77777777" w:rsidR="00E05341" w:rsidRDefault="00E05341" w:rsidP="00E05341">
      <w:pPr>
        <w:spacing w:line="276" w:lineRule="auto"/>
        <w:jc w:val="both"/>
        <w:rPr>
          <w:rFonts w:eastAsiaTheme="majorEastAsia" w:cstheme="minorHAnsi"/>
          <w:b/>
          <w:color w:val="2F5496" w:themeColor="accent1" w:themeShade="BF"/>
          <w:sz w:val="24"/>
          <w:szCs w:val="24"/>
          <w:lang w:val="sr-Latn-ME"/>
        </w:rPr>
      </w:pPr>
      <w:r>
        <w:rPr>
          <w:rFonts w:eastAsiaTheme="majorEastAsia" w:cstheme="minorHAnsi"/>
          <w:b/>
          <w:color w:val="2F5496" w:themeColor="accent1" w:themeShade="BF"/>
          <w:sz w:val="24"/>
          <w:szCs w:val="24"/>
          <w:lang w:val="sr-Latn-ME"/>
        </w:rPr>
        <w:t>1.1.5. Finansijski sektor</w:t>
      </w:r>
    </w:p>
    <w:p w14:paraId="6C5C8A16" w14:textId="77777777" w:rsidR="00E05341" w:rsidRPr="002A7B8B" w:rsidRDefault="00E05341" w:rsidP="00E05341">
      <w:pPr>
        <w:spacing w:after="200"/>
        <w:jc w:val="both"/>
        <w:rPr>
          <w:rFonts w:cstheme="minorHAnsi"/>
          <w:sz w:val="24"/>
          <w:szCs w:val="24"/>
        </w:rPr>
      </w:pPr>
      <w:r w:rsidRPr="002A7B8B">
        <w:rPr>
          <w:rFonts w:cstheme="minorHAnsi"/>
          <w:sz w:val="24"/>
          <w:szCs w:val="24"/>
        </w:rPr>
        <w:t>Finansijski sektor na kraju trećeg kvartala 2024. godine karakteriše stabilnost i umjereni nivo izloženosti sistemskim rizicima.</w:t>
      </w:r>
    </w:p>
    <w:p w14:paraId="352A6248" w14:textId="77777777" w:rsidR="00E05341" w:rsidRPr="002A7B8B" w:rsidRDefault="00E05341" w:rsidP="00E05341">
      <w:pPr>
        <w:spacing w:after="200"/>
        <w:jc w:val="both"/>
        <w:rPr>
          <w:rFonts w:cstheme="minorHAnsi"/>
          <w:sz w:val="24"/>
          <w:szCs w:val="24"/>
        </w:rPr>
      </w:pPr>
      <w:r w:rsidRPr="002A7B8B">
        <w:rPr>
          <w:rFonts w:cstheme="minorHAnsi"/>
          <w:sz w:val="24"/>
          <w:szCs w:val="24"/>
        </w:rPr>
        <w:t xml:space="preserve">Rizici ciklične prirode se primarno ogledaju u nivou cijena nekretnina. Rast se uglavnom finansirao preko stranih investicija, ali i putem stambenih kredita. U fokusu CBCG u narednom periodu </w:t>
      </w:r>
      <w:r w:rsidRPr="002A7B8B">
        <w:rPr>
          <w:rFonts w:cstheme="minorHAnsi"/>
          <w:sz w:val="24"/>
          <w:szCs w:val="24"/>
          <w:lang w:val="sr-Latn-ME"/>
        </w:rPr>
        <w:t xml:space="preserve">će biti kretanje stambenih i </w:t>
      </w:r>
      <w:r w:rsidRPr="002A7B8B">
        <w:rPr>
          <w:rFonts w:cstheme="minorHAnsi"/>
          <w:sz w:val="24"/>
          <w:szCs w:val="24"/>
        </w:rPr>
        <w:t>gotovinskih kredita fizičkih lica. Stopa kontracikličnog bafera kapitala od 0,5% sa primjenom 1. aprila 2025. godine stoga je i dalje primjerena, a u slučaju nastavka rasta cijena nekretnina ili prekomjernog kreditnog rasta stanovništva, CBCG će djelovati dodatnim podizanjem stope bafera, a po potrebi i drugim instrumentima.</w:t>
      </w:r>
    </w:p>
    <w:p w14:paraId="36093A66" w14:textId="77777777" w:rsidR="00E05341" w:rsidRPr="002A7B8B" w:rsidRDefault="00E05341" w:rsidP="00E05341">
      <w:pPr>
        <w:spacing w:after="200"/>
        <w:jc w:val="both"/>
        <w:rPr>
          <w:rFonts w:cstheme="minorHAnsi"/>
          <w:sz w:val="24"/>
          <w:szCs w:val="24"/>
        </w:rPr>
      </w:pPr>
      <w:r w:rsidRPr="002A7B8B">
        <w:rPr>
          <w:rFonts w:cstheme="minorHAnsi"/>
          <w:sz w:val="24"/>
          <w:szCs w:val="24"/>
        </w:rPr>
        <w:t>Uglavnom zbog strukturnih makroekonomskih neravnoteža, na snazi je i dalje bafer za strukturni sistemski rizik, na nivou od 1,5%, uveden 2022. godine. Pored kontracikličnog bafera i bafera za strukturni sistemski rizik, u primjeni su i bafer za ostale sistemski važne kreditne institucije, kao i bafer za očuvanje kapitala, koji će 1. januara 2025. godine dostići krajnjih 2,5%.</w:t>
      </w:r>
    </w:p>
    <w:p w14:paraId="1B123785" w14:textId="77777777" w:rsidR="00E05341" w:rsidRPr="002A7B8B" w:rsidRDefault="00E05341" w:rsidP="00E05341">
      <w:pPr>
        <w:spacing w:after="200"/>
        <w:jc w:val="both"/>
        <w:rPr>
          <w:rFonts w:cstheme="minorHAnsi"/>
          <w:sz w:val="24"/>
          <w:szCs w:val="24"/>
        </w:rPr>
      </w:pPr>
      <w:r w:rsidRPr="002A7B8B">
        <w:rPr>
          <w:rFonts w:cstheme="minorHAnsi"/>
          <w:sz w:val="24"/>
          <w:szCs w:val="24"/>
        </w:rPr>
        <w:lastRenderedPageBreak/>
        <w:t>Sveukupno, na kraju septembra 2024. godine zahtjev za sve kapitalne bafere kretao se od 3,4% do 3,9% ukupnog iznosa izloženosti riziku, u vidu najkvalitentijeg, redovnog osnovnog kapitala (CET1).</w:t>
      </w:r>
    </w:p>
    <w:p w14:paraId="24E8A257" w14:textId="77777777" w:rsidR="00E05341" w:rsidRPr="002A7B8B" w:rsidRDefault="00E05341" w:rsidP="00E05341">
      <w:pPr>
        <w:spacing w:after="200"/>
        <w:jc w:val="both"/>
        <w:rPr>
          <w:rFonts w:cstheme="minorHAnsi"/>
          <w:sz w:val="24"/>
          <w:szCs w:val="24"/>
        </w:rPr>
      </w:pPr>
      <w:r w:rsidRPr="002A7B8B">
        <w:rPr>
          <w:rFonts w:cstheme="minorHAnsi"/>
          <w:sz w:val="24"/>
          <w:szCs w:val="24"/>
        </w:rPr>
        <w:t xml:space="preserve">Ostali segmenti finansijskog sistema, uglavnom zbog manjeg značaja u odnosu na banke, ne predstavljaju prijetnju finansijskoj stabilnosti. Naime, finansijski sektor na kraju septembra 2024. godine je imao vrijednost aktive oko 7,51 mlrd. eura, koja je u odnosu na BDP iznosila 103,2%. Bankarski sektor čini 92,9% aktive finansijskog sektora, sektor osiguranja 4,4%, a svi ostali finansijski posrednici čine 2,7% aktive finansijskog sektora. </w:t>
      </w:r>
    </w:p>
    <w:p w14:paraId="0BA89FDA" w14:textId="77777777" w:rsidR="00E05341" w:rsidRPr="002A7B8B" w:rsidRDefault="00E05341" w:rsidP="00E05341">
      <w:pPr>
        <w:spacing w:after="200"/>
        <w:jc w:val="both"/>
        <w:rPr>
          <w:rFonts w:cstheme="minorHAnsi"/>
          <w:sz w:val="24"/>
          <w:szCs w:val="24"/>
        </w:rPr>
      </w:pPr>
      <w:r w:rsidRPr="002A7B8B">
        <w:rPr>
          <w:rFonts w:cstheme="minorHAnsi"/>
          <w:sz w:val="24"/>
          <w:szCs w:val="24"/>
        </w:rPr>
        <w:t>Tokom prvih devet mjeseci 2024. godine na Montenegroberzi ostvareno je svega 8,3 mil. eura prometa (0,11 % prognoziranog godišnjeg BDP-a), što je za 0,6% manje u odnosu na isti period prethodne godine.</w:t>
      </w:r>
    </w:p>
    <w:p w14:paraId="5F09232B" w14:textId="77777777" w:rsidR="00E05341" w:rsidRPr="002A7B8B" w:rsidRDefault="00E05341" w:rsidP="00E05341">
      <w:pPr>
        <w:spacing w:after="200"/>
        <w:jc w:val="both"/>
        <w:rPr>
          <w:rFonts w:cstheme="minorHAnsi"/>
          <w:sz w:val="24"/>
          <w:szCs w:val="24"/>
          <w:lang w:val="sr-Latn-ME"/>
        </w:rPr>
      </w:pPr>
      <w:r w:rsidRPr="002A7B8B">
        <w:rPr>
          <w:rFonts w:cstheme="minorHAnsi"/>
          <w:sz w:val="24"/>
          <w:szCs w:val="24"/>
        </w:rPr>
        <w:t xml:space="preserve">Bankarski sektor je pod kontinuiranim nadzorom Centralne banke, likvidan, solventan i sa nekvalitetnim kreditima na prihvatljivom nivou. Likvidnost banaka je na visokom nivou. Likvidna aktiva banaka iznosi 1.533,1 mil.€ i čini 21,97% ukupne aktive na kraju septembra 2024. godine. </w:t>
      </w:r>
      <w:r w:rsidRPr="002A7B8B">
        <w:rPr>
          <w:rFonts w:cstheme="minorHAnsi"/>
          <w:sz w:val="24"/>
          <w:szCs w:val="24"/>
          <w:lang w:val="sr-Latn-ME"/>
        </w:rPr>
        <w:t xml:space="preserve">U strukturi likvidne aktive najveće učešće imaju gotovina i gotovinski ekvivalenti koji čine 44,47% ukupne likvidne aktive, zatim sredstva kod ino banaka (depoziti po viđenju) koji čine 43,93% ukupne likvidne aktive, sredstva kod domaćih banaka (po viđenju) čineći 1,69% ukupne likvidne aktive, dok dio obavezne rezerve čini 9,91% ukupne likvidne aktive. </w:t>
      </w:r>
    </w:p>
    <w:p w14:paraId="7C971291" w14:textId="77777777" w:rsidR="00E05341" w:rsidRPr="002A7B8B" w:rsidRDefault="00E05341" w:rsidP="00E05341">
      <w:pPr>
        <w:spacing w:after="200"/>
        <w:jc w:val="both"/>
        <w:rPr>
          <w:rFonts w:cstheme="minorHAnsi"/>
          <w:sz w:val="24"/>
          <w:szCs w:val="24"/>
          <w:lang w:val="sr-Latn-ME"/>
        </w:rPr>
      </w:pPr>
      <w:r w:rsidRPr="002A7B8B">
        <w:rPr>
          <w:rFonts w:cstheme="minorHAnsi"/>
          <w:sz w:val="24"/>
          <w:szCs w:val="24"/>
        </w:rPr>
        <w:t>Na kraju septembra 2024. godine, dobar dio likvidnosti banke su držale u hartijama od vrijednosti (</w:t>
      </w:r>
      <w:r w:rsidRPr="002A7B8B">
        <w:rPr>
          <w:rFonts w:cstheme="minorHAnsi"/>
          <w:sz w:val="24"/>
          <w:szCs w:val="24"/>
          <w:lang w:val="sr-Latn-ME"/>
        </w:rPr>
        <w:t>1.300,6 mil. eura</w:t>
      </w:r>
      <w:r w:rsidRPr="002A7B8B">
        <w:rPr>
          <w:rFonts w:cstheme="minorHAnsi"/>
          <w:sz w:val="24"/>
          <w:szCs w:val="24"/>
        </w:rPr>
        <w:t xml:space="preserve"> odnosno 18,6% </w:t>
      </w:r>
      <w:r w:rsidRPr="002A7B8B">
        <w:rPr>
          <w:rFonts w:cstheme="minorHAnsi"/>
          <w:sz w:val="24"/>
          <w:szCs w:val="24"/>
          <w:lang w:val="sr-Latn-ME"/>
        </w:rPr>
        <w:t>ukupne aktive</w:t>
      </w:r>
      <w:r w:rsidRPr="002A7B8B">
        <w:rPr>
          <w:rFonts w:cstheme="minorHAnsi"/>
          <w:sz w:val="24"/>
          <w:szCs w:val="24"/>
        </w:rPr>
        <w:t>), od kojih je nešto više od polovine bilo usmjereno ka inostranstvu (698,3 mil. eura), pri čemu uglavnom u kratkoročne hartije investicionog kreditnog rejtinga, emitovane od strane zemalja članica eurozone. Svakako, struktura inostranih hartija od vrijednosti predmet je kontinuirane pažnje CBCG, uključujući i eventualni pad prihoda koji po tom osnovu može proizaći u okruženju opadajućih prinosa na državni dug.</w:t>
      </w:r>
      <w:r w:rsidRPr="002A7B8B">
        <w:rPr>
          <w:rFonts w:cstheme="minorHAnsi"/>
          <w:sz w:val="24"/>
          <w:szCs w:val="24"/>
          <w:lang w:val="sr-Latn-ME"/>
        </w:rPr>
        <w:t xml:space="preserve"> Hartije od vrijednosti predstavljaju rezervu likvidnosti banaka.</w:t>
      </w:r>
    </w:p>
    <w:p w14:paraId="4AB03EBC" w14:textId="77777777" w:rsidR="00E05341" w:rsidRPr="002A7B8B" w:rsidRDefault="00E05341" w:rsidP="00E05341">
      <w:pPr>
        <w:spacing w:after="200"/>
        <w:jc w:val="both"/>
        <w:rPr>
          <w:rFonts w:cstheme="minorHAnsi"/>
          <w:sz w:val="24"/>
          <w:szCs w:val="24"/>
        </w:rPr>
      </w:pPr>
      <w:r w:rsidRPr="002A7B8B">
        <w:rPr>
          <w:rFonts w:cstheme="minorHAnsi"/>
          <w:sz w:val="24"/>
          <w:szCs w:val="24"/>
        </w:rPr>
        <w:t>Stabilnost bankarskog sektora podržana je adekvatnom kapitalizacijom, tako da i agregatni (19,80%) i individualni koeficijenti solventnosti kod svih banaka u sistemu (koji se kreću u rasponu od 15,96% do 28,63%) na 30.09.2024. godine su iznad zakonskog minimuma. Navedene tendencije su se pozitivno reflektovale na profitabilnost bankarskog sektora. Pozitivan finansijski rezultat na nivou sistema na kraju septembra 2024. godine iznosi 136,3 mil.€, dok je u istom periodu prethodne godine iznosio 112,4 mil.€. Prinos na prosječnu aktivu (ROA) je na kraju septembra 2024. godine iznosio 2,70%, dok je prinos na prosječni kapital (ROE) iznosio 21,70%. U odnosu na isti period prethodne godine, prinos na prosječnu aktivu (ROA) i prinos na prosječni kapital (ROE) bilježe rast.</w:t>
      </w:r>
    </w:p>
    <w:p w14:paraId="66638816" w14:textId="77777777" w:rsidR="00E05341" w:rsidRPr="002A7B8B" w:rsidRDefault="00E05341" w:rsidP="00E05341">
      <w:pPr>
        <w:spacing w:after="200"/>
        <w:jc w:val="both"/>
        <w:rPr>
          <w:rFonts w:cstheme="minorHAnsi"/>
          <w:sz w:val="24"/>
          <w:szCs w:val="24"/>
        </w:rPr>
      </w:pPr>
      <w:bookmarkStart w:id="13" w:name="_Hlk182841759"/>
      <w:r w:rsidRPr="002A7B8B">
        <w:rPr>
          <w:rFonts w:cstheme="minorHAnsi"/>
          <w:sz w:val="24"/>
          <w:szCs w:val="24"/>
        </w:rPr>
        <w:t xml:space="preserve">Za slučaj hitne podrške za likvidnost bankama u slučaju nepredviđenih okolnosti, Upravni savjet Evropske centralne banke (ECB) donio je odluku da CBCG produži rok za istek korišćenja EUREP (Eurosystem repo facility for central banks) linije do 31. januara 2025. godine pod istim, </w:t>
      </w:r>
      <w:r w:rsidRPr="002A7B8B">
        <w:rPr>
          <w:rFonts w:cstheme="minorHAnsi"/>
          <w:sz w:val="24"/>
          <w:szCs w:val="24"/>
        </w:rPr>
        <w:lastRenderedPageBreak/>
        <w:t>prvobitno dogovorenim uslovima. EUREP instrument ECB-a uspostavljen je u junu 2020. i omogućava CBCG da u slučaju potrebe, u najkraćem roku obezbijedi sredstva za podršku sistemskoj likvidnosti u iznosu do 250 mil. eura. Produženje roka dogovoreno sa ECB predstavlja dodatnu mjeru sigurnosti iz predostrožnosti, za slučaj eventualnih potreba za likvidnošću, u cilju očuvanja stabilnosti finansijskog sistema zemlje i potvrđuje blisku saradnju i podršku ECB i nacionalnih banaka zemalja koje nijesu dio eurosistema. CBCG je obezbijedila od Banke za međunarodna poravnanja (BIS) 100 mil. eura stalne linije za istu namjenu. Linija se obnavlja godišnje, a postojeća je aktuelna do 01. juna 2025. godine.</w:t>
      </w:r>
      <w:bookmarkEnd w:id="13"/>
    </w:p>
    <w:p w14:paraId="1368B360" w14:textId="77777777" w:rsidR="00E05341" w:rsidRPr="002A7B8B" w:rsidRDefault="00E05341" w:rsidP="00E05341">
      <w:pPr>
        <w:jc w:val="both"/>
        <w:rPr>
          <w:rFonts w:cstheme="minorHAnsi"/>
          <w:b/>
          <w:sz w:val="24"/>
          <w:szCs w:val="24"/>
        </w:rPr>
      </w:pPr>
      <w:r w:rsidRPr="002A7B8B">
        <w:rPr>
          <w:rFonts w:cstheme="minorHAnsi"/>
          <w:b/>
          <w:sz w:val="24"/>
          <w:szCs w:val="24"/>
        </w:rPr>
        <w:t>Uvažavajući preporuke Evropske komisije, Centralna banka je kontinuirano preduzimala aktivnosti iz domena svoje nadležnosti, kako bi dala maksimalan doprinos njihovoj realizaciji i očuvanju stabilnosti finansijskog sistema.</w:t>
      </w:r>
    </w:p>
    <w:p w14:paraId="32B61542" w14:textId="63FE37FE" w:rsidR="00E05341" w:rsidRDefault="00E05341" w:rsidP="00E05341">
      <w:pPr>
        <w:spacing w:line="276" w:lineRule="auto"/>
        <w:jc w:val="both"/>
        <w:rPr>
          <w:rFonts w:eastAsiaTheme="majorEastAsia" w:cstheme="minorHAnsi"/>
          <w:b/>
          <w:color w:val="2F5496" w:themeColor="accent1" w:themeShade="BF"/>
          <w:sz w:val="24"/>
          <w:szCs w:val="24"/>
          <w:lang w:val="sr-Latn-ME"/>
        </w:rPr>
      </w:pPr>
      <w:r>
        <w:rPr>
          <w:rFonts w:eastAsiaTheme="majorEastAsia" w:cstheme="minorHAnsi"/>
          <w:b/>
          <w:color w:val="2F5496" w:themeColor="accent1" w:themeShade="BF"/>
          <w:sz w:val="24"/>
          <w:szCs w:val="24"/>
          <w:lang w:val="sr-Latn-ME"/>
        </w:rPr>
        <w:t>1.1.6</w:t>
      </w:r>
      <w:r w:rsidR="002E35FA">
        <w:rPr>
          <w:rFonts w:eastAsiaTheme="majorEastAsia" w:cstheme="minorHAnsi"/>
          <w:b/>
          <w:color w:val="2F5496" w:themeColor="accent1" w:themeShade="BF"/>
          <w:sz w:val="24"/>
          <w:szCs w:val="24"/>
          <w:lang w:val="sr-Latn-ME"/>
        </w:rPr>
        <w:t>.</w:t>
      </w:r>
      <w:r>
        <w:rPr>
          <w:rFonts w:eastAsiaTheme="majorEastAsia" w:cstheme="minorHAnsi"/>
          <w:b/>
          <w:color w:val="2F5496" w:themeColor="accent1" w:themeShade="BF"/>
          <w:sz w:val="24"/>
          <w:szCs w:val="24"/>
          <w:lang w:val="sr-Latn-ME"/>
        </w:rPr>
        <w:t xml:space="preserve"> Eksterni sektor</w:t>
      </w:r>
    </w:p>
    <w:p w14:paraId="0E5A6556" w14:textId="2AB708EE" w:rsidR="00E05341" w:rsidRDefault="00E05341" w:rsidP="00E05341">
      <w:pPr>
        <w:spacing w:line="276" w:lineRule="auto"/>
        <w:jc w:val="both"/>
        <w:rPr>
          <w:rFonts w:eastAsiaTheme="majorEastAsia" w:cstheme="minorHAnsi"/>
          <w:b/>
          <w:color w:val="2F5496" w:themeColor="accent1" w:themeShade="BF"/>
          <w:sz w:val="24"/>
          <w:szCs w:val="24"/>
          <w:lang w:val="sr-Latn-ME"/>
        </w:rPr>
      </w:pPr>
      <w:r>
        <w:rPr>
          <w:rFonts w:eastAsiaTheme="majorEastAsia" w:cstheme="minorHAnsi"/>
          <w:b/>
          <w:color w:val="2F5496" w:themeColor="accent1" w:themeShade="BF"/>
          <w:sz w:val="24"/>
          <w:szCs w:val="24"/>
          <w:lang w:val="sr-Latn-ME"/>
        </w:rPr>
        <w:t>1.1.6.1</w:t>
      </w:r>
      <w:r w:rsidR="002E35FA">
        <w:rPr>
          <w:rFonts w:eastAsiaTheme="majorEastAsia" w:cstheme="minorHAnsi"/>
          <w:b/>
          <w:color w:val="2F5496" w:themeColor="accent1" w:themeShade="BF"/>
          <w:sz w:val="24"/>
          <w:szCs w:val="24"/>
          <w:lang w:val="sr-Latn-ME"/>
        </w:rPr>
        <w:t>.</w:t>
      </w:r>
      <w:r>
        <w:rPr>
          <w:rFonts w:eastAsiaTheme="majorEastAsia" w:cstheme="minorHAnsi"/>
          <w:b/>
          <w:color w:val="2F5496" w:themeColor="accent1" w:themeShade="BF"/>
          <w:sz w:val="24"/>
          <w:szCs w:val="24"/>
          <w:lang w:val="sr-Latn-ME"/>
        </w:rPr>
        <w:t xml:space="preserve"> Tekući račun</w:t>
      </w:r>
    </w:p>
    <w:p w14:paraId="3CEE5E59" w14:textId="77777777" w:rsidR="00E05341" w:rsidRDefault="00E05341" w:rsidP="00E05341">
      <w:pPr>
        <w:spacing w:after="0" w:line="240" w:lineRule="auto"/>
        <w:jc w:val="both"/>
        <w:rPr>
          <w:rFonts w:cstheme="minorHAnsi"/>
          <w:sz w:val="24"/>
          <w:szCs w:val="24"/>
          <w:lang w:val="sr-Latn-ME"/>
        </w:rPr>
      </w:pPr>
      <w:r w:rsidRPr="00DF59B6">
        <w:rPr>
          <w:rFonts w:cstheme="minorHAnsi"/>
          <w:sz w:val="24"/>
          <w:szCs w:val="24"/>
          <w:lang w:val="sr-Latn-ME"/>
        </w:rPr>
        <w:t xml:space="preserve">U periodu januar-septembar 2024. godine deficit tekućeg računa iznosio je 776,86 miliona eura i bio je veći za 115,79% u odnosu na isti period 2023. godine, što je posljedica deficita na računu roba, kao i pada suficita na računima usluga i primarnog dohotka. </w:t>
      </w:r>
    </w:p>
    <w:p w14:paraId="1FA64876" w14:textId="77777777" w:rsidR="00E05341" w:rsidRDefault="00E05341" w:rsidP="00E05341">
      <w:pPr>
        <w:spacing w:after="0" w:line="240" w:lineRule="auto"/>
        <w:jc w:val="both"/>
        <w:rPr>
          <w:rFonts w:cstheme="minorHAnsi"/>
          <w:sz w:val="24"/>
          <w:szCs w:val="24"/>
          <w:lang w:val="sr-Latn-ME"/>
        </w:rPr>
      </w:pPr>
      <w:r w:rsidRPr="00DF59B6">
        <w:rPr>
          <w:rFonts w:cstheme="minorHAnsi"/>
          <w:sz w:val="24"/>
          <w:szCs w:val="24"/>
          <w:lang w:val="sr-Latn-ME"/>
        </w:rPr>
        <w:t xml:space="preserve">Ukupan izvoz roba iznosio je 463,74 miliona eura ili 16,79% manje u odnosu na isti period </w:t>
      </w:r>
      <w:r>
        <w:rPr>
          <w:rFonts w:cstheme="minorHAnsi"/>
          <w:sz w:val="24"/>
          <w:szCs w:val="24"/>
          <w:lang w:val="sr-Latn-ME"/>
        </w:rPr>
        <w:t>2023</w:t>
      </w:r>
      <w:r w:rsidRPr="00DF59B6">
        <w:rPr>
          <w:rFonts w:cstheme="minorHAnsi"/>
          <w:sz w:val="24"/>
          <w:szCs w:val="24"/>
          <w:lang w:val="sr-Latn-ME"/>
        </w:rPr>
        <w:t>, čemu je najviše doprinio pad izvoza električne energije i obojenih metal</w:t>
      </w:r>
      <w:r>
        <w:rPr>
          <w:rFonts w:cstheme="minorHAnsi"/>
          <w:sz w:val="24"/>
          <w:szCs w:val="24"/>
          <w:lang w:val="sr-Latn-ME"/>
        </w:rPr>
        <w:t>a</w:t>
      </w:r>
      <w:r w:rsidRPr="00DF59B6">
        <w:rPr>
          <w:rFonts w:cstheme="minorHAnsi"/>
          <w:sz w:val="24"/>
          <w:szCs w:val="24"/>
          <w:lang w:val="sr-Latn-ME"/>
        </w:rPr>
        <w:t>.</w:t>
      </w:r>
      <w:r>
        <w:rPr>
          <w:rFonts w:cstheme="minorHAnsi"/>
          <w:sz w:val="24"/>
          <w:szCs w:val="24"/>
          <w:lang w:val="sr-Latn-ME"/>
        </w:rPr>
        <w:t xml:space="preserve"> </w:t>
      </w:r>
      <w:r w:rsidRPr="00DF59B6">
        <w:rPr>
          <w:rFonts w:cstheme="minorHAnsi"/>
          <w:sz w:val="24"/>
          <w:szCs w:val="24"/>
          <w:lang w:val="sr-Latn-ME"/>
        </w:rPr>
        <w:t xml:space="preserve">Ukupan uvoz roba iznosio je 2.957,93 miliona eura i </w:t>
      </w:r>
      <w:r>
        <w:rPr>
          <w:rFonts w:cstheme="minorHAnsi"/>
          <w:sz w:val="24"/>
          <w:szCs w:val="24"/>
          <w:lang w:val="sr-Latn-ME"/>
        </w:rPr>
        <w:t>veći je</w:t>
      </w:r>
      <w:r w:rsidRPr="00DF59B6">
        <w:rPr>
          <w:rFonts w:cstheme="minorHAnsi"/>
          <w:sz w:val="24"/>
          <w:szCs w:val="24"/>
          <w:lang w:val="sr-Latn-ME"/>
        </w:rPr>
        <w:t xml:space="preserve"> za 6,10% u odnosu na uporedni period, </w:t>
      </w:r>
      <w:r>
        <w:rPr>
          <w:rFonts w:cstheme="minorHAnsi"/>
          <w:sz w:val="24"/>
          <w:szCs w:val="24"/>
          <w:lang w:val="sr-Latn-ME"/>
        </w:rPr>
        <w:t>kao</w:t>
      </w:r>
      <w:r w:rsidRPr="00DF59B6">
        <w:rPr>
          <w:rFonts w:cstheme="minorHAnsi"/>
          <w:sz w:val="24"/>
          <w:szCs w:val="24"/>
          <w:lang w:val="sr-Latn-ME"/>
        </w:rPr>
        <w:t xml:space="preserve"> rezultat rasta uvoza drumskih vozila, električne </w:t>
      </w:r>
      <w:r w:rsidRPr="00304F63">
        <w:rPr>
          <w:rFonts w:cstheme="minorHAnsi"/>
          <w:sz w:val="24"/>
          <w:szCs w:val="24"/>
          <w:lang w:val="sr-Latn-ME"/>
        </w:rPr>
        <w:t>energije</w:t>
      </w:r>
      <w:r w:rsidRPr="00DF59B6">
        <w:rPr>
          <w:rFonts w:cstheme="minorHAnsi"/>
          <w:sz w:val="24"/>
          <w:szCs w:val="24"/>
          <w:lang w:val="sr-Latn-ME"/>
        </w:rPr>
        <w:t xml:space="preserve">, kao i medicinskih i farmaceutskih proizvoda. </w:t>
      </w:r>
    </w:p>
    <w:p w14:paraId="49369F53" w14:textId="77777777" w:rsidR="00E05341" w:rsidRDefault="00E05341" w:rsidP="00E05341">
      <w:pPr>
        <w:spacing w:after="0" w:line="240" w:lineRule="auto"/>
        <w:jc w:val="both"/>
        <w:rPr>
          <w:rFonts w:cstheme="minorHAnsi"/>
          <w:sz w:val="24"/>
          <w:szCs w:val="24"/>
          <w:lang w:val="sr-Latn-ME"/>
        </w:rPr>
      </w:pPr>
      <w:r w:rsidRPr="00DF59B6">
        <w:rPr>
          <w:rFonts w:cstheme="minorHAnsi"/>
          <w:sz w:val="24"/>
          <w:szCs w:val="24"/>
          <w:lang w:val="sr-Latn-ME"/>
        </w:rPr>
        <w:t>Na računu usluga zabilježen je suficit u iznosu od 1.416,12 miliona eura, što je za 3,84% manje u odnosu n</w:t>
      </w:r>
      <w:r>
        <w:rPr>
          <w:rFonts w:cstheme="minorHAnsi"/>
          <w:sz w:val="24"/>
          <w:szCs w:val="24"/>
          <w:lang w:val="sr-Latn-ME"/>
        </w:rPr>
        <w:t>a isti period 2023</w:t>
      </w:r>
      <w:r w:rsidRPr="00DF59B6">
        <w:rPr>
          <w:rFonts w:cstheme="minorHAnsi"/>
          <w:sz w:val="24"/>
          <w:szCs w:val="24"/>
          <w:lang w:val="sr-Latn-ME"/>
        </w:rPr>
        <w:t xml:space="preserve">. Ukupni prihodi od usluga iznosili su 2.185,60 miliona eura ili 4,33% manje </w:t>
      </w:r>
      <w:r>
        <w:rPr>
          <w:rFonts w:cstheme="minorHAnsi"/>
          <w:sz w:val="24"/>
          <w:szCs w:val="24"/>
          <w:lang w:val="sr-Latn-ME"/>
        </w:rPr>
        <w:t>međugodišnje</w:t>
      </w:r>
      <w:r w:rsidRPr="00DF59B6">
        <w:rPr>
          <w:rFonts w:cstheme="minorHAnsi"/>
          <w:sz w:val="24"/>
          <w:szCs w:val="24"/>
          <w:lang w:val="sr-Latn-ME"/>
        </w:rPr>
        <w:t>, dok su rashodi iznosili 769,48 miliona eura (pad od 5,23%). Procijenjeni prihodi od turizma iznosili su 1.311,67 miliona eura, što</w:t>
      </w:r>
      <w:r>
        <w:rPr>
          <w:rFonts w:cstheme="minorHAnsi"/>
          <w:sz w:val="24"/>
          <w:szCs w:val="24"/>
          <w:lang w:val="sr-Latn-ME"/>
        </w:rPr>
        <w:t xml:space="preserve"> je</w:t>
      </w:r>
      <w:r w:rsidRPr="00DF59B6">
        <w:rPr>
          <w:rFonts w:cstheme="minorHAnsi"/>
          <w:sz w:val="24"/>
          <w:szCs w:val="24"/>
          <w:lang w:val="sr-Latn-ME"/>
        </w:rPr>
        <w:t xml:space="preserve"> </w:t>
      </w:r>
      <w:r>
        <w:rPr>
          <w:rFonts w:cstheme="minorHAnsi"/>
          <w:sz w:val="24"/>
          <w:szCs w:val="24"/>
          <w:lang w:val="sr-Latn-ME"/>
        </w:rPr>
        <w:t>niže</w:t>
      </w:r>
      <w:r w:rsidRPr="00DF59B6">
        <w:rPr>
          <w:rFonts w:cstheme="minorHAnsi"/>
          <w:sz w:val="24"/>
          <w:szCs w:val="24"/>
          <w:lang w:val="sr-Latn-ME"/>
        </w:rPr>
        <w:t xml:space="preserve"> 3,64%</w:t>
      </w:r>
      <w:r>
        <w:rPr>
          <w:rFonts w:cstheme="minorHAnsi"/>
          <w:sz w:val="24"/>
          <w:szCs w:val="24"/>
          <w:lang w:val="sr-Latn-ME"/>
        </w:rPr>
        <w:t xml:space="preserve"> na godišnjem nivou.</w:t>
      </w:r>
      <w:r w:rsidRPr="00DF59B6">
        <w:rPr>
          <w:rFonts w:cstheme="minorHAnsi"/>
          <w:sz w:val="24"/>
          <w:szCs w:val="24"/>
          <w:lang w:val="sr-Latn-ME"/>
        </w:rPr>
        <w:t xml:space="preserve"> </w:t>
      </w:r>
    </w:p>
    <w:p w14:paraId="4F8AFF6E" w14:textId="77777777" w:rsidR="00E05341" w:rsidRDefault="00E05341" w:rsidP="00E05341">
      <w:pPr>
        <w:spacing w:after="0" w:line="240" w:lineRule="auto"/>
        <w:jc w:val="both"/>
        <w:rPr>
          <w:rFonts w:cstheme="minorHAnsi"/>
          <w:sz w:val="24"/>
          <w:szCs w:val="24"/>
          <w:lang w:val="sr-Latn-ME"/>
        </w:rPr>
      </w:pPr>
      <w:r w:rsidRPr="00DF59B6">
        <w:rPr>
          <w:rFonts w:cstheme="minorHAnsi"/>
          <w:sz w:val="24"/>
          <w:szCs w:val="24"/>
          <w:lang w:val="sr-Latn-ME"/>
        </w:rPr>
        <w:t>Na računu primarnih dohodaka zabilježen je deficit</w:t>
      </w:r>
      <w:r>
        <w:rPr>
          <w:rFonts w:cstheme="minorHAnsi"/>
          <w:sz w:val="24"/>
          <w:szCs w:val="24"/>
          <w:lang w:val="sr-Latn-ME"/>
        </w:rPr>
        <w:t xml:space="preserve"> u iznosu od 17,02 miliona eura</w:t>
      </w:r>
      <w:r w:rsidRPr="00DF59B6">
        <w:rPr>
          <w:rFonts w:cstheme="minorHAnsi"/>
          <w:sz w:val="24"/>
          <w:szCs w:val="24"/>
          <w:lang w:val="sr-Latn-ME"/>
        </w:rPr>
        <w:t xml:space="preserve">. Prihodi po osnovu primarnih dohodaka iznosili su 347,48 miliona eura (rast od 14,39%). Rashodi po ovom osnovu iznosili su 364,50 miliona eura i bili su za 65,28% veći u odnosu na posmatrani period zbog većeg odliva </w:t>
      </w:r>
      <w:r>
        <w:rPr>
          <w:rFonts w:cstheme="minorHAnsi"/>
          <w:sz w:val="24"/>
          <w:szCs w:val="24"/>
          <w:lang w:val="sr-Latn-ME"/>
        </w:rPr>
        <w:t>po osnovu isplaćenih dividendi.</w:t>
      </w:r>
    </w:p>
    <w:p w14:paraId="2275F55B" w14:textId="77777777" w:rsidR="00E05341" w:rsidRPr="00DF59B6" w:rsidRDefault="00E05341" w:rsidP="00E05341">
      <w:pPr>
        <w:spacing w:after="200" w:line="240" w:lineRule="auto"/>
        <w:jc w:val="both"/>
        <w:rPr>
          <w:rFonts w:cstheme="minorHAnsi"/>
          <w:sz w:val="24"/>
          <w:szCs w:val="24"/>
          <w:lang w:val="sr-Latn-ME"/>
        </w:rPr>
      </w:pPr>
      <w:r w:rsidRPr="00DF59B6">
        <w:rPr>
          <w:rFonts w:cstheme="minorHAnsi"/>
          <w:sz w:val="24"/>
          <w:szCs w:val="24"/>
          <w:lang w:val="sr-Latn-ME"/>
        </w:rPr>
        <w:t>Na računu sekundarnih dohodaka zabilježen je suficit u iznosu od 318,24 miliona eura, što je za 1,18% više</w:t>
      </w:r>
      <w:r>
        <w:rPr>
          <w:rFonts w:cstheme="minorHAnsi"/>
          <w:sz w:val="24"/>
          <w:szCs w:val="24"/>
          <w:lang w:val="sr-Latn-ME"/>
        </w:rPr>
        <w:t xml:space="preserve"> međugodišnje</w:t>
      </w:r>
      <w:r w:rsidRPr="00DF59B6">
        <w:rPr>
          <w:rFonts w:cstheme="minorHAnsi"/>
          <w:sz w:val="24"/>
          <w:szCs w:val="24"/>
          <w:lang w:val="sr-Latn-ME"/>
        </w:rPr>
        <w:t>. Ukupan priliv transfera u</w:t>
      </w:r>
      <w:r>
        <w:rPr>
          <w:rFonts w:cstheme="minorHAnsi"/>
          <w:sz w:val="24"/>
          <w:szCs w:val="24"/>
          <w:lang w:val="sr-Latn-ME"/>
        </w:rPr>
        <w:t xml:space="preserve"> Crnu Goru je bio veći za 4,90%</w:t>
      </w:r>
      <w:r w:rsidRPr="00DF59B6">
        <w:rPr>
          <w:rFonts w:cstheme="minorHAnsi"/>
          <w:sz w:val="24"/>
          <w:szCs w:val="24"/>
          <w:lang w:val="sr-Latn-ME"/>
        </w:rPr>
        <w:t xml:space="preserve"> i izno</w:t>
      </w:r>
      <w:r>
        <w:rPr>
          <w:rFonts w:cstheme="minorHAnsi"/>
          <w:sz w:val="24"/>
          <w:szCs w:val="24"/>
          <w:lang w:val="sr-Latn-ME"/>
        </w:rPr>
        <w:t>sio je 422,10 miliona eura, od č</w:t>
      </w:r>
      <w:r w:rsidRPr="00DF59B6">
        <w:rPr>
          <w:rFonts w:cstheme="minorHAnsi"/>
          <w:sz w:val="24"/>
          <w:szCs w:val="24"/>
          <w:lang w:val="sr-Latn-ME"/>
        </w:rPr>
        <w:t>ega najveći dio čine lični transferi iz inostranstva u iznosu od 309,05 miliona eura</w:t>
      </w:r>
      <w:r>
        <w:rPr>
          <w:rFonts w:cstheme="minorHAnsi"/>
          <w:sz w:val="24"/>
          <w:szCs w:val="24"/>
          <w:lang w:val="sr-Latn-ME"/>
        </w:rPr>
        <w:t xml:space="preserve"> (rast</w:t>
      </w:r>
      <w:r w:rsidRPr="00DF59B6">
        <w:rPr>
          <w:rFonts w:cstheme="minorHAnsi"/>
          <w:sz w:val="24"/>
          <w:szCs w:val="24"/>
          <w:lang w:val="sr-Latn-ME"/>
        </w:rPr>
        <w:t xml:space="preserve"> 5,15%</w:t>
      </w:r>
      <w:r>
        <w:rPr>
          <w:rFonts w:cstheme="minorHAnsi"/>
          <w:sz w:val="24"/>
          <w:szCs w:val="24"/>
          <w:lang w:val="sr-Latn-ME"/>
        </w:rPr>
        <w:t>).</w:t>
      </w:r>
    </w:p>
    <w:p w14:paraId="22526818" w14:textId="4ADE5D64" w:rsidR="00E05341" w:rsidRDefault="00E05341" w:rsidP="00E05341">
      <w:pPr>
        <w:spacing w:line="276" w:lineRule="auto"/>
        <w:jc w:val="both"/>
        <w:rPr>
          <w:rFonts w:eastAsiaTheme="majorEastAsia" w:cstheme="minorHAnsi"/>
          <w:b/>
          <w:color w:val="2F5496" w:themeColor="accent1" w:themeShade="BF"/>
          <w:sz w:val="24"/>
          <w:szCs w:val="24"/>
          <w:lang w:val="sr-Latn-ME"/>
        </w:rPr>
      </w:pPr>
      <w:r>
        <w:rPr>
          <w:rFonts w:eastAsiaTheme="majorEastAsia" w:cstheme="minorHAnsi"/>
          <w:b/>
          <w:color w:val="2F5496" w:themeColor="accent1" w:themeShade="BF"/>
          <w:sz w:val="24"/>
          <w:szCs w:val="24"/>
          <w:lang w:val="sr-Latn-ME"/>
        </w:rPr>
        <w:t>1.1.6.2</w:t>
      </w:r>
      <w:r w:rsidR="002E35FA">
        <w:rPr>
          <w:rFonts w:eastAsiaTheme="majorEastAsia" w:cstheme="minorHAnsi"/>
          <w:b/>
          <w:color w:val="2F5496" w:themeColor="accent1" w:themeShade="BF"/>
          <w:sz w:val="24"/>
          <w:szCs w:val="24"/>
          <w:lang w:val="sr-Latn-ME"/>
        </w:rPr>
        <w:t>.</w:t>
      </w:r>
      <w:r>
        <w:rPr>
          <w:rFonts w:eastAsiaTheme="majorEastAsia" w:cstheme="minorHAnsi"/>
          <w:b/>
          <w:color w:val="2F5496" w:themeColor="accent1" w:themeShade="BF"/>
          <w:sz w:val="24"/>
          <w:szCs w:val="24"/>
          <w:lang w:val="sr-Latn-ME"/>
        </w:rPr>
        <w:t xml:space="preserve"> Finansijski račun</w:t>
      </w:r>
    </w:p>
    <w:p w14:paraId="4E7037DC" w14:textId="77777777" w:rsidR="00E05341" w:rsidRDefault="00E05341" w:rsidP="00E05341">
      <w:pPr>
        <w:spacing w:after="200" w:line="240" w:lineRule="auto"/>
        <w:jc w:val="both"/>
        <w:rPr>
          <w:rFonts w:cstheme="minorHAnsi"/>
          <w:sz w:val="24"/>
          <w:szCs w:val="24"/>
          <w:lang w:val="sr-Latn-ME"/>
        </w:rPr>
      </w:pPr>
      <w:r w:rsidRPr="00DF59B6">
        <w:rPr>
          <w:rFonts w:cstheme="minorHAnsi"/>
          <w:sz w:val="24"/>
          <w:szCs w:val="24"/>
          <w:lang w:val="sr-Latn-ME"/>
        </w:rPr>
        <w:t xml:space="preserve">Na računu portfolio investicija zabilježen je neto priliv u iznosu od 406,60 miliona eura, dok je na računu ostalih investicija neto priliv iznosio 197,10 miliona eura. U posmatranom periodu zabilježeno je smanjenje kreditnih obaveza banaka, države i ostalih sektora u odnosu na isti period 2023 godine. </w:t>
      </w:r>
    </w:p>
    <w:p w14:paraId="421BD647" w14:textId="77777777" w:rsidR="00E05341" w:rsidRDefault="00E05341" w:rsidP="00E05341">
      <w:pPr>
        <w:spacing w:after="200" w:line="240" w:lineRule="auto"/>
        <w:jc w:val="both"/>
        <w:rPr>
          <w:rFonts w:cstheme="minorHAnsi"/>
          <w:sz w:val="24"/>
          <w:szCs w:val="24"/>
          <w:lang w:val="sr-Latn-ME"/>
        </w:rPr>
      </w:pPr>
      <w:r w:rsidRPr="00DF59B6">
        <w:rPr>
          <w:rFonts w:cstheme="minorHAnsi"/>
          <w:sz w:val="24"/>
          <w:szCs w:val="24"/>
          <w:lang w:val="sr-Latn-ME"/>
        </w:rPr>
        <w:lastRenderedPageBreak/>
        <w:t xml:space="preserve">Neto priliv stranih direktnih investicija u periodu </w:t>
      </w:r>
      <w:r>
        <w:rPr>
          <w:rFonts w:cstheme="minorHAnsi"/>
          <w:b/>
          <w:sz w:val="24"/>
          <w:szCs w:val="24"/>
          <w:lang w:val="sr-Latn-ME"/>
        </w:rPr>
        <w:t xml:space="preserve">januar-septembar 2024, </w:t>
      </w:r>
      <w:r w:rsidRPr="00DF59B6">
        <w:rPr>
          <w:rFonts w:cstheme="minorHAnsi"/>
          <w:sz w:val="24"/>
          <w:szCs w:val="24"/>
          <w:lang w:val="sr-Latn-ME"/>
        </w:rPr>
        <w:t xml:space="preserve">iznosio je 372,57 miliona eura, što </w:t>
      </w:r>
      <w:r>
        <w:rPr>
          <w:rFonts w:cstheme="minorHAnsi"/>
          <w:sz w:val="24"/>
          <w:szCs w:val="24"/>
          <w:lang w:val="sr-Latn-ME"/>
        </w:rPr>
        <w:t>je</w:t>
      </w:r>
      <w:r w:rsidRPr="00DF59B6">
        <w:rPr>
          <w:rFonts w:cstheme="minorHAnsi"/>
          <w:sz w:val="24"/>
          <w:szCs w:val="24"/>
          <w:lang w:val="sr-Latn-ME"/>
        </w:rPr>
        <w:t xml:space="preserve"> </w:t>
      </w:r>
      <w:r>
        <w:rPr>
          <w:rFonts w:cstheme="minorHAnsi"/>
          <w:sz w:val="24"/>
          <w:szCs w:val="24"/>
          <w:lang w:val="sr-Latn-ME"/>
        </w:rPr>
        <w:t>više za</w:t>
      </w:r>
      <w:r w:rsidRPr="00DF59B6">
        <w:rPr>
          <w:rFonts w:cstheme="minorHAnsi"/>
          <w:sz w:val="24"/>
          <w:szCs w:val="24"/>
          <w:lang w:val="sr-Latn-ME"/>
        </w:rPr>
        <w:t xml:space="preserve"> 18,7</w:t>
      </w:r>
      <w:r>
        <w:rPr>
          <w:rFonts w:cstheme="minorHAnsi"/>
          <w:sz w:val="24"/>
          <w:szCs w:val="24"/>
          <w:lang w:val="sr-Latn-ME"/>
        </w:rPr>
        <w:t>6% u odnosu na isti period 2023</w:t>
      </w:r>
      <w:r w:rsidRPr="00DF59B6">
        <w:rPr>
          <w:rFonts w:cstheme="minorHAnsi"/>
          <w:sz w:val="24"/>
          <w:szCs w:val="24"/>
          <w:lang w:val="sr-Latn-ME"/>
        </w:rPr>
        <w:t>. Ukupan priliv SDI iznosio je 657,67 miliona eura, što je 5,46% više</w:t>
      </w:r>
      <w:r>
        <w:rPr>
          <w:rFonts w:cstheme="minorHAnsi"/>
          <w:sz w:val="24"/>
          <w:szCs w:val="24"/>
          <w:lang w:val="sr-Latn-ME"/>
        </w:rPr>
        <w:t xml:space="preserve"> međugodišnje</w:t>
      </w:r>
      <w:r w:rsidRPr="00DF59B6">
        <w:rPr>
          <w:rFonts w:cstheme="minorHAnsi"/>
          <w:sz w:val="24"/>
          <w:szCs w:val="24"/>
          <w:lang w:val="sr-Latn-ME"/>
        </w:rPr>
        <w:t>. U ukupnoj strukturi priliva</w:t>
      </w:r>
      <w:r>
        <w:rPr>
          <w:rFonts w:cstheme="minorHAnsi"/>
          <w:sz w:val="24"/>
          <w:szCs w:val="24"/>
          <w:lang w:val="sr-Latn-ME"/>
        </w:rPr>
        <w:t>,</w:t>
      </w:r>
      <w:r w:rsidRPr="00DF59B6">
        <w:rPr>
          <w:rFonts w:cstheme="minorHAnsi"/>
          <w:sz w:val="24"/>
          <w:szCs w:val="24"/>
          <w:lang w:val="sr-Latn-ME"/>
        </w:rPr>
        <w:t xml:space="preserve"> vlasnička ulaganja iznosila su 420,28 miliona eura (rast 3,87%), dok je priliv u formi interkompanijskog duga iznosio 216,39 miliona eura</w:t>
      </w:r>
      <w:r>
        <w:rPr>
          <w:rFonts w:cstheme="minorHAnsi"/>
          <w:sz w:val="24"/>
          <w:szCs w:val="24"/>
          <w:lang w:val="sr-Latn-ME"/>
        </w:rPr>
        <w:t xml:space="preserve"> (rast</w:t>
      </w:r>
      <w:r w:rsidRPr="00DF59B6">
        <w:rPr>
          <w:rFonts w:cstheme="minorHAnsi"/>
          <w:sz w:val="24"/>
          <w:szCs w:val="24"/>
          <w:lang w:val="sr-Latn-ME"/>
        </w:rPr>
        <w:t xml:space="preserve"> 14,25%</w:t>
      </w:r>
      <w:r>
        <w:rPr>
          <w:rFonts w:cstheme="minorHAnsi"/>
          <w:sz w:val="24"/>
          <w:szCs w:val="24"/>
          <w:lang w:val="sr-Latn-ME"/>
        </w:rPr>
        <w:t>)</w:t>
      </w:r>
      <w:r w:rsidRPr="00DF59B6">
        <w:rPr>
          <w:rFonts w:cstheme="minorHAnsi"/>
          <w:sz w:val="24"/>
          <w:szCs w:val="24"/>
          <w:lang w:val="sr-Latn-ME"/>
        </w:rPr>
        <w:t>. U strukturi vlasničkih ulaganja</w:t>
      </w:r>
      <w:r>
        <w:rPr>
          <w:rFonts w:cstheme="minorHAnsi"/>
          <w:sz w:val="24"/>
          <w:szCs w:val="24"/>
          <w:lang w:val="sr-Latn-ME"/>
        </w:rPr>
        <w:t>,</w:t>
      </w:r>
      <w:r w:rsidRPr="00DF59B6">
        <w:rPr>
          <w:rFonts w:cstheme="minorHAnsi"/>
          <w:sz w:val="24"/>
          <w:szCs w:val="24"/>
          <w:lang w:val="sr-Latn-ME"/>
        </w:rPr>
        <w:t xml:space="preserve"> investicije u kompanije i banke iznosile su 100,05 miliona eura (rast 44,02%), dok su ulaganja u nekretnine 320,23 miliona eura (pad 4,46%). Priliv po osnovu povlačenja ulaganja iz inostranstva iznosio je 21 milion eura. Gledano </w:t>
      </w:r>
      <w:r>
        <w:rPr>
          <w:rFonts w:cstheme="minorHAnsi"/>
          <w:sz w:val="24"/>
          <w:szCs w:val="24"/>
          <w:lang w:val="sr-Latn-ME"/>
        </w:rPr>
        <w:t>po</w:t>
      </w:r>
      <w:r w:rsidRPr="00DF59B6">
        <w:rPr>
          <w:rFonts w:cstheme="minorHAnsi"/>
          <w:sz w:val="24"/>
          <w:szCs w:val="24"/>
          <w:lang w:val="sr-Latn-ME"/>
        </w:rPr>
        <w:t xml:space="preserve"> strukturi priliva SDI, učešće po osnovu ulaganja u nekretnine iznosilo je 48,69%, interkompanijski dug 32,90% i investicije u kompanije i banke 15,21%. </w:t>
      </w:r>
    </w:p>
    <w:p w14:paraId="40F83616" w14:textId="77777777" w:rsidR="00E05341" w:rsidRPr="0082584E" w:rsidRDefault="00E05341" w:rsidP="00E05341">
      <w:pPr>
        <w:spacing w:after="200" w:line="240" w:lineRule="auto"/>
        <w:jc w:val="both"/>
        <w:rPr>
          <w:rFonts w:ascii="Times New Roman" w:hAnsi="Times New Roman"/>
          <w:sz w:val="24"/>
          <w:szCs w:val="24"/>
          <w:lang w:val="sr-Latn-RS"/>
        </w:rPr>
      </w:pPr>
      <w:r w:rsidRPr="00DF59B6">
        <w:rPr>
          <w:rFonts w:cstheme="minorHAnsi"/>
          <w:sz w:val="24"/>
          <w:szCs w:val="24"/>
          <w:lang w:val="sr-Latn-ME"/>
        </w:rPr>
        <w:t>Ukupan odliv SDI u</w:t>
      </w:r>
      <w:r>
        <w:rPr>
          <w:rFonts w:cstheme="minorHAnsi"/>
          <w:sz w:val="24"/>
          <w:szCs w:val="24"/>
          <w:lang w:val="sr-Latn-ME"/>
        </w:rPr>
        <w:t xml:space="preserve"> periodu januar-septembar 2024, iznosio je 285,10 miliona eura ili </w:t>
      </w:r>
      <w:r w:rsidRPr="00DF59B6">
        <w:rPr>
          <w:rFonts w:cstheme="minorHAnsi"/>
          <w:sz w:val="24"/>
          <w:szCs w:val="24"/>
          <w:lang w:val="sr-Latn-ME"/>
        </w:rPr>
        <w:t>8% manje</w:t>
      </w:r>
      <w:r>
        <w:rPr>
          <w:rFonts w:cstheme="minorHAnsi"/>
          <w:sz w:val="24"/>
          <w:szCs w:val="24"/>
          <w:lang w:val="sr-Latn-ME"/>
        </w:rPr>
        <w:t xml:space="preserve"> na godišnjem nivou</w:t>
      </w:r>
      <w:r w:rsidRPr="00DF59B6">
        <w:rPr>
          <w:rFonts w:cstheme="minorHAnsi"/>
          <w:sz w:val="24"/>
          <w:szCs w:val="24"/>
          <w:lang w:val="sr-Latn-ME"/>
        </w:rPr>
        <w:t>. Odliv po osnovu ulaganja rezidenata u inostranstvo iznosio je 70,99 miliona eura, dok su povlačenja sredstava nerezidenata investiranih u našu zemlju iznosila 214,11 miliona eura.</w:t>
      </w:r>
    </w:p>
    <w:p w14:paraId="0D3FD119" w14:textId="77777777" w:rsidR="00E05341" w:rsidRPr="0082584E" w:rsidRDefault="00E05341" w:rsidP="00E05341">
      <w:pPr>
        <w:spacing w:after="0" w:line="240" w:lineRule="auto"/>
        <w:jc w:val="both"/>
        <w:rPr>
          <w:rFonts w:ascii="Times New Roman" w:eastAsia="Times New Roman" w:hAnsi="Times New Roman"/>
          <w:sz w:val="24"/>
          <w:szCs w:val="24"/>
          <w:lang w:val="sr-Latn-RS"/>
        </w:rPr>
      </w:pPr>
      <w:r w:rsidRPr="0082584E">
        <w:rPr>
          <w:b/>
          <w:bCs/>
        </w:rPr>
        <w:t xml:space="preserve">Tabela </w:t>
      </w:r>
      <w:r>
        <w:rPr>
          <w:b/>
          <w:bCs/>
        </w:rPr>
        <w:t>1</w:t>
      </w:r>
      <w:r w:rsidRPr="0082584E">
        <w:rPr>
          <w:b/>
          <w:bCs/>
        </w:rPr>
        <w:t>.1.6.2: Platni bilans Crne Gore, u 000 eura</w:t>
      </w:r>
    </w:p>
    <w:p w14:paraId="64455D28" w14:textId="77777777" w:rsidR="00E05341" w:rsidRPr="0082584E" w:rsidRDefault="00E05341" w:rsidP="00E05341">
      <w:pPr>
        <w:spacing w:after="0" w:line="240" w:lineRule="auto"/>
        <w:jc w:val="both"/>
        <w:rPr>
          <w:rFonts w:ascii="Times New Roman" w:hAnsi="Times New Roman"/>
          <w:sz w:val="24"/>
          <w:szCs w:val="24"/>
          <w:lang w:val="sr-Latn-RS"/>
        </w:rPr>
      </w:pPr>
    </w:p>
    <w:tbl>
      <w:tblPr>
        <w:tblW w:w="9493" w:type="dxa"/>
        <w:tblInd w:w="113" w:type="dxa"/>
        <w:shd w:val="clear" w:color="auto" w:fill="FFFFFF"/>
        <w:tblLook w:val="04A0" w:firstRow="1" w:lastRow="0" w:firstColumn="1" w:lastColumn="0" w:noHBand="0" w:noVBand="1"/>
      </w:tblPr>
      <w:tblGrid>
        <w:gridCol w:w="960"/>
        <w:gridCol w:w="3430"/>
        <w:gridCol w:w="1275"/>
        <w:gridCol w:w="1276"/>
        <w:gridCol w:w="2552"/>
      </w:tblGrid>
      <w:tr w:rsidR="00E05341" w:rsidRPr="00B747AD" w14:paraId="0AF08845" w14:textId="77777777" w:rsidTr="00E05341">
        <w:trPr>
          <w:trHeight w:val="495"/>
        </w:trPr>
        <w:tc>
          <w:tcPr>
            <w:tcW w:w="96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13C6C2" w14:textId="77777777" w:rsidR="00E05341" w:rsidRPr="00B747AD" w:rsidRDefault="00E05341" w:rsidP="00E05341">
            <w:pPr>
              <w:spacing w:after="0" w:line="240" w:lineRule="auto"/>
              <w:rPr>
                <w:rFonts w:eastAsia="Times New Roman" w:cstheme="minorHAnsi"/>
                <w:sz w:val="18"/>
                <w:szCs w:val="18"/>
              </w:rPr>
            </w:pPr>
            <w:r w:rsidRPr="00B747AD">
              <w:rPr>
                <w:rFonts w:eastAsia="Times New Roman" w:cstheme="minorHAnsi"/>
                <w:sz w:val="18"/>
                <w:szCs w:val="18"/>
              </w:rPr>
              <w:t>R.br.</w:t>
            </w:r>
          </w:p>
        </w:tc>
        <w:tc>
          <w:tcPr>
            <w:tcW w:w="3430" w:type="dxa"/>
            <w:tcBorders>
              <w:top w:val="single" w:sz="4" w:space="0" w:color="auto"/>
              <w:left w:val="nil"/>
              <w:bottom w:val="single" w:sz="4" w:space="0" w:color="auto"/>
              <w:right w:val="single" w:sz="4" w:space="0" w:color="auto"/>
            </w:tcBorders>
            <w:shd w:val="clear" w:color="auto" w:fill="FFFFFF"/>
            <w:noWrap/>
            <w:vAlign w:val="bottom"/>
            <w:hideMark/>
          </w:tcPr>
          <w:p w14:paraId="15BCEAA7" w14:textId="77777777" w:rsidR="00E05341" w:rsidRPr="00B747AD" w:rsidRDefault="00E05341" w:rsidP="00E05341">
            <w:pPr>
              <w:spacing w:after="0" w:line="240" w:lineRule="auto"/>
              <w:rPr>
                <w:rFonts w:eastAsia="Times New Roman" w:cstheme="minorHAnsi"/>
                <w:sz w:val="18"/>
                <w:szCs w:val="18"/>
              </w:rPr>
            </w:pPr>
            <w:r w:rsidRPr="00B747AD">
              <w:rPr>
                <w:rFonts w:eastAsia="Times New Roman" w:cstheme="minorHAnsi"/>
                <w:sz w:val="18"/>
                <w:szCs w:val="18"/>
              </w:rPr>
              <w:t>Naziv stavke</w:t>
            </w:r>
          </w:p>
        </w:tc>
        <w:tc>
          <w:tcPr>
            <w:tcW w:w="1275" w:type="dxa"/>
            <w:tcBorders>
              <w:top w:val="single" w:sz="4" w:space="0" w:color="auto"/>
              <w:left w:val="nil"/>
              <w:bottom w:val="single" w:sz="4" w:space="0" w:color="auto"/>
              <w:right w:val="single" w:sz="4" w:space="0" w:color="auto"/>
            </w:tcBorders>
            <w:shd w:val="clear" w:color="auto" w:fill="FFFFFF"/>
            <w:vAlign w:val="bottom"/>
            <w:hideMark/>
          </w:tcPr>
          <w:p w14:paraId="0B82CAE8" w14:textId="77777777" w:rsidR="00E05341" w:rsidRPr="00B747AD" w:rsidRDefault="00E05341" w:rsidP="00E05341">
            <w:pPr>
              <w:spacing w:after="0" w:line="240" w:lineRule="auto"/>
              <w:jc w:val="center"/>
              <w:rPr>
                <w:rFonts w:eastAsia="Times New Roman" w:cstheme="minorHAnsi"/>
                <w:b/>
                <w:bCs/>
                <w:sz w:val="18"/>
                <w:szCs w:val="18"/>
              </w:rPr>
            </w:pPr>
            <w:r w:rsidRPr="00B747AD">
              <w:rPr>
                <w:rFonts w:eastAsia="Times New Roman" w:cstheme="minorHAnsi"/>
                <w:b/>
                <w:bCs/>
                <w:sz w:val="18"/>
                <w:szCs w:val="18"/>
              </w:rPr>
              <w:t>Jan - Sept 2023</w:t>
            </w:r>
          </w:p>
        </w:tc>
        <w:tc>
          <w:tcPr>
            <w:tcW w:w="1276" w:type="dxa"/>
            <w:tcBorders>
              <w:top w:val="single" w:sz="4" w:space="0" w:color="auto"/>
              <w:left w:val="nil"/>
              <w:bottom w:val="single" w:sz="4" w:space="0" w:color="auto"/>
              <w:right w:val="single" w:sz="4" w:space="0" w:color="auto"/>
            </w:tcBorders>
            <w:shd w:val="clear" w:color="auto" w:fill="FFFFFF"/>
            <w:vAlign w:val="bottom"/>
            <w:hideMark/>
          </w:tcPr>
          <w:p w14:paraId="33AEEFA3" w14:textId="77777777" w:rsidR="00E05341" w:rsidRPr="00B747AD" w:rsidRDefault="00E05341" w:rsidP="00E05341">
            <w:pPr>
              <w:spacing w:after="0" w:line="240" w:lineRule="auto"/>
              <w:jc w:val="center"/>
              <w:rPr>
                <w:rFonts w:eastAsia="Times New Roman" w:cstheme="minorHAnsi"/>
                <w:b/>
                <w:bCs/>
                <w:sz w:val="18"/>
                <w:szCs w:val="18"/>
              </w:rPr>
            </w:pPr>
            <w:r w:rsidRPr="00B747AD">
              <w:rPr>
                <w:rFonts w:eastAsia="Times New Roman" w:cstheme="minorHAnsi"/>
                <w:b/>
                <w:bCs/>
                <w:sz w:val="18"/>
                <w:szCs w:val="18"/>
              </w:rPr>
              <w:t>Jan - Sept 2024</w:t>
            </w:r>
          </w:p>
        </w:tc>
        <w:tc>
          <w:tcPr>
            <w:tcW w:w="2552" w:type="dxa"/>
            <w:tcBorders>
              <w:top w:val="single" w:sz="4" w:space="0" w:color="auto"/>
              <w:left w:val="nil"/>
              <w:bottom w:val="single" w:sz="4" w:space="0" w:color="auto"/>
              <w:right w:val="single" w:sz="4" w:space="0" w:color="auto"/>
            </w:tcBorders>
            <w:shd w:val="clear" w:color="auto" w:fill="FFFFFF"/>
            <w:vAlign w:val="bottom"/>
            <w:hideMark/>
          </w:tcPr>
          <w:p w14:paraId="592C1362" w14:textId="77777777" w:rsidR="00E05341" w:rsidRPr="00B747AD" w:rsidRDefault="00E05341" w:rsidP="00E05341">
            <w:pPr>
              <w:spacing w:after="0" w:line="240" w:lineRule="auto"/>
              <w:jc w:val="center"/>
              <w:rPr>
                <w:rFonts w:eastAsia="Times New Roman" w:cstheme="minorHAnsi"/>
                <w:b/>
                <w:bCs/>
                <w:sz w:val="18"/>
                <w:szCs w:val="18"/>
              </w:rPr>
            </w:pPr>
            <w:r w:rsidRPr="00B747AD">
              <w:rPr>
                <w:rFonts w:eastAsia="Times New Roman" w:cstheme="minorHAnsi"/>
                <w:b/>
                <w:bCs/>
                <w:sz w:val="18"/>
                <w:szCs w:val="18"/>
              </w:rPr>
              <w:t>Promjena u %</w:t>
            </w:r>
          </w:p>
        </w:tc>
      </w:tr>
      <w:tr w:rsidR="00E05341" w:rsidRPr="00B747AD" w14:paraId="73286444"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48A88799"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t>1</w:t>
            </w:r>
          </w:p>
        </w:tc>
        <w:tc>
          <w:tcPr>
            <w:tcW w:w="3430" w:type="dxa"/>
            <w:tcBorders>
              <w:top w:val="nil"/>
              <w:left w:val="nil"/>
              <w:bottom w:val="single" w:sz="4" w:space="0" w:color="auto"/>
              <w:right w:val="single" w:sz="4" w:space="0" w:color="auto"/>
            </w:tcBorders>
            <w:shd w:val="clear" w:color="auto" w:fill="FFFFFF"/>
            <w:noWrap/>
            <w:vAlign w:val="bottom"/>
            <w:hideMark/>
          </w:tcPr>
          <w:p w14:paraId="0466CBD5"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t>TEKUĆI RAČUN</w:t>
            </w:r>
          </w:p>
        </w:tc>
        <w:tc>
          <w:tcPr>
            <w:tcW w:w="1275" w:type="dxa"/>
            <w:tcBorders>
              <w:top w:val="nil"/>
              <w:left w:val="nil"/>
              <w:bottom w:val="single" w:sz="4" w:space="0" w:color="auto"/>
              <w:right w:val="single" w:sz="4" w:space="0" w:color="auto"/>
            </w:tcBorders>
            <w:shd w:val="clear" w:color="auto" w:fill="FFFFFF"/>
            <w:noWrap/>
            <w:vAlign w:val="bottom"/>
            <w:hideMark/>
          </w:tcPr>
          <w:p w14:paraId="76A65649"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-360,010</w:t>
            </w:r>
          </w:p>
        </w:tc>
        <w:tc>
          <w:tcPr>
            <w:tcW w:w="1276" w:type="dxa"/>
            <w:tcBorders>
              <w:top w:val="nil"/>
              <w:left w:val="nil"/>
              <w:bottom w:val="single" w:sz="4" w:space="0" w:color="auto"/>
              <w:right w:val="single" w:sz="4" w:space="0" w:color="auto"/>
            </w:tcBorders>
            <w:shd w:val="clear" w:color="auto" w:fill="FFFFFF"/>
            <w:noWrap/>
            <w:vAlign w:val="bottom"/>
            <w:hideMark/>
          </w:tcPr>
          <w:p w14:paraId="6649194A"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-776,859</w:t>
            </w:r>
          </w:p>
        </w:tc>
        <w:tc>
          <w:tcPr>
            <w:tcW w:w="2552" w:type="dxa"/>
            <w:tcBorders>
              <w:top w:val="nil"/>
              <w:left w:val="nil"/>
              <w:bottom w:val="single" w:sz="4" w:space="0" w:color="auto"/>
              <w:right w:val="single" w:sz="4" w:space="0" w:color="auto"/>
            </w:tcBorders>
            <w:shd w:val="clear" w:color="auto" w:fill="FFFFFF"/>
            <w:noWrap/>
            <w:vAlign w:val="bottom"/>
            <w:hideMark/>
          </w:tcPr>
          <w:p w14:paraId="1D5C25F2" w14:textId="77777777" w:rsidR="00E05341" w:rsidRPr="00B747AD" w:rsidRDefault="00E05341" w:rsidP="00E05341">
            <w:pPr>
              <w:spacing w:after="0" w:line="240" w:lineRule="auto"/>
              <w:jc w:val="center"/>
              <w:rPr>
                <w:rFonts w:eastAsia="Times New Roman" w:cstheme="minorHAnsi"/>
                <w:b/>
                <w:bCs/>
                <w:sz w:val="18"/>
                <w:szCs w:val="18"/>
              </w:rPr>
            </w:pPr>
            <w:r w:rsidRPr="00B747AD">
              <w:rPr>
                <w:rFonts w:eastAsia="Times New Roman" w:cstheme="minorHAnsi"/>
                <w:b/>
                <w:bCs/>
                <w:sz w:val="18"/>
                <w:szCs w:val="18"/>
              </w:rPr>
              <w:t>115.8</w:t>
            </w:r>
          </w:p>
        </w:tc>
      </w:tr>
      <w:tr w:rsidR="00E05341" w:rsidRPr="00B747AD" w14:paraId="44025916"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vAlign w:val="bottom"/>
            <w:hideMark/>
          </w:tcPr>
          <w:p w14:paraId="6F9B7D1C" w14:textId="77777777" w:rsidR="00E05341" w:rsidRPr="00B747AD" w:rsidRDefault="00E05341" w:rsidP="00E05341">
            <w:pPr>
              <w:spacing w:after="0" w:line="240" w:lineRule="auto"/>
              <w:ind w:firstLineChars="200" w:firstLine="360"/>
              <w:rPr>
                <w:rFonts w:eastAsia="Times New Roman" w:cstheme="minorHAnsi"/>
                <w:sz w:val="18"/>
                <w:szCs w:val="18"/>
              </w:rPr>
            </w:pPr>
            <w:r w:rsidRPr="00B747AD">
              <w:rPr>
                <w:rFonts w:eastAsia="Times New Roman" w:cstheme="minorHAnsi"/>
                <w:sz w:val="18"/>
                <w:szCs w:val="18"/>
              </w:rPr>
              <w:t>1.A</w:t>
            </w:r>
          </w:p>
        </w:tc>
        <w:tc>
          <w:tcPr>
            <w:tcW w:w="3430" w:type="dxa"/>
            <w:tcBorders>
              <w:top w:val="nil"/>
              <w:left w:val="nil"/>
              <w:bottom w:val="single" w:sz="4" w:space="0" w:color="auto"/>
              <w:right w:val="single" w:sz="4" w:space="0" w:color="auto"/>
            </w:tcBorders>
            <w:shd w:val="clear" w:color="auto" w:fill="FFFFFF"/>
            <w:vAlign w:val="bottom"/>
            <w:hideMark/>
          </w:tcPr>
          <w:p w14:paraId="3B1B977B"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t>SALDO ROBA I USLUGA</w:t>
            </w:r>
          </w:p>
        </w:tc>
        <w:tc>
          <w:tcPr>
            <w:tcW w:w="1275" w:type="dxa"/>
            <w:tcBorders>
              <w:top w:val="nil"/>
              <w:left w:val="nil"/>
              <w:bottom w:val="single" w:sz="4" w:space="0" w:color="auto"/>
              <w:right w:val="single" w:sz="4" w:space="0" w:color="auto"/>
            </w:tcBorders>
            <w:shd w:val="clear" w:color="auto" w:fill="FFFFFF"/>
            <w:noWrap/>
            <w:vAlign w:val="bottom"/>
            <w:hideMark/>
          </w:tcPr>
          <w:p w14:paraId="2C8F0A59"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-757,769</w:t>
            </w:r>
          </w:p>
        </w:tc>
        <w:tc>
          <w:tcPr>
            <w:tcW w:w="1276" w:type="dxa"/>
            <w:tcBorders>
              <w:top w:val="nil"/>
              <w:left w:val="nil"/>
              <w:bottom w:val="single" w:sz="4" w:space="0" w:color="auto"/>
              <w:right w:val="single" w:sz="4" w:space="0" w:color="auto"/>
            </w:tcBorders>
            <w:shd w:val="clear" w:color="auto" w:fill="FFFFFF"/>
            <w:noWrap/>
            <w:vAlign w:val="bottom"/>
            <w:hideMark/>
          </w:tcPr>
          <w:p w14:paraId="068CC8CF"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-1,078,075</w:t>
            </w:r>
          </w:p>
        </w:tc>
        <w:tc>
          <w:tcPr>
            <w:tcW w:w="2552" w:type="dxa"/>
            <w:tcBorders>
              <w:top w:val="nil"/>
              <w:left w:val="nil"/>
              <w:bottom w:val="single" w:sz="4" w:space="0" w:color="auto"/>
              <w:right w:val="single" w:sz="4" w:space="0" w:color="auto"/>
            </w:tcBorders>
            <w:shd w:val="clear" w:color="auto" w:fill="FFFFFF"/>
            <w:noWrap/>
            <w:vAlign w:val="bottom"/>
            <w:hideMark/>
          </w:tcPr>
          <w:p w14:paraId="620063D2" w14:textId="77777777" w:rsidR="00E05341" w:rsidRPr="00B747AD" w:rsidRDefault="00E05341" w:rsidP="00E05341">
            <w:pPr>
              <w:spacing w:after="0" w:line="240" w:lineRule="auto"/>
              <w:jc w:val="center"/>
              <w:rPr>
                <w:rFonts w:eastAsia="Times New Roman" w:cstheme="minorHAnsi"/>
                <w:b/>
                <w:bCs/>
                <w:sz w:val="18"/>
                <w:szCs w:val="18"/>
              </w:rPr>
            </w:pPr>
            <w:r w:rsidRPr="00B747AD">
              <w:rPr>
                <w:rFonts w:eastAsia="Times New Roman" w:cstheme="minorHAnsi"/>
                <w:b/>
                <w:bCs/>
                <w:sz w:val="18"/>
                <w:szCs w:val="18"/>
              </w:rPr>
              <w:t>42.3</w:t>
            </w:r>
          </w:p>
        </w:tc>
      </w:tr>
      <w:tr w:rsidR="00E05341" w:rsidRPr="00B747AD" w14:paraId="5DDFDD5E"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29208D1E"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t>1.A.a</w:t>
            </w:r>
          </w:p>
        </w:tc>
        <w:tc>
          <w:tcPr>
            <w:tcW w:w="3430" w:type="dxa"/>
            <w:tcBorders>
              <w:top w:val="nil"/>
              <w:left w:val="nil"/>
              <w:bottom w:val="single" w:sz="4" w:space="0" w:color="auto"/>
              <w:right w:val="single" w:sz="4" w:space="0" w:color="auto"/>
            </w:tcBorders>
            <w:shd w:val="clear" w:color="auto" w:fill="FFFFFF"/>
            <w:noWrap/>
            <w:vAlign w:val="bottom"/>
            <w:hideMark/>
          </w:tcPr>
          <w:p w14:paraId="60D26F7E"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t>Robe</w:t>
            </w:r>
          </w:p>
        </w:tc>
        <w:tc>
          <w:tcPr>
            <w:tcW w:w="1275" w:type="dxa"/>
            <w:tcBorders>
              <w:top w:val="nil"/>
              <w:left w:val="nil"/>
              <w:bottom w:val="single" w:sz="4" w:space="0" w:color="auto"/>
              <w:right w:val="single" w:sz="4" w:space="0" w:color="auto"/>
            </w:tcBorders>
            <w:shd w:val="clear" w:color="auto" w:fill="FFFFFF"/>
            <w:noWrap/>
            <w:vAlign w:val="bottom"/>
            <w:hideMark/>
          </w:tcPr>
          <w:p w14:paraId="040C2C70"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-2,230,485</w:t>
            </w:r>
          </w:p>
        </w:tc>
        <w:tc>
          <w:tcPr>
            <w:tcW w:w="1276" w:type="dxa"/>
            <w:tcBorders>
              <w:top w:val="nil"/>
              <w:left w:val="nil"/>
              <w:bottom w:val="single" w:sz="4" w:space="0" w:color="auto"/>
              <w:right w:val="single" w:sz="4" w:space="0" w:color="auto"/>
            </w:tcBorders>
            <w:shd w:val="clear" w:color="auto" w:fill="FFFFFF"/>
            <w:noWrap/>
            <w:vAlign w:val="bottom"/>
            <w:hideMark/>
          </w:tcPr>
          <w:p w14:paraId="62117B3C"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-2,494,195</w:t>
            </w:r>
          </w:p>
        </w:tc>
        <w:tc>
          <w:tcPr>
            <w:tcW w:w="2552" w:type="dxa"/>
            <w:tcBorders>
              <w:top w:val="nil"/>
              <w:left w:val="nil"/>
              <w:bottom w:val="single" w:sz="4" w:space="0" w:color="auto"/>
              <w:right w:val="single" w:sz="4" w:space="0" w:color="auto"/>
            </w:tcBorders>
            <w:shd w:val="clear" w:color="auto" w:fill="FFFFFF"/>
            <w:noWrap/>
            <w:vAlign w:val="bottom"/>
            <w:hideMark/>
          </w:tcPr>
          <w:p w14:paraId="53B18FA0" w14:textId="77777777" w:rsidR="00E05341" w:rsidRPr="00B747AD" w:rsidRDefault="00E05341" w:rsidP="00E05341">
            <w:pPr>
              <w:spacing w:after="0" w:line="240" w:lineRule="auto"/>
              <w:jc w:val="center"/>
              <w:rPr>
                <w:rFonts w:eastAsia="Times New Roman" w:cstheme="minorHAnsi"/>
                <w:b/>
                <w:bCs/>
                <w:sz w:val="18"/>
                <w:szCs w:val="18"/>
              </w:rPr>
            </w:pPr>
            <w:r w:rsidRPr="00B747AD">
              <w:rPr>
                <w:rFonts w:eastAsia="Times New Roman" w:cstheme="minorHAnsi"/>
                <w:b/>
                <w:bCs/>
                <w:sz w:val="18"/>
                <w:szCs w:val="18"/>
              </w:rPr>
              <w:t>11.8</w:t>
            </w:r>
          </w:p>
        </w:tc>
      </w:tr>
      <w:tr w:rsidR="00E05341" w:rsidRPr="00B747AD" w14:paraId="1BE5948D"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703C3CBB" w14:textId="77777777" w:rsidR="00E05341" w:rsidRPr="00B747AD" w:rsidRDefault="00E05341" w:rsidP="00E05341">
            <w:pPr>
              <w:spacing w:after="0" w:line="240" w:lineRule="auto"/>
              <w:rPr>
                <w:rFonts w:eastAsia="Times New Roman" w:cstheme="minorHAnsi"/>
                <w:sz w:val="18"/>
                <w:szCs w:val="18"/>
              </w:rPr>
            </w:pPr>
            <w:r w:rsidRPr="00B747AD">
              <w:rPr>
                <w:rFonts w:eastAsia="Times New Roman" w:cstheme="minorHAnsi"/>
                <w:sz w:val="18"/>
                <w:szCs w:val="18"/>
              </w:rPr>
              <w:t>1.A.a.1</w:t>
            </w:r>
          </w:p>
        </w:tc>
        <w:tc>
          <w:tcPr>
            <w:tcW w:w="3430" w:type="dxa"/>
            <w:tcBorders>
              <w:top w:val="nil"/>
              <w:left w:val="nil"/>
              <w:bottom w:val="single" w:sz="4" w:space="0" w:color="auto"/>
              <w:right w:val="single" w:sz="4" w:space="0" w:color="auto"/>
            </w:tcBorders>
            <w:shd w:val="clear" w:color="auto" w:fill="FFFFFF"/>
            <w:noWrap/>
            <w:vAlign w:val="bottom"/>
            <w:hideMark/>
          </w:tcPr>
          <w:p w14:paraId="51F2CD1D" w14:textId="77777777" w:rsidR="00E05341" w:rsidRPr="00B747AD" w:rsidRDefault="00E05341" w:rsidP="00E05341">
            <w:pPr>
              <w:spacing w:after="0" w:line="240" w:lineRule="auto"/>
              <w:ind w:firstLineChars="200" w:firstLine="360"/>
              <w:rPr>
                <w:rFonts w:eastAsia="Times New Roman" w:cstheme="minorHAnsi"/>
                <w:sz w:val="18"/>
                <w:szCs w:val="18"/>
              </w:rPr>
            </w:pPr>
            <w:r w:rsidRPr="00B747AD">
              <w:rPr>
                <w:rFonts w:eastAsia="Times New Roman" w:cstheme="minorHAnsi"/>
                <w:sz w:val="18"/>
                <w:szCs w:val="18"/>
              </w:rPr>
              <w:t>Izvoz, f.o.b.</w:t>
            </w:r>
          </w:p>
        </w:tc>
        <w:tc>
          <w:tcPr>
            <w:tcW w:w="1275" w:type="dxa"/>
            <w:tcBorders>
              <w:top w:val="nil"/>
              <w:left w:val="nil"/>
              <w:bottom w:val="single" w:sz="4" w:space="0" w:color="auto"/>
              <w:right w:val="single" w:sz="4" w:space="0" w:color="auto"/>
            </w:tcBorders>
            <w:shd w:val="clear" w:color="auto" w:fill="FFFFFF"/>
            <w:noWrap/>
            <w:vAlign w:val="bottom"/>
            <w:hideMark/>
          </w:tcPr>
          <w:p w14:paraId="6AB3C30D"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557,275</w:t>
            </w:r>
          </w:p>
        </w:tc>
        <w:tc>
          <w:tcPr>
            <w:tcW w:w="1276" w:type="dxa"/>
            <w:tcBorders>
              <w:top w:val="nil"/>
              <w:left w:val="nil"/>
              <w:bottom w:val="single" w:sz="4" w:space="0" w:color="auto"/>
              <w:right w:val="single" w:sz="4" w:space="0" w:color="auto"/>
            </w:tcBorders>
            <w:shd w:val="clear" w:color="auto" w:fill="FFFFFF"/>
            <w:noWrap/>
            <w:vAlign w:val="bottom"/>
            <w:hideMark/>
          </w:tcPr>
          <w:p w14:paraId="0D4EAAAF"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463,736</w:t>
            </w:r>
          </w:p>
        </w:tc>
        <w:tc>
          <w:tcPr>
            <w:tcW w:w="2552" w:type="dxa"/>
            <w:tcBorders>
              <w:top w:val="nil"/>
              <w:left w:val="nil"/>
              <w:bottom w:val="single" w:sz="4" w:space="0" w:color="auto"/>
              <w:right w:val="single" w:sz="4" w:space="0" w:color="auto"/>
            </w:tcBorders>
            <w:shd w:val="clear" w:color="auto" w:fill="FFFFFF"/>
            <w:noWrap/>
            <w:vAlign w:val="bottom"/>
            <w:hideMark/>
          </w:tcPr>
          <w:p w14:paraId="1DF6B0B3" w14:textId="77777777" w:rsidR="00E05341" w:rsidRPr="00B747AD" w:rsidRDefault="00E05341" w:rsidP="00E05341">
            <w:pPr>
              <w:spacing w:after="0" w:line="240" w:lineRule="auto"/>
              <w:jc w:val="center"/>
              <w:rPr>
                <w:rFonts w:eastAsia="Times New Roman" w:cstheme="minorHAnsi"/>
                <w:sz w:val="18"/>
                <w:szCs w:val="18"/>
              </w:rPr>
            </w:pPr>
            <w:r w:rsidRPr="00B747AD">
              <w:rPr>
                <w:rFonts w:eastAsia="Times New Roman" w:cstheme="minorHAnsi"/>
                <w:sz w:val="18"/>
                <w:szCs w:val="18"/>
              </w:rPr>
              <w:t>-16.8</w:t>
            </w:r>
          </w:p>
        </w:tc>
      </w:tr>
      <w:tr w:rsidR="00E05341" w:rsidRPr="00B747AD" w14:paraId="7E0A68C7"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5180B0AD" w14:textId="77777777" w:rsidR="00E05341" w:rsidRPr="00B747AD" w:rsidRDefault="00E05341" w:rsidP="00E05341">
            <w:pPr>
              <w:spacing w:after="0" w:line="240" w:lineRule="auto"/>
              <w:rPr>
                <w:rFonts w:eastAsia="Times New Roman" w:cstheme="minorHAnsi"/>
                <w:sz w:val="18"/>
                <w:szCs w:val="18"/>
              </w:rPr>
            </w:pPr>
            <w:r w:rsidRPr="00B747AD">
              <w:rPr>
                <w:rFonts w:eastAsia="Times New Roman" w:cstheme="minorHAnsi"/>
                <w:sz w:val="18"/>
                <w:szCs w:val="18"/>
              </w:rPr>
              <w:t>1.A.a.2</w:t>
            </w:r>
          </w:p>
        </w:tc>
        <w:tc>
          <w:tcPr>
            <w:tcW w:w="3430" w:type="dxa"/>
            <w:tcBorders>
              <w:top w:val="nil"/>
              <w:left w:val="nil"/>
              <w:bottom w:val="single" w:sz="4" w:space="0" w:color="auto"/>
              <w:right w:val="single" w:sz="4" w:space="0" w:color="auto"/>
            </w:tcBorders>
            <w:shd w:val="clear" w:color="auto" w:fill="FFFFFF"/>
            <w:noWrap/>
            <w:vAlign w:val="bottom"/>
            <w:hideMark/>
          </w:tcPr>
          <w:p w14:paraId="5106B350" w14:textId="77777777" w:rsidR="00E05341" w:rsidRPr="00B747AD" w:rsidRDefault="00E05341" w:rsidP="00E05341">
            <w:pPr>
              <w:spacing w:after="0" w:line="240" w:lineRule="auto"/>
              <w:ind w:firstLineChars="200" w:firstLine="360"/>
              <w:rPr>
                <w:rFonts w:eastAsia="Times New Roman" w:cstheme="minorHAnsi"/>
                <w:sz w:val="18"/>
                <w:szCs w:val="18"/>
              </w:rPr>
            </w:pPr>
            <w:r w:rsidRPr="00B747AD">
              <w:rPr>
                <w:rFonts w:eastAsia="Times New Roman" w:cstheme="minorHAnsi"/>
                <w:sz w:val="18"/>
                <w:szCs w:val="18"/>
              </w:rPr>
              <w:t>Uvoz, f.o.b.</w:t>
            </w:r>
          </w:p>
        </w:tc>
        <w:tc>
          <w:tcPr>
            <w:tcW w:w="1275" w:type="dxa"/>
            <w:tcBorders>
              <w:top w:val="nil"/>
              <w:left w:val="nil"/>
              <w:bottom w:val="single" w:sz="4" w:space="0" w:color="auto"/>
              <w:right w:val="single" w:sz="4" w:space="0" w:color="auto"/>
            </w:tcBorders>
            <w:shd w:val="clear" w:color="auto" w:fill="FFFFFF"/>
            <w:noWrap/>
            <w:vAlign w:val="bottom"/>
            <w:hideMark/>
          </w:tcPr>
          <w:p w14:paraId="0919F56F"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2,787,759</w:t>
            </w:r>
          </w:p>
        </w:tc>
        <w:tc>
          <w:tcPr>
            <w:tcW w:w="1276" w:type="dxa"/>
            <w:tcBorders>
              <w:top w:val="nil"/>
              <w:left w:val="nil"/>
              <w:bottom w:val="single" w:sz="4" w:space="0" w:color="auto"/>
              <w:right w:val="single" w:sz="4" w:space="0" w:color="auto"/>
            </w:tcBorders>
            <w:shd w:val="clear" w:color="auto" w:fill="FFFFFF"/>
            <w:noWrap/>
            <w:vAlign w:val="bottom"/>
            <w:hideMark/>
          </w:tcPr>
          <w:p w14:paraId="43E94FFB"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2,957,931</w:t>
            </w:r>
          </w:p>
        </w:tc>
        <w:tc>
          <w:tcPr>
            <w:tcW w:w="2552" w:type="dxa"/>
            <w:tcBorders>
              <w:top w:val="nil"/>
              <w:left w:val="nil"/>
              <w:bottom w:val="single" w:sz="4" w:space="0" w:color="auto"/>
              <w:right w:val="single" w:sz="4" w:space="0" w:color="auto"/>
            </w:tcBorders>
            <w:shd w:val="clear" w:color="auto" w:fill="FFFFFF"/>
            <w:noWrap/>
            <w:vAlign w:val="bottom"/>
            <w:hideMark/>
          </w:tcPr>
          <w:p w14:paraId="68AE33E9" w14:textId="77777777" w:rsidR="00E05341" w:rsidRPr="00B747AD" w:rsidRDefault="00E05341" w:rsidP="00E05341">
            <w:pPr>
              <w:spacing w:after="0" w:line="240" w:lineRule="auto"/>
              <w:jc w:val="center"/>
              <w:rPr>
                <w:rFonts w:eastAsia="Times New Roman" w:cstheme="minorHAnsi"/>
                <w:sz w:val="18"/>
                <w:szCs w:val="18"/>
              </w:rPr>
            </w:pPr>
            <w:r w:rsidRPr="00B747AD">
              <w:rPr>
                <w:rFonts w:eastAsia="Times New Roman" w:cstheme="minorHAnsi"/>
                <w:sz w:val="18"/>
                <w:szCs w:val="18"/>
              </w:rPr>
              <w:t>6.1</w:t>
            </w:r>
          </w:p>
        </w:tc>
      </w:tr>
      <w:tr w:rsidR="00E05341" w:rsidRPr="00B747AD" w14:paraId="6633CB51"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70629326"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t xml:space="preserve">1.A.b </w:t>
            </w:r>
          </w:p>
        </w:tc>
        <w:tc>
          <w:tcPr>
            <w:tcW w:w="3430" w:type="dxa"/>
            <w:tcBorders>
              <w:top w:val="nil"/>
              <w:left w:val="nil"/>
              <w:bottom w:val="single" w:sz="4" w:space="0" w:color="auto"/>
              <w:right w:val="single" w:sz="4" w:space="0" w:color="auto"/>
            </w:tcBorders>
            <w:shd w:val="clear" w:color="auto" w:fill="FFFFFF"/>
            <w:noWrap/>
            <w:vAlign w:val="bottom"/>
            <w:hideMark/>
          </w:tcPr>
          <w:p w14:paraId="10B41890"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t>Usluge</w:t>
            </w:r>
          </w:p>
        </w:tc>
        <w:tc>
          <w:tcPr>
            <w:tcW w:w="1275" w:type="dxa"/>
            <w:tcBorders>
              <w:top w:val="nil"/>
              <w:left w:val="nil"/>
              <w:bottom w:val="single" w:sz="4" w:space="0" w:color="auto"/>
              <w:right w:val="single" w:sz="4" w:space="0" w:color="auto"/>
            </w:tcBorders>
            <w:shd w:val="clear" w:color="auto" w:fill="FFFFFF"/>
            <w:noWrap/>
            <w:vAlign w:val="bottom"/>
            <w:hideMark/>
          </w:tcPr>
          <w:p w14:paraId="681EF43F"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1,472,716</w:t>
            </w:r>
          </w:p>
        </w:tc>
        <w:tc>
          <w:tcPr>
            <w:tcW w:w="1276" w:type="dxa"/>
            <w:tcBorders>
              <w:top w:val="nil"/>
              <w:left w:val="nil"/>
              <w:bottom w:val="single" w:sz="4" w:space="0" w:color="auto"/>
              <w:right w:val="single" w:sz="4" w:space="0" w:color="auto"/>
            </w:tcBorders>
            <w:shd w:val="clear" w:color="auto" w:fill="FFFFFF"/>
            <w:noWrap/>
            <w:vAlign w:val="bottom"/>
            <w:hideMark/>
          </w:tcPr>
          <w:p w14:paraId="068D0DFA"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1,416,120</w:t>
            </w:r>
          </w:p>
        </w:tc>
        <w:tc>
          <w:tcPr>
            <w:tcW w:w="2552" w:type="dxa"/>
            <w:tcBorders>
              <w:top w:val="nil"/>
              <w:left w:val="nil"/>
              <w:bottom w:val="single" w:sz="4" w:space="0" w:color="auto"/>
              <w:right w:val="single" w:sz="4" w:space="0" w:color="auto"/>
            </w:tcBorders>
            <w:shd w:val="clear" w:color="auto" w:fill="FFFFFF"/>
            <w:noWrap/>
            <w:vAlign w:val="bottom"/>
            <w:hideMark/>
          </w:tcPr>
          <w:p w14:paraId="6C5DD150" w14:textId="77777777" w:rsidR="00E05341" w:rsidRPr="00B747AD" w:rsidRDefault="00E05341" w:rsidP="00E05341">
            <w:pPr>
              <w:spacing w:after="0" w:line="240" w:lineRule="auto"/>
              <w:jc w:val="center"/>
              <w:rPr>
                <w:rFonts w:eastAsia="Times New Roman" w:cstheme="minorHAnsi"/>
                <w:b/>
                <w:bCs/>
                <w:sz w:val="18"/>
                <w:szCs w:val="18"/>
              </w:rPr>
            </w:pPr>
            <w:r w:rsidRPr="00B747AD">
              <w:rPr>
                <w:rFonts w:eastAsia="Times New Roman" w:cstheme="minorHAnsi"/>
                <w:b/>
                <w:bCs/>
                <w:sz w:val="18"/>
                <w:szCs w:val="18"/>
              </w:rPr>
              <w:t>-3.8</w:t>
            </w:r>
          </w:p>
        </w:tc>
      </w:tr>
      <w:tr w:rsidR="00E05341" w:rsidRPr="00B747AD" w14:paraId="417B4F50"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6C0BD9EF" w14:textId="77777777" w:rsidR="00E05341" w:rsidRPr="00B747AD" w:rsidRDefault="00E05341" w:rsidP="00E05341">
            <w:pPr>
              <w:spacing w:after="0" w:line="240" w:lineRule="auto"/>
              <w:rPr>
                <w:rFonts w:eastAsia="Times New Roman" w:cstheme="minorHAnsi"/>
                <w:sz w:val="18"/>
                <w:szCs w:val="18"/>
              </w:rPr>
            </w:pPr>
            <w:r w:rsidRPr="00B747AD">
              <w:rPr>
                <w:rFonts w:eastAsia="Times New Roman" w:cstheme="minorHAnsi"/>
                <w:sz w:val="18"/>
                <w:szCs w:val="18"/>
              </w:rPr>
              <w:t>1.A.b.1</w:t>
            </w:r>
          </w:p>
        </w:tc>
        <w:tc>
          <w:tcPr>
            <w:tcW w:w="3430" w:type="dxa"/>
            <w:tcBorders>
              <w:top w:val="nil"/>
              <w:left w:val="nil"/>
              <w:bottom w:val="single" w:sz="4" w:space="0" w:color="auto"/>
              <w:right w:val="single" w:sz="4" w:space="0" w:color="auto"/>
            </w:tcBorders>
            <w:shd w:val="clear" w:color="auto" w:fill="FFFFFF"/>
            <w:noWrap/>
            <w:vAlign w:val="bottom"/>
            <w:hideMark/>
          </w:tcPr>
          <w:p w14:paraId="1DB49B2A" w14:textId="77777777" w:rsidR="00E05341" w:rsidRPr="00B747AD" w:rsidRDefault="00E05341" w:rsidP="00E05341">
            <w:pPr>
              <w:spacing w:after="0" w:line="240" w:lineRule="auto"/>
              <w:ind w:firstLineChars="200" w:firstLine="360"/>
              <w:rPr>
                <w:rFonts w:eastAsia="Times New Roman" w:cstheme="minorHAnsi"/>
                <w:sz w:val="18"/>
                <w:szCs w:val="18"/>
              </w:rPr>
            </w:pPr>
            <w:r w:rsidRPr="00B747AD">
              <w:rPr>
                <w:rFonts w:eastAsia="Times New Roman" w:cstheme="minorHAnsi"/>
                <w:sz w:val="18"/>
                <w:szCs w:val="18"/>
              </w:rPr>
              <w:t>Prihodi</w:t>
            </w:r>
          </w:p>
        </w:tc>
        <w:tc>
          <w:tcPr>
            <w:tcW w:w="1275" w:type="dxa"/>
            <w:tcBorders>
              <w:top w:val="nil"/>
              <w:left w:val="nil"/>
              <w:bottom w:val="single" w:sz="4" w:space="0" w:color="auto"/>
              <w:right w:val="single" w:sz="4" w:space="0" w:color="auto"/>
            </w:tcBorders>
            <w:shd w:val="clear" w:color="auto" w:fill="FFFFFF"/>
            <w:noWrap/>
            <w:vAlign w:val="bottom"/>
            <w:hideMark/>
          </w:tcPr>
          <w:p w14:paraId="34B15F1E"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2,284,634</w:t>
            </w:r>
          </w:p>
        </w:tc>
        <w:tc>
          <w:tcPr>
            <w:tcW w:w="1276" w:type="dxa"/>
            <w:tcBorders>
              <w:top w:val="nil"/>
              <w:left w:val="nil"/>
              <w:bottom w:val="single" w:sz="4" w:space="0" w:color="auto"/>
              <w:right w:val="single" w:sz="4" w:space="0" w:color="auto"/>
            </w:tcBorders>
            <w:shd w:val="clear" w:color="auto" w:fill="FFFFFF"/>
            <w:noWrap/>
            <w:vAlign w:val="bottom"/>
            <w:hideMark/>
          </w:tcPr>
          <w:p w14:paraId="139AD8F8"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2,185,600</w:t>
            </w:r>
          </w:p>
        </w:tc>
        <w:tc>
          <w:tcPr>
            <w:tcW w:w="2552" w:type="dxa"/>
            <w:tcBorders>
              <w:top w:val="nil"/>
              <w:left w:val="nil"/>
              <w:bottom w:val="single" w:sz="4" w:space="0" w:color="auto"/>
              <w:right w:val="single" w:sz="4" w:space="0" w:color="auto"/>
            </w:tcBorders>
            <w:shd w:val="clear" w:color="auto" w:fill="FFFFFF"/>
            <w:noWrap/>
            <w:vAlign w:val="bottom"/>
            <w:hideMark/>
          </w:tcPr>
          <w:p w14:paraId="3682581E" w14:textId="77777777" w:rsidR="00E05341" w:rsidRPr="00B747AD" w:rsidRDefault="00E05341" w:rsidP="00E05341">
            <w:pPr>
              <w:spacing w:after="0" w:line="240" w:lineRule="auto"/>
              <w:jc w:val="center"/>
              <w:rPr>
                <w:rFonts w:eastAsia="Times New Roman" w:cstheme="minorHAnsi"/>
                <w:sz w:val="18"/>
                <w:szCs w:val="18"/>
              </w:rPr>
            </w:pPr>
            <w:r w:rsidRPr="00B747AD">
              <w:rPr>
                <w:rFonts w:eastAsia="Times New Roman" w:cstheme="minorHAnsi"/>
                <w:sz w:val="18"/>
                <w:szCs w:val="18"/>
              </w:rPr>
              <w:t>-4.3</w:t>
            </w:r>
          </w:p>
        </w:tc>
      </w:tr>
      <w:tr w:rsidR="00E05341" w:rsidRPr="00B747AD" w14:paraId="2E1E37C5"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329E96CA" w14:textId="77777777" w:rsidR="00E05341" w:rsidRPr="00B747AD" w:rsidRDefault="00E05341" w:rsidP="00E05341">
            <w:pPr>
              <w:spacing w:after="0" w:line="240" w:lineRule="auto"/>
              <w:rPr>
                <w:rFonts w:eastAsia="Times New Roman" w:cstheme="minorHAnsi"/>
                <w:sz w:val="18"/>
                <w:szCs w:val="18"/>
              </w:rPr>
            </w:pPr>
            <w:r w:rsidRPr="00B747AD">
              <w:rPr>
                <w:rFonts w:eastAsia="Times New Roman" w:cstheme="minorHAnsi"/>
                <w:sz w:val="18"/>
                <w:szCs w:val="18"/>
              </w:rPr>
              <w:t>1.A.b.2</w:t>
            </w:r>
          </w:p>
        </w:tc>
        <w:tc>
          <w:tcPr>
            <w:tcW w:w="3430" w:type="dxa"/>
            <w:tcBorders>
              <w:top w:val="nil"/>
              <w:left w:val="nil"/>
              <w:bottom w:val="single" w:sz="4" w:space="0" w:color="auto"/>
              <w:right w:val="single" w:sz="4" w:space="0" w:color="auto"/>
            </w:tcBorders>
            <w:shd w:val="clear" w:color="auto" w:fill="FFFFFF"/>
            <w:noWrap/>
            <w:vAlign w:val="bottom"/>
            <w:hideMark/>
          </w:tcPr>
          <w:p w14:paraId="090B9E59" w14:textId="77777777" w:rsidR="00E05341" w:rsidRPr="00B747AD" w:rsidRDefault="00E05341" w:rsidP="00E05341">
            <w:pPr>
              <w:spacing w:after="0" w:line="240" w:lineRule="auto"/>
              <w:ind w:firstLineChars="200" w:firstLine="360"/>
              <w:rPr>
                <w:rFonts w:eastAsia="Times New Roman" w:cstheme="minorHAnsi"/>
                <w:sz w:val="18"/>
                <w:szCs w:val="18"/>
              </w:rPr>
            </w:pPr>
            <w:r w:rsidRPr="00B747AD">
              <w:rPr>
                <w:rFonts w:eastAsia="Times New Roman" w:cstheme="minorHAnsi"/>
                <w:sz w:val="18"/>
                <w:szCs w:val="18"/>
              </w:rPr>
              <w:t>Rashodi</w:t>
            </w:r>
          </w:p>
        </w:tc>
        <w:tc>
          <w:tcPr>
            <w:tcW w:w="1275" w:type="dxa"/>
            <w:tcBorders>
              <w:top w:val="nil"/>
              <w:left w:val="nil"/>
              <w:bottom w:val="single" w:sz="4" w:space="0" w:color="auto"/>
              <w:right w:val="single" w:sz="4" w:space="0" w:color="auto"/>
            </w:tcBorders>
            <w:shd w:val="clear" w:color="auto" w:fill="FFFFFF"/>
            <w:noWrap/>
            <w:vAlign w:val="bottom"/>
            <w:hideMark/>
          </w:tcPr>
          <w:p w14:paraId="1DC68371"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811,918</w:t>
            </w:r>
          </w:p>
        </w:tc>
        <w:tc>
          <w:tcPr>
            <w:tcW w:w="1276" w:type="dxa"/>
            <w:tcBorders>
              <w:top w:val="nil"/>
              <w:left w:val="nil"/>
              <w:bottom w:val="single" w:sz="4" w:space="0" w:color="auto"/>
              <w:right w:val="single" w:sz="4" w:space="0" w:color="auto"/>
            </w:tcBorders>
            <w:shd w:val="clear" w:color="auto" w:fill="FFFFFF"/>
            <w:noWrap/>
            <w:vAlign w:val="bottom"/>
            <w:hideMark/>
          </w:tcPr>
          <w:p w14:paraId="63AD47FC"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769,480</w:t>
            </w:r>
          </w:p>
        </w:tc>
        <w:tc>
          <w:tcPr>
            <w:tcW w:w="2552" w:type="dxa"/>
            <w:tcBorders>
              <w:top w:val="nil"/>
              <w:left w:val="nil"/>
              <w:bottom w:val="single" w:sz="4" w:space="0" w:color="auto"/>
              <w:right w:val="single" w:sz="4" w:space="0" w:color="auto"/>
            </w:tcBorders>
            <w:shd w:val="clear" w:color="auto" w:fill="FFFFFF"/>
            <w:noWrap/>
            <w:vAlign w:val="bottom"/>
            <w:hideMark/>
          </w:tcPr>
          <w:p w14:paraId="09AF88C2" w14:textId="77777777" w:rsidR="00E05341" w:rsidRPr="00B747AD" w:rsidRDefault="00E05341" w:rsidP="00E05341">
            <w:pPr>
              <w:spacing w:after="0" w:line="240" w:lineRule="auto"/>
              <w:jc w:val="center"/>
              <w:rPr>
                <w:rFonts w:eastAsia="Times New Roman" w:cstheme="minorHAnsi"/>
                <w:sz w:val="18"/>
                <w:szCs w:val="18"/>
              </w:rPr>
            </w:pPr>
            <w:r w:rsidRPr="00B747AD">
              <w:rPr>
                <w:rFonts w:eastAsia="Times New Roman" w:cstheme="minorHAnsi"/>
                <w:sz w:val="18"/>
                <w:szCs w:val="18"/>
              </w:rPr>
              <w:t>-5.2</w:t>
            </w:r>
          </w:p>
        </w:tc>
      </w:tr>
      <w:tr w:rsidR="00E05341" w:rsidRPr="00B747AD" w14:paraId="7D7E194E"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584E4A5F"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t xml:space="preserve">1.B </w:t>
            </w:r>
          </w:p>
        </w:tc>
        <w:tc>
          <w:tcPr>
            <w:tcW w:w="3430" w:type="dxa"/>
            <w:tcBorders>
              <w:top w:val="nil"/>
              <w:left w:val="nil"/>
              <w:bottom w:val="single" w:sz="4" w:space="0" w:color="auto"/>
              <w:right w:val="single" w:sz="4" w:space="0" w:color="auto"/>
            </w:tcBorders>
            <w:shd w:val="clear" w:color="auto" w:fill="FFFFFF"/>
            <w:noWrap/>
            <w:vAlign w:val="bottom"/>
            <w:hideMark/>
          </w:tcPr>
          <w:p w14:paraId="4E87F521"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t>Primarni dohodak</w:t>
            </w:r>
          </w:p>
        </w:tc>
        <w:tc>
          <w:tcPr>
            <w:tcW w:w="1275" w:type="dxa"/>
            <w:tcBorders>
              <w:top w:val="nil"/>
              <w:left w:val="nil"/>
              <w:bottom w:val="single" w:sz="4" w:space="0" w:color="auto"/>
              <w:right w:val="single" w:sz="4" w:space="0" w:color="auto"/>
            </w:tcBorders>
            <w:shd w:val="clear" w:color="auto" w:fill="FFFFFF"/>
            <w:noWrap/>
            <w:vAlign w:val="bottom"/>
            <w:hideMark/>
          </w:tcPr>
          <w:p w14:paraId="50D3CBED"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83,223</w:t>
            </w:r>
          </w:p>
        </w:tc>
        <w:tc>
          <w:tcPr>
            <w:tcW w:w="1276" w:type="dxa"/>
            <w:tcBorders>
              <w:top w:val="nil"/>
              <w:left w:val="nil"/>
              <w:bottom w:val="single" w:sz="4" w:space="0" w:color="auto"/>
              <w:right w:val="single" w:sz="4" w:space="0" w:color="auto"/>
            </w:tcBorders>
            <w:shd w:val="clear" w:color="auto" w:fill="FFFFFF"/>
            <w:noWrap/>
            <w:vAlign w:val="bottom"/>
            <w:hideMark/>
          </w:tcPr>
          <w:p w14:paraId="6843343D"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-17,023</w:t>
            </w:r>
          </w:p>
        </w:tc>
        <w:tc>
          <w:tcPr>
            <w:tcW w:w="2552" w:type="dxa"/>
            <w:tcBorders>
              <w:top w:val="nil"/>
              <w:left w:val="nil"/>
              <w:bottom w:val="single" w:sz="4" w:space="0" w:color="auto"/>
              <w:right w:val="single" w:sz="4" w:space="0" w:color="auto"/>
            </w:tcBorders>
            <w:shd w:val="clear" w:color="auto" w:fill="FFFFFF"/>
            <w:noWrap/>
            <w:vAlign w:val="bottom"/>
            <w:hideMark/>
          </w:tcPr>
          <w:p w14:paraId="7537ECA3" w14:textId="77777777" w:rsidR="00E05341" w:rsidRPr="00B747AD" w:rsidRDefault="00E05341" w:rsidP="00E05341">
            <w:pPr>
              <w:spacing w:after="0" w:line="240" w:lineRule="auto"/>
              <w:jc w:val="center"/>
              <w:rPr>
                <w:rFonts w:eastAsia="Times New Roman" w:cstheme="minorHAnsi"/>
                <w:b/>
                <w:bCs/>
                <w:sz w:val="18"/>
                <w:szCs w:val="18"/>
              </w:rPr>
            </w:pPr>
            <w:r w:rsidRPr="00B747AD">
              <w:rPr>
                <w:rFonts w:eastAsia="Times New Roman" w:cstheme="minorHAnsi"/>
                <w:b/>
                <w:bCs/>
                <w:sz w:val="18"/>
                <w:szCs w:val="18"/>
              </w:rPr>
              <w:t>-120.5</w:t>
            </w:r>
          </w:p>
        </w:tc>
      </w:tr>
      <w:tr w:rsidR="00E05341" w:rsidRPr="00B747AD" w14:paraId="5F9679DB"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699DBB59" w14:textId="77777777" w:rsidR="00E05341" w:rsidRPr="00B747AD" w:rsidRDefault="00E05341" w:rsidP="00E05341">
            <w:pPr>
              <w:spacing w:after="0" w:line="240" w:lineRule="auto"/>
              <w:rPr>
                <w:rFonts w:eastAsia="Times New Roman" w:cstheme="minorHAnsi"/>
                <w:sz w:val="18"/>
                <w:szCs w:val="18"/>
              </w:rPr>
            </w:pPr>
            <w:r w:rsidRPr="00B747AD">
              <w:rPr>
                <w:rFonts w:eastAsia="Times New Roman" w:cstheme="minorHAnsi"/>
                <w:sz w:val="18"/>
                <w:szCs w:val="18"/>
              </w:rPr>
              <w:t xml:space="preserve">1.B.1 </w:t>
            </w:r>
          </w:p>
        </w:tc>
        <w:tc>
          <w:tcPr>
            <w:tcW w:w="3430" w:type="dxa"/>
            <w:tcBorders>
              <w:top w:val="nil"/>
              <w:left w:val="nil"/>
              <w:bottom w:val="single" w:sz="4" w:space="0" w:color="auto"/>
              <w:right w:val="single" w:sz="4" w:space="0" w:color="auto"/>
            </w:tcBorders>
            <w:shd w:val="clear" w:color="auto" w:fill="FFFFFF"/>
            <w:noWrap/>
            <w:vAlign w:val="bottom"/>
            <w:hideMark/>
          </w:tcPr>
          <w:p w14:paraId="63292277" w14:textId="77777777" w:rsidR="00E05341" w:rsidRPr="00B747AD" w:rsidRDefault="00E05341" w:rsidP="00E05341">
            <w:pPr>
              <w:spacing w:after="0" w:line="240" w:lineRule="auto"/>
              <w:ind w:firstLineChars="200" w:firstLine="360"/>
              <w:rPr>
                <w:rFonts w:eastAsia="Times New Roman" w:cstheme="minorHAnsi"/>
                <w:sz w:val="18"/>
                <w:szCs w:val="18"/>
              </w:rPr>
            </w:pPr>
            <w:r w:rsidRPr="00B747AD">
              <w:rPr>
                <w:rFonts w:eastAsia="Times New Roman" w:cstheme="minorHAnsi"/>
                <w:sz w:val="18"/>
                <w:szCs w:val="18"/>
              </w:rPr>
              <w:t>Prihodi</w:t>
            </w:r>
          </w:p>
        </w:tc>
        <w:tc>
          <w:tcPr>
            <w:tcW w:w="1275" w:type="dxa"/>
            <w:tcBorders>
              <w:top w:val="nil"/>
              <w:left w:val="nil"/>
              <w:bottom w:val="single" w:sz="4" w:space="0" w:color="auto"/>
              <w:right w:val="single" w:sz="4" w:space="0" w:color="auto"/>
            </w:tcBorders>
            <w:shd w:val="clear" w:color="auto" w:fill="FFFFFF"/>
            <w:noWrap/>
            <w:vAlign w:val="bottom"/>
            <w:hideMark/>
          </w:tcPr>
          <w:p w14:paraId="3C1C26F7"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303,759</w:t>
            </w:r>
          </w:p>
        </w:tc>
        <w:tc>
          <w:tcPr>
            <w:tcW w:w="1276" w:type="dxa"/>
            <w:tcBorders>
              <w:top w:val="nil"/>
              <w:left w:val="nil"/>
              <w:bottom w:val="single" w:sz="4" w:space="0" w:color="auto"/>
              <w:right w:val="single" w:sz="4" w:space="0" w:color="auto"/>
            </w:tcBorders>
            <w:shd w:val="clear" w:color="auto" w:fill="FFFFFF"/>
            <w:noWrap/>
            <w:vAlign w:val="bottom"/>
            <w:hideMark/>
          </w:tcPr>
          <w:p w14:paraId="1F0FB59D"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347,481</w:t>
            </w:r>
          </w:p>
        </w:tc>
        <w:tc>
          <w:tcPr>
            <w:tcW w:w="2552" w:type="dxa"/>
            <w:tcBorders>
              <w:top w:val="nil"/>
              <w:left w:val="nil"/>
              <w:bottom w:val="single" w:sz="4" w:space="0" w:color="auto"/>
              <w:right w:val="single" w:sz="4" w:space="0" w:color="auto"/>
            </w:tcBorders>
            <w:shd w:val="clear" w:color="auto" w:fill="FFFFFF"/>
            <w:noWrap/>
            <w:vAlign w:val="bottom"/>
            <w:hideMark/>
          </w:tcPr>
          <w:p w14:paraId="38B70062" w14:textId="77777777" w:rsidR="00E05341" w:rsidRPr="00B747AD" w:rsidRDefault="00E05341" w:rsidP="00E05341">
            <w:pPr>
              <w:spacing w:after="0" w:line="240" w:lineRule="auto"/>
              <w:jc w:val="center"/>
              <w:rPr>
                <w:rFonts w:eastAsia="Times New Roman" w:cstheme="minorHAnsi"/>
                <w:sz w:val="18"/>
                <w:szCs w:val="18"/>
              </w:rPr>
            </w:pPr>
            <w:r w:rsidRPr="00B747AD">
              <w:rPr>
                <w:rFonts w:eastAsia="Times New Roman" w:cstheme="minorHAnsi"/>
                <w:sz w:val="18"/>
                <w:szCs w:val="18"/>
              </w:rPr>
              <w:t>14.4</w:t>
            </w:r>
          </w:p>
        </w:tc>
      </w:tr>
      <w:tr w:rsidR="00E05341" w:rsidRPr="00B747AD" w14:paraId="440B2427"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2ACDA0A0" w14:textId="77777777" w:rsidR="00E05341" w:rsidRPr="00B747AD" w:rsidRDefault="00E05341" w:rsidP="00E05341">
            <w:pPr>
              <w:spacing w:after="0" w:line="240" w:lineRule="auto"/>
              <w:rPr>
                <w:rFonts w:eastAsia="Times New Roman" w:cstheme="minorHAnsi"/>
                <w:sz w:val="18"/>
                <w:szCs w:val="18"/>
              </w:rPr>
            </w:pPr>
            <w:r w:rsidRPr="00B747AD">
              <w:rPr>
                <w:rFonts w:eastAsia="Times New Roman" w:cstheme="minorHAnsi"/>
                <w:sz w:val="18"/>
                <w:szCs w:val="18"/>
              </w:rPr>
              <w:t>1.B.2</w:t>
            </w:r>
          </w:p>
        </w:tc>
        <w:tc>
          <w:tcPr>
            <w:tcW w:w="3430" w:type="dxa"/>
            <w:tcBorders>
              <w:top w:val="nil"/>
              <w:left w:val="nil"/>
              <w:bottom w:val="single" w:sz="4" w:space="0" w:color="auto"/>
              <w:right w:val="single" w:sz="4" w:space="0" w:color="auto"/>
            </w:tcBorders>
            <w:shd w:val="clear" w:color="auto" w:fill="FFFFFF"/>
            <w:noWrap/>
            <w:vAlign w:val="bottom"/>
            <w:hideMark/>
          </w:tcPr>
          <w:p w14:paraId="2D97DA57" w14:textId="77777777" w:rsidR="00E05341" w:rsidRPr="00B747AD" w:rsidRDefault="00E05341" w:rsidP="00E05341">
            <w:pPr>
              <w:spacing w:after="0" w:line="240" w:lineRule="auto"/>
              <w:ind w:firstLineChars="200" w:firstLine="360"/>
              <w:rPr>
                <w:rFonts w:eastAsia="Times New Roman" w:cstheme="minorHAnsi"/>
                <w:sz w:val="18"/>
                <w:szCs w:val="18"/>
              </w:rPr>
            </w:pPr>
            <w:r w:rsidRPr="00B747AD">
              <w:rPr>
                <w:rFonts w:eastAsia="Times New Roman" w:cstheme="minorHAnsi"/>
                <w:sz w:val="18"/>
                <w:szCs w:val="18"/>
              </w:rPr>
              <w:t>Rashodi</w:t>
            </w:r>
          </w:p>
        </w:tc>
        <w:tc>
          <w:tcPr>
            <w:tcW w:w="1275" w:type="dxa"/>
            <w:tcBorders>
              <w:top w:val="nil"/>
              <w:left w:val="nil"/>
              <w:bottom w:val="single" w:sz="4" w:space="0" w:color="auto"/>
              <w:right w:val="single" w:sz="4" w:space="0" w:color="auto"/>
            </w:tcBorders>
            <w:shd w:val="clear" w:color="auto" w:fill="FFFFFF"/>
            <w:noWrap/>
            <w:vAlign w:val="bottom"/>
            <w:hideMark/>
          </w:tcPr>
          <w:p w14:paraId="35A008A2"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220,536</w:t>
            </w:r>
          </w:p>
        </w:tc>
        <w:tc>
          <w:tcPr>
            <w:tcW w:w="1276" w:type="dxa"/>
            <w:tcBorders>
              <w:top w:val="nil"/>
              <w:left w:val="nil"/>
              <w:bottom w:val="single" w:sz="4" w:space="0" w:color="auto"/>
              <w:right w:val="single" w:sz="4" w:space="0" w:color="auto"/>
            </w:tcBorders>
            <w:shd w:val="clear" w:color="auto" w:fill="FFFFFF"/>
            <w:noWrap/>
            <w:vAlign w:val="bottom"/>
            <w:hideMark/>
          </w:tcPr>
          <w:p w14:paraId="5777FE33"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364,504</w:t>
            </w:r>
          </w:p>
        </w:tc>
        <w:tc>
          <w:tcPr>
            <w:tcW w:w="2552" w:type="dxa"/>
            <w:tcBorders>
              <w:top w:val="nil"/>
              <w:left w:val="nil"/>
              <w:bottom w:val="single" w:sz="4" w:space="0" w:color="auto"/>
              <w:right w:val="single" w:sz="4" w:space="0" w:color="auto"/>
            </w:tcBorders>
            <w:shd w:val="clear" w:color="auto" w:fill="FFFFFF"/>
            <w:noWrap/>
            <w:vAlign w:val="bottom"/>
            <w:hideMark/>
          </w:tcPr>
          <w:p w14:paraId="315FD214" w14:textId="77777777" w:rsidR="00E05341" w:rsidRPr="00B747AD" w:rsidRDefault="00E05341" w:rsidP="00E05341">
            <w:pPr>
              <w:spacing w:after="0" w:line="240" w:lineRule="auto"/>
              <w:jc w:val="center"/>
              <w:rPr>
                <w:rFonts w:eastAsia="Times New Roman" w:cstheme="minorHAnsi"/>
                <w:sz w:val="18"/>
                <w:szCs w:val="18"/>
              </w:rPr>
            </w:pPr>
            <w:r w:rsidRPr="00B747AD">
              <w:rPr>
                <w:rFonts w:eastAsia="Times New Roman" w:cstheme="minorHAnsi"/>
                <w:sz w:val="18"/>
                <w:szCs w:val="18"/>
              </w:rPr>
              <w:t>65.3</w:t>
            </w:r>
          </w:p>
        </w:tc>
      </w:tr>
      <w:tr w:rsidR="00E05341" w:rsidRPr="00B747AD" w14:paraId="5CE53852"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7A76D2AB"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t xml:space="preserve">1.C </w:t>
            </w:r>
          </w:p>
        </w:tc>
        <w:tc>
          <w:tcPr>
            <w:tcW w:w="3430" w:type="dxa"/>
            <w:tcBorders>
              <w:top w:val="nil"/>
              <w:left w:val="nil"/>
              <w:bottom w:val="single" w:sz="4" w:space="0" w:color="auto"/>
              <w:right w:val="single" w:sz="4" w:space="0" w:color="auto"/>
            </w:tcBorders>
            <w:shd w:val="clear" w:color="auto" w:fill="FFFFFF"/>
            <w:noWrap/>
            <w:vAlign w:val="bottom"/>
            <w:hideMark/>
          </w:tcPr>
          <w:p w14:paraId="3B7CD68B"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t>Sekundarni dohodak</w:t>
            </w:r>
          </w:p>
        </w:tc>
        <w:tc>
          <w:tcPr>
            <w:tcW w:w="1275" w:type="dxa"/>
            <w:tcBorders>
              <w:top w:val="nil"/>
              <w:left w:val="nil"/>
              <w:bottom w:val="single" w:sz="4" w:space="0" w:color="auto"/>
              <w:right w:val="single" w:sz="4" w:space="0" w:color="auto"/>
            </w:tcBorders>
            <w:shd w:val="clear" w:color="auto" w:fill="FFFFFF"/>
            <w:noWrap/>
            <w:vAlign w:val="bottom"/>
            <w:hideMark/>
          </w:tcPr>
          <w:p w14:paraId="3F3F660B"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314,536</w:t>
            </w:r>
          </w:p>
        </w:tc>
        <w:tc>
          <w:tcPr>
            <w:tcW w:w="1276" w:type="dxa"/>
            <w:tcBorders>
              <w:top w:val="nil"/>
              <w:left w:val="nil"/>
              <w:bottom w:val="single" w:sz="4" w:space="0" w:color="auto"/>
              <w:right w:val="single" w:sz="4" w:space="0" w:color="auto"/>
            </w:tcBorders>
            <w:shd w:val="clear" w:color="auto" w:fill="FFFFFF"/>
            <w:noWrap/>
            <w:vAlign w:val="bottom"/>
            <w:hideMark/>
          </w:tcPr>
          <w:p w14:paraId="7E3A7BC6"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318,239</w:t>
            </w:r>
          </w:p>
        </w:tc>
        <w:tc>
          <w:tcPr>
            <w:tcW w:w="2552" w:type="dxa"/>
            <w:tcBorders>
              <w:top w:val="nil"/>
              <w:left w:val="nil"/>
              <w:bottom w:val="single" w:sz="4" w:space="0" w:color="auto"/>
              <w:right w:val="single" w:sz="4" w:space="0" w:color="auto"/>
            </w:tcBorders>
            <w:shd w:val="clear" w:color="auto" w:fill="FFFFFF"/>
            <w:noWrap/>
            <w:vAlign w:val="bottom"/>
            <w:hideMark/>
          </w:tcPr>
          <w:p w14:paraId="24AB5B95" w14:textId="77777777" w:rsidR="00E05341" w:rsidRPr="00B747AD" w:rsidRDefault="00E05341" w:rsidP="00E05341">
            <w:pPr>
              <w:spacing w:after="0" w:line="240" w:lineRule="auto"/>
              <w:jc w:val="center"/>
              <w:rPr>
                <w:rFonts w:eastAsia="Times New Roman" w:cstheme="minorHAnsi"/>
                <w:b/>
                <w:bCs/>
                <w:sz w:val="18"/>
                <w:szCs w:val="18"/>
              </w:rPr>
            </w:pPr>
            <w:r w:rsidRPr="00B747AD">
              <w:rPr>
                <w:rFonts w:eastAsia="Times New Roman" w:cstheme="minorHAnsi"/>
                <w:b/>
                <w:bCs/>
                <w:sz w:val="18"/>
                <w:szCs w:val="18"/>
              </w:rPr>
              <w:t>1.2</w:t>
            </w:r>
          </w:p>
        </w:tc>
      </w:tr>
      <w:tr w:rsidR="00E05341" w:rsidRPr="00B747AD" w14:paraId="7D90F2E2"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60AE8FC8" w14:textId="77777777" w:rsidR="00E05341" w:rsidRPr="00B747AD" w:rsidRDefault="00E05341" w:rsidP="00E05341">
            <w:pPr>
              <w:spacing w:after="0" w:line="240" w:lineRule="auto"/>
              <w:rPr>
                <w:rFonts w:eastAsia="Times New Roman" w:cstheme="minorHAnsi"/>
                <w:sz w:val="18"/>
                <w:szCs w:val="18"/>
              </w:rPr>
            </w:pPr>
            <w:r w:rsidRPr="00B747AD">
              <w:rPr>
                <w:rFonts w:eastAsia="Times New Roman" w:cstheme="minorHAnsi"/>
                <w:sz w:val="18"/>
                <w:szCs w:val="18"/>
              </w:rPr>
              <w:t>1.C.1</w:t>
            </w:r>
          </w:p>
        </w:tc>
        <w:tc>
          <w:tcPr>
            <w:tcW w:w="3430" w:type="dxa"/>
            <w:tcBorders>
              <w:top w:val="nil"/>
              <w:left w:val="nil"/>
              <w:bottom w:val="single" w:sz="4" w:space="0" w:color="auto"/>
              <w:right w:val="single" w:sz="4" w:space="0" w:color="auto"/>
            </w:tcBorders>
            <w:shd w:val="clear" w:color="auto" w:fill="FFFFFF"/>
            <w:noWrap/>
            <w:vAlign w:val="bottom"/>
            <w:hideMark/>
          </w:tcPr>
          <w:p w14:paraId="23CEDE60" w14:textId="77777777" w:rsidR="00E05341" w:rsidRPr="00B747AD" w:rsidRDefault="00E05341" w:rsidP="00E05341">
            <w:pPr>
              <w:spacing w:after="0" w:line="240" w:lineRule="auto"/>
              <w:ind w:firstLineChars="200" w:firstLine="360"/>
              <w:rPr>
                <w:rFonts w:eastAsia="Times New Roman" w:cstheme="minorHAnsi"/>
                <w:sz w:val="18"/>
                <w:szCs w:val="18"/>
              </w:rPr>
            </w:pPr>
            <w:r w:rsidRPr="00B747AD">
              <w:rPr>
                <w:rFonts w:eastAsia="Times New Roman" w:cstheme="minorHAnsi"/>
                <w:sz w:val="18"/>
                <w:szCs w:val="18"/>
              </w:rPr>
              <w:t>Prihodi</w:t>
            </w:r>
          </w:p>
        </w:tc>
        <w:tc>
          <w:tcPr>
            <w:tcW w:w="1275" w:type="dxa"/>
            <w:tcBorders>
              <w:top w:val="nil"/>
              <w:left w:val="nil"/>
              <w:bottom w:val="single" w:sz="4" w:space="0" w:color="auto"/>
              <w:right w:val="single" w:sz="4" w:space="0" w:color="auto"/>
            </w:tcBorders>
            <w:shd w:val="clear" w:color="auto" w:fill="FFFFFF"/>
            <w:noWrap/>
            <w:vAlign w:val="bottom"/>
            <w:hideMark/>
          </w:tcPr>
          <w:p w14:paraId="5235BFDF"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402,386</w:t>
            </w:r>
          </w:p>
        </w:tc>
        <w:tc>
          <w:tcPr>
            <w:tcW w:w="1276" w:type="dxa"/>
            <w:tcBorders>
              <w:top w:val="nil"/>
              <w:left w:val="nil"/>
              <w:bottom w:val="single" w:sz="4" w:space="0" w:color="auto"/>
              <w:right w:val="single" w:sz="4" w:space="0" w:color="auto"/>
            </w:tcBorders>
            <w:shd w:val="clear" w:color="auto" w:fill="FFFFFF"/>
            <w:noWrap/>
            <w:vAlign w:val="bottom"/>
            <w:hideMark/>
          </w:tcPr>
          <w:p w14:paraId="730EB449"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422,103</w:t>
            </w:r>
          </w:p>
        </w:tc>
        <w:tc>
          <w:tcPr>
            <w:tcW w:w="2552" w:type="dxa"/>
            <w:tcBorders>
              <w:top w:val="nil"/>
              <w:left w:val="nil"/>
              <w:bottom w:val="single" w:sz="4" w:space="0" w:color="auto"/>
              <w:right w:val="single" w:sz="4" w:space="0" w:color="auto"/>
            </w:tcBorders>
            <w:shd w:val="clear" w:color="auto" w:fill="FFFFFF"/>
            <w:noWrap/>
            <w:vAlign w:val="bottom"/>
            <w:hideMark/>
          </w:tcPr>
          <w:p w14:paraId="16275267" w14:textId="77777777" w:rsidR="00E05341" w:rsidRPr="00B747AD" w:rsidRDefault="00E05341" w:rsidP="00E05341">
            <w:pPr>
              <w:spacing w:after="0" w:line="240" w:lineRule="auto"/>
              <w:jc w:val="center"/>
              <w:rPr>
                <w:rFonts w:eastAsia="Times New Roman" w:cstheme="minorHAnsi"/>
                <w:sz w:val="18"/>
                <w:szCs w:val="18"/>
              </w:rPr>
            </w:pPr>
            <w:r w:rsidRPr="00B747AD">
              <w:rPr>
                <w:rFonts w:eastAsia="Times New Roman" w:cstheme="minorHAnsi"/>
                <w:sz w:val="18"/>
                <w:szCs w:val="18"/>
              </w:rPr>
              <w:t>4.9</w:t>
            </w:r>
          </w:p>
        </w:tc>
      </w:tr>
      <w:tr w:rsidR="00E05341" w:rsidRPr="00B747AD" w14:paraId="422AF5B4"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3CC2D485" w14:textId="77777777" w:rsidR="00E05341" w:rsidRPr="00B747AD" w:rsidRDefault="00E05341" w:rsidP="00E05341">
            <w:pPr>
              <w:spacing w:after="0" w:line="240" w:lineRule="auto"/>
              <w:rPr>
                <w:rFonts w:eastAsia="Times New Roman" w:cstheme="minorHAnsi"/>
                <w:sz w:val="18"/>
                <w:szCs w:val="18"/>
              </w:rPr>
            </w:pPr>
            <w:r w:rsidRPr="00B747AD">
              <w:rPr>
                <w:rFonts w:eastAsia="Times New Roman" w:cstheme="minorHAnsi"/>
                <w:sz w:val="18"/>
                <w:szCs w:val="18"/>
              </w:rPr>
              <w:t>1.C.2</w:t>
            </w:r>
          </w:p>
        </w:tc>
        <w:tc>
          <w:tcPr>
            <w:tcW w:w="3430" w:type="dxa"/>
            <w:tcBorders>
              <w:top w:val="nil"/>
              <w:left w:val="nil"/>
              <w:bottom w:val="single" w:sz="4" w:space="0" w:color="auto"/>
              <w:right w:val="single" w:sz="4" w:space="0" w:color="auto"/>
            </w:tcBorders>
            <w:shd w:val="clear" w:color="auto" w:fill="FFFFFF"/>
            <w:noWrap/>
            <w:vAlign w:val="bottom"/>
            <w:hideMark/>
          </w:tcPr>
          <w:p w14:paraId="195FB515" w14:textId="77777777" w:rsidR="00E05341" w:rsidRPr="00B747AD" w:rsidRDefault="00E05341" w:rsidP="00E05341">
            <w:pPr>
              <w:spacing w:after="0" w:line="240" w:lineRule="auto"/>
              <w:ind w:firstLineChars="200" w:firstLine="360"/>
              <w:rPr>
                <w:rFonts w:eastAsia="Times New Roman" w:cstheme="minorHAnsi"/>
                <w:sz w:val="18"/>
                <w:szCs w:val="18"/>
              </w:rPr>
            </w:pPr>
            <w:r w:rsidRPr="00B747AD">
              <w:rPr>
                <w:rFonts w:eastAsia="Times New Roman" w:cstheme="minorHAnsi"/>
                <w:sz w:val="18"/>
                <w:szCs w:val="18"/>
              </w:rPr>
              <w:t>Rashodi</w:t>
            </w:r>
          </w:p>
        </w:tc>
        <w:tc>
          <w:tcPr>
            <w:tcW w:w="1275" w:type="dxa"/>
            <w:tcBorders>
              <w:top w:val="nil"/>
              <w:left w:val="nil"/>
              <w:bottom w:val="single" w:sz="4" w:space="0" w:color="auto"/>
              <w:right w:val="single" w:sz="4" w:space="0" w:color="auto"/>
            </w:tcBorders>
            <w:shd w:val="clear" w:color="auto" w:fill="FFFFFF"/>
            <w:noWrap/>
            <w:vAlign w:val="bottom"/>
            <w:hideMark/>
          </w:tcPr>
          <w:p w14:paraId="07B2940A"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87,850</w:t>
            </w:r>
          </w:p>
        </w:tc>
        <w:tc>
          <w:tcPr>
            <w:tcW w:w="1276" w:type="dxa"/>
            <w:tcBorders>
              <w:top w:val="nil"/>
              <w:left w:val="nil"/>
              <w:bottom w:val="single" w:sz="4" w:space="0" w:color="auto"/>
              <w:right w:val="single" w:sz="4" w:space="0" w:color="auto"/>
            </w:tcBorders>
            <w:shd w:val="clear" w:color="auto" w:fill="FFFFFF"/>
            <w:noWrap/>
            <w:vAlign w:val="bottom"/>
            <w:hideMark/>
          </w:tcPr>
          <w:p w14:paraId="68E5F9F4"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103,865</w:t>
            </w:r>
          </w:p>
        </w:tc>
        <w:tc>
          <w:tcPr>
            <w:tcW w:w="2552" w:type="dxa"/>
            <w:tcBorders>
              <w:top w:val="nil"/>
              <w:left w:val="nil"/>
              <w:bottom w:val="single" w:sz="4" w:space="0" w:color="auto"/>
              <w:right w:val="single" w:sz="4" w:space="0" w:color="auto"/>
            </w:tcBorders>
            <w:shd w:val="clear" w:color="auto" w:fill="FFFFFF"/>
            <w:noWrap/>
            <w:vAlign w:val="bottom"/>
            <w:hideMark/>
          </w:tcPr>
          <w:p w14:paraId="59B2F9EE" w14:textId="77777777" w:rsidR="00E05341" w:rsidRPr="00B747AD" w:rsidRDefault="00E05341" w:rsidP="00E05341">
            <w:pPr>
              <w:spacing w:after="0" w:line="240" w:lineRule="auto"/>
              <w:jc w:val="center"/>
              <w:rPr>
                <w:rFonts w:eastAsia="Times New Roman" w:cstheme="minorHAnsi"/>
                <w:sz w:val="18"/>
                <w:szCs w:val="18"/>
              </w:rPr>
            </w:pPr>
            <w:r w:rsidRPr="00B747AD">
              <w:rPr>
                <w:rFonts w:eastAsia="Times New Roman" w:cstheme="minorHAnsi"/>
                <w:sz w:val="18"/>
                <w:szCs w:val="18"/>
              </w:rPr>
              <w:t>18.2</w:t>
            </w:r>
          </w:p>
        </w:tc>
      </w:tr>
      <w:tr w:rsidR="00E05341" w:rsidRPr="00B747AD" w14:paraId="59B0E95A"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0520D6DB"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t xml:space="preserve">2 </w:t>
            </w:r>
          </w:p>
        </w:tc>
        <w:tc>
          <w:tcPr>
            <w:tcW w:w="3430" w:type="dxa"/>
            <w:tcBorders>
              <w:top w:val="nil"/>
              <w:left w:val="nil"/>
              <w:bottom w:val="single" w:sz="4" w:space="0" w:color="auto"/>
              <w:right w:val="single" w:sz="4" w:space="0" w:color="auto"/>
            </w:tcBorders>
            <w:shd w:val="clear" w:color="auto" w:fill="FFFFFF"/>
            <w:noWrap/>
            <w:vAlign w:val="bottom"/>
            <w:hideMark/>
          </w:tcPr>
          <w:p w14:paraId="57DF4894"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t>KAPITALNI RAČUN</w:t>
            </w:r>
          </w:p>
        </w:tc>
        <w:tc>
          <w:tcPr>
            <w:tcW w:w="1275" w:type="dxa"/>
            <w:tcBorders>
              <w:top w:val="nil"/>
              <w:left w:val="nil"/>
              <w:bottom w:val="single" w:sz="4" w:space="0" w:color="auto"/>
              <w:right w:val="single" w:sz="4" w:space="0" w:color="auto"/>
            </w:tcBorders>
            <w:shd w:val="clear" w:color="auto" w:fill="FFFFFF"/>
            <w:noWrap/>
            <w:vAlign w:val="bottom"/>
            <w:hideMark/>
          </w:tcPr>
          <w:p w14:paraId="2BF0385F"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-29</w:t>
            </w:r>
          </w:p>
        </w:tc>
        <w:tc>
          <w:tcPr>
            <w:tcW w:w="1276" w:type="dxa"/>
            <w:tcBorders>
              <w:top w:val="nil"/>
              <w:left w:val="nil"/>
              <w:bottom w:val="single" w:sz="4" w:space="0" w:color="auto"/>
              <w:right w:val="single" w:sz="4" w:space="0" w:color="auto"/>
            </w:tcBorders>
            <w:shd w:val="clear" w:color="auto" w:fill="FFFFFF"/>
            <w:noWrap/>
            <w:vAlign w:val="bottom"/>
            <w:hideMark/>
          </w:tcPr>
          <w:p w14:paraId="39AF6FDA"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-14</w:t>
            </w:r>
          </w:p>
        </w:tc>
        <w:tc>
          <w:tcPr>
            <w:tcW w:w="2552" w:type="dxa"/>
            <w:tcBorders>
              <w:top w:val="nil"/>
              <w:left w:val="nil"/>
              <w:bottom w:val="single" w:sz="4" w:space="0" w:color="auto"/>
              <w:right w:val="single" w:sz="4" w:space="0" w:color="auto"/>
            </w:tcBorders>
            <w:shd w:val="clear" w:color="auto" w:fill="FFFFFF"/>
            <w:noWrap/>
            <w:vAlign w:val="bottom"/>
            <w:hideMark/>
          </w:tcPr>
          <w:p w14:paraId="1A62C1C9" w14:textId="77777777" w:rsidR="00E05341" w:rsidRPr="00B747AD" w:rsidRDefault="00E05341" w:rsidP="00E05341">
            <w:pPr>
              <w:spacing w:after="0" w:line="240" w:lineRule="auto"/>
              <w:jc w:val="center"/>
              <w:rPr>
                <w:rFonts w:eastAsia="Times New Roman" w:cstheme="minorHAnsi"/>
                <w:b/>
                <w:bCs/>
                <w:sz w:val="18"/>
                <w:szCs w:val="18"/>
              </w:rPr>
            </w:pPr>
            <w:r w:rsidRPr="00B747AD">
              <w:rPr>
                <w:rFonts w:eastAsia="Times New Roman" w:cstheme="minorHAnsi"/>
                <w:b/>
                <w:bCs/>
                <w:sz w:val="18"/>
                <w:szCs w:val="18"/>
              </w:rPr>
              <w:t>-52.5</w:t>
            </w:r>
          </w:p>
        </w:tc>
      </w:tr>
      <w:tr w:rsidR="00E05341" w:rsidRPr="00B747AD" w14:paraId="68535F2F"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72F4F769" w14:textId="77777777" w:rsidR="00E05341" w:rsidRPr="00B747AD" w:rsidRDefault="00E05341" w:rsidP="00E05341">
            <w:pPr>
              <w:spacing w:after="0" w:line="240" w:lineRule="auto"/>
              <w:rPr>
                <w:rFonts w:eastAsia="Times New Roman" w:cstheme="minorHAnsi"/>
                <w:sz w:val="18"/>
                <w:szCs w:val="18"/>
              </w:rPr>
            </w:pPr>
            <w:r w:rsidRPr="00B747AD">
              <w:rPr>
                <w:rFonts w:eastAsia="Times New Roman" w:cstheme="minorHAnsi"/>
                <w:sz w:val="18"/>
                <w:szCs w:val="18"/>
              </w:rPr>
              <w:t>2.A</w:t>
            </w:r>
          </w:p>
        </w:tc>
        <w:tc>
          <w:tcPr>
            <w:tcW w:w="3430" w:type="dxa"/>
            <w:tcBorders>
              <w:top w:val="nil"/>
              <w:left w:val="nil"/>
              <w:bottom w:val="single" w:sz="4" w:space="0" w:color="auto"/>
              <w:right w:val="single" w:sz="4" w:space="0" w:color="auto"/>
            </w:tcBorders>
            <w:shd w:val="clear" w:color="auto" w:fill="FFFFFF"/>
            <w:noWrap/>
            <w:vAlign w:val="bottom"/>
            <w:hideMark/>
          </w:tcPr>
          <w:p w14:paraId="3AC46F8E" w14:textId="77777777" w:rsidR="00E05341" w:rsidRPr="00B747AD" w:rsidRDefault="00E05341" w:rsidP="00E05341">
            <w:pPr>
              <w:spacing w:after="0" w:line="240" w:lineRule="auto"/>
              <w:ind w:firstLineChars="200" w:firstLine="360"/>
              <w:rPr>
                <w:rFonts w:eastAsia="Times New Roman" w:cstheme="minorHAnsi"/>
                <w:sz w:val="18"/>
                <w:szCs w:val="18"/>
              </w:rPr>
            </w:pPr>
            <w:r w:rsidRPr="00B747AD">
              <w:rPr>
                <w:rFonts w:eastAsia="Times New Roman" w:cstheme="minorHAnsi"/>
                <w:sz w:val="18"/>
                <w:szCs w:val="18"/>
              </w:rPr>
              <w:t>Prihodi</w:t>
            </w:r>
          </w:p>
        </w:tc>
        <w:tc>
          <w:tcPr>
            <w:tcW w:w="1275" w:type="dxa"/>
            <w:tcBorders>
              <w:top w:val="nil"/>
              <w:left w:val="nil"/>
              <w:bottom w:val="single" w:sz="4" w:space="0" w:color="auto"/>
              <w:right w:val="single" w:sz="4" w:space="0" w:color="auto"/>
            </w:tcBorders>
            <w:shd w:val="clear" w:color="auto" w:fill="FFFFFF"/>
            <w:noWrap/>
            <w:vAlign w:val="bottom"/>
            <w:hideMark/>
          </w:tcPr>
          <w:p w14:paraId="1CF87088"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0</w:t>
            </w:r>
          </w:p>
        </w:tc>
        <w:tc>
          <w:tcPr>
            <w:tcW w:w="1276" w:type="dxa"/>
            <w:tcBorders>
              <w:top w:val="nil"/>
              <w:left w:val="nil"/>
              <w:bottom w:val="single" w:sz="4" w:space="0" w:color="auto"/>
              <w:right w:val="single" w:sz="4" w:space="0" w:color="auto"/>
            </w:tcBorders>
            <w:shd w:val="clear" w:color="auto" w:fill="FFFFFF"/>
            <w:noWrap/>
            <w:vAlign w:val="bottom"/>
            <w:hideMark/>
          </w:tcPr>
          <w:p w14:paraId="0201D200"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0</w:t>
            </w:r>
          </w:p>
        </w:tc>
        <w:tc>
          <w:tcPr>
            <w:tcW w:w="2552" w:type="dxa"/>
            <w:tcBorders>
              <w:top w:val="nil"/>
              <w:left w:val="nil"/>
              <w:bottom w:val="single" w:sz="4" w:space="0" w:color="auto"/>
              <w:right w:val="single" w:sz="4" w:space="0" w:color="auto"/>
            </w:tcBorders>
            <w:shd w:val="clear" w:color="auto" w:fill="FFFFFF"/>
            <w:noWrap/>
            <w:vAlign w:val="bottom"/>
            <w:hideMark/>
          </w:tcPr>
          <w:p w14:paraId="1AE1ED25" w14:textId="77777777" w:rsidR="00E05341" w:rsidRPr="00B747AD" w:rsidRDefault="00E05341" w:rsidP="00E05341">
            <w:pPr>
              <w:spacing w:after="0" w:line="240" w:lineRule="auto"/>
              <w:jc w:val="center"/>
              <w:rPr>
                <w:rFonts w:eastAsia="Times New Roman" w:cstheme="minorHAnsi"/>
                <w:sz w:val="18"/>
                <w:szCs w:val="18"/>
              </w:rPr>
            </w:pPr>
            <w:r w:rsidRPr="00B747AD">
              <w:rPr>
                <w:rFonts w:eastAsia="Times New Roman" w:cstheme="minorHAnsi"/>
                <w:sz w:val="18"/>
                <w:szCs w:val="18"/>
              </w:rPr>
              <w:t> </w:t>
            </w:r>
          </w:p>
        </w:tc>
      </w:tr>
      <w:tr w:rsidR="00E05341" w:rsidRPr="00B747AD" w14:paraId="79FE7952"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61778E80" w14:textId="77777777" w:rsidR="00E05341" w:rsidRPr="00B747AD" w:rsidRDefault="00E05341" w:rsidP="00E05341">
            <w:pPr>
              <w:spacing w:after="0" w:line="240" w:lineRule="auto"/>
              <w:rPr>
                <w:rFonts w:eastAsia="Times New Roman" w:cstheme="minorHAnsi"/>
                <w:sz w:val="18"/>
                <w:szCs w:val="18"/>
              </w:rPr>
            </w:pPr>
            <w:r w:rsidRPr="00B747AD">
              <w:rPr>
                <w:rFonts w:eastAsia="Times New Roman" w:cstheme="minorHAnsi"/>
                <w:sz w:val="18"/>
                <w:szCs w:val="18"/>
              </w:rPr>
              <w:t>2.B</w:t>
            </w:r>
          </w:p>
        </w:tc>
        <w:tc>
          <w:tcPr>
            <w:tcW w:w="3430" w:type="dxa"/>
            <w:tcBorders>
              <w:top w:val="nil"/>
              <w:left w:val="nil"/>
              <w:bottom w:val="single" w:sz="4" w:space="0" w:color="auto"/>
              <w:right w:val="single" w:sz="4" w:space="0" w:color="auto"/>
            </w:tcBorders>
            <w:shd w:val="clear" w:color="auto" w:fill="FFFFFF"/>
            <w:noWrap/>
            <w:vAlign w:val="bottom"/>
            <w:hideMark/>
          </w:tcPr>
          <w:p w14:paraId="42A2AB14" w14:textId="77777777" w:rsidR="00E05341" w:rsidRPr="00B747AD" w:rsidRDefault="00E05341" w:rsidP="00E05341">
            <w:pPr>
              <w:spacing w:after="0" w:line="240" w:lineRule="auto"/>
              <w:ind w:firstLineChars="200" w:firstLine="360"/>
              <w:rPr>
                <w:rFonts w:eastAsia="Times New Roman" w:cstheme="minorHAnsi"/>
                <w:sz w:val="18"/>
                <w:szCs w:val="18"/>
              </w:rPr>
            </w:pPr>
            <w:r w:rsidRPr="00B747AD">
              <w:rPr>
                <w:rFonts w:eastAsia="Times New Roman" w:cstheme="minorHAnsi"/>
                <w:sz w:val="18"/>
                <w:szCs w:val="18"/>
              </w:rPr>
              <w:t>Rashodi</w:t>
            </w:r>
          </w:p>
        </w:tc>
        <w:tc>
          <w:tcPr>
            <w:tcW w:w="1275" w:type="dxa"/>
            <w:tcBorders>
              <w:top w:val="nil"/>
              <w:left w:val="nil"/>
              <w:bottom w:val="single" w:sz="4" w:space="0" w:color="auto"/>
              <w:right w:val="single" w:sz="4" w:space="0" w:color="auto"/>
            </w:tcBorders>
            <w:shd w:val="clear" w:color="auto" w:fill="FFFFFF"/>
            <w:noWrap/>
            <w:vAlign w:val="bottom"/>
            <w:hideMark/>
          </w:tcPr>
          <w:p w14:paraId="7589EB4A"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29</w:t>
            </w:r>
          </w:p>
        </w:tc>
        <w:tc>
          <w:tcPr>
            <w:tcW w:w="1276" w:type="dxa"/>
            <w:tcBorders>
              <w:top w:val="nil"/>
              <w:left w:val="nil"/>
              <w:bottom w:val="single" w:sz="4" w:space="0" w:color="auto"/>
              <w:right w:val="single" w:sz="4" w:space="0" w:color="auto"/>
            </w:tcBorders>
            <w:shd w:val="clear" w:color="auto" w:fill="FFFFFF"/>
            <w:noWrap/>
            <w:vAlign w:val="bottom"/>
            <w:hideMark/>
          </w:tcPr>
          <w:p w14:paraId="47146B98"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14</w:t>
            </w:r>
          </w:p>
        </w:tc>
        <w:tc>
          <w:tcPr>
            <w:tcW w:w="2552" w:type="dxa"/>
            <w:tcBorders>
              <w:top w:val="nil"/>
              <w:left w:val="nil"/>
              <w:bottom w:val="single" w:sz="4" w:space="0" w:color="auto"/>
              <w:right w:val="single" w:sz="4" w:space="0" w:color="auto"/>
            </w:tcBorders>
            <w:shd w:val="clear" w:color="auto" w:fill="FFFFFF"/>
            <w:noWrap/>
            <w:vAlign w:val="bottom"/>
            <w:hideMark/>
          </w:tcPr>
          <w:p w14:paraId="75708DD7" w14:textId="77777777" w:rsidR="00E05341" w:rsidRPr="00B747AD" w:rsidRDefault="00E05341" w:rsidP="00E05341">
            <w:pPr>
              <w:spacing w:after="0" w:line="240" w:lineRule="auto"/>
              <w:jc w:val="center"/>
              <w:rPr>
                <w:rFonts w:eastAsia="Times New Roman" w:cstheme="minorHAnsi"/>
                <w:sz w:val="18"/>
                <w:szCs w:val="18"/>
              </w:rPr>
            </w:pPr>
            <w:r w:rsidRPr="00B747AD">
              <w:rPr>
                <w:rFonts w:eastAsia="Times New Roman" w:cstheme="minorHAnsi"/>
                <w:sz w:val="18"/>
                <w:szCs w:val="18"/>
              </w:rPr>
              <w:t>-52.5</w:t>
            </w:r>
          </w:p>
        </w:tc>
      </w:tr>
      <w:tr w:rsidR="00E05341" w:rsidRPr="00B747AD" w14:paraId="2CE0F6AC"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vAlign w:val="bottom"/>
            <w:hideMark/>
          </w:tcPr>
          <w:p w14:paraId="328147AF" w14:textId="77777777" w:rsidR="00E05341" w:rsidRPr="00B747AD" w:rsidRDefault="00E05341" w:rsidP="00E05341">
            <w:pPr>
              <w:spacing w:after="0" w:line="240" w:lineRule="auto"/>
              <w:ind w:firstLineChars="200" w:firstLine="360"/>
              <w:rPr>
                <w:rFonts w:eastAsia="Times New Roman" w:cstheme="minorHAnsi"/>
                <w:sz w:val="18"/>
                <w:szCs w:val="18"/>
              </w:rPr>
            </w:pPr>
            <w:r w:rsidRPr="00B747AD">
              <w:rPr>
                <w:rFonts w:eastAsia="Times New Roman" w:cstheme="minorHAnsi"/>
                <w:sz w:val="18"/>
                <w:szCs w:val="18"/>
              </w:rPr>
              <w:t> </w:t>
            </w:r>
          </w:p>
        </w:tc>
        <w:tc>
          <w:tcPr>
            <w:tcW w:w="3430" w:type="dxa"/>
            <w:tcBorders>
              <w:top w:val="nil"/>
              <w:left w:val="nil"/>
              <w:bottom w:val="single" w:sz="4" w:space="0" w:color="auto"/>
              <w:right w:val="single" w:sz="4" w:space="0" w:color="auto"/>
            </w:tcBorders>
            <w:shd w:val="clear" w:color="auto" w:fill="FFFFFF"/>
            <w:vAlign w:val="bottom"/>
            <w:hideMark/>
          </w:tcPr>
          <w:p w14:paraId="24A7D905"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t xml:space="preserve">SALDO TEKUĆEG I KAPITALNOG RAČUNA </w:t>
            </w:r>
          </w:p>
        </w:tc>
        <w:tc>
          <w:tcPr>
            <w:tcW w:w="1275" w:type="dxa"/>
            <w:tcBorders>
              <w:top w:val="nil"/>
              <w:left w:val="nil"/>
              <w:bottom w:val="single" w:sz="4" w:space="0" w:color="auto"/>
              <w:right w:val="single" w:sz="4" w:space="0" w:color="auto"/>
            </w:tcBorders>
            <w:shd w:val="clear" w:color="auto" w:fill="FFFFFF"/>
            <w:noWrap/>
            <w:vAlign w:val="bottom"/>
            <w:hideMark/>
          </w:tcPr>
          <w:p w14:paraId="563D637D"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-360,038</w:t>
            </w:r>
          </w:p>
        </w:tc>
        <w:tc>
          <w:tcPr>
            <w:tcW w:w="1276" w:type="dxa"/>
            <w:tcBorders>
              <w:top w:val="nil"/>
              <w:left w:val="nil"/>
              <w:bottom w:val="single" w:sz="4" w:space="0" w:color="auto"/>
              <w:right w:val="single" w:sz="4" w:space="0" w:color="auto"/>
            </w:tcBorders>
            <w:shd w:val="clear" w:color="auto" w:fill="FFFFFF"/>
            <w:noWrap/>
            <w:vAlign w:val="bottom"/>
            <w:hideMark/>
          </w:tcPr>
          <w:p w14:paraId="0C1EA7FA"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-776,873</w:t>
            </w:r>
          </w:p>
        </w:tc>
        <w:tc>
          <w:tcPr>
            <w:tcW w:w="2552" w:type="dxa"/>
            <w:tcBorders>
              <w:top w:val="nil"/>
              <w:left w:val="nil"/>
              <w:bottom w:val="single" w:sz="4" w:space="0" w:color="auto"/>
              <w:right w:val="single" w:sz="4" w:space="0" w:color="auto"/>
            </w:tcBorders>
            <w:shd w:val="clear" w:color="auto" w:fill="FFFFFF"/>
            <w:noWrap/>
            <w:vAlign w:val="bottom"/>
            <w:hideMark/>
          </w:tcPr>
          <w:p w14:paraId="0F1ED513" w14:textId="77777777" w:rsidR="00E05341" w:rsidRPr="00B747AD" w:rsidRDefault="00E05341" w:rsidP="00E05341">
            <w:pPr>
              <w:spacing w:after="0" w:line="240" w:lineRule="auto"/>
              <w:jc w:val="center"/>
              <w:rPr>
                <w:rFonts w:eastAsia="Times New Roman" w:cstheme="minorHAnsi"/>
                <w:b/>
                <w:bCs/>
                <w:sz w:val="18"/>
                <w:szCs w:val="18"/>
              </w:rPr>
            </w:pPr>
            <w:r w:rsidRPr="00B747AD">
              <w:rPr>
                <w:rFonts w:eastAsia="Times New Roman" w:cstheme="minorHAnsi"/>
                <w:b/>
                <w:bCs/>
                <w:sz w:val="18"/>
                <w:szCs w:val="18"/>
              </w:rPr>
              <w:t>115.8</w:t>
            </w:r>
          </w:p>
        </w:tc>
      </w:tr>
      <w:tr w:rsidR="00E05341" w:rsidRPr="00B747AD" w14:paraId="0C1B1A06"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4D63E3E0"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t>3</w:t>
            </w:r>
          </w:p>
        </w:tc>
        <w:tc>
          <w:tcPr>
            <w:tcW w:w="3430" w:type="dxa"/>
            <w:tcBorders>
              <w:top w:val="nil"/>
              <w:left w:val="nil"/>
              <w:bottom w:val="single" w:sz="4" w:space="0" w:color="auto"/>
              <w:right w:val="single" w:sz="4" w:space="0" w:color="auto"/>
            </w:tcBorders>
            <w:shd w:val="clear" w:color="auto" w:fill="FFFFFF"/>
            <w:noWrap/>
            <w:vAlign w:val="bottom"/>
            <w:hideMark/>
          </w:tcPr>
          <w:p w14:paraId="0C29D57B"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t xml:space="preserve">FINANSIJSKI RAČUN, neto </w:t>
            </w:r>
          </w:p>
        </w:tc>
        <w:tc>
          <w:tcPr>
            <w:tcW w:w="1275" w:type="dxa"/>
            <w:tcBorders>
              <w:top w:val="nil"/>
              <w:left w:val="nil"/>
              <w:bottom w:val="single" w:sz="4" w:space="0" w:color="auto"/>
              <w:right w:val="single" w:sz="4" w:space="0" w:color="auto"/>
            </w:tcBorders>
            <w:shd w:val="clear" w:color="auto" w:fill="FFFFFF"/>
            <w:noWrap/>
            <w:vAlign w:val="bottom"/>
            <w:hideMark/>
          </w:tcPr>
          <w:p w14:paraId="3BEF7FA3"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-341,451</w:t>
            </w:r>
          </w:p>
        </w:tc>
        <w:tc>
          <w:tcPr>
            <w:tcW w:w="1276" w:type="dxa"/>
            <w:tcBorders>
              <w:top w:val="nil"/>
              <w:left w:val="nil"/>
              <w:bottom w:val="single" w:sz="4" w:space="0" w:color="auto"/>
              <w:right w:val="single" w:sz="4" w:space="0" w:color="auto"/>
            </w:tcBorders>
            <w:shd w:val="clear" w:color="auto" w:fill="FFFFFF"/>
            <w:noWrap/>
            <w:vAlign w:val="bottom"/>
            <w:hideMark/>
          </w:tcPr>
          <w:p w14:paraId="6E0073A4"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-772,742</w:t>
            </w:r>
          </w:p>
        </w:tc>
        <w:tc>
          <w:tcPr>
            <w:tcW w:w="2552" w:type="dxa"/>
            <w:tcBorders>
              <w:top w:val="nil"/>
              <w:left w:val="nil"/>
              <w:bottom w:val="single" w:sz="4" w:space="0" w:color="auto"/>
              <w:right w:val="single" w:sz="4" w:space="0" w:color="auto"/>
            </w:tcBorders>
            <w:shd w:val="clear" w:color="auto" w:fill="FFFFFF"/>
            <w:noWrap/>
            <w:vAlign w:val="bottom"/>
            <w:hideMark/>
          </w:tcPr>
          <w:p w14:paraId="22615C35" w14:textId="77777777" w:rsidR="00E05341" w:rsidRPr="00B747AD" w:rsidRDefault="00E05341" w:rsidP="00E05341">
            <w:pPr>
              <w:spacing w:after="0" w:line="240" w:lineRule="auto"/>
              <w:jc w:val="center"/>
              <w:rPr>
                <w:rFonts w:eastAsia="Times New Roman" w:cstheme="minorHAnsi"/>
                <w:b/>
                <w:bCs/>
                <w:sz w:val="18"/>
                <w:szCs w:val="18"/>
              </w:rPr>
            </w:pPr>
            <w:r w:rsidRPr="00B747AD">
              <w:rPr>
                <w:rFonts w:eastAsia="Times New Roman" w:cstheme="minorHAnsi"/>
                <w:b/>
                <w:bCs/>
                <w:sz w:val="18"/>
                <w:szCs w:val="18"/>
              </w:rPr>
              <w:t>126.3</w:t>
            </w:r>
          </w:p>
        </w:tc>
      </w:tr>
      <w:tr w:rsidR="00E05341" w:rsidRPr="00B747AD" w14:paraId="2B43ADA9"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vAlign w:val="bottom"/>
            <w:hideMark/>
          </w:tcPr>
          <w:p w14:paraId="06C21793" w14:textId="77777777" w:rsidR="00E05341" w:rsidRPr="00B747AD" w:rsidRDefault="00E05341" w:rsidP="00E05341">
            <w:pPr>
              <w:spacing w:after="0" w:line="240" w:lineRule="auto"/>
              <w:ind w:firstLineChars="100" w:firstLine="180"/>
              <w:rPr>
                <w:rFonts w:eastAsia="Times New Roman" w:cstheme="minorHAnsi"/>
                <w:b/>
                <w:bCs/>
                <w:sz w:val="18"/>
                <w:szCs w:val="18"/>
              </w:rPr>
            </w:pPr>
            <w:r w:rsidRPr="00B747AD">
              <w:rPr>
                <w:rFonts w:eastAsia="Times New Roman" w:cstheme="minorHAnsi"/>
                <w:b/>
                <w:bCs/>
                <w:sz w:val="18"/>
                <w:szCs w:val="18"/>
              </w:rPr>
              <w:t>3.A</w:t>
            </w:r>
          </w:p>
        </w:tc>
        <w:tc>
          <w:tcPr>
            <w:tcW w:w="3430" w:type="dxa"/>
            <w:tcBorders>
              <w:top w:val="nil"/>
              <w:left w:val="nil"/>
              <w:bottom w:val="single" w:sz="4" w:space="0" w:color="auto"/>
              <w:right w:val="single" w:sz="4" w:space="0" w:color="auto"/>
            </w:tcBorders>
            <w:shd w:val="clear" w:color="auto" w:fill="FFFFFF"/>
            <w:vAlign w:val="bottom"/>
            <w:hideMark/>
          </w:tcPr>
          <w:p w14:paraId="5F0F0924" w14:textId="77777777" w:rsidR="00E05341" w:rsidRPr="00B747AD" w:rsidRDefault="00E05341" w:rsidP="00E05341">
            <w:pPr>
              <w:spacing w:after="0" w:line="240" w:lineRule="auto"/>
              <w:ind w:firstLineChars="200" w:firstLine="360"/>
              <w:rPr>
                <w:rFonts w:eastAsia="Times New Roman" w:cstheme="minorHAnsi"/>
                <w:sz w:val="18"/>
                <w:szCs w:val="18"/>
              </w:rPr>
            </w:pPr>
            <w:r w:rsidRPr="00B747AD">
              <w:rPr>
                <w:rFonts w:eastAsia="Times New Roman" w:cstheme="minorHAnsi"/>
                <w:sz w:val="18"/>
                <w:szCs w:val="18"/>
              </w:rPr>
              <w:t xml:space="preserve">Neto povećanje finansijske aktive </w:t>
            </w:r>
          </w:p>
        </w:tc>
        <w:tc>
          <w:tcPr>
            <w:tcW w:w="1275" w:type="dxa"/>
            <w:tcBorders>
              <w:top w:val="nil"/>
              <w:left w:val="nil"/>
              <w:bottom w:val="single" w:sz="4" w:space="0" w:color="auto"/>
              <w:right w:val="single" w:sz="4" w:space="0" w:color="auto"/>
            </w:tcBorders>
            <w:shd w:val="clear" w:color="auto" w:fill="FFFFFF"/>
            <w:noWrap/>
            <w:vAlign w:val="bottom"/>
            <w:hideMark/>
          </w:tcPr>
          <w:p w14:paraId="5EDE8065"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-184,986</w:t>
            </w:r>
          </w:p>
        </w:tc>
        <w:tc>
          <w:tcPr>
            <w:tcW w:w="1276" w:type="dxa"/>
            <w:tcBorders>
              <w:top w:val="nil"/>
              <w:left w:val="nil"/>
              <w:bottom w:val="single" w:sz="4" w:space="0" w:color="auto"/>
              <w:right w:val="single" w:sz="4" w:space="0" w:color="auto"/>
            </w:tcBorders>
            <w:shd w:val="clear" w:color="auto" w:fill="FFFFFF"/>
            <w:noWrap/>
            <w:vAlign w:val="bottom"/>
            <w:hideMark/>
          </w:tcPr>
          <w:p w14:paraId="18F08620"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9,716</w:t>
            </w:r>
          </w:p>
        </w:tc>
        <w:tc>
          <w:tcPr>
            <w:tcW w:w="2552" w:type="dxa"/>
            <w:tcBorders>
              <w:top w:val="nil"/>
              <w:left w:val="nil"/>
              <w:bottom w:val="single" w:sz="4" w:space="0" w:color="auto"/>
              <w:right w:val="single" w:sz="4" w:space="0" w:color="auto"/>
            </w:tcBorders>
            <w:shd w:val="clear" w:color="auto" w:fill="FFFFFF"/>
            <w:noWrap/>
            <w:vAlign w:val="bottom"/>
            <w:hideMark/>
          </w:tcPr>
          <w:p w14:paraId="5E562E86" w14:textId="77777777" w:rsidR="00E05341" w:rsidRPr="00B747AD" w:rsidRDefault="00E05341" w:rsidP="00E05341">
            <w:pPr>
              <w:spacing w:after="0" w:line="240" w:lineRule="auto"/>
              <w:jc w:val="center"/>
              <w:rPr>
                <w:rFonts w:eastAsia="Times New Roman" w:cstheme="minorHAnsi"/>
                <w:b/>
                <w:bCs/>
                <w:sz w:val="18"/>
                <w:szCs w:val="18"/>
              </w:rPr>
            </w:pPr>
            <w:r w:rsidRPr="00B747AD">
              <w:rPr>
                <w:rFonts w:eastAsia="Times New Roman" w:cstheme="minorHAnsi"/>
                <w:b/>
                <w:bCs/>
                <w:sz w:val="18"/>
                <w:szCs w:val="18"/>
              </w:rPr>
              <w:t> </w:t>
            </w:r>
          </w:p>
        </w:tc>
      </w:tr>
      <w:tr w:rsidR="00E05341" w:rsidRPr="00B747AD" w14:paraId="78199BF2"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vAlign w:val="bottom"/>
            <w:hideMark/>
          </w:tcPr>
          <w:p w14:paraId="5E6A0435" w14:textId="77777777" w:rsidR="00E05341" w:rsidRPr="00B747AD" w:rsidRDefault="00E05341" w:rsidP="00E05341">
            <w:pPr>
              <w:spacing w:after="0" w:line="240" w:lineRule="auto"/>
              <w:ind w:firstLineChars="100" w:firstLine="180"/>
              <w:rPr>
                <w:rFonts w:eastAsia="Times New Roman" w:cstheme="minorHAnsi"/>
                <w:b/>
                <w:bCs/>
                <w:sz w:val="18"/>
                <w:szCs w:val="18"/>
              </w:rPr>
            </w:pPr>
            <w:r w:rsidRPr="00B747AD">
              <w:rPr>
                <w:rFonts w:eastAsia="Times New Roman" w:cstheme="minorHAnsi"/>
                <w:b/>
                <w:bCs/>
                <w:sz w:val="18"/>
                <w:szCs w:val="18"/>
              </w:rPr>
              <w:t>3.B</w:t>
            </w:r>
          </w:p>
        </w:tc>
        <w:tc>
          <w:tcPr>
            <w:tcW w:w="3430" w:type="dxa"/>
            <w:tcBorders>
              <w:top w:val="nil"/>
              <w:left w:val="nil"/>
              <w:bottom w:val="single" w:sz="4" w:space="0" w:color="auto"/>
              <w:right w:val="single" w:sz="4" w:space="0" w:color="auto"/>
            </w:tcBorders>
            <w:shd w:val="clear" w:color="auto" w:fill="FFFFFF"/>
            <w:vAlign w:val="bottom"/>
            <w:hideMark/>
          </w:tcPr>
          <w:p w14:paraId="243060F6" w14:textId="77777777" w:rsidR="00E05341" w:rsidRPr="00B747AD" w:rsidRDefault="00E05341" w:rsidP="00E05341">
            <w:pPr>
              <w:spacing w:after="0" w:line="240" w:lineRule="auto"/>
              <w:ind w:firstLineChars="200" w:firstLine="360"/>
              <w:rPr>
                <w:rFonts w:eastAsia="Times New Roman" w:cstheme="minorHAnsi"/>
                <w:sz w:val="18"/>
                <w:szCs w:val="18"/>
              </w:rPr>
            </w:pPr>
            <w:r w:rsidRPr="00B747AD">
              <w:rPr>
                <w:rFonts w:eastAsia="Times New Roman" w:cstheme="minorHAnsi"/>
                <w:sz w:val="18"/>
                <w:szCs w:val="18"/>
              </w:rPr>
              <w:t xml:space="preserve">Neto povećanje obaveza </w:t>
            </w:r>
          </w:p>
        </w:tc>
        <w:tc>
          <w:tcPr>
            <w:tcW w:w="1275" w:type="dxa"/>
            <w:tcBorders>
              <w:top w:val="nil"/>
              <w:left w:val="nil"/>
              <w:bottom w:val="single" w:sz="4" w:space="0" w:color="auto"/>
              <w:right w:val="single" w:sz="4" w:space="0" w:color="auto"/>
            </w:tcBorders>
            <w:shd w:val="clear" w:color="auto" w:fill="FFFFFF"/>
            <w:noWrap/>
            <w:vAlign w:val="bottom"/>
            <w:hideMark/>
          </w:tcPr>
          <w:p w14:paraId="6F0492EF"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156,465</w:t>
            </w:r>
          </w:p>
        </w:tc>
        <w:tc>
          <w:tcPr>
            <w:tcW w:w="1276" w:type="dxa"/>
            <w:tcBorders>
              <w:top w:val="nil"/>
              <w:left w:val="nil"/>
              <w:bottom w:val="single" w:sz="4" w:space="0" w:color="auto"/>
              <w:right w:val="single" w:sz="4" w:space="0" w:color="auto"/>
            </w:tcBorders>
            <w:shd w:val="clear" w:color="auto" w:fill="FFFFFF"/>
            <w:noWrap/>
            <w:vAlign w:val="bottom"/>
            <w:hideMark/>
          </w:tcPr>
          <w:p w14:paraId="1D85C54D"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782,458</w:t>
            </w:r>
          </w:p>
        </w:tc>
        <w:tc>
          <w:tcPr>
            <w:tcW w:w="2552" w:type="dxa"/>
            <w:tcBorders>
              <w:top w:val="nil"/>
              <w:left w:val="nil"/>
              <w:bottom w:val="single" w:sz="4" w:space="0" w:color="auto"/>
              <w:right w:val="single" w:sz="4" w:space="0" w:color="auto"/>
            </w:tcBorders>
            <w:shd w:val="clear" w:color="auto" w:fill="FFFFFF"/>
            <w:noWrap/>
            <w:vAlign w:val="bottom"/>
            <w:hideMark/>
          </w:tcPr>
          <w:p w14:paraId="2FEED2CC" w14:textId="77777777" w:rsidR="00E05341" w:rsidRPr="00B747AD" w:rsidRDefault="00E05341" w:rsidP="00E05341">
            <w:pPr>
              <w:spacing w:after="0" w:line="240" w:lineRule="auto"/>
              <w:jc w:val="center"/>
              <w:rPr>
                <w:rFonts w:eastAsia="Times New Roman" w:cstheme="minorHAnsi"/>
                <w:b/>
                <w:bCs/>
                <w:sz w:val="18"/>
                <w:szCs w:val="18"/>
              </w:rPr>
            </w:pPr>
            <w:r w:rsidRPr="00B747AD">
              <w:rPr>
                <w:rFonts w:eastAsia="Times New Roman" w:cstheme="minorHAnsi"/>
                <w:b/>
                <w:bCs/>
                <w:sz w:val="18"/>
                <w:szCs w:val="18"/>
              </w:rPr>
              <w:t>400.1</w:t>
            </w:r>
          </w:p>
        </w:tc>
      </w:tr>
      <w:tr w:rsidR="00E05341" w:rsidRPr="00B747AD" w14:paraId="26EA9EC0"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098089D4"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t>3.1</w:t>
            </w:r>
          </w:p>
        </w:tc>
        <w:tc>
          <w:tcPr>
            <w:tcW w:w="3430" w:type="dxa"/>
            <w:tcBorders>
              <w:top w:val="nil"/>
              <w:left w:val="nil"/>
              <w:bottom w:val="single" w:sz="4" w:space="0" w:color="auto"/>
              <w:right w:val="single" w:sz="4" w:space="0" w:color="auto"/>
            </w:tcBorders>
            <w:shd w:val="clear" w:color="auto" w:fill="FFFFFF"/>
            <w:vAlign w:val="bottom"/>
            <w:hideMark/>
          </w:tcPr>
          <w:p w14:paraId="233447AF" w14:textId="77777777" w:rsidR="00E05341" w:rsidRPr="00B747AD" w:rsidRDefault="00E05341" w:rsidP="00E05341">
            <w:pPr>
              <w:spacing w:after="0" w:line="240" w:lineRule="auto"/>
              <w:ind w:firstLineChars="100" w:firstLine="180"/>
              <w:rPr>
                <w:rFonts w:eastAsia="Times New Roman" w:cstheme="minorHAnsi"/>
                <w:b/>
                <w:bCs/>
                <w:sz w:val="18"/>
                <w:szCs w:val="18"/>
              </w:rPr>
            </w:pPr>
            <w:r w:rsidRPr="00B747AD">
              <w:rPr>
                <w:rFonts w:eastAsia="Times New Roman" w:cstheme="minorHAnsi"/>
                <w:b/>
                <w:bCs/>
                <w:sz w:val="18"/>
                <w:szCs w:val="18"/>
              </w:rPr>
              <w:t xml:space="preserve">Direktne investicije, neto </w:t>
            </w:r>
          </w:p>
        </w:tc>
        <w:tc>
          <w:tcPr>
            <w:tcW w:w="1275" w:type="dxa"/>
            <w:tcBorders>
              <w:top w:val="nil"/>
              <w:left w:val="nil"/>
              <w:bottom w:val="single" w:sz="4" w:space="0" w:color="auto"/>
              <w:right w:val="single" w:sz="4" w:space="0" w:color="auto"/>
            </w:tcBorders>
            <w:shd w:val="clear" w:color="auto" w:fill="FFFFFF"/>
            <w:noWrap/>
            <w:vAlign w:val="bottom"/>
            <w:hideMark/>
          </w:tcPr>
          <w:p w14:paraId="27AECADC"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-313,723</w:t>
            </w:r>
          </w:p>
        </w:tc>
        <w:tc>
          <w:tcPr>
            <w:tcW w:w="1276" w:type="dxa"/>
            <w:tcBorders>
              <w:top w:val="nil"/>
              <w:left w:val="nil"/>
              <w:bottom w:val="single" w:sz="4" w:space="0" w:color="auto"/>
              <w:right w:val="single" w:sz="4" w:space="0" w:color="auto"/>
            </w:tcBorders>
            <w:shd w:val="clear" w:color="auto" w:fill="FFFFFF"/>
            <w:noWrap/>
            <w:vAlign w:val="bottom"/>
            <w:hideMark/>
          </w:tcPr>
          <w:p w14:paraId="77A91BEE"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-372,575</w:t>
            </w:r>
          </w:p>
        </w:tc>
        <w:tc>
          <w:tcPr>
            <w:tcW w:w="2552" w:type="dxa"/>
            <w:tcBorders>
              <w:top w:val="nil"/>
              <w:left w:val="nil"/>
              <w:bottom w:val="single" w:sz="4" w:space="0" w:color="auto"/>
              <w:right w:val="single" w:sz="4" w:space="0" w:color="auto"/>
            </w:tcBorders>
            <w:shd w:val="clear" w:color="auto" w:fill="FFFFFF"/>
            <w:noWrap/>
            <w:vAlign w:val="bottom"/>
            <w:hideMark/>
          </w:tcPr>
          <w:p w14:paraId="2DA17AA4" w14:textId="77777777" w:rsidR="00E05341" w:rsidRPr="00B747AD" w:rsidRDefault="00E05341" w:rsidP="00E05341">
            <w:pPr>
              <w:spacing w:after="0" w:line="240" w:lineRule="auto"/>
              <w:jc w:val="center"/>
              <w:rPr>
                <w:rFonts w:eastAsia="Times New Roman" w:cstheme="minorHAnsi"/>
                <w:b/>
                <w:bCs/>
                <w:sz w:val="18"/>
                <w:szCs w:val="18"/>
              </w:rPr>
            </w:pPr>
            <w:r w:rsidRPr="00B747AD">
              <w:rPr>
                <w:rFonts w:eastAsia="Times New Roman" w:cstheme="minorHAnsi"/>
                <w:b/>
                <w:bCs/>
                <w:sz w:val="18"/>
                <w:szCs w:val="18"/>
              </w:rPr>
              <w:t>18.8</w:t>
            </w:r>
          </w:p>
        </w:tc>
      </w:tr>
      <w:tr w:rsidR="00E05341" w:rsidRPr="00B747AD" w14:paraId="4B86665A"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11D8F5EF"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t>3.2</w:t>
            </w:r>
          </w:p>
        </w:tc>
        <w:tc>
          <w:tcPr>
            <w:tcW w:w="3430" w:type="dxa"/>
            <w:tcBorders>
              <w:top w:val="nil"/>
              <w:left w:val="nil"/>
              <w:bottom w:val="single" w:sz="4" w:space="0" w:color="auto"/>
              <w:right w:val="single" w:sz="4" w:space="0" w:color="auto"/>
            </w:tcBorders>
            <w:shd w:val="clear" w:color="auto" w:fill="FFFFFF"/>
            <w:vAlign w:val="bottom"/>
            <w:hideMark/>
          </w:tcPr>
          <w:p w14:paraId="4B5F7E8E" w14:textId="77777777" w:rsidR="00E05341" w:rsidRPr="00B747AD" w:rsidRDefault="00E05341" w:rsidP="00E05341">
            <w:pPr>
              <w:spacing w:after="0" w:line="240" w:lineRule="auto"/>
              <w:ind w:firstLineChars="100" w:firstLine="180"/>
              <w:rPr>
                <w:rFonts w:eastAsia="Times New Roman" w:cstheme="minorHAnsi"/>
                <w:b/>
                <w:bCs/>
                <w:sz w:val="18"/>
                <w:szCs w:val="18"/>
              </w:rPr>
            </w:pPr>
            <w:r w:rsidRPr="00B747AD">
              <w:rPr>
                <w:rFonts w:eastAsia="Times New Roman" w:cstheme="minorHAnsi"/>
                <w:b/>
                <w:bCs/>
                <w:sz w:val="18"/>
                <w:szCs w:val="18"/>
              </w:rPr>
              <w:t xml:space="preserve">Portfolio investicije, neto </w:t>
            </w:r>
          </w:p>
        </w:tc>
        <w:tc>
          <w:tcPr>
            <w:tcW w:w="1275" w:type="dxa"/>
            <w:tcBorders>
              <w:top w:val="nil"/>
              <w:left w:val="nil"/>
              <w:bottom w:val="single" w:sz="4" w:space="0" w:color="auto"/>
              <w:right w:val="single" w:sz="4" w:space="0" w:color="auto"/>
            </w:tcBorders>
            <w:shd w:val="clear" w:color="auto" w:fill="FFFFFF"/>
            <w:noWrap/>
            <w:vAlign w:val="bottom"/>
            <w:hideMark/>
          </w:tcPr>
          <w:p w14:paraId="2986F849"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388,845</w:t>
            </w:r>
          </w:p>
        </w:tc>
        <w:tc>
          <w:tcPr>
            <w:tcW w:w="1276" w:type="dxa"/>
            <w:tcBorders>
              <w:top w:val="nil"/>
              <w:left w:val="nil"/>
              <w:bottom w:val="single" w:sz="4" w:space="0" w:color="auto"/>
              <w:right w:val="single" w:sz="4" w:space="0" w:color="auto"/>
            </w:tcBorders>
            <w:shd w:val="clear" w:color="auto" w:fill="FFFFFF"/>
            <w:noWrap/>
            <w:vAlign w:val="bottom"/>
            <w:hideMark/>
          </w:tcPr>
          <w:p w14:paraId="39EFD52C"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-406,601</w:t>
            </w:r>
          </w:p>
        </w:tc>
        <w:tc>
          <w:tcPr>
            <w:tcW w:w="2552" w:type="dxa"/>
            <w:tcBorders>
              <w:top w:val="nil"/>
              <w:left w:val="nil"/>
              <w:bottom w:val="single" w:sz="4" w:space="0" w:color="auto"/>
              <w:right w:val="single" w:sz="4" w:space="0" w:color="auto"/>
            </w:tcBorders>
            <w:shd w:val="clear" w:color="auto" w:fill="FFFFFF"/>
            <w:noWrap/>
            <w:vAlign w:val="bottom"/>
            <w:hideMark/>
          </w:tcPr>
          <w:p w14:paraId="40D1CBDB" w14:textId="77777777" w:rsidR="00E05341" w:rsidRPr="00B747AD" w:rsidRDefault="00E05341" w:rsidP="00E05341">
            <w:pPr>
              <w:spacing w:after="0" w:line="240" w:lineRule="auto"/>
              <w:jc w:val="center"/>
              <w:rPr>
                <w:rFonts w:eastAsia="Times New Roman" w:cstheme="minorHAnsi"/>
                <w:b/>
                <w:bCs/>
                <w:sz w:val="18"/>
                <w:szCs w:val="18"/>
              </w:rPr>
            </w:pPr>
            <w:r w:rsidRPr="00B747AD">
              <w:rPr>
                <w:rFonts w:eastAsia="Times New Roman" w:cstheme="minorHAnsi"/>
                <w:b/>
                <w:bCs/>
                <w:sz w:val="18"/>
                <w:szCs w:val="18"/>
              </w:rPr>
              <w:t> </w:t>
            </w:r>
          </w:p>
        </w:tc>
      </w:tr>
      <w:tr w:rsidR="00E05341" w:rsidRPr="00B747AD" w14:paraId="4C967DF5"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7E1163B5"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t xml:space="preserve">3.3 </w:t>
            </w:r>
          </w:p>
        </w:tc>
        <w:tc>
          <w:tcPr>
            <w:tcW w:w="3430" w:type="dxa"/>
            <w:tcBorders>
              <w:top w:val="nil"/>
              <w:left w:val="nil"/>
              <w:bottom w:val="single" w:sz="4" w:space="0" w:color="auto"/>
              <w:right w:val="single" w:sz="4" w:space="0" w:color="auto"/>
            </w:tcBorders>
            <w:shd w:val="clear" w:color="auto" w:fill="FFFFFF"/>
            <w:vAlign w:val="bottom"/>
            <w:hideMark/>
          </w:tcPr>
          <w:p w14:paraId="7C2B0EDC" w14:textId="77777777" w:rsidR="00E05341" w:rsidRPr="00B747AD" w:rsidRDefault="00E05341" w:rsidP="00E05341">
            <w:pPr>
              <w:spacing w:after="0" w:line="240" w:lineRule="auto"/>
              <w:ind w:firstLineChars="100" w:firstLine="180"/>
              <w:rPr>
                <w:rFonts w:eastAsia="Times New Roman" w:cstheme="minorHAnsi"/>
                <w:b/>
                <w:bCs/>
                <w:sz w:val="18"/>
                <w:szCs w:val="18"/>
              </w:rPr>
            </w:pPr>
            <w:r w:rsidRPr="00B747AD">
              <w:rPr>
                <w:rFonts w:eastAsia="Times New Roman" w:cstheme="minorHAnsi"/>
                <w:b/>
                <w:bCs/>
                <w:sz w:val="18"/>
                <w:szCs w:val="18"/>
              </w:rPr>
              <w:t xml:space="preserve">Finansijski derivati, neto </w:t>
            </w:r>
          </w:p>
        </w:tc>
        <w:tc>
          <w:tcPr>
            <w:tcW w:w="1275" w:type="dxa"/>
            <w:tcBorders>
              <w:top w:val="nil"/>
              <w:left w:val="nil"/>
              <w:bottom w:val="single" w:sz="4" w:space="0" w:color="auto"/>
              <w:right w:val="single" w:sz="4" w:space="0" w:color="auto"/>
            </w:tcBorders>
            <w:shd w:val="clear" w:color="auto" w:fill="FFFFFF"/>
            <w:noWrap/>
            <w:vAlign w:val="bottom"/>
            <w:hideMark/>
          </w:tcPr>
          <w:p w14:paraId="1AE614B8"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-66,235</w:t>
            </w:r>
          </w:p>
        </w:tc>
        <w:tc>
          <w:tcPr>
            <w:tcW w:w="1276" w:type="dxa"/>
            <w:tcBorders>
              <w:top w:val="nil"/>
              <w:left w:val="nil"/>
              <w:bottom w:val="single" w:sz="4" w:space="0" w:color="auto"/>
              <w:right w:val="single" w:sz="4" w:space="0" w:color="auto"/>
            </w:tcBorders>
            <w:shd w:val="clear" w:color="auto" w:fill="FFFFFF"/>
            <w:noWrap/>
            <w:vAlign w:val="bottom"/>
            <w:hideMark/>
          </w:tcPr>
          <w:p w14:paraId="07B5A7FF"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-18,131</w:t>
            </w:r>
          </w:p>
        </w:tc>
        <w:tc>
          <w:tcPr>
            <w:tcW w:w="2552" w:type="dxa"/>
            <w:tcBorders>
              <w:top w:val="nil"/>
              <w:left w:val="nil"/>
              <w:bottom w:val="single" w:sz="4" w:space="0" w:color="auto"/>
              <w:right w:val="single" w:sz="4" w:space="0" w:color="auto"/>
            </w:tcBorders>
            <w:shd w:val="clear" w:color="auto" w:fill="FFFFFF"/>
            <w:noWrap/>
            <w:vAlign w:val="bottom"/>
            <w:hideMark/>
          </w:tcPr>
          <w:p w14:paraId="5EFA8A3F" w14:textId="77777777" w:rsidR="00E05341" w:rsidRPr="00B747AD" w:rsidRDefault="00E05341" w:rsidP="00E05341">
            <w:pPr>
              <w:spacing w:after="0" w:line="240" w:lineRule="auto"/>
              <w:jc w:val="center"/>
              <w:rPr>
                <w:rFonts w:eastAsia="Times New Roman" w:cstheme="minorHAnsi"/>
                <w:b/>
                <w:bCs/>
                <w:sz w:val="18"/>
                <w:szCs w:val="18"/>
              </w:rPr>
            </w:pPr>
            <w:r w:rsidRPr="00B747AD">
              <w:rPr>
                <w:rFonts w:eastAsia="Times New Roman" w:cstheme="minorHAnsi"/>
                <w:b/>
                <w:bCs/>
                <w:sz w:val="18"/>
                <w:szCs w:val="18"/>
              </w:rPr>
              <w:t>-72.6</w:t>
            </w:r>
          </w:p>
        </w:tc>
      </w:tr>
      <w:tr w:rsidR="00E05341" w:rsidRPr="00B747AD" w14:paraId="282169F0"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446B0F7F"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lastRenderedPageBreak/>
              <w:t xml:space="preserve">3.4 </w:t>
            </w:r>
          </w:p>
        </w:tc>
        <w:tc>
          <w:tcPr>
            <w:tcW w:w="3430" w:type="dxa"/>
            <w:tcBorders>
              <w:top w:val="nil"/>
              <w:left w:val="nil"/>
              <w:bottom w:val="single" w:sz="4" w:space="0" w:color="auto"/>
              <w:right w:val="single" w:sz="4" w:space="0" w:color="auto"/>
            </w:tcBorders>
            <w:shd w:val="clear" w:color="auto" w:fill="FFFFFF"/>
            <w:vAlign w:val="bottom"/>
            <w:hideMark/>
          </w:tcPr>
          <w:p w14:paraId="5A3E5FC4" w14:textId="77777777" w:rsidR="00E05341" w:rsidRPr="00B747AD" w:rsidRDefault="00E05341" w:rsidP="00E05341">
            <w:pPr>
              <w:spacing w:after="0" w:line="240" w:lineRule="auto"/>
              <w:ind w:firstLineChars="100" w:firstLine="180"/>
              <w:rPr>
                <w:rFonts w:eastAsia="Times New Roman" w:cstheme="minorHAnsi"/>
                <w:b/>
                <w:bCs/>
                <w:sz w:val="18"/>
                <w:szCs w:val="18"/>
              </w:rPr>
            </w:pPr>
            <w:r w:rsidRPr="00B747AD">
              <w:rPr>
                <w:rFonts w:eastAsia="Times New Roman" w:cstheme="minorHAnsi"/>
                <w:b/>
                <w:bCs/>
                <w:sz w:val="18"/>
                <w:szCs w:val="18"/>
              </w:rPr>
              <w:t xml:space="preserve">Ostale investicije, neto </w:t>
            </w:r>
          </w:p>
        </w:tc>
        <w:tc>
          <w:tcPr>
            <w:tcW w:w="1275" w:type="dxa"/>
            <w:tcBorders>
              <w:top w:val="nil"/>
              <w:left w:val="nil"/>
              <w:bottom w:val="single" w:sz="4" w:space="0" w:color="auto"/>
              <w:right w:val="single" w:sz="4" w:space="0" w:color="auto"/>
            </w:tcBorders>
            <w:shd w:val="clear" w:color="auto" w:fill="FFFFFF"/>
            <w:noWrap/>
            <w:vAlign w:val="bottom"/>
            <w:hideMark/>
          </w:tcPr>
          <w:p w14:paraId="25ECB9DF"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-63,288</w:t>
            </w:r>
          </w:p>
        </w:tc>
        <w:tc>
          <w:tcPr>
            <w:tcW w:w="1276" w:type="dxa"/>
            <w:tcBorders>
              <w:top w:val="nil"/>
              <w:left w:val="nil"/>
              <w:bottom w:val="single" w:sz="4" w:space="0" w:color="auto"/>
              <w:right w:val="single" w:sz="4" w:space="0" w:color="auto"/>
            </w:tcBorders>
            <w:shd w:val="clear" w:color="auto" w:fill="FFFFFF"/>
            <w:noWrap/>
            <w:vAlign w:val="bottom"/>
            <w:hideMark/>
          </w:tcPr>
          <w:p w14:paraId="05A3676C"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-197,099</w:t>
            </w:r>
          </w:p>
        </w:tc>
        <w:tc>
          <w:tcPr>
            <w:tcW w:w="2552" w:type="dxa"/>
            <w:tcBorders>
              <w:top w:val="nil"/>
              <w:left w:val="nil"/>
              <w:bottom w:val="single" w:sz="4" w:space="0" w:color="auto"/>
              <w:right w:val="single" w:sz="4" w:space="0" w:color="auto"/>
            </w:tcBorders>
            <w:shd w:val="clear" w:color="auto" w:fill="FFFFFF"/>
            <w:noWrap/>
            <w:vAlign w:val="bottom"/>
            <w:hideMark/>
          </w:tcPr>
          <w:p w14:paraId="68C351AE" w14:textId="77777777" w:rsidR="00E05341" w:rsidRPr="00B747AD" w:rsidRDefault="00E05341" w:rsidP="00E05341">
            <w:pPr>
              <w:spacing w:after="0" w:line="240" w:lineRule="auto"/>
              <w:jc w:val="center"/>
              <w:rPr>
                <w:rFonts w:eastAsia="Times New Roman" w:cstheme="minorHAnsi"/>
                <w:b/>
                <w:bCs/>
                <w:sz w:val="18"/>
                <w:szCs w:val="18"/>
              </w:rPr>
            </w:pPr>
            <w:r w:rsidRPr="00B747AD">
              <w:rPr>
                <w:rFonts w:eastAsia="Times New Roman" w:cstheme="minorHAnsi"/>
                <w:b/>
                <w:bCs/>
                <w:sz w:val="18"/>
                <w:szCs w:val="18"/>
              </w:rPr>
              <w:t>211.4</w:t>
            </w:r>
          </w:p>
        </w:tc>
      </w:tr>
      <w:tr w:rsidR="00E05341" w:rsidRPr="00B747AD" w14:paraId="422F8443"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24E9DAFB"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t>3.5</w:t>
            </w:r>
          </w:p>
        </w:tc>
        <w:tc>
          <w:tcPr>
            <w:tcW w:w="3430" w:type="dxa"/>
            <w:tcBorders>
              <w:top w:val="nil"/>
              <w:left w:val="nil"/>
              <w:bottom w:val="single" w:sz="4" w:space="0" w:color="auto"/>
              <w:right w:val="single" w:sz="4" w:space="0" w:color="auto"/>
            </w:tcBorders>
            <w:shd w:val="clear" w:color="auto" w:fill="FFFFFF"/>
            <w:vAlign w:val="bottom"/>
            <w:hideMark/>
          </w:tcPr>
          <w:p w14:paraId="3A828AE7" w14:textId="77777777" w:rsidR="00E05341" w:rsidRPr="00B747AD" w:rsidRDefault="00E05341" w:rsidP="00E05341">
            <w:pPr>
              <w:spacing w:after="0" w:line="240" w:lineRule="auto"/>
              <w:ind w:firstLineChars="100" w:firstLine="180"/>
              <w:rPr>
                <w:rFonts w:eastAsia="Times New Roman" w:cstheme="minorHAnsi"/>
                <w:b/>
                <w:bCs/>
                <w:sz w:val="18"/>
                <w:szCs w:val="18"/>
              </w:rPr>
            </w:pPr>
            <w:r w:rsidRPr="00B747AD">
              <w:rPr>
                <w:rFonts w:eastAsia="Times New Roman" w:cstheme="minorHAnsi"/>
                <w:b/>
                <w:bCs/>
                <w:sz w:val="18"/>
                <w:szCs w:val="18"/>
              </w:rPr>
              <w:t>Rezerve CBCG (promjene)</w:t>
            </w:r>
          </w:p>
        </w:tc>
        <w:tc>
          <w:tcPr>
            <w:tcW w:w="1275" w:type="dxa"/>
            <w:tcBorders>
              <w:top w:val="nil"/>
              <w:left w:val="nil"/>
              <w:bottom w:val="single" w:sz="4" w:space="0" w:color="auto"/>
              <w:right w:val="single" w:sz="4" w:space="0" w:color="auto"/>
            </w:tcBorders>
            <w:shd w:val="clear" w:color="auto" w:fill="FFFFFF"/>
            <w:noWrap/>
            <w:vAlign w:val="bottom"/>
            <w:hideMark/>
          </w:tcPr>
          <w:p w14:paraId="3D1790D7"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-287,049</w:t>
            </w:r>
          </w:p>
        </w:tc>
        <w:tc>
          <w:tcPr>
            <w:tcW w:w="1276" w:type="dxa"/>
            <w:tcBorders>
              <w:top w:val="nil"/>
              <w:left w:val="nil"/>
              <w:bottom w:val="single" w:sz="4" w:space="0" w:color="auto"/>
              <w:right w:val="single" w:sz="4" w:space="0" w:color="auto"/>
            </w:tcBorders>
            <w:shd w:val="clear" w:color="auto" w:fill="FFFFFF"/>
            <w:noWrap/>
            <w:vAlign w:val="bottom"/>
            <w:hideMark/>
          </w:tcPr>
          <w:p w14:paraId="4C1C688A"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221,663</w:t>
            </w:r>
          </w:p>
        </w:tc>
        <w:tc>
          <w:tcPr>
            <w:tcW w:w="2552" w:type="dxa"/>
            <w:tcBorders>
              <w:top w:val="nil"/>
              <w:left w:val="nil"/>
              <w:bottom w:val="single" w:sz="4" w:space="0" w:color="auto"/>
              <w:right w:val="single" w:sz="4" w:space="0" w:color="auto"/>
            </w:tcBorders>
            <w:shd w:val="clear" w:color="auto" w:fill="FFFFFF"/>
            <w:noWrap/>
            <w:vAlign w:val="bottom"/>
            <w:hideMark/>
          </w:tcPr>
          <w:p w14:paraId="78E34734" w14:textId="77777777" w:rsidR="00E05341" w:rsidRPr="00B747AD" w:rsidRDefault="00E05341" w:rsidP="00E05341">
            <w:pPr>
              <w:spacing w:after="0" w:line="240" w:lineRule="auto"/>
              <w:jc w:val="center"/>
              <w:rPr>
                <w:rFonts w:eastAsia="Times New Roman" w:cstheme="minorHAnsi"/>
                <w:b/>
                <w:bCs/>
                <w:sz w:val="18"/>
                <w:szCs w:val="18"/>
              </w:rPr>
            </w:pPr>
            <w:r w:rsidRPr="00B747AD">
              <w:rPr>
                <w:rFonts w:eastAsia="Times New Roman" w:cstheme="minorHAnsi"/>
                <w:b/>
                <w:bCs/>
                <w:sz w:val="18"/>
                <w:szCs w:val="18"/>
              </w:rPr>
              <w:t> </w:t>
            </w:r>
          </w:p>
        </w:tc>
      </w:tr>
      <w:tr w:rsidR="00E05341" w:rsidRPr="00B747AD" w14:paraId="41FFDA33" w14:textId="77777777" w:rsidTr="00E05341">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bottom"/>
            <w:hideMark/>
          </w:tcPr>
          <w:p w14:paraId="33F1C73F"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t>4</w:t>
            </w:r>
          </w:p>
        </w:tc>
        <w:tc>
          <w:tcPr>
            <w:tcW w:w="3430" w:type="dxa"/>
            <w:tcBorders>
              <w:top w:val="nil"/>
              <w:left w:val="nil"/>
              <w:bottom w:val="single" w:sz="4" w:space="0" w:color="auto"/>
              <w:right w:val="single" w:sz="4" w:space="0" w:color="auto"/>
            </w:tcBorders>
            <w:shd w:val="clear" w:color="auto" w:fill="FFFFFF"/>
            <w:noWrap/>
            <w:vAlign w:val="bottom"/>
            <w:hideMark/>
          </w:tcPr>
          <w:p w14:paraId="5D758B9C" w14:textId="77777777" w:rsidR="00E05341" w:rsidRPr="00B747AD" w:rsidRDefault="00E05341" w:rsidP="00E05341">
            <w:pPr>
              <w:spacing w:after="0" w:line="240" w:lineRule="auto"/>
              <w:rPr>
                <w:rFonts w:eastAsia="Times New Roman" w:cstheme="minorHAnsi"/>
                <w:b/>
                <w:bCs/>
                <w:sz w:val="18"/>
                <w:szCs w:val="18"/>
              </w:rPr>
            </w:pPr>
            <w:r w:rsidRPr="00B747AD">
              <w:rPr>
                <w:rFonts w:eastAsia="Times New Roman" w:cstheme="minorHAnsi"/>
                <w:b/>
                <w:bCs/>
                <w:sz w:val="18"/>
                <w:szCs w:val="18"/>
              </w:rPr>
              <w:t>NETO GREŠKE I OMAŠKE (3-2-1)</w:t>
            </w:r>
          </w:p>
        </w:tc>
        <w:tc>
          <w:tcPr>
            <w:tcW w:w="1275" w:type="dxa"/>
            <w:tcBorders>
              <w:top w:val="nil"/>
              <w:left w:val="nil"/>
              <w:bottom w:val="single" w:sz="4" w:space="0" w:color="auto"/>
              <w:right w:val="single" w:sz="4" w:space="0" w:color="auto"/>
            </w:tcBorders>
            <w:shd w:val="clear" w:color="auto" w:fill="FFFFFF"/>
            <w:noWrap/>
            <w:vAlign w:val="bottom"/>
            <w:hideMark/>
          </w:tcPr>
          <w:p w14:paraId="0179C3B5"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18,588</w:t>
            </w:r>
          </w:p>
        </w:tc>
        <w:tc>
          <w:tcPr>
            <w:tcW w:w="1276" w:type="dxa"/>
            <w:tcBorders>
              <w:top w:val="nil"/>
              <w:left w:val="nil"/>
              <w:bottom w:val="single" w:sz="4" w:space="0" w:color="auto"/>
              <w:right w:val="single" w:sz="4" w:space="0" w:color="auto"/>
            </w:tcBorders>
            <w:shd w:val="clear" w:color="auto" w:fill="FFFFFF"/>
            <w:noWrap/>
            <w:vAlign w:val="bottom"/>
            <w:hideMark/>
          </w:tcPr>
          <w:p w14:paraId="375596AD" w14:textId="77777777" w:rsidR="00E05341" w:rsidRPr="00B747AD" w:rsidRDefault="00E05341" w:rsidP="00E05341">
            <w:pPr>
              <w:spacing w:after="0" w:line="240" w:lineRule="auto"/>
              <w:jc w:val="right"/>
              <w:rPr>
                <w:rFonts w:eastAsia="Times New Roman" w:cstheme="minorHAnsi"/>
                <w:b/>
                <w:bCs/>
                <w:sz w:val="18"/>
                <w:szCs w:val="18"/>
              </w:rPr>
            </w:pPr>
            <w:r w:rsidRPr="00B747AD">
              <w:rPr>
                <w:rFonts w:eastAsia="Times New Roman" w:cstheme="minorHAnsi"/>
                <w:b/>
                <w:bCs/>
                <w:sz w:val="18"/>
                <w:szCs w:val="18"/>
              </w:rPr>
              <w:t>4,131</w:t>
            </w:r>
          </w:p>
        </w:tc>
        <w:tc>
          <w:tcPr>
            <w:tcW w:w="2552" w:type="dxa"/>
            <w:tcBorders>
              <w:top w:val="nil"/>
              <w:left w:val="nil"/>
              <w:bottom w:val="single" w:sz="4" w:space="0" w:color="auto"/>
              <w:right w:val="single" w:sz="4" w:space="0" w:color="auto"/>
            </w:tcBorders>
            <w:shd w:val="clear" w:color="auto" w:fill="FFFFFF"/>
            <w:noWrap/>
            <w:vAlign w:val="bottom"/>
            <w:hideMark/>
          </w:tcPr>
          <w:p w14:paraId="69822CDC" w14:textId="77777777" w:rsidR="00E05341" w:rsidRPr="00B747AD" w:rsidRDefault="00E05341" w:rsidP="00E05341">
            <w:pPr>
              <w:spacing w:after="0" w:line="240" w:lineRule="auto"/>
              <w:jc w:val="center"/>
              <w:rPr>
                <w:rFonts w:eastAsia="Times New Roman" w:cstheme="minorHAnsi"/>
                <w:b/>
                <w:bCs/>
                <w:sz w:val="18"/>
                <w:szCs w:val="18"/>
              </w:rPr>
            </w:pPr>
            <w:r w:rsidRPr="00B747AD">
              <w:rPr>
                <w:rFonts w:eastAsia="Times New Roman" w:cstheme="minorHAnsi"/>
                <w:b/>
                <w:bCs/>
                <w:sz w:val="18"/>
                <w:szCs w:val="18"/>
              </w:rPr>
              <w:t>-77.8</w:t>
            </w:r>
          </w:p>
        </w:tc>
      </w:tr>
    </w:tbl>
    <w:p w14:paraId="0F62AE0C" w14:textId="77777777" w:rsidR="00E05341" w:rsidRPr="00B747AD" w:rsidRDefault="00E05341" w:rsidP="00E05341">
      <w:pPr>
        <w:spacing w:after="200" w:line="240" w:lineRule="auto"/>
        <w:rPr>
          <w:rFonts w:ascii="Times New Roman" w:eastAsia="Times New Roman" w:hAnsi="Times New Roman"/>
          <w:b/>
          <w:i/>
          <w:sz w:val="18"/>
          <w:szCs w:val="24"/>
          <w:lang w:val="pl-PL"/>
        </w:rPr>
      </w:pPr>
      <w:r w:rsidRPr="00B747AD">
        <w:rPr>
          <w:rFonts w:eastAsia="Times New Roman" w:cs="Calibri"/>
          <w:i/>
          <w:sz w:val="18"/>
          <w:szCs w:val="24"/>
          <w:lang w:val="sr-Latn-RS"/>
        </w:rPr>
        <w:t>Izvor: CBCG</w:t>
      </w:r>
    </w:p>
    <w:p w14:paraId="57BBBBD4" w14:textId="4FB19161" w:rsidR="00E05341" w:rsidRDefault="00E05341" w:rsidP="00E05341">
      <w:pPr>
        <w:spacing w:line="276" w:lineRule="auto"/>
        <w:jc w:val="both"/>
        <w:rPr>
          <w:rFonts w:eastAsiaTheme="majorEastAsia" w:cstheme="minorHAnsi"/>
          <w:b/>
          <w:color w:val="2F5496" w:themeColor="accent1" w:themeShade="BF"/>
          <w:sz w:val="24"/>
          <w:szCs w:val="24"/>
          <w:lang w:val="sr-Latn-ME"/>
        </w:rPr>
      </w:pPr>
      <w:r>
        <w:rPr>
          <w:rFonts w:eastAsiaTheme="majorEastAsia" w:cstheme="minorHAnsi"/>
          <w:b/>
          <w:color w:val="2F5496" w:themeColor="accent1" w:themeShade="BF"/>
          <w:sz w:val="24"/>
          <w:szCs w:val="24"/>
          <w:lang w:val="sr-Latn-ME"/>
        </w:rPr>
        <w:t>1.1.6.3</w:t>
      </w:r>
      <w:r w:rsidR="002E35FA">
        <w:rPr>
          <w:rFonts w:eastAsiaTheme="majorEastAsia" w:cstheme="minorHAnsi"/>
          <w:b/>
          <w:color w:val="2F5496" w:themeColor="accent1" w:themeShade="BF"/>
          <w:sz w:val="24"/>
          <w:szCs w:val="24"/>
          <w:lang w:val="sr-Latn-ME"/>
        </w:rPr>
        <w:t>.</w:t>
      </w:r>
      <w:r>
        <w:rPr>
          <w:rFonts w:eastAsiaTheme="majorEastAsia" w:cstheme="minorHAnsi"/>
          <w:b/>
          <w:color w:val="2F5496" w:themeColor="accent1" w:themeShade="BF"/>
          <w:sz w:val="24"/>
          <w:szCs w:val="24"/>
          <w:lang w:val="sr-Latn-ME"/>
        </w:rPr>
        <w:t xml:space="preserve"> Međunarodna investiciona pozicija</w:t>
      </w:r>
    </w:p>
    <w:p w14:paraId="58219A11" w14:textId="77777777" w:rsidR="00E05341" w:rsidRPr="00306384" w:rsidRDefault="00E05341" w:rsidP="00E05341">
      <w:pPr>
        <w:spacing w:after="200" w:line="240" w:lineRule="auto"/>
        <w:jc w:val="both"/>
        <w:rPr>
          <w:rFonts w:cstheme="minorHAnsi"/>
          <w:sz w:val="24"/>
          <w:szCs w:val="24"/>
          <w:lang w:val="sr-Latn-ME"/>
        </w:rPr>
      </w:pPr>
      <w:r w:rsidRPr="00306384">
        <w:rPr>
          <w:rFonts w:cstheme="minorHAnsi"/>
          <w:sz w:val="24"/>
          <w:szCs w:val="24"/>
          <w:lang w:val="sr-Latn-ME"/>
        </w:rPr>
        <w:t>Na kraju 2023. godine</w:t>
      </w:r>
      <w:r>
        <w:rPr>
          <w:rFonts w:cstheme="minorHAnsi"/>
          <w:sz w:val="24"/>
          <w:szCs w:val="24"/>
          <w:lang w:val="sr-Latn-ME"/>
        </w:rPr>
        <w:t>,</w:t>
      </w:r>
      <w:r w:rsidRPr="00306384">
        <w:rPr>
          <w:rFonts w:cstheme="minorHAnsi"/>
          <w:sz w:val="24"/>
          <w:szCs w:val="24"/>
          <w:lang w:val="sr-Latn-ME"/>
        </w:rPr>
        <w:t xml:space="preserve"> neto međunarodna investiciona pozicija (MIP) Crne Gore iznosila je -7.184,95 miliona eura ili 1</w:t>
      </w:r>
      <w:r>
        <w:rPr>
          <w:rFonts w:cstheme="minorHAnsi"/>
          <w:sz w:val="24"/>
          <w:szCs w:val="24"/>
          <w:lang w:val="sr-Latn-ME"/>
        </w:rPr>
        <w:t>03,2% BDP i u poređenju sa 2022,</w:t>
      </w:r>
      <w:r w:rsidRPr="00306384">
        <w:rPr>
          <w:rFonts w:cstheme="minorHAnsi"/>
          <w:sz w:val="24"/>
          <w:szCs w:val="24"/>
          <w:lang w:val="sr-Latn-ME"/>
        </w:rPr>
        <w:t xml:space="preserve"> smanjena je za 170,18 miliona eura. Ukupna potraživanja rezidenata prema inostranstvu iznosila su 5.351,77 miliona eura, a obaveze 12.536,71 miliona eura. Posmatrajući neto pozicije po investicionim instrumentima (sredstva minus obaveze), preliminarni podaci pokazuju da je u odnosu na isti period prethodne godine, zabilježeno smanjenje kod ostalih investicija za 464,74 miliona eura i kod portfolio investicija za 635,01 milion eura, dok je neto pozicija kod stranih direktnih investicija povećana za 437,59 miliona eura.</w:t>
      </w:r>
    </w:p>
    <w:p w14:paraId="1C206727" w14:textId="77777777" w:rsidR="00E05341" w:rsidRPr="00306384" w:rsidRDefault="00E05341" w:rsidP="00E05341">
      <w:pPr>
        <w:spacing w:after="200" w:line="240" w:lineRule="auto"/>
        <w:jc w:val="both"/>
        <w:rPr>
          <w:rFonts w:cstheme="minorHAnsi"/>
          <w:sz w:val="24"/>
          <w:szCs w:val="24"/>
          <w:lang w:val="sr-Latn-ME"/>
        </w:rPr>
      </w:pPr>
      <w:r>
        <w:rPr>
          <w:rFonts w:cstheme="minorHAnsi"/>
          <w:sz w:val="24"/>
          <w:szCs w:val="24"/>
          <w:lang w:val="sr-Latn-ME"/>
        </w:rPr>
        <w:t xml:space="preserve">Na kraju drugog kvartala 2024. </w:t>
      </w:r>
      <w:r w:rsidRPr="00306384">
        <w:rPr>
          <w:rFonts w:cstheme="minorHAnsi"/>
          <w:sz w:val="24"/>
          <w:szCs w:val="24"/>
          <w:lang w:val="sr-Latn-ME"/>
        </w:rPr>
        <w:t>godine</w:t>
      </w:r>
      <w:r>
        <w:rPr>
          <w:rFonts w:cstheme="minorHAnsi"/>
          <w:sz w:val="24"/>
          <w:szCs w:val="24"/>
          <w:lang w:val="sr-Latn-ME"/>
        </w:rPr>
        <w:t>,</w:t>
      </w:r>
      <w:r w:rsidRPr="00306384">
        <w:rPr>
          <w:rFonts w:cstheme="minorHAnsi"/>
          <w:sz w:val="24"/>
          <w:szCs w:val="24"/>
          <w:lang w:val="sr-Latn-ME"/>
        </w:rPr>
        <w:t xml:space="preserve"> neto međunarodna investiciona pozicija (MIP) Crne Gore iznosila je -7.840,48 miliona eura. Ukupna potraživanja rezidenata prema inostranstvu iznosila su 5.429,82 miliona eura, a </w:t>
      </w:r>
      <w:r>
        <w:rPr>
          <w:rFonts w:cstheme="minorHAnsi"/>
          <w:sz w:val="24"/>
          <w:szCs w:val="24"/>
          <w:lang w:val="sr-Latn-ME"/>
        </w:rPr>
        <w:t>obaveze 13.270,30 miliona eura.</w:t>
      </w:r>
    </w:p>
    <w:p w14:paraId="22220901" w14:textId="77777777" w:rsidR="00E05341" w:rsidRPr="00306384" w:rsidRDefault="00E05341" w:rsidP="00E05341">
      <w:pPr>
        <w:spacing w:after="200" w:line="240" w:lineRule="auto"/>
        <w:jc w:val="both"/>
        <w:rPr>
          <w:rFonts w:cstheme="minorHAnsi"/>
          <w:sz w:val="24"/>
          <w:szCs w:val="24"/>
          <w:lang w:val="sr-Latn-ME"/>
        </w:rPr>
      </w:pPr>
      <w:r w:rsidRPr="00306384">
        <w:rPr>
          <w:rFonts w:cstheme="minorHAnsi"/>
          <w:sz w:val="24"/>
          <w:szCs w:val="24"/>
          <w:lang w:val="sr-Latn-ME"/>
        </w:rPr>
        <w:t xml:space="preserve">Negativna neto međunarodna investiciona pozicija na kraju drugog kvartala 2024. godine povećana je, u poređenju sa krajem prethodne godine, za 655,53 miliona eura, najvećim dijelom zbog povećanja finansijskih sredstava (za 733,59 miliona eura), čiji uticaj je donekle ublažen istovremenim povećanjem finansijskih obaveza (za 78,05 miliona eura). </w:t>
      </w:r>
    </w:p>
    <w:p w14:paraId="0EC029EF" w14:textId="77777777" w:rsidR="00E05341" w:rsidRPr="00306384" w:rsidRDefault="00E05341" w:rsidP="00E05341">
      <w:pPr>
        <w:spacing w:after="200" w:line="240" w:lineRule="auto"/>
        <w:jc w:val="both"/>
        <w:rPr>
          <w:rFonts w:cstheme="minorHAnsi"/>
          <w:sz w:val="24"/>
          <w:szCs w:val="24"/>
          <w:lang w:val="sr-Latn-ME"/>
        </w:rPr>
      </w:pPr>
      <w:r w:rsidRPr="00306384">
        <w:rPr>
          <w:rFonts w:cstheme="minorHAnsi"/>
          <w:sz w:val="24"/>
          <w:szCs w:val="24"/>
          <w:lang w:val="sr-Latn-ME"/>
        </w:rPr>
        <w:t>Posmatrajući neto pozicije po investicionim instrumentima (sredstva minus obaveze), preliminarni podaci pokazuju da je u odnosu na isti period prethodne godine zabilježeno povećanje kod portfolio investicija za 647,05 miliona eura, takođe je zabilježeno povećanje kod stranih direktnih investicija za 95,26 miliona eura i ostalih investicija za 71,87 miliona eura.</w:t>
      </w:r>
    </w:p>
    <w:p w14:paraId="7D155CA2" w14:textId="77777777" w:rsidR="00E05341" w:rsidRPr="00B20DAF" w:rsidRDefault="00E05341" w:rsidP="00E05341">
      <w:pPr>
        <w:spacing w:line="240" w:lineRule="auto"/>
        <w:jc w:val="both"/>
        <w:rPr>
          <w:b/>
          <w:bCs/>
        </w:rPr>
      </w:pPr>
      <w:r w:rsidRPr="00B20DAF">
        <w:rPr>
          <w:b/>
          <w:bCs/>
        </w:rPr>
        <w:t xml:space="preserve">Tabela </w:t>
      </w:r>
      <w:r>
        <w:rPr>
          <w:b/>
          <w:bCs/>
        </w:rPr>
        <w:t>1</w:t>
      </w:r>
      <w:r w:rsidRPr="00B20DAF">
        <w:rPr>
          <w:b/>
          <w:bCs/>
        </w:rPr>
        <w:t>.1.6.3: Struktura međunarodne investicione pozicije Crne Gore, u milionima eura</w:t>
      </w:r>
    </w:p>
    <w:tbl>
      <w:tblPr>
        <w:tblW w:w="10500" w:type="dxa"/>
        <w:tblInd w:w="118" w:type="dxa"/>
        <w:tblLook w:val="04A0" w:firstRow="1" w:lastRow="0" w:firstColumn="1" w:lastColumn="0" w:noHBand="0" w:noVBand="1"/>
      </w:tblPr>
      <w:tblGrid>
        <w:gridCol w:w="3503"/>
        <w:gridCol w:w="1165"/>
        <w:gridCol w:w="1276"/>
        <w:gridCol w:w="1134"/>
        <w:gridCol w:w="1134"/>
        <w:gridCol w:w="1276"/>
        <w:gridCol w:w="1012"/>
      </w:tblGrid>
      <w:tr w:rsidR="00E05341" w:rsidRPr="005D2778" w14:paraId="6EC36E5D" w14:textId="77777777" w:rsidTr="00E05341">
        <w:trPr>
          <w:gridAfter w:val="1"/>
          <w:wAfter w:w="1012" w:type="dxa"/>
          <w:trHeight w:val="450"/>
        </w:trPr>
        <w:tc>
          <w:tcPr>
            <w:tcW w:w="35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8FB680" w14:textId="77777777" w:rsidR="00E05341" w:rsidRPr="005D2778" w:rsidRDefault="00E05341" w:rsidP="00E05341">
            <w:pPr>
              <w:spacing w:after="0" w:line="240" w:lineRule="auto"/>
              <w:jc w:val="center"/>
              <w:rPr>
                <w:rFonts w:eastAsia="Times New Roman" w:cstheme="minorHAnsi"/>
                <w:b/>
                <w:bCs/>
                <w:sz w:val="18"/>
                <w:szCs w:val="18"/>
              </w:rPr>
            </w:pPr>
            <w:r w:rsidRPr="005D2778">
              <w:rPr>
                <w:rFonts w:eastAsia="Times New Roman" w:cstheme="minorHAnsi"/>
                <w:b/>
                <w:bCs/>
                <w:sz w:val="18"/>
                <w:szCs w:val="18"/>
              </w:rPr>
              <w:t> </w:t>
            </w:r>
          </w:p>
        </w:tc>
        <w:tc>
          <w:tcPr>
            <w:tcW w:w="11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F592BE3" w14:textId="77777777" w:rsidR="00E05341" w:rsidRPr="005D2778" w:rsidRDefault="00E05341" w:rsidP="00E05341">
            <w:pPr>
              <w:spacing w:after="0" w:line="240" w:lineRule="auto"/>
              <w:jc w:val="center"/>
              <w:rPr>
                <w:rFonts w:eastAsia="Times New Roman" w:cstheme="minorHAnsi"/>
                <w:b/>
                <w:bCs/>
                <w:sz w:val="18"/>
                <w:szCs w:val="18"/>
              </w:rPr>
            </w:pPr>
            <w:r w:rsidRPr="005D2778">
              <w:rPr>
                <w:rFonts w:eastAsia="Times New Roman" w:cstheme="minorHAnsi"/>
                <w:b/>
                <w:bCs/>
                <w:sz w:val="18"/>
                <w:szCs w:val="18"/>
              </w:rPr>
              <w:t>2022</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AF55FB5" w14:textId="77777777" w:rsidR="00E05341" w:rsidRPr="005D2778" w:rsidRDefault="00E05341" w:rsidP="00E05341">
            <w:pPr>
              <w:spacing w:after="0" w:line="240" w:lineRule="auto"/>
              <w:jc w:val="center"/>
              <w:rPr>
                <w:rFonts w:eastAsia="Times New Roman" w:cstheme="minorHAnsi"/>
                <w:b/>
                <w:bCs/>
                <w:sz w:val="18"/>
                <w:szCs w:val="18"/>
              </w:rPr>
            </w:pPr>
            <w:r w:rsidRPr="005D2778">
              <w:rPr>
                <w:rFonts w:eastAsia="Times New Roman" w:cstheme="minorHAnsi"/>
                <w:b/>
                <w:bCs/>
                <w:sz w:val="18"/>
                <w:szCs w:val="18"/>
              </w:rPr>
              <w:t>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2657E17" w14:textId="77777777" w:rsidR="00E05341" w:rsidRPr="005D2778" w:rsidRDefault="00E05341" w:rsidP="00E05341">
            <w:pPr>
              <w:spacing w:after="0" w:line="240" w:lineRule="auto"/>
              <w:jc w:val="center"/>
              <w:rPr>
                <w:rFonts w:eastAsia="Times New Roman" w:cstheme="minorHAnsi"/>
                <w:b/>
                <w:bCs/>
                <w:sz w:val="18"/>
                <w:szCs w:val="18"/>
              </w:rPr>
            </w:pPr>
            <w:r w:rsidRPr="005D2778">
              <w:rPr>
                <w:rFonts w:eastAsia="Times New Roman" w:cstheme="minorHAnsi"/>
                <w:b/>
                <w:bCs/>
                <w:sz w:val="18"/>
                <w:szCs w:val="18"/>
              </w:rPr>
              <w:t>Q2-2024</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A3224E" w14:textId="77777777" w:rsidR="00E05341" w:rsidRPr="005D2778" w:rsidRDefault="00E05341" w:rsidP="00E05341">
            <w:pPr>
              <w:spacing w:after="0" w:line="240" w:lineRule="auto"/>
              <w:jc w:val="center"/>
              <w:rPr>
                <w:rFonts w:eastAsia="Times New Roman" w:cstheme="minorHAnsi"/>
                <w:b/>
                <w:bCs/>
                <w:i/>
                <w:iCs/>
                <w:sz w:val="18"/>
                <w:szCs w:val="18"/>
              </w:rPr>
            </w:pPr>
            <w:r w:rsidRPr="005D2778">
              <w:rPr>
                <w:rFonts w:eastAsia="Times New Roman" w:cstheme="minorHAnsi"/>
                <w:b/>
                <w:bCs/>
                <w:i/>
                <w:iCs/>
                <w:sz w:val="18"/>
                <w:szCs w:val="18"/>
              </w:rPr>
              <w:t>Promjena u % 2023/2022</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67DE2F" w14:textId="77777777" w:rsidR="00E05341" w:rsidRPr="005D2778" w:rsidRDefault="00E05341" w:rsidP="00E05341">
            <w:pPr>
              <w:spacing w:after="0" w:line="240" w:lineRule="auto"/>
              <w:jc w:val="center"/>
              <w:rPr>
                <w:rFonts w:eastAsia="Times New Roman" w:cstheme="minorHAnsi"/>
                <w:b/>
                <w:bCs/>
                <w:i/>
                <w:iCs/>
                <w:sz w:val="18"/>
                <w:szCs w:val="18"/>
              </w:rPr>
            </w:pPr>
            <w:r w:rsidRPr="005D2778">
              <w:rPr>
                <w:rFonts w:eastAsia="Times New Roman" w:cstheme="minorHAnsi"/>
                <w:b/>
                <w:bCs/>
                <w:i/>
                <w:iCs/>
                <w:sz w:val="18"/>
                <w:szCs w:val="18"/>
              </w:rPr>
              <w:t>Promjena u % Q2 2024/2023</w:t>
            </w:r>
          </w:p>
        </w:tc>
      </w:tr>
      <w:tr w:rsidR="00E05341" w:rsidRPr="005D2778" w14:paraId="6E6750C4" w14:textId="77777777" w:rsidTr="00E05341">
        <w:trPr>
          <w:trHeight w:val="540"/>
        </w:trPr>
        <w:tc>
          <w:tcPr>
            <w:tcW w:w="3503" w:type="dxa"/>
            <w:vMerge/>
            <w:tcBorders>
              <w:top w:val="single" w:sz="8" w:space="0" w:color="auto"/>
              <w:left w:val="single" w:sz="8" w:space="0" w:color="auto"/>
              <w:bottom w:val="single" w:sz="8" w:space="0" w:color="000000"/>
              <w:right w:val="single" w:sz="8" w:space="0" w:color="auto"/>
            </w:tcBorders>
            <w:vAlign w:val="center"/>
            <w:hideMark/>
          </w:tcPr>
          <w:p w14:paraId="5A6DD5F4" w14:textId="77777777" w:rsidR="00E05341" w:rsidRPr="005D2778" w:rsidRDefault="00E05341" w:rsidP="00E05341">
            <w:pPr>
              <w:spacing w:after="0" w:line="240" w:lineRule="auto"/>
              <w:rPr>
                <w:rFonts w:eastAsia="Times New Roman" w:cstheme="minorHAnsi"/>
                <w:b/>
                <w:bCs/>
                <w:sz w:val="18"/>
                <w:szCs w:val="18"/>
              </w:rPr>
            </w:pPr>
          </w:p>
        </w:tc>
        <w:tc>
          <w:tcPr>
            <w:tcW w:w="1165" w:type="dxa"/>
            <w:vMerge/>
            <w:tcBorders>
              <w:top w:val="single" w:sz="8" w:space="0" w:color="auto"/>
              <w:left w:val="single" w:sz="8" w:space="0" w:color="auto"/>
              <w:bottom w:val="single" w:sz="8" w:space="0" w:color="000000"/>
              <w:right w:val="single" w:sz="8" w:space="0" w:color="auto"/>
            </w:tcBorders>
            <w:vAlign w:val="center"/>
            <w:hideMark/>
          </w:tcPr>
          <w:p w14:paraId="42B5C855" w14:textId="77777777" w:rsidR="00E05341" w:rsidRPr="005D2778" w:rsidRDefault="00E05341" w:rsidP="00E05341">
            <w:pPr>
              <w:spacing w:after="0" w:line="240" w:lineRule="auto"/>
              <w:rPr>
                <w:rFonts w:eastAsia="Times New Roman" w:cstheme="minorHAnsi"/>
                <w:b/>
                <w:bCs/>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2D344C9" w14:textId="77777777" w:rsidR="00E05341" w:rsidRPr="005D2778" w:rsidRDefault="00E05341" w:rsidP="00E05341">
            <w:pPr>
              <w:spacing w:after="0" w:line="240" w:lineRule="auto"/>
              <w:rPr>
                <w:rFonts w:eastAsia="Times New Roman" w:cstheme="minorHAnsi"/>
                <w:b/>
                <w:bCs/>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E02C00B" w14:textId="77777777" w:rsidR="00E05341" w:rsidRPr="005D2778" w:rsidRDefault="00E05341" w:rsidP="00E05341">
            <w:pPr>
              <w:spacing w:after="0" w:line="240" w:lineRule="auto"/>
              <w:rPr>
                <w:rFonts w:eastAsia="Times New Roman" w:cstheme="minorHAnsi"/>
                <w:b/>
                <w:bCs/>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A8E247D" w14:textId="77777777" w:rsidR="00E05341" w:rsidRPr="005D2778" w:rsidRDefault="00E05341" w:rsidP="00E05341">
            <w:pPr>
              <w:spacing w:after="0" w:line="240" w:lineRule="auto"/>
              <w:rPr>
                <w:rFonts w:eastAsia="Times New Roman" w:cstheme="minorHAnsi"/>
                <w:b/>
                <w:bCs/>
                <w:i/>
                <w:iCs/>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A1A959E" w14:textId="77777777" w:rsidR="00E05341" w:rsidRPr="005D2778" w:rsidRDefault="00E05341" w:rsidP="00E05341">
            <w:pPr>
              <w:spacing w:after="0" w:line="240" w:lineRule="auto"/>
              <w:rPr>
                <w:rFonts w:eastAsia="Times New Roman" w:cstheme="minorHAnsi"/>
                <w:b/>
                <w:bCs/>
                <w:i/>
                <w:iCs/>
                <w:sz w:val="18"/>
                <w:szCs w:val="18"/>
              </w:rPr>
            </w:pPr>
          </w:p>
        </w:tc>
        <w:tc>
          <w:tcPr>
            <w:tcW w:w="1012" w:type="dxa"/>
            <w:tcBorders>
              <w:top w:val="nil"/>
              <w:left w:val="nil"/>
              <w:bottom w:val="nil"/>
              <w:right w:val="nil"/>
            </w:tcBorders>
            <w:shd w:val="clear" w:color="auto" w:fill="auto"/>
            <w:noWrap/>
            <w:vAlign w:val="bottom"/>
            <w:hideMark/>
          </w:tcPr>
          <w:p w14:paraId="48EAAFCE" w14:textId="77777777" w:rsidR="00E05341" w:rsidRPr="005D2778" w:rsidRDefault="00E05341" w:rsidP="00E05341">
            <w:pPr>
              <w:spacing w:after="0" w:line="240" w:lineRule="auto"/>
              <w:jc w:val="center"/>
              <w:rPr>
                <w:rFonts w:eastAsia="Times New Roman" w:cstheme="minorHAnsi"/>
                <w:b/>
                <w:bCs/>
                <w:i/>
                <w:iCs/>
                <w:sz w:val="18"/>
                <w:szCs w:val="18"/>
              </w:rPr>
            </w:pPr>
          </w:p>
        </w:tc>
      </w:tr>
      <w:tr w:rsidR="00E05341" w:rsidRPr="005D2778" w14:paraId="35D6DECA" w14:textId="77777777" w:rsidTr="00E05341">
        <w:trPr>
          <w:trHeight w:val="315"/>
        </w:trPr>
        <w:tc>
          <w:tcPr>
            <w:tcW w:w="3503" w:type="dxa"/>
            <w:tcBorders>
              <w:top w:val="nil"/>
              <w:left w:val="single" w:sz="8" w:space="0" w:color="auto"/>
              <w:bottom w:val="single" w:sz="8" w:space="0" w:color="auto"/>
              <w:right w:val="single" w:sz="8" w:space="0" w:color="auto"/>
            </w:tcBorders>
            <w:shd w:val="clear" w:color="auto" w:fill="auto"/>
            <w:vAlign w:val="center"/>
            <w:hideMark/>
          </w:tcPr>
          <w:p w14:paraId="0C9274BB" w14:textId="77777777" w:rsidR="00E05341" w:rsidRPr="005D2778" w:rsidRDefault="00E05341" w:rsidP="00E05341">
            <w:pPr>
              <w:spacing w:after="0" w:line="240" w:lineRule="auto"/>
              <w:rPr>
                <w:rFonts w:eastAsia="Times New Roman" w:cstheme="minorHAnsi"/>
                <w:b/>
                <w:bCs/>
                <w:sz w:val="18"/>
                <w:szCs w:val="18"/>
              </w:rPr>
            </w:pPr>
            <w:r w:rsidRPr="005D2778">
              <w:rPr>
                <w:rFonts w:eastAsia="Times New Roman" w:cstheme="minorHAnsi"/>
                <w:b/>
                <w:bCs/>
                <w:sz w:val="18"/>
                <w:szCs w:val="18"/>
              </w:rPr>
              <w:t xml:space="preserve"> 1. Međunarodna investiciona pozicija, neto </w:t>
            </w:r>
          </w:p>
        </w:tc>
        <w:tc>
          <w:tcPr>
            <w:tcW w:w="1165" w:type="dxa"/>
            <w:tcBorders>
              <w:top w:val="nil"/>
              <w:left w:val="nil"/>
              <w:bottom w:val="single" w:sz="8" w:space="0" w:color="auto"/>
              <w:right w:val="single" w:sz="8" w:space="0" w:color="auto"/>
            </w:tcBorders>
            <w:shd w:val="clear" w:color="auto" w:fill="auto"/>
            <w:noWrap/>
            <w:vAlign w:val="bottom"/>
            <w:hideMark/>
          </w:tcPr>
          <w:p w14:paraId="6994D16B" w14:textId="77777777" w:rsidR="00E05341" w:rsidRPr="005D2778" w:rsidRDefault="00E05341" w:rsidP="00E05341">
            <w:pPr>
              <w:spacing w:after="0" w:line="240" w:lineRule="auto"/>
              <w:jc w:val="right"/>
              <w:rPr>
                <w:rFonts w:eastAsia="Times New Roman" w:cstheme="minorHAnsi"/>
                <w:b/>
                <w:bCs/>
                <w:sz w:val="18"/>
                <w:szCs w:val="18"/>
              </w:rPr>
            </w:pPr>
            <w:r w:rsidRPr="005D2778">
              <w:rPr>
                <w:rFonts w:eastAsia="Times New Roman" w:cstheme="minorHAnsi"/>
                <w:b/>
                <w:bCs/>
                <w:sz w:val="18"/>
                <w:szCs w:val="18"/>
              </w:rPr>
              <w:t xml:space="preserve">-  7,355.1   </w:t>
            </w:r>
          </w:p>
        </w:tc>
        <w:tc>
          <w:tcPr>
            <w:tcW w:w="1276" w:type="dxa"/>
            <w:tcBorders>
              <w:top w:val="nil"/>
              <w:left w:val="nil"/>
              <w:bottom w:val="single" w:sz="8" w:space="0" w:color="auto"/>
              <w:right w:val="single" w:sz="8" w:space="0" w:color="auto"/>
            </w:tcBorders>
            <w:shd w:val="clear" w:color="auto" w:fill="auto"/>
            <w:noWrap/>
            <w:vAlign w:val="bottom"/>
            <w:hideMark/>
          </w:tcPr>
          <w:p w14:paraId="0D32EB83" w14:textId="77777777" w:rsidR="00E05341" w:rsidRPr="005D2778" w:rsidRDefault="00E05341" w:rsidP="00E05341">
            <w:pPr>
              <w:spacing w:after="0" w:line="240" w:lineRule="auto"/>
              <w:jc w:val="right"/>
              <w:rPr>
                <w:rFonts w:eastAsia="Times New Roman" w:cstheme="minorHAnsi"/>
                <w:b/>
                <w:bCs/>
                <w:sz w:val="18"/>
                <w:szCs w:val="18"/>
              </w:rPr>
            </w:pPr>
            <w:r w:rsidRPr="005D2778">
              <w:rPr>
                <w:rFonts w:eastAsia="Times New Roman" w:cstheme="minorHAnsi"/>
                <w:b/>
                <w:bCs/>
                <w:sz w:val="18"/>
                <w:szCs w:val="18"/>
              </w:rPr>
              <w:t xml:space="preserve">-   7,184.9   </w:t>
            </w:r>
          </w:p>
        </w:tc>
        <w:tc>
          <w:tcPr>
            <w:tcW w:w="1134" w:type="dxa"/>
            <w:tcBorders>
              <w:top w:val="nil"/>
              <w:left w:val="nil"/>
              <w:bottom w:val="single" w:sz="8" w:space="0" w:color="auto"/>
              <w:right w:val="single" w:sz="8" w:space="0" w:color="auto"/>
            </w:tcBorders>
            <w:shd w:val="clear" w:color="auto" w:fill="auto"/>
            <w:noWrap/>
            <w:vAlign w:val="bottom"/>
            <w:hideMark/>
          </w:tcPr>
          <w:p w14:paraId="7581BACE" w14:textId="77777777" w:rsidR="00E05341" w:rsidRPr="005D2778" w:rsidRDefault="00E05341" w:rsidP="00E05341">
            <w:pPr>
              <w:spacing w:after="0" w:line="240" w:lineRule="auto"/>
              <w:jc w:val="right"/>
              <w:rPr>
                <w:rFonts w:eastAsia="Times New Roman" w:cstheme="minorHAnsi"/>
                <w:b/>
                <w:bCs/>
                <w:sz w:val="18"/>
                <w:szCs w:val="18"/>
              </w:rPr>
            </w:pPr>
            <w:r w:rsidRPr="005D2778">
              <w:rPr>
                <w:rFonts w:eastAsia="Times New Roman" w:cstheme="minorHAnsi"/>
                <w:b/>
                <w:bCs/>
                <w:sz w:val="18"/>
                <w:szCs w:val="18"/>
              </w:rPr>
              <w:t xml:space="preserve">-    7,840.5   </w:t>
            </w:r>
          </w:p>
        </w:tc>
        <w:tc>
          <w:tcPr>
            <w:tcW w:w="1134" w:type="dxa"/>
            <w:tcBorders>
              <w:top w:val="nil"/>
              <w:left w:val="nil"/>
              <w:bottom w:val="single" w:sz="8" w:space="0" w:color="auto"/>
              <w:right w:val="single" w:sz="8" w:space="0" w:color="auto"/>
            </w:tcBorders>
            <w:shd w:val="clear" w:color="auto" w:fill="auto"/>
            <w:noWrap/>
            <w:vAlign w:val="center"/>
            <w:hideMark/>
          </w:tcPr>
          <w:p w14:paraId="0CE87636" w14:textId="77777777" w:rsidR="00E05341" w:rsidRPr="005D2778" w:rsidRDefault="00E05341" w:rsidP="00E05341">
            <w:pPr>
              <w:spacing w:after="0" w:line="240" w:lineRule="auto"/>
              <w:jc w:val="center"/>
              <w:rPr>
                <w:rFonts w:eastAsia="Times New Roman" w:cstheme="minorHAnsi"/>
                <w:b/>
                <w:bCs/>
                <w:sz w:val="18"/>
                <w:szCs w:val="18"/>
              </w:rPr>
            </w:pPr>
            <w:r w:rsidRPr="005D2778">
              <w:rPr>
                <w:rFonts w:eastAsia="Times New Roman" w:cstheme="minorHAnsi"/>
                <w:b/>
                <w:bCs/>
                <w:sz w:val="18"/>
                <w:szCs w:val="18"/>
              </w:rPr>
              <w:t>-2.31%</w:t>
            </w:r>
          </w:p>
        </w:tc>
        <w:tc>
          <w:tcPr>
            <w:tcW w:w="1276" w:type="dxa"/>
            <w:tcBorders>
              <w:top w:val="nil"/>
              <w:left w:val="nil"/>
              <w:bottom w:val="single" w:sz="8" w:space="0" w:color="auto"/>
              <w:right w:val="single" w:sz="8" w:space="0" w:color="auto"/>
            </w:tcBorders>
            <w:shd w:val="clear" w:color="auto" w:fill="auto"/>
            <w:noWrap/>
            <w:vAlign w:val="center"/>
            <w:hideMark/>
          </w:tcPr>
          <w:p w14:paraId="4D0BB561" w14:textId="77777777" w:rsidR="00E05341" w:rsidRPr="005D2778" w:rsidRDefault="00E05341" w:rsidP="00E05341">
            <w:pPr>
              <w:spacing w:after="0" w:line="240" w:lineRule="auto"/>
              <w:jc w:val="center"/>
              <w:rPr>
                <w:rFonts w:eastAsia="Times New Roman" w:cstheme="minorHAnsi"/>
                <w:b/>
                <w:bCs/>
                <w:sz w:val="18"/>
                <w:szCs w:val="18"/>
              </w:rPr>
            </w:pPr>
            <w:r w:rsidRPr="005D2778">
              <w:rPr>
                <w:rFonts w:eastAsia="Times New Roman" w:cstheme="minorHAnsi"/>
                <w:b/>
                <w:bCs/>
                <w:sz w:val="18"/>
                <w:szCs w:val="18"/>
              </w:rPr>
              <w:t>9.12%</w:t>
            </w:r>
          </w:p>
        </w:tc>
        <w:tc>
          <w:tcPr>
            <w:tcW w:w="1012" w:type="dxa"/>
            <w:vAlign w:val="center"/>
            <w:hideMark/>
          </w:tcPr>
          <w:p w14:paraId="553A3A2E" w14:textId="77777777" w:rsidR="00E05341" w:rsidRPr="005D2778" w:rsidRDefault="00E05341" w:rsidP="00E05341">
            <w:pPr>
              <w:spacing w:after="0" w:line="240" w:lineRule="auto"/>
              <w:rPr>
                <w:rFonts w:eastAsia="Times New Roman" w:cstheme="minorHAnsi"/>
                <w:sz w:val="18"/>
                <w:szCs w:val="18"/>
              </w:rPr>
            </w:pPr>
          </w:p>
        </w:tc>
      </w:tr>
      <w:tr w:rsidR="00E05341" w:rsidRPr="005D2778" w14:paraId="331272B0" w14:textId="77777777" w:rsidTr="00E05341">
        <w:trPr>
          <w:trHeight w:val="315"/>
        </w:trPr>
        <w:tc>
          <w:tcPr>
            <w:tcW w:w="3503" w:type="dxa"/>
            <w:tcBorders>
              <w:top w:val="nil"/>
              <w:left w:val="single" w:sz="8" w:space="0" w:color="auto"/>
              <w:bottom w:val="single" w:sz="8" w:space="0" w:color="auto"/>
              <w:right w:val="single" w:sz="8" w:space="0" w:color="auto"/>
            </w:tcBorders>
            <w:shd w:val="clear" w:color="auto" w:fill="auto"/>
            <w:vAlign w:val="center"/>
            <w:hideMark/>
          </w:tcPr>
          <w:p w14:paraId="0F2DAA53" w14:textId="77777777" w:rsidR="00E05341" w:rsidRPr="005D2778" w:rsidRDefault="00E05341" w:rsidP="00E05341">
            <w:pPr>
              <w:spacing w:after="0" w:line="240" w:lineRule="auto"/>
              <w:rPr>
                <w:rFonts w:eastAsia="Times New Roman" w:cstheme="minorHAnsi"/>
                <w:b/>
                <w:bCs/>
                <w:sz w:val="18"/>
                <w:szCs w:val="18"/>
              </w:rPr>
            </w:pPr>
            <w:r w:rsidRPr="005D2778">
              <w:rPr>
                <w:rFonts w:eastAsia="Times New Roman" w:cstheme="minorHAnsi"/>
                <w:b/>
                <w:bCs/>
                <w:sz w:val="18"/>
                <w:szCs w:val="18"/>
              </w:rPr>
              <w:t xml:space="preserve"> 2. Sredstva </w:t>
            </w:r>
          </w:p>
        </w:tc>
        <w:tc>
          <w:tcPr>
            <w:tcW w:w="1165" w:type="dxa"/>
            <w:tcBorders>
              <w:top w:val="nil"/>
              <w:left w:val="nil"/>
              <w:bottom w:val="single" w:sz="8" w:space="0" w:color="auto"/>
              <w:right w:val="single" w:sz="8" w:space="0" w:color="auto"/>
            </w:tcBorders>
            <w:shd w:val="clear" w:color="auto" w:fill="auto"/>
            <w:noWrap/>
            <w:vAlign w:val="bottom"/>
            <w:hideMark/>
          </w:tcPr>
          <w:p w14:paraId="65EBFBCE" w14:textId="77777777" w:rsidR="00E05341" w:rsidRPr="005D2778" w:rsidRDefault="00E05341" w:rsidP="00E05341">
            <w:pPr>
              <w:spacing w:after="0" w:line="240" w:lineRule="auto"/>
              <w:jc w:val="right"/>
              <w:rPr>
                <w:rFonts w:eastAsia="Times New Roman" w:cstheme="minorHAnsi"/>
                <w:b/>
                <w:bCs/>
                <w:sz w:val="18"/>
                <w:szCs w:val="18"/>
              </w:rPr>
            </w:pPr>
            <w:r w:rsidRPr="005D2778">
              <w:rPr>
                <w:rFonts w:eastAsia="Times New Roman" w:cstheme="minorHAnsi"/>
                <w:b/>
                <w:bCs/>
                <w:sz w:val="18"/>
                <w:szCs w:val="18"/>
              </w:rPr>
              <w:t xml:space="preserve">         4,898.5   </w:t>
            </w:r>
          </w:p>
        </w:tc>
        <w:tc>
          <w:tcPr>
            <w:tcW w:w="1276" w:type="dxa"/>
            <w:tcBorders>
              <w:top w:val="nil"/>
              <w:left w:val="nil"/>
              <w:bottom w:val="single" w:sz="8" w:space="0" w:color="auto"/>
              <w:right w:val="single" w:sz="8" w:space="0" w:color="auto"/>
            </w:tcBorders>
            <w:shd w:val="clear" w:color="auto" w:fill="auto"/>
            <w:noWrap/>
            <w:vAlign w:val="bottom"/>
            <w:hideMark/>
          </w:tcPr>
          <w:p w14:paraId="2927FCE2" w14:textId="77777777" w:rsidR="00E05341" w:rsidRPr="005D2778" w:rsidRDefault="00E05341" w:rsidP="00E05341">
            <w:pPr>
              <w:spacing w:after="0" w:line="240" w:lineRule="auto"/>
              <w:jc w:val="right"/>
              <w:rPr>
                <w:rFonts w:eastAsia="Times New Roman" w:cstheme="minorHAnsi"/>
                <w:b/>
                <w:bCs/>
                <w:sz w:val="18"/>
                <w:szCs w:val="18"/>
              </w:rPr>
            </w:pPr>
            <w:r w:rsidRPr="005D2778">
              <w:rPr>
                <w:rFonts w:eastAsia="Times New Roman" w:cstheme="minorHAnsi"/>
                <w:b/>
                <w:bCs/>
                <w:sz w:val="18"/>
                <w:szCs w:val="18"/>
              </w:rPr>
              <w:t xml:space="preserve">         5,351.8   </w:t>
            </w:r>
          </w:p>
        </w:tc>
        <w:tc>
          <w:tcPr>
            <w:tcW w:w="1134" w:type="dxa"/>
            <w:tcBorders>
              <w:top w:val="nil"/>
              <w:left w:val="nil"/>
              <w:bottom w:val="single" w:sz="8" w:space="0" w:color="auto"/>
              <w:right w:val="single" w:sz="8" w:space="0" w:color="auto"/>
            </w:tcBorders>
            <w:shd w:val="clear" w:color="auto" w:fill="auto"/>
            <w:noWrap/>
            <w:vAlign w:val="bottom"/>
            <w:hideMark/>
          </w:tcPr>
          <w:p w14:paraId="7E1D24EB" w14:textId="77777777" w:rsidR="00E05341" w:rsidRPr="005D2778" w:rsidRDefault="00E05341" w:rsidP="00E05341">
            <w:pPr>
              <w:spacing w:after="0" w:line="240" w:lineRule="auto"/>
              <w:jc w:val="right"/>
              <w:rPr>
                <w:rFonts w:eastAsia="Times New Roman" w:cstheme="minorHAnsi"/>
                <w:b/>
                <w:bCs/>
                <w:sz w:val="18"/>
                <w:szCs w:val="18"/>
              </w:rPr>
            </w:pPr>
            <w:r w:rsidRPr="005D2778">
              <w:rPr>
                <w:rFonts w:eastAsia="Times New Roman" w:cstheme="minorHAnsi"/>
                <w:b/>
                <w:bCs/>
                <w:sz w:val="18"/>
                <w:szCs w:val="18"/>
              </w:rPr>
              <w:t xml:space="preserve">         5,429.8   </w:t>
            </w:r>
          </w:p>
        </w:tc>
        <w:tc>
          <w:tcPr>
            <w:tcW w:w="1134" w:type="dxa"/>
            <w:tcBorders>
              <w:top w:val="nil"/>
              <w:left w:val="nil"/>
              <w:bottom w:val="single" w:sz="8" w:space="0" w:color="auto"/>
              <w:right w:val="single" w:sz="8" w:space="0" w:color="auto"/>
            </w:tcBorders>
            <w:shd w:val="clear" w:color="auto" w:fill="auto"/>
            <w:noWrap/>
            <w:vAlign w:val="center"/>
            <w:hideMark/>
          </w:tcPr>
          <w:p w14:paraId="3F1E3BC4" w14:textId="77777777" w:rsidR="00E05341" w:rsidRPr="005D2778" w:rsidRDefault="00E05341" w:rsidP="00E05341">
            <w:pPr>
              <w:spacing w:after="0" w:line="240" w:lineRule="auto"/>
              <w:jc w:val="center"/>
              <w:rPr>
                <w:rFonts w:eastAsia="Times New Roman" w:cstheme="minorHAnsi"/>
                <w:b/>
                <w:bCs/>
                <w:sz w:val="18"/>
                <w:szCs w:val="18"/>
              </w:rPr>
            </w:pPr>
            <w:r w:rsidRPr="005D2778">
              <w:rPr>
                <w:rFonts w:eastAsia="Times New Roman" w:cstheme="minorHAnsi"/>
                <w:b/>
                <w:bCs/>
                <w:sz w:val="18"/>
                <w:szCs w:val="18"/>
              </w:rPr>
              <w:t>9.25%</w:t>
            </w:r>
          </w:p>
        </w:tc>
        <w:tc>
          <w:tcPr>
            <w:tcW w:w="1276" w:type="dxa"/>
            <w:tcBorders>
              <w:top w:val="nil"/>
              <w:left w:val="nil"/>
              <w:bottom w:val="single" w:sz="8" w:space="0" w:color="auto"/>
              <w:right w:val="single" w:sz="8" w:space="0" w:color="auto"/>
            </w:tcBorders>
            <w:shd w:val="clear" w:color="auto" w:fill="auto"/>
            <w:noWrap/>
            <w:vAlign w:val="center"/>
            <w:hideMark/>
          </w:tcPr>
          <w:p w14:paraId="05E7935E" w14:textId="77777777" w:rsidR="00E05341" w:rsidRPr="005D2778" w:rsidRDefault="00E05341" w:rsidP="00E05341">
            <w:pPr>
              <w:spacing w:after="0" w:line="240" w:lineRule="auto"/>
              <w:jc w:val="center"/>
              <w:rPr>
                <w:rFonts w:eastAsia="Times New Roman" w:cstheme="minorHAnsi"/>
                <w:b/>
                <w:bCs/>
                <w:sz w:val="18"/>
                <w:szCs w:val="18"/>
              </w:rPr>
            </w:pPr>
            <w:r w:rsidRPr="005D2778">
              <w:rPr>
                <w:rFonts w:eastAsia="Times New Roman" w:cstheme="minorHAnsi"/>
                <w:b/>
                <w:bCs/>
                <w:sz w:val="18"/>
                <w:szCs w:val="18"/>
              </w:rPr>
              <w:t>1.46%</w:t>
            </w:r>
          </w:p>
        </w:tc>
        <w:tc>
          <w:tcPr>
            <w:tcW w:w="1012" w:type="dxa"/>
            <w:vAlign w:val="center"/>
            <w:hideMark/>
          </w:tcPr>
          <w:p w14:paraId="200D235D" w14:textId="77777777" w:rsidR="00E05341" w:rsidRPr="005D2778" w:rsidRDefault="00E05341" w:rsidP="00E05341">
            <w:pPr>
              <w:spacing w:after="0" w:line="240" w:lineRule="auto"/>
              <w:rPr>
                <w:rFonts w:eastAsia="Times New Roman" w:cstheme="minorHAnsi"/>
                <w:sz w:val="18"/>
                <w:szCs w:val="18"/>
              </w:rPr>
            </w:pPr>
          </w:p>
        </w:tc>
      </w:tr>
      <w:tr w:rsidR="00E05341" w:rsidRPr="005D2778" w14:paraId="0D55B2A8" w14:textId="77777777" w:rsidTr="00E05341">
        <w:trPr>
          <w:trHeight w:val="315"/>
        </w:trPr>
        <w:tc>
          <w:tcPr>
            <w:tcW w:w="3503" w:type="dxa"/>
            <w:tcBorders>
              <w:top w:val="nil"/>
              <w:left w:val="single" w:sz="8" w:space="0" w:color="auto"/>
              <w:bottom w:val="single" w:sz="8" w:space="0" w:color="auto"/>
              <w:right w:val="single" w:sz="8" w:space="0" w:color="auto"/>
            </w:tcBorders>
            <w:shd w:val="clear" w:color="auto" w:fill="auto"/>
            <w:vAlign w:val="center"/>
            <w:hideMark/>
          </w:tcPr>
          <w:p w14:paraId="65C6A3D9" w14:textId="77777777" w:rsidR="00E05341" w:rsidRPr="005D2778" w:rsidRDefault="00E05341" w:rsidP="00E05341">
            <w:pPr>
              <w:spacing w:after="0" w:line="240" w:lineRule="auto"/>
              <w:ind w:firstLineChars="200" w:firstLine="360"/>
              <w:rPr>
                <w:rFonts w:eastAsia="Times New Roman" w:cstheme="minorHAnsi"/>
                <w:sz w:val="18"/>
                <w:szCs w:val="18"/>
              </w:rPr>
            </w:pPr>
            <w:r w:rsidRPr="005D2778">
              <w:rPr>
                <w:rFonts w:eastAsia="Times New Roman" w:cstheme="minorHAnsi"/>
                <w:sz w:val="18"/>
                <w:szCs w:val="18"/>
              </w:rPr>
              <w:t>2.1. Direktne investicije, neto</w:t>
            </w:r>
          </w:p>
        </w:tc>
        <w:tc>
          <w:tcPr>
            <w:tcW w:w="1165" w:type="dxa"/>
            <w:tcBorders>
              <w:top w:val="nil"/>
              <w:left w:val="nil"/>
              <w:bottom w:val="single" w:sz="8" w:space="0" w:color="auto"/>
              <w:right w:val="single" w:sz="8" w:space="0" w:color="auto"/>
            </w:tcBorders>
            <w:shd w:val="clear" w:color="auto" w:fill="auto"/>
            <w:vAlign w:val="bottom"/>
            <w:hideMark/>
          </w:tcPr>
          <w:p w14:paraId="1088BAD7"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208.1   </w:t>
            </w:r>
          </w:p>
        </w:tc>
        <w:tc>
          <w:tcPr>
            <w:tcW w:w="1276" w:type="dxa"/>
            <w:tcBorders>
              <w:top w:val="nil"/>
              <w:left w:val="nil"/>
              <w:bottom w:val="single" w:sz="8" w:space="0" w:color="auto"/>
              <w:right w:val="single" w:sz="8" w:space="0" w:color="auto"/>
            </w:tcBorders>
            <w:shd w:val="clear" w:color="auto" w:fill="auto"/>
            <w:vAlign w:val="bottom"/>
            <w:hideMark/>
          </w:tcPr>
          <w:p w14:paraId="68747902"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256.2   </w:t>
            </w:r>
          </w:p>
        </w:tc>
        <w:tc>
          <w:tcPr>
            <w:tcW w:w="1134" w:type="dxa"/>
            <w:tcBorders>
              <w:top w:val="nil"/>
              <w:left w:val="nil"/>
              <w:bottom w:val="single" w:sz="8" w:space="0" w:color="auto"/>
              <w:right w:val="single" w:sz="8" w:space="0" w:color="auto"/>
            </w:tcBorders>
            <w:shd w:val="clear" w:color="auto" w:fill="auto"/>
            <w:vAlign w:val="bottom"/>
            <w:hideMark/>
          </w:tcPr>
          <w:p w14:paraId="575336B0"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280.4   </w:t>
            </w:r>
          </w:p>
        </w:tc>
        <w:tc>
          <w:tcPr>
            <w:tcW w:w="1134" w:type="dxa"/>
            <w:tcBorders>
              <w:top w:val="nil"/>
              <w:left w:val="nil"/>
              <w:bottom w:val="single" w:sz="8" w:space="0" w:color="auto"/>
              <w:right w:val="single" w:sz="8" w:space="0" w:color="auto"/>
            </w:tcBorders>
            <w:shd w:val="clear" w:color="auto" w:fill="auto"/>
            <w:vAlign w:val="center"/>
            <w:hideMark/>
          </w:tcPr>
          <w:p w14:paraId="2E65EC88" w14:textId="77777777" w:rsidR="00E05341" w:rsidRPr="005D2778" w:rsidRDefault="00E05341" w:rsidP="00E05341">
            <w:pPr>
              <w:spacing w:after="0" w:line="240" w:lineRule="auto"/>
              <w:jc w:val="center"/>
              <w:rPr>
                <w:rFonts w:eastAsia="Times New Roman" w:cstheme="minorHAnsi"/>
                <w:sz w:val="18"/>
                <w:szCs w:val="18"/>
              </w:rPr>
            </w:pPr>
            <w:r w:rsidRPr="005D2778">
              <w:rPr>
                <w:rFonts w:eastAsia="Times New Roman" w:cstheme="minorHAnsi"/>
                <w:sz w:val="18"/>
                <w:szCs w:val="18"/>
              </w:rPr>
              <w:t>23.10%</w:t>
            </w:r>
          </w:p>
        </w:tc>
        <w:tc>
          <w:tcPr>
            <w:tcW w:w="1276" w:type="dxa"/>
            <w:tcBorders>
              <w:top w:val="nil"/>
              <w:left w:val="nil"/>
              <w:bottom w:val="single" w:sz="8" w:space="0" w:color="auto"/>
              <w:right w:val="single" w:sz="8" w:space="0" w:color="auto"/>
            </w:tcBorders>
            <w:shd w:val="clear" w:color="auto" w:fill="auto"/>
            <w:vAlign w:val="center"/>
            <w:hideMark/>
          </w:tcPr>
          <w:p w14:paraId="172FFB25" w14:textId="77777777" w:rsidR="00E05341" w:rsidRPr="005D2778" w:rsidRDefault="00E05341" w:rsidP="00E05341">
            <w:pPr>
              <w:spacing w:after="0" w:line="240" w:lineRule="auto"/>
              <w:jc w:val="center"/>
              <w:rPr>
                <w:rFonts w:eastAsia="Times New Roman" w:cstheme="minorHAnsi"/>
                <w:sz w:val="18"/>
                <w:szCs w:val="18"/>
              </w:rPr>
            </w:pPr>
            <w:r w:rsidRPr="005D2778">
              <w:rPr>
                <w:rFonts w:eastAsia="Times New Roman" w:cstheme="minorHAnsi"/>
                <w:sz w:val="18"/>
                <w:szCs w:val="18"/>
              </w:rPr>
              <w:t>9.45%</w:t>
            </w:r>
          </w:p>
        </w:tc>
        <w:tc>
          <w:tcPr>
            <w:tcW w:w="1012" w:type="dxa"/>
            <w:vAlign w:val="center"/>
            <w:hideMark/>
          </w:tcPr>
          <w:p w14:paraId="26C276D6" w14:textId="77777777" w:rsidR="00E05341" w:rsidRPr="005D2778" w:rsidRDefault="00E05341" w:rsidP="00E05341">
            <w:pPr>
              <w:spacing w:after="0" w:line="240" w:lineRule="auto"/>
              <w:rPr>
                <w:rFonts w:eastAsia="Times New Roman" w:cstheme="minorHAnsi"/>
                <w:sz w:val="18"/>
                <w:szCs w:val="18"/>
              </w:rPr>
            </w:pPr>
          </w:p>
        </w:tc>
      </w:tr>
      <w:tr w:rsidR="00E05341" w:rsidRPr="005D2778" w14:paraId="33D694FF" w14:textId="77777777" w:rsidTr="00E05341">
        <w:trPr>
          <w:trHeight w:val="315"/>
        </w:trPr>
        <w:tc>
          <w:tcPr>
            <w:tcW w:w="3503" w:type="dxa"/>
            <w:tcBorders>
              <w:top w:val="nil"/>
              <w:left w:val="single" w:sz="8" w:space="0" w:color="auto"/>
              <w:bottom w:val="single" w:sz="8" w:space="0" w:color="auto"/>
              <w:right w:val="single" w:sz="8" w:space="0" w:color="auto"/>
            </w:tcBorders>
            <w:shd w:val="clear" w:color="auto" w:fill="auto"/>
            <w:vAlign w:val="center"/>
            <w:hideMark/>
          </w:tcPr>
          <w:p w14:paraId="2BB39260" w14:textId="77777777" w:rsidR="00E05341" w:rsidRPr="005D2778" w:rsidRDefault="00E05341" w:rsidP="00E05341">
            <w:pPr>
              <w:spacing w:after="0" w:line="240" w:lineRule="auto"/>
              <w:ind w:firstLineChars="200" w:firstLine="360"/>
              <w:rPr>
                <w:rFonts w:eastAsia="Times New Roman" w:cstheme="minorHAnsi"/>
                <w:sz w:val="18"/>
                <w:szCs w:val="18"/>
              </w:rPr>
            </w:pPr>
            <w:r w:rsidRPr="005D2778">
              <w:rPr>
                <w:rFonts w:eastAsia="Times New Roman" w:cstheme="minorHAnsi"/>
                <w:sz w:val="18"/>
                <w:szCs w:val="18"/>
              </w:rPr>
              <w:t>2.2. Portfolio investicije, neto</w:t>
            </w:r>
          </w:p>
        </w:tc>
        <w:tc>
          <w:tcPr>
            <w:tcW w:w="1165" w:type="dxa"/>
            <w:tcBorders>
              <w:top w:val="nil"/>
              <w:left w:val="nil"/>
              <w:bottom w:val="single" w:sz="8" w:space="0" w:color="auto"/>
              <w:right w:val="single" w:sz="8" w:space="0" w:color="auto"/>
            </w:tcBorders>
            <w:shd w:val="clear" w:color="auto" w:fill="auto"/>
            <w:vAlign w:val="bottom"/>
            <w:hideMark/>
          </w:tcPr>
          <w:p w14:paraId="23034152"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761.5   </w:t>
            </w:r>
          </w:p>
        </w:tc>
        <w:tc>
          <w:tcPr>
            <w:tcW w:w="1276" w:type="dxa"/>
            <w:tcBorders>
              <w:top w:val="nil"/>
              <w:left w:val="nil"/>
              <w:bottom w:val="single" w:sz="8" w:space="0" w:color="auto"/>
              <w:right w:val="single" w:sz="8" w:space="0" w:color="auto"/>
            </w:tcBorders>
            <w:shd w:val="clear" w:color="auto" w:fill="auto"/>
            <w:vAlign w:val="bottom"/>
            <w:hideMark/>
          </w:tcPr>
          <w:p w14:paraId="4EEDB577"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1,403.1   </w:t>
            </w:r>
          </w:p>
        </w:tc>
        <w:tc>
          <w:tcPr>
            <w:tcW w:w="1134" w:type="dxa"/>
            <w:tcBorders>
              <w:top w:val="nil"/>
              <w:left w:val="nil"/>
              <w:bottom w:val="single" w:sz="8" w:space="0" w:color="auto"/>
              <w:right w:val="single" w:sz="8" w:space="0" w:color="auto"/>
            </w:tcBorders>
            <w:shd w:val="clear" w:color="auto" w:fill="auto"/>
            <w:vAlign w:val="bottom"/>
            <w:hideMark/>
          </w:tcPr>
          <w:p w14:paraId="1057656F"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1,434.7   </w:t>
            </w:r>
          </w:p>
        </w:tc>
        <w:tc>
          <w:tcPr>
            <w:tcW w:w="1134" w:type="dxa"/>
            <w:tcBorders>
              <w:top w:val="nil"/>
              <w:left w:val="nil"/>
              <w:bottom w:val="single" w:sz="8" w:space="0" w:color="auto"/>
              <w:right w:val="single" w:sz="8" w:space="0" w:color="auto"/>
            </w:tcBorders>
            <w:shd w:val="clear" w:color="auto" w:fill="auto"/>
            <w:vAlign w:val="center"/>
            <w:hideMark/>
          </w:tcPr>
          <w:p w14:paraId="03DB0694" w14:textId="77777777" w:rsidR="00E05341" w:rsidRPr="005D2778" w:rsidRDefault="00E05341" w:rsidP="00E05341">
            <w:pPr>
              <w:spacing w:after="0" w:line="240" w:lineRule="auto"/>
              <w:jc w:val="center"/>
              <w:rPr>
                <w:rFonts w:eastAsia="Times New Roman" w:cstheme="minorHAnsi"/>
                <w:sz w:val="18"/>
                <w:szCs w:val="18"/>
              </w:rPr>
            </w:pPr>
            <w:r w:rsidRPr="005D2778">
              <w:rPr>
                <w:rFonts w:eastAsia="Times New Roman" w:cstheme="minorHAnsi"/>
                <w:sz w:val="18"/>
                <w:szCs w:val="18"/>
              </w:rPr>
              <w:t>84.26%</w:t>
            </w:r>
          </w:p>
        </w:tc>
        <w:tc>
          <w:tcPr>
            <w:tcW w:w="1276" w:type="dxa"/>
            <w:tcBorders>
              <w:top w:val="nil"/>
              <w:left w:val="nil"/>
              <w:bottom w:val="single" w:sz="8" w:space="0" w:color="auto"/>
              <w:right w:val="single" w:sz="8" w:space="0" w:color="auto"/>
            </w:tcBorders>
            <w:shd w:val="clear" w:color="auto" w:fill="auto"/>
            <w:vAlign w:val="center"/>
            <w:hideMark/>
          </w:tcPr>
          <w:p w14:paraId="04981889" w14:textId="77777777" w:rsidR="00E05341" w:rsidRPr="005D2778" w:rsidRDefault="00E05341" w:rsidP="00E05341">
            <w:pPr>
              <w:spacing w:after="0" w:line="240" w:lineRule="auto"/>
              <w:jc w:val="center"/>
              <w:rPr>
                <w:rFonts w:eastAsia="Times New Roman" w:cstheme="minorHAnsi"/>
                <w:sz w:val="18"/>
                <w:szCs w:val="18"/>
              </w:rPr>
            </w:pPr>
            <w:r w:rsidRPr="005D2778">
              <w:rPr>
                <w:rFonts w:eastAsia="Times New Roman" w:cstheme="minorHAnsi"/>
                <w:sz w:val="18"/>
                <w:szCs w:val="18"/>
              </w:rPr>
              <w:t>2.25%</w:t>
            </w:r>
          </w:p>
        </w:tc>
        <w:tc>
          <w:tcPr>
            <w:tcW w:w="1012" w:type="dxa"/>
            <w:vAlign w:val="center"/>
            <w:hideMark/>
          </w:tcPr>
          <w:p w14:paraId="59F1FF28" w14:textId="77777777" w:rsidR="00E05341" w:rsidRPr="005D2778" w:rsidRDefault="00E05341" w:rsidP="00E05341">
            <w:pPr>
              <w:spacing w:after="0" w:line="240" w:lineRule="auto"/>
              <w:rPr>
                <w:rFonts w:eastAsia="Times New Roman" w:cstheme="minorHAnsi"/>
                <w:sz w:val="18"/>
                <w:szCs w:val="18"/>
              </w:rPr>
            </w:pPr>
          </w:p>
        </w:tc>
      </w:tr>
      <w:tr w:rsidR="00E05341" w:rsidRPr="005D2778" w14:paraId="7474D23A" w14:textId="77777777" w:rsidTr="00E05341">
        <w:trPr>
          <w:trHeight w:val="315"/>
        </w:trPr>
        <w:tc>
          <w:tcPr>
            <w:tcW w:w="3503" w:type="dxa"/>
            <w:tcBorders>
              <w:top w:val="nil"/>
              <w:left w:val="single" w:sz="8" w:space="0" w:color="auto"/>
              <w:bottom w:val="single" w:sz="8" w:space="0" w:color="auto"/>
              <w:right w:val="single" w:sz="8" w:space="0" w:color="auto"/>
            </w:tcBorders>
            <w:shd w:val="clear" w:color="auto" w:fill="auto"/>
            <w:vAlign w:val="center"/>
            <w:hideMark/>
          </w:tcPr>
          <w:p w14:paraId="4A1ED0F4" w14:textId="77777777" w:rsidR="00E05341" w:rsidRPr="005D2778" w:rsidRDefault="00E05341" w:rsidP="00E05341">
            <w:pPr>
              <w:spacing w:after="0" w:line="240" w:lineRule="auto"/>
              <w:ind w:firstLineChars="200" w:firstLine="360"/>
              <w:rPr>
                <w:rFonts w:eastAsia="Times New Roman" w:cstheme="minorHAnsi"/>
                <w:sz w:val="18"/>
                <w:szCs w:val="18"/>
              </w:rPr>
            </w:pPr>
            <w:r w:rsidRPr="005D2778">
              <w:rPr>
                <w:rFonts w:eastAsia="Times New Roman" w:cstheme="minorHAnsi"/>
                <w:sz w:val="18"/>
                <w:szCs w:val="18"/>
              </w:rPr>
              <w:t>2.3. Finansijski derivati</w:t>
            </w:r>
          </w:p>
        </w:tc>
        <w:tc>
          <w:tcPr>
            <w:tcW w:w="1165" w:type="dxa"/>
            <w:tcBorders>
              <w:top w:val="nil"/>
              <w:left w:val="nil"/>
              <w:bottom w:val="single" w:sz="8" w:space="0" w:color="auto"/>
              <w:right w:val="single" w:sz="8" w:space="0" w:color="auto"/>
            </w:tcBorders>
            <w:shd w:val="clear" w:color="auto" w:fill="auto"/>
            <w:vAlign w:val="bottom"/>
            <w:hideMark/>
          </w:tcPr>
          <w:p w14:paraId="1B430413"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0.0   </w:t>
            </w:r>
          </w:p>
        </w:tc>
        <w:tc>
          <w:tcPr>
            <w:tcW w:w="1276" w:type="dxa"/>
            <w:tcBorders>
              <w:top w:val="nil"/>
              <w:left w:val="nil"/>
              <w:bottom w:val="single" w:sz="8" w:space="0" w:color="auto"/>
              <w:right w:val="single" w:sz="8" w:space="0" w:color="auto"/>
            </w:tcBorders>
            <w:shd w:val="clear" w:color="auto" w:fill="auto"/>
            <w:vAlign w:val="bottom"/>
            <w:hideMark/>
          </w:tcPr>
          <w:p w14:paraId="750001CC"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0.0   </w:t>
            </w:r>
          </w:p>
        </w:tc>
        <w:tc>
          <w:tcPr>
            <w:tcW w:w="1134" w:type="dxa"/>
            <w:tcBorders>
              <w:top w:val="nil"/>
              <w:left w:val="nil"/>
              <w:bottom w:val="single" w:sz="8" w:space="0" w:color="auto"/>
              <w:right w:val="single" w:sz="8" w:space="0" w:color="auto"/>
            </w:tcBorders>
            <w:shd w:val="clear" w:color="auto" w:fill="auto"/>
            <w:vAlign w:val="bottom"/>
            <w:hideMark/>
          </w:tcPr>
          <w:p w14:paraId="1C51F875"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0.0   </w:t>
            </w:r>
          </w:p>
        </w:tc>
        <w:tc>
          <w:tcPr>
            <w:tcW w:w="1134" w:type="dxa"/>
            <w:tcBorders>
              <w:top w:val="nil"/>
              <w:left w:val="nil"/>
              <w:bottom w:val="single" w:sz="8" w:space="0" w:color="auto"/>
              <w:right w:val="single" w:sz="8" w:space="0" w:color="auto"/>
            </w:tcBorders>
            <w:shd w:val="clear" w:color="auto" w:fill="auto"/>
            <w:vAlign w:val="center"/>
            <w:hideMark/>
          </w:tcPr>
          <w:p w14:paraId="0FB55209" w14:textId="77777777" w:rsidR="00E05341" w:rsidRPr="005D2778" w:rsidRDefault="00E05341" w:rsidP="00E05341">
            <w:pPr>
              <w:spacing w:after="0" w:line="240" w:lineRule="auto"/>
              <w:jc w:val="center"/>
              <w:rPr>
                <w:rFonts w:eastAsia="Times New Roman" w:cstheme="minorHAnsi"/>
                <w:sz w:val="18"/>
                <w:szCs w:val="18"/>
              </w:rPr>
            </w:pPr>
            <w:r w:rsidRPr="005D2778">
              <w:rPr>
                <w:rFonts w:eastAsia="Times New Roman" w:cstheme="minorHAnsi"/>
                <w:sz w:val="18"/>
                <w:szCs w:val="18"/>
              </w:rPr>
              <w:t>100.00%</w:t>
            </w:r>
          </w:p>
        </w:tc>
        <w:tc>
          <w:tcPr>
            <w:tcW w:w="1276" w:type="dxa"/>
            <w:tcBorders>
              <w:top w:val="nil"/>
              <w:left w:val="nil"/>
              <w:bottom w:val="single" w:sz="8" w:space="0" w:color="auto"/>
              <w:right w:val="single" w:sz="8" w:space="0" w:color="auto"/>
            </w:tcBorders>
            <w:shd w:val="clear" w:color="auto" w:fill="auto"/>
            <w:vAlign w:val="center"/>
            <w:hideMark/>
          </w:tcPr>
          <w:p w14:paraId="3A18D938" w14:textId="77777777" w:rsidR="00E05341" w:rsidRPr="005D2778" w:rsidRDefault="00E05341" w:rsidP="00E05341">
            <w:pPr>
              <w:spacing w:after="0" w:line="240" w:lineRule="auto"/>
              <w:jc w:val="center"/>
              <w:rPr>
                <w:rFonts w:eastAsia="Times New Roman" w:cstheme="minorHAnsi"/>
                <w:sz w:val="18"/>
                <w:szCs w:val="18"/>
              </w:rPr>
            </w:pPr>
            <w:r w:rsidRPr="005D2778">
              <w:rPr>
                <w:rFonts w:eastAsia="Times New Roman" w:cstheme="minorHAnsi"/>
                <w:sz w:val="18"/>
                <w:szCs w:val="18"/>
              </w:rPr>
              <w:t>-44.44%</w:t>
            </w:r>
          </w:p>
        </w:tc>
        <w:tc>
          <w:tcPr>
            <w:tcW w:w="1012" w:type="dxa"/>
            <w:vAlign w:val="center"/>
            <w:hideMark/>
          </w:tcPr>
          <w:p w14:paraId="66520ACA" w14:textId="77777777" w:rsidR="00E05341" w:rsidRPr="005D2778" w:rsidRDefault="00E05341" w:rsidP="00E05341">
            <w:pPr>
              <w:spacing w:after="0" w:line="240" w:lineRule="auto"/>
              <w:rPr>
                <w:rFonts w:eastAsia="Times New Roman" w:cstheme="minorHAnsi"/>
                <w:sz w:val="18"/>
                <w:szCs w:val="18"/>
              </w:rPr>
            </w:pPr>
          </w:p>
        </w:tc>
      </w:tr>
      <w:tr w:rsidR="00E05341" w:rsidRPr="005D2778" w14:paraId="57C8C567" w14:textId="77777777" w:rsidTr="00E05341">
        <w:trPr>
          <w:trHeight w:val="315"/>
        </w:trPr>
        <w:tc>
          <w:tcPr>
            <w:tcW w:w="3503" w:type="dxa"/>
            <w:tcBorders>
              <w:top w:val="nil"/>
              <w:left w:val="single" w:sz="8" w:space="0" w:color="auto"/>
              <w:bottom w:val="single" w:sz="8" w:space="0" w:color="auto"/>
              <w:right w:val="single" w:sz="8" w:space="0" w:color="auto"/>
            </w:tcBorders>
            <w:shd w:val="clear" w:color="auto" w:fill="auto"/>
            <w:vAlign w:val="center"/>
            <w:hideMark/>
          </w:tcPr>
          <w:p w14:paraId="40B1FC06" w14:textId="77777777" w:rsidR="00E05341" w:rsidRPr="005D2778" w:rsidRDefault="00E05341" w:rsidP="00E05341">
            <w:pPr>
              <w:spacing w:after="0" w:line="240" w:lineRule="auto"/>
              <w:ind w:firstLineChars="200" w:firstLine="360"/>
              <w:rPr>
                <w:rFonts w:eastAsia="Times New Roman" w:cstheme="minorHAnsi"/>
                <w:sz w:val="18"/>
                <w:szCs w:val="18"/>
              </w:rPr>
            </w:pPr>
            <w:r w:rsidRPr="005D2778">
              <w:rPr>
                <w:rFonts w:eastAsia="Times New Roman" w:cstheme="minorHAnsi"/>
                <w:sz w:val="18"/>
                <w:szCs w:val="18"/>
              </w:rPr>
              <w:t>2.4. Ostale investicije</w:t>
            </w:r>
          </w:p>
        </w:tc>
        <w:tc>
          <w:tcPr>
            <w:tcW w:w="1165" w:type="dxa"/>
            <w:tcBorders>
              <w:top w:val="nil"/>
              <w:left w:val="nil"/>
              <w:bottom w:val="single" w:sz="8" w:space="0" w:color="auto"/>
              <w:right w:val="single" w:sz="8" w:space="0" w:color="auto"/>
            </w:tcBorders>
            <w:shd w:val="clear" w:color="auto" w:fill="auto"/>
            <w:vAlign w:val="bottom"/>
            <w:hideMark/>
          </w:tcPr>
          <w:p w14:paraId="071E3CE3"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2,014.3   </w:t>
            </w:r>
          </w:p>
        </w:tc>
        <w:tc>
          <w:tcPr>
            <w:tcW w:w="1276" w:type="dxa"/>
            <w:tcBorders>
              <w:top w:val="nil"/>
              <w:left w:val="nil"/>
              <w:bottom w:val="single" w:sz="8" w:space="0" w:color="auto"/>
              <w:right w:val="single" w:sz="8" w:space="0" w:color="auto"/>
            </w:tcBorders>
            <w:shd w:val="clear" w:color="auto" w:fill="auto"/>
            <w:vAlign w:val="bottom"/>
            <w:hideMark/>
          </w:tcPr>
          <w:p w14:paraId="2E12879D"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2,267.4   </w:t>
            </w:r>
          </w:p>
        </w:tc>
        <w:tc>
          <w:tcPr>
            <w:tcW w:w="1134" w:type="dxa"/>
            <w:tcBorders>
              <w:top w:val="nil"/>
              <w:left w:val="nil"/>
              <w:bottom w:val="single" w:sz="8" w:space="0" w:color="auto"/>
              <w:right w:val="single" w:sz="8" w:space="0" w:color="auto"/>
            </w:tcBorders>
            <w:shd w:val="clear" w:color="auto" w:fill="auto"/>
            <w:vAlign w:val="bottom"/>
            <w:hideMark/>
          </w:tcPr>
          <w:p w14:paraId="17E95FE3"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2,132.5   </w:t>
            </w:r>
          </w:p>
        </w:tc>
        <w:tc>
          <w:tcPr>
            <w:tcW w:w="1134" w:type="dxa"/>
            <w:tcBorders>
              <w:top w:val="nil"/>
              <w:left w:val="nil"/>
              <w:bottom w:val="single" w:sz="8" w:space="0" w:color="auto"/>
              <w:right w:val="single" w:sz="8" w:space="0" w:color="auto"/>
            </w:tcBorders>
            <w:shd w:val="clear" w:color="auto" w:fill="auto"/>
            <w:vAlign w:val="center"/>
            <w:hideMark/>
          </w:tcPr>
          <w:p w14:paraId="6F1056BD" w14:textId="77777777" w:rsidR="00E05341" w:rsidRPr="005D2778" w:rsidRDefault="00E05341" w:rsidP="00E05341">
            <w:pPr>
              <w:spacing w:after="0" w:line="240" w:lineRule="auto"/>
              <w:jc w:val="center"/>
              <w:rPr>
                <w:rFonts w:eastAsia="Times New Roman" w:cstheme="minorHAnsi"/>
                <w:sz w:val="18"/>
                <w:szCs w:val="18"/>
              </w:rPr>
            </w:pPr>
            <w:r w:rsidRPr="005D2778">
              <w:rPr>
                <w:rFonts w:eastAsia="Times New Roman" w:cstheme="minorHAnsi"/>
                <w:sz w:val="18"/>
                <w:szCs w:val="18"/>
              </w:rPr>
              <w:t>12.57%</w:t>
            </w:r>
          </w:p>
        </w:tc>
        <w:tc>
          <w:tcPr>
            <w:tcW w:w="1276" w:type="dxa"/>
            <w:tcBorders>
              <w:top w:val="nil"/>
              <w:left w:val="nil"/>
              <w:bottom w:val="single" w:sz="8" w:space="0" w:color="auto"/>
              <w:right w:val="single" w:sz="8" w:space="0" w:color="auto"/>
            </w:tcBorders>
            <w:shd w:val="clear" w:color="auto" w:fill="auto"/>
            <w:vAlign w:val="center"/>
            <w:hideMark/>
          </w:tcPr>
          <w:p w14:paraId="60DC713E" w14:textId="77777777" w:rsidR="00E05341" w:rsidRPr="005D2778" w:rsidRDefault="00E05341" w:rsidP="00E05341">
            <w:pPr>
              <w:spacing w:after="0" w:line="240" w:lineRule="auto"/>
              <w:jc w:val="center"/>
              <w:rPr>
                <w:rFonts w:eastAsia="Times New Roman" w:cstheme="minorHAnsi"/>
                <w:sz w:val="18"/>
                <w:szCs w:val="18"/>
              </w:rPr>
            </w:pPr>
            <w:r w:rsidRPr="005D2778">
              <w:rPr>
                <w:rFonts w:eastAsia="Times New Roman" w:cstheme="minorHAnsi"/>
                <w:sz w:val="18"/>
                <w:szCs w:val="18"/>
              </w:rPr>
              <w:t>-5.95%</w:t>
            </w:r>
          </w:p>
        </w:tc>
        <w:tc>
          <w:tcPr>
            <w:tcW w:w="1012" w:type="dxa"/>
            <w:vAlign w:val="center"/>
            <w:hideMark/>
          </w:tcPr>
          <w:p w14:paraId="03F1369D" w14:textId="77777777" w:rsidR="00E05341" w:rsidRPr="005D2778" w:rsidRDefault="00E05341" w:rsidP="00E05341">
            <w:pPr>
              <w:spacing w:after="0" w:line="240" w:lineRule="auto"/>
              <w:rPr>
                <w:rFonts w:eastAsia="Times New Roman" w:cstheme="minorHAnsi"/>
                <w:sz w:val="18"/>
                <w:szCs w:val="18"/>
              </w:rPr>
            </w:pPr>
          </w:p>
        </w:tc>
      </w:tr>
      <w:tr w:rsidR="00E05341" w:rsidRPr="005D2778" w14:paraId="7811501A" w14:textId="77777777" w:rsidTr="00E05341">
        <w:trPr>
          <w:trHeight w:val="315"/>
        </w:trPr>
        <w:tc>
          <w:tcPr>
            <w:tcW w:w="3503" w:type="dxa"/>
            <w:tcBorders>
              <w:top w:val="nil"/>
              <w:left w:val="single" w:sz="8" w:space="0" w:color="auto"/>
              <w:bottom w:val="single" w:sz="8" w:space="0" w:color="auto"/>
              <w:right w:val="single" w:sz="8" w:space="0" w:color="auto"/>
            </w:tcBorders>
            <w:shd w:val="clear" w:color="auto" w:fill="auto"/>
            <w:vAlign w:val="center"/>
            <w:hideMark/>
          </w:tcPr>
          <w:p w14:paraId="4C49EC3D" w14:textId="77777777" w:rsidR="00E05341" w:rsidRPr="005D2778" w:rsidRDefault="00E05341" w:rsidP="00E05341">
            <w:pPr>
              <w:spacing w:after="0" w:line="240" w:lineRule="auto"/>
              <w:ind w:firstLineChars="200" w:firstLine="360"/>
              <w:rPr>
                <w:rFonts w:eastAsia="Times New Roman" w:cstheme="minorHAnsi"/>
                <w:sz w:val="18"/>
                <w:szCs w:val="18"/>
              </w:rPr>
            </w:pPr>
            <w:r w:rsidRPr="005D2778">
              <w:rPr>
                <w:rFonts w:eastAsia="Times New Roman" w:cstheme="minorHAnsi"/>
                <w:sz w:val="18"/>
                <w:szCs w:val="18"/>
              </w:rPr>
              <w:t>2.5. Rezerve CBCG</w:t>
            </w:r>
          </w:p>
        </w:tc>
        <w:tc>
          <w:tcPr>
            <w:tcW w:w="1165" w:type="dxa"/>
            <w:tcBorders>
              <w:top w:val="nil"/>
              <w:left w:val="nil"/>
              <w:bottom w:val="single" w:sz="8" w:space="0" w:color="auto"/>
              <w:right w:val="single" w:sz="8" w:space="0" w:color="auto"/>
            </w:tcBorders>
            <w:shd w:val="clear" w:color="auto" w:fill="auto"/>
            <w:vAlign w:val="bottom"/>
            <w:hideMark/>
          </w:tcPr>
          <w:p w14:paraId="4AF8C89C"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1,914.6   </w:t>
            </w:r>
          </w:p>
        </w:tc>
        <w:tc>
          <w:tcPr>
            <w:tcW w:w="1276" w:type="dxa"/>
            <w:tcBorders>
              <w:top w:val="nil"/>
              <w:left w:val="nil"/>
              <w:bottom w:val="single" w:sz="8" w:space="0" w:color="auto"/>
              <w:right w:val="single" w:sz="8" w:space="0" w:color="auto"/>
            </w:tcBorders>
            <w:shd w:val="clear" w:color="auto" w:fill="auto"/>
            <w:vAlign w:val="bottom"/>
            <w:hideMark/>
          </w:tcPr>
          <w:p w14:paraId="4534EA74"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1,425.0   </w:t>
            </w:r>
          </w:p>
        </w:tc>
        <w:tc>
          <w:tcPr>
            <w:tcW w:w="1134" w:type="dxa"/>
            <w:tcBorders>
              <w:top w:val="nil"/>
              <w:left w:val="nil"/>
              <w:bottom w:val="single" w:sz="8" w:space="0" w:color="auto"/>
              <w:right w:val="single" w:sz="8" w:space="0" w:color="auto"/>
            </w:tcBorders>
            <w:shd w:val="clear" w:color="auto" w:fill="auto"/>
            <w:vAlign w:val="bottom"/>
            <w:hideMark/>
          </w:tcPr>
          <w:p w14:paraId="1A133F8E"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1,582.2   </w:t>
            </w:r>
          </w:p>
        </w:tc>
        <w:tc>
          <w:tcPr>
            <w:tcW w:w="1134" w:type="dxa"/>
            <w:tcBorders>
              <w:top w:val="nil"/>
              <w:left w:val="nil"/>
              <w:bottom w:val="single" w:sz="8" w:space="0" w:color="auto"/>
              <w:right w:val="single" w:sz="8" w:space="0" w:color="auto"/>
            </w:tcBorders>
            <w:shd w:val="clear" w:color="auto" w:fill="auto"/>
            <w:vAlign w:val="center"/>
            <w:hideMark/>
          </w:tcPr>
          <w:p w14:paraId="6F79F523" w14:textId="77777777" w:rsidR="00E05341" w:rsidRPr="005D2778" w:rsidRDefault="00E05341" w:rsidP="00E05341">
            <w:pPr>
              <w:spacing w:after="0" w:line="240" w:lineRule="auto"/>
              <w:jc w:val="center"/>
              <w:rPr>
                <w:rFonts w:eastAsia="Times New Roman" w:cstheme="minorHAnsi"/>
                <w:sz w:val="18"/>
                <w:szCs w:val="18"/>
              </w:rPr>
            </w:pPr>
            <w:r w:rsidRPr="005D2778">
              <w:rPr>
                <w:rFonts w:eastAsia="Times New Roman" w:cstheme="minorHAnsi"/>
                <w:sz w:val="18"/>
                <w:szCs w:val="18"/>
              </w:rPr>
              <w:t>-25.57%</w:t>
            </w:r>
          </w:p>
        </w:tc>
        <w:tc>
          <w:tcPr>
            <w:tcW w:w="1276" w:type="dxa"/>
            <w:tcBorders>
              <w:top w:val="nil"/>
              <w:left w:val="nil"/>
              <w:bottom w:val="single" w:sz="8" w:space="0" w:color="auto"/>
              <w:right w:val="single" w:sz="8" w:space="0" w:color="auto"/>
            </w:tcBorders>
            <w:shd w:val="clear" w:color="auto" w:fill="auto"/>
            <w:vAlign w:val="center"/>
            <w:hideMark/>
          </w:tcPr>
          <w:p w14:paraId="34BE35A7" w14:textId="77777777" w:rsidR="00E05341" w:rsidRPr="005D2778" w:rsidRDefault="00E05341" w:rsidP="00E05341">
            <w:pPr>
              <w:spacing w:after="0" w:line="240" w:lineRule="auto"/>
              <w:jc w:val="center"/>
              <w:rPr>
                <w:rFonts w:eastAsia="Times New Roman" w:cstheme="minorHAnsi"/>
                <w:sz w:val="18"/>
                <w:szCs w:val="18"/>
              </w:rPr>
            </w:pPr>
            <w:r w:rsidRPr="005D2778">
              <w:rPr>
                <w:rFonts w:eastAsia="Times New Roman" w:cstheme="minorHAnsi"/>
                <w:sz w:val="18"/>
                <w:szCs w:val="18"/>
              </w:rPr>
              <w:t>11.04%</w:t>
            </w:r>
          </w:p>
        </w:tc>
        <w:tc>
          <w:tcPr>
            <w:tcW w:w="1012" w:type="dxa"/>
            <w:vAlign w:val="center"/>
            <w:hideMark/>
          </w:tcPr>
          <w:p w14:paraId="001D1DEA" w14:textId="77777777" w:rsidR="00E05341" w:rsidRPr="005D2778" w:rsidRDefault="00E05341" w:rsidP="00E05341">
            <w:pPr>
              <w:spacing w:after="0" w:line="240" w:lineRule="auto"/>
              <w:rPr>
                <w:rFonts w:eastAsia="Times New Roman" w:cstheme="minorHAnsi"/>
                <w:sz w:val="18"/>
                <w:szCs w:val="18"/>
              </w:rPr>
            </w:pPr>
          </w:p>
        </w:tc>
      </w:tr>
      <w:tr w:rsidR="00E05341" w:rsidRPr="005D2778" w14:paraId="1DC16825" w14:textId="77777777" w:rsidTr="00E05341">
        <w:trPr>
          <w:trHeight w:val="315"/>
        </w:trPr>
        <w:tc>
          <w:tcPr>
            <w:tcW w:w="3503" w:type="dxa"/>
            <w:tcBorders>
              <w:top w:val="nil"/>
              <w:left w:val="single" w:sz="8" w:space="0" w:color="auto"/>
              <w:bottom w:val="single" w:sz="8" w:space="0" w:color="auto"/>
              <w:right w:val="single" w:sz="8" w:space="0" w:color="auto"/>
            </w:tcBorders>
            <w:shd w:val="clear" w:color="auto" w:fill="auto"/>
            <w:vAlign w:val="center"/>
            <w:hideMark/>
          </w:tcPr>
          <w:p w14:paraId="4B3AFB32" w14:textId="77777777" w:rsidR="00E05341" w:rsidRPr="005D2778" w:rsidRDefault="00E05341" w:rsidP="00E05341">
            <w:pPr>
              <w:spacing w:after="0" w:line="240" w:lineRule="auto"/>
              <w:rPr>
                <w:rFonts w:eastAsia="Times New Roman" w:cstheme="minorHAnsi"/>
                <w:b/>
                <w:bCs/>
                <w:sz w:val="18"/>
                <w:szCs w:val="18"/>
              </w:rPr>
            </w:pPr>
            <w:r w:rsidRPr="005D2778">
              <w:rPr>
                <w:rFonts w:eastAsia="Times New Roman" w:cstheme="minorHAnsi"/>
                <w:b/>
                <w:bCs/>
                <w:sz w:val="18"/>
                <w:szCs w:val="18"/>
              </w:rPr>
              <w:t xml:space="preserve"> 3. Obaveze </w:t>
            </w:r>
          </w:p>
        </w:tc>
        <w:tc>
          <w:tcPr>
            <w:tcW w:w="1165" w:type="dxa"/>
            <w:tcBorders>
              <w:top w:val="nil"/>
              <w:left w:val="nil"/>
              <w:bottom w:val="single" w:sz="8" w:space="0" w:color="auto"/>
              <w:right w:val="single" w:sz="8" w:space="0" w:color="auto"/>
            </w:tcBorders>
            <w:shd w:val="clear" w:color="auto" w:fill="auto"/>
            <w:noWrap/>
            <w:vAlign w:val="bottom"/>
            <w:hideMark/>
          </w:tcPr>
          <w:p w14:paraId="30C377DE" w14:textId="77777777" w:rsidR="00E05341" w:rsidRPr="005D2778" w:rsidRDefault="00E05341" w:rsidP="00E05341">
            <w:pPr>
              <w:spacing w:after="0" w:line="240" w:lineRule="auto"/>
              <w:jc w:val="right"/>
              <w:rPr>
                <w:rFonts w:eastAsia="Times New Roman" w:cstheme="minorHAnsi"/>
                <w:b/>
                <w:bCs/>
                <w:sz w:val="18"/>
                <w:szCs w:val="18"/>
              </w:rPr>
            </w:pPr>
            <w:r w:rsidRPr="005D2778">
              <w:rPr>
                <w:rFonts w:eastAsia="Times New Roman" w:cstheme="minorHAnsi"/>
                <w:b/>
                <w:bCs/>
                <w:sz w:val="18"/>
                <w:szCs w:val="18"/>
              </w:rPr>
              <w:t xml:space="preserve">       12,253.7   </w:t>
            </w:r>
          </w:p>
        </w:tc>
        <w:tc>
          <w:tcPr>
            <w:tcW w:w="1276" w:type="dxa"/>
            <w:tcBorders>
              <w:top w:val="nil"/>
              <w:left w:val="nil"/>
              <w:bottom w:val="single" w:sz="8" w:space="0" w:color="auto"/>
              <w:right w:val="single" w:sz="8" w:space="0" w:color="auto"/>
            </w:tcBorders>
            <w:shd w:val="clear" w:color="auto" w:fill="auto"/>
            <w:noWrap/>
            <w:vAlign w:val="bottom"/>
            <w:hideMark/>
          </w:tcPr>
          <w:p w14:paraId="55DA5D28" w14:textId="77777777" w:rsidR="00E05341" w:rsidRPr="005D2778" w:rsidRDefault="00E05341" w:rsidP="00E05341">
            <w:pPr>
              <w:spacing w:after="0" w:line="240" w:lineRule="auto"/>
              <w:jc w:val="right"/>
              <w:rPr>
                <w:rFonts w:eastAsia="Times New Roman" w:cstheme="minorHAnsi"/>
                <w:b/>
                <w:bCs/>
                <w:sz w:val="18"/>
                <w:szCs w:val="18"/>
              </w:rPr>
            </w:pPr>
            <w:r w:rsidRPr="005D2778">
              <w:rPr>
                <w:rFonts w:eastAsia="Times New Roman" w:cstheme="minorHAnsi"/>
                <w:b/>
                <w:bCs/>
                <w:sz w:val="18"/>
                <w:szCs w:val="18"/>
              </w:rPr>
              <w:t xml:space="preserve">       12,536.7   </w:t>
            </w:r>
          </w:p>
        </w:tc>
        <w:tc>
          <w:tcPr>
            <w:tcW w:w="1134" w:type="dxa"/>
            <w:tcBorders>
              <w:top w:val="nil"/>
              <w:left w:val="nil"/>
              <w:bottom w:val="single" w:sz="8" w:space="0" w:color="auto"/>
              <w:right w:val="single" w:sz="8" w:space="0" w:color="auto"/>
            </w:tcBorders>
            <w:shd w:val="clear" w:color="auto" w:fill="auto"/>
            <w:noWrap/>
            <w:vAlign w:val="bottom"/>
            <w:hideMark/>
          </w:tcPr>
          <w:p w14:paraId="3534BBBF" w14:textId="77777777" w:rsidR="00E05341" w:rsidRPr="005D2778" w:rsidRDefault="00E05341" w:rsidP="00E05341">
            <w:pPr>
              <w:spacing w:after="0" w:line="240" w:lineRule="auto"/>
              <w:jc w:val="right"/>
              <w:rPr>
                <w:rFonts w:eastAsia="Times New Roman" w:cstheme="minorHAnsi"/>
                <w:b/>
                <w:bCs/>
                <w:sz w:val="18"/>
                <w:szCs w:val="18"/>
              </w:rPr>
            </w:pPr>
            <w:r w:rsidRPr="005D2778">
              <w:rPr>
                <w:rFonts w:eastAsia="Times New Roman" w:cstheme="minorHAnsi"/>
                <w:b/>
                <w:bCs/>
                <w:sz w:val="18"/>
                <w:szCs w:val="18"/>
              </w:rPr>
              <w:t xml:space="preserve">       13,270.3   </w:t>
            </w:r>
          </w:p>
        </w:tc>
        <w:tc>
          <w:tcPr>
            <w:tcW w:w="1134" w:type="dxa"/>
            <w:tcBorders>
              <w:top w:val="nil"/>
              <w:left w:val="nil"/>
              <w:bottom w:val="single" w:sz="8" w:space="0" w:color="auto"/>
              <w:right w:val="single" w:sz="8" w:space="0" w:color="auto"/>
            </w:tcBorders>
            <w:shd w:val="clear" w:color="auto" w:fill="auto"/>
            <w:noWrap/>
            <w:vAlign w:val="center"/>
            <w:hideMark/>
          </w:tcPr>
          <w:p w14:paraId="43135DA9" w14:textId="77777777" w:rsidR="00E05341" w:rsidRPr="005D2778" w:rsidRDefault="00E05341" w:rsidP="00E05341">
            <w:pPr>
              <w:spacing w:after="0" w:line="240" w:lineRule="auto"/>
              <w:jc w:val="center"/>
              <w:rPr>
                <w:rFonts w:eastAsia="Times New Roman" w:cstheme="minorHAnsi"/>
                <w:b/>
                <w:bCs/>
                <w:sz w:val="18"/>
                <w:szCs w:val="18"/>
              </w:rPr>
            </w:pPr>
            <w:r w:rsidRPr="005D2778">
              <w:rPr>
                <w:rFonts w:eastAsia="Times New Roman" w:cstheme="minorHAnsi"/>
                <w:b/>
                <w:bCs/>
                <w:sz w:val="18"/>
                <w:szCs w:val="18"/>
              </w:rPr>
              <w:t>2.31%</w:t>
            </w:r>
          </w:p>
        </w:tc>
        <w:tc>
          <w:tcPr>
            <w:tcW w:w="1276" w:type="dxa"/>
            <w:tcBorders>
              <w:top w:val="nil"/>
              <w:left w:val="nil"/>
              <w:bottom w:val="single" w:sz="8" w:space="0" w:color="auto"/>
              <w:right w:val="single" w:sz="8" w:space="0" w:color="auto"/>
            </w:tcBorders>
            <w:shd w:val="clear" w:color="auto" w:fill="auto"/>
            <w:noWrap/>
            <w:vAlign w:val="center"/>
            <w:hideMark/>
          </w:tcPr>
          <w:p w14:paraId="58FCFCFA" w14:textId="77777777" w:rsidR="00E05341" w:rsidRPr="005D2778" w:rsidRDefault="00E05341" w:rsidP="00E05341">
            <w:pPr>
              <w:spacing w:after="0" w:line="240" w:lineRule="auto"/>
              <w:jc w:val="center"/>
              <w:rPr>
                <w:rFonts w:eastAsia="Times New Roman" w:cstheme="minorHAnsi"/>
                <w:b/>
                <w:bCs/>
                <w:sz w:val="18"/>
                <w:szCs w:val="18"/>
              </w:rPr>
            </w:pPr>
            <w:r w:rsidRPr="005D2778">
              <w:rPr>
                <w:rFonts w:eastAsia="Times New Roman" w:cstheme="minorHAnsi"/>
                <w:b/>
                <w:bCs/>
                <w:sz w:val="18"/>
                <w:szCs w:val="18"/>
              </w:rPr>
              <w:t>5.85%</w:t>
            </w:r>
          </w:p>
        </w:tc>
        <w:tc>
          <w:tcPr>
            <w:tcW w:w="1012" w:type="dxa"/>
            <w:vAlign w:val="center"/>
            <w:hideMark/>
          </w:tcPr>
          <w:p w14:paraId="7C81E1D3" w14:textId="77777777" w:rsidR="00E05341" w:rsidRPr="005D2778" w:rsidRDefault="00E05341" w:rsidP="00E05341">
            <w:pPr>
              <w:spacing w:after="0" w:line="240" w:lineRule="auto"/>
              <w:rPr>
                <w:rFonts w:eastAsia="Times New Roman" w:cstheme="minorHAnsi"/>
                <w:sz w:val="18"/>
                <w:szCs w:val="18"/>
              </w:rPr>
            </w:pPr>
          </w:p>
        </w:tc>
      </w:tr>
      <w:tr w:rsidR="00E05341" w:rsidRPr="005D2778" w14:paraId="24DC34EC" w14:textId="77777777" w:rsidTr="00E05341">
        <w:trPr>
          <w:trHeight w:val="315"/>
        </w:trPr>
        <w:tc>
          <w:tcPr>
            <w:tcW w:w="3503" w:type="dxa"/>
            <w:tcBorders>
              <w:top w:val="nil"/>
              <w:left w:val="single" w:sz="8" w:space="0" w:color="auto"/>
              <w:bottom w:val="single" w:sz="8" w:space="0" w:color="auto"/>
              <w:right w:val="single" w:sz="8" w:space="0" w:color="auto"/>
            </w:tcBorders>
            <w:shd w:val="clear" w:color="auto" w:fill="auto"/>
            <w:vAlign w:val="center"/>
            <w:hideMark/>
          </w:tcPr>
          <w:p w14:paraId="1FC51D19" w14:textId="77777777" w:rsidR="00E05341" w:rsidRPr="005D2778" w:rsidRDefault="00E05341" w:rsidP="00E05341">
            <w:pPr>
              <w:spacing w:after="0" w:line="240" w:lineRule="auto"/>
              <w:ind w:firstLineChars="200" w:firstLine="360"/>
              <w:rPr>
                <w:rFonts w:eastAsia="Times New Roman" w:cstheme="minorHAnsi"/>
                <w:sz w:val="18"/>
                <w:szCs w:val="18"/>
              </w:rPr>
            </w:pPr>
            <w:r w:rsidRPr="005D2778">
              <w:rPr>
                <w:rFonts w:eastAsia="Times New Roman" w:cstheme="minorHAnsi"/>
                <w:sz w:val="18"/>
                <w:szCs w:val="18"/>
              </w:rPr>
              <w:t>3.1. Direktne investicije</w:t>
            </w:r>
          </w:p>
        </w:tc>
        <w:tc>
          <w:tcPr>
            <w:tcW w:w="1165" w:type="dxa"/>
            <w:tcBorders>
              <w:top w:val="nil"/>
              <w:left w:val="nil"/>
              <w:bottom w:val="single" w:sz="8" w:space="0" w:color="auto"/>
              <w:right w:val="single" w:sz="8" w:space="0" w:color="auto"/>
            </w:tcBorders>
            <w:shd w:val="clear" w:color="auto" w:fill="auto"/>
            <w:vAlign w:val="bottom"/>
            <w:hideMark/>
          </w:tcPr>
          <w:p w14:paraId="67FA10C3"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5,232.8   </w:t>
            </w:r>
          </w:p>
        </w:tc>
        <w:tc>
          <w:tcPr>
            <w:tcW w:w="1276" w:type="dxa"/>
            <w:tcBorders>
              <w:top w:val="nil"/>
              <w:left w:val="nil"/>
              <w:bottom w:val="single" w:sz="8" w:space="0" w:color="auto"/>
              <w:right w:val="single" w:sz="8" w:space="0" w:color="auto"/>
            </w:tcBorders>
            <w:shd w:val="clear" w:color="auto" w:fill="auto"/>
            <w:vAlign w:val="bottom"/>
            <w:hideMark/>
          </w:tcPr>
          <w:p w14:paraId="7F61EA05"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5,718.4   </w:t>
            </w:r>
          </w:p>
        </w:tc>
        <w:tc>
          <w:tcPr>
            <w:tcW w:w="1134" w:type="dxa"/>
            <w:tcBorders>
              <w:top w:val="nil"/>
              <w:left w:val="nil"/>
              <w:bottom w:val="single" w:sz="8" w:space="0" w:color="auto"/>
              <w:right w:val="single" w:sz="8" w:space="0" w:color="auto"/>
            </w:tcBorders>
            <w:shd w:val="clear" w:color="auto" w:fill="auto"/>
            <w:vAlign w:val="bottom"/>
            <w:hideMark/>
          </w:tcPr>
          <w:p w14:paraId="6A5BB235"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5,837.9   </w:t>
            </w:r>
          </w:p>
        </w:tc>
        <w:tc>
          <w:tcPr>
            <w:tcW w:w="1134" w:type="dxa"/>
            <w:tcBorders>
              <w:top w:val="nil"/>
              <w:left w:val="nil"/>
              <w:bottom w:val="single" w:sz="8" w:space="0" w:color="auto"/>
              <w:right w:val="single" w:sz="8" w:space="0" w:color="auto"/>
            </w:tcBorders>
            <w:shd w:val="clear" w:color="auto" w:fill="auto"/>
            <w:vAlign w:val="center"/>
            <w:hideMark/>
          </w:tcPr>
          <w:p w14:paraId="5AD086C6" w14:textId="77777777" w:rsidR="00E05341" w:rsidRPr="005D2778" w:rsidRDefault="00E05341" w:rsidP="00E05341">
            <w:pPr>
              <w:spacing w:after="0" w:line="240" w:lineRule="auto"/>
              <w:jc w:val="center"/>
              <w:rPr>
                <w:rFonts w:eastAsia="Times New Roman" w:cstheme="minorHAnsi"/>
                <w:sz w:val="18"/>
                <w:szCs w:val="18"/>
              </w:rPr>
            </w:pPr>
            <w:r w:rsidRPr="005D2778">
              <w:rPr>
                <w:rFonts w:eastAsia="Times New Roman" w:cstheme="minorHAnsi"/>
                <w:sz w:val="18"/>
                <w:szCs w:val="18"/>
              </w:rPr>
              <w:t>9.28%</w:t>
            </w:r>
          </w:p>
        </w:tc>
        <w:tc>
          <w:tcPr>
            <w:tcW w:w="1276" w:type="dxa"/>
            <w:tcBorders>
              <w:top w:val="nil"/>
              <w:left w:val="nil"/>
              <w:bottom w:val="single" w:sz="8" w:space="0" w:color="auto"/>
              <w:right w:val="single" w:sz="8" w:space="0" w:color="auto"/>
            </w:tcBorders>
            <w:shd w:val="clear" w:color="auto" w:fill="auto"/>
            <w:vAlign w:val="center"/>
            <w:hideMark/>
          </w:tcPr>
          <w:p w14:paraId="0CCF4CE0" w14:textId="77777777" w:rsidR="00E05341" w:rsidRPr="005D2778" w:rsidRDefault="00E05341" w:rsidP="00E05341">
            <w:pPr>
              <w:spacing w:after="0" w:line="240" w:lineRule="auto"/>
              <w:jc w:val="center"/>
              <w:rPr>
                <w:rFonts w:eastAsia="Times New Roman" w:cstheme="minorHAnsi"/>
                <w:sz w:val="18"/>
                <w:szCs w:val="18"/>
              </w:rPr>
            </w:pPr>
            <w:r w:rsidRPr="005D2778">
              <w:rPr>
                <w:rFonts w:eastAsia="Times New Roman" w:cstheme="minorHAnsi"/>
                <w:sz w:val="18"/>
                <w:szCs w:val="18"/>
              </w:rPr>
              <w:t>2.09%</w:t>
            </w:r>
          </w:p>
        </w:tc>
        <w:tc>
          <w:tcPr>
            <w:tcW w:w="1012" w:type="dxa"/>
            <w:vAlign w:val="center"/>
            <w:hideMark/>
          </w:tcPr>
          <w:p w14:paraId="07C4D2EB" w14:textId="77777777" w:rsidR="00E05341" w:rsidRPr="005D2778" w:rsidRDefault="00E05341" w:rsidP="00E05341">
            <w:pPr>
              <w:spacing w:after="0" w:line="240" w:lineRule="auto"/>
              <w:rPr>
                <w:rFonts w:eastAsia="Times New Roman" w:cstheme="minorHAnsi"/>
                <w:sz w:val="18"/>
                <w:szCs w:val="18"/>
              </w:rPr>
            </w:pPr>
          </w:p>
        </w:tc>
      </w:tr>
      <w:tr w:rsidR="00E05341" w:rsidRPr="005D2778" w14:paraId="2E8DE19B" w14:textId="77777777" w:rsidTr="00E05341">
        <w:trPr>
          <w:trHeight w:val="315"/>
        </w:trPr>
        <w:tc>
          <w:tcPr>
            <w:tcW w:w="3503" w:type="dxa"/>
            <w:tcBorders>
              <w:top w:val="nil"/>
              <w:left w:val="single" w:sz="8" w:space="0" w:color="auto"/>
              <w:bottom w:val="single" w:sz="8" w:space="0" w:color="auto"/>
              <w:right w:val="single" w:sz="8" w:space="0" w:color="auto"/>
            </w:tcBorders>
            <w:shd w:val="clear" w:color="auto" w:fill="auto"/>
            <w:vAlign w:val="center"/>
            <w:hideMark/>
          </w:tcPr>
          <w:p w14:paraId="2EE71A60" w14:textId="77777777" w:rsidR="00E05341" w:rsidRPr="005D2778" w:rsidRDefault="00E05341" w:rsidP="00E05341">
            <w:pPr>
              <w:spacing w:after="0" w:line="240" w:lineRule="auto"/>
              <w:ind w:firstLineChars="200" w:firstLine="360"/>
              <w:rPr>
                <w:rFonts w:eastAsia="Times New Roman" w:cstheme="minorHAnsi"/>
                <w:sz w:val="18"/>
                <w:szCs w:val="18"/>
              </w:rPr>
            </w:pPr>
            <w:r w:rsidRPr="005D2778">
              <w:rPr>
                <w:rFonts w:eastAsia="Times New Roman" w:cstheme="minorHAnsi"/>
                <w:sz w:val="18"/>
                <w:szCs w:val="18"/>
              </w:rPr>
              <w:lastRenderedPageBreak/>
              <w:t>3.2. Portfolio investicije</w:t>
            </w:r>
          </w:p>
        </w:tc>
        <w:tc>
          <w:tcPr>
            <w:tcW w:w="1165" w:type="dxa"/>
            <w:tcBorders>
              <w:top w:val="nil"/>
              <w:left w:val="nil"/>
              <w:bottom w:val="single" w:sz="8" w:space="0" w:color="auto"/>
              <w:right w:val="single" w:sz="8" w:space="0" w:color="auto"/>
            </w:tcBorders>
            <w:shd w:val="clear" w:color="auto" w:fill="auto"/>
            <w:vAlign w:val="bottom"/>
            <w:hideMark/>
          </w:tcPr>
          <w:p w14:paraId="72EBAA24"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1,777.5   </w:t>
            </w:r>
          </w:p>
        </w:tc>
        <w:tc>
          <w:tcPr>
            <w:tcW w:w="1276" w:type="dxa"/>
            <w:tcBorders>
              <w:top w:val="nil"/>
              <w:left w:val="nil"/>
              <w:bottom w:val="single" w:sz="8" w:space="0" w:color="auto"/>
              <w:right w:val="single" w:sz="8" w:space="0" w:color="auto"/>
            </w:tcBorders>
            <w:shd w:val="clear" w:color="auto" w:fill="auto"/>
            <w:vAlign w:val="bottom"/>
            <w:hideMark/>
          </w:tcPr>
          <w:p w14:paraId="55EB1C0A"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1,784.2   </w:t>
            </w:r>
          </w:p>
        </w:tc>
        <w:tc>
          <w:tcPr>
            <w:tcW w:w="1134" w:type="dxa"/>
            <w:tcBorders>
              <w:top w:val="nil"/>
              <w:left w:val="nil"/>
              <w:bottom w:val="single" w:sz="8" w:space="0" w:color="auto"/>
              <w:right w:val="single" w:sz="8" w:space="0" w:color="auto"/>
            </w:tcBorders>
            <w:shd w:val="clear" w:color="auto" w:fill="auto"/>
            <w:vAlign w:val="bottom"/>
            <w:hideMark/>
          </w:tcPr>
          <w:p w14:paraId="379F9A4E"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2,462.8   </w:t>
            </w:r>
          </w:p>
        </w:tc>
        <w:tc>
          <w:tcPr>
            <w:tcW w:w="1134" w:type="dxa"/>
            <w:tcBorders>
              <w:top w:val="nil"/>
              <w:left w:val="nil"/>
              <w:bottom w:val="single" w:sz="8" w:space="0" w:color="auto"/>
              <w:right w:val="single" w:sz="8" w:space="0" w:color="auto"/>
            </w:tcBorders>
            <w:shd w:val="clear" w:color="auto" w:fill="auto"/>
            <w:vAlign w:val="center"/>
            <w:hideMark/>
          </w:tcPr>
          <w:p w14:paraId="00EF60AE" w14:textId="77777777" w:rsidR="00E05341" w:rsidRPr="005D2778" w:rsidRDefault="00E05341" w:rsidP="00E05341">
            <w:pPr>
              <w:spacing w:after="0" w:line="240" w:lineRule="auto"/>
              <w:jc w:val="center"/>
              <w:rPr>
                <w:rFonts w:eastAsia="Times New Roman" w:cstheme="minorHAnsi"/>
                <w:sz w:val="18"/>
                <w:szCs w:val="18"/>
              </w:rPr>
            </w:pPr>
            <w:r w:rsidRPr="005D2778">
              <w:rPr>
                <w:rFonts w:eastAsia="Times New Roman" w:cstheme="minorHAnsi"/>
                <w:sz w:val="18"/>
                <w:szCs w:val="18"/>
              </w:rPr>
              <w:t>0.37%</w:t>
            </w:r>
          </w:p>
        </w:tc>
        <w:tc>
          <w:tcPr>
            <w:tcW w:w="1276" w:type="dxa"/>
            <w:tcBorders>
              <w:top w:val="nil"/>
              <w:left w:val="nil"/>
              <w:bottom w:val="single" w:sz="8" w:space="0" w:color="auto"/>
              <w:right w:val="single" w:sz="8" w:space="0" w:color="auto"/>
            </w:tcBorders>
            <w:shd w:val="clear" w:color="auto" w:fill="auto"/>
            <w:vAlign w:val="center"/>
            <w:hideMark/>
          </w:tcPr>
          <w:p w14:paraId="7A5CAB7B" w14:textId="77777777" w:rsidR="00E05341" w:rsidRPr="005D2778" w:rsidRDefault="00E05341" w:rsidP="00E05341">
            <w:pPr>
              <w:spacing w:after="0" w:line="240" w:lineRule="auto"/>
              <w:jc w:val="center"/>
              <w:rPr>
                <w:rFonts w:eastAsia="Times New Roman" w:cstheme="minorHAnsi"/>
                <w:sz w:val="18"/>
                <w:szCs w:val="18"/>
              </w:rPr>
            </w:pPr>
            <w:r w:rsidRPr="005D2778">
              <w:rPr>
                <w:rFonts w:eastAsia="Times New Roman" w:cstheme="minorHAnsi"/>
                <w:sz w:val="18"/>
                <w:szCs w:val="18"/>
              </w:rPr>
              <w:t>38.04%</w:t>
            </w:r>
          </w:p>
        </w:tc>
        <w:tc>
          <w:tcPr>
            <w:tcW w:w="1012" w:type="dxa"/>
            <w:vAlign w:val="center"/>
            <w:hideMark/>
          </w:tcPr>
          <w:p w14:paraId="502B7755" w14:textId="77777777" w:rsidR="00E05341" w:rsidRPr="005D2778" w:rsidRDefault="00E05341" w:rsidP="00E05341">
            <w:pPr>
              <w:spacing w:after="0" w:line="240" w:lineRule="auto"/>
              <w:rPr>
                <w:rFonts w:eastAsia="Times New Roman" w:cstheme="minorHAnsi"/>
                <w:sz w:val="18"/>
                <w:szCs w:val="18"/>
              </w:rPr>
            </w:pPr>
          </w:p>
        </w:tc>
      </w:tr>
      <w:tr w:rsidR="00E05341" w:rsidRPr="005D2778" w14:paraId="3F87AEA8" w14:textId="77777777" w:rsidTr="00E05341">
        <w:trPr>
          <w:trHeight w:val="315"/>
        </w:trPr>
        <w:tc>
          <w:tcPr>
            <w:tcW w:w="3503" w:type="dxa"/>
            <w:tcBorders>
              <w:top w:val="nil"/>
              <w:left w:val="single" w:sz="8" w:space="0" w:color="auto"/>
              <w:bottom w:val="single" w:sz="8" w:space="0" w:color="auto"/>
              <w:right w:val="single" w:sz="8" w:space="0" w:color="auto"/>
            </w:tcBorders>
            <w:shd w:val="clear" w:color="auto" w:fill="auto"/>
            <w:vAlign w:val="center"/>
            <w:hideMark/>
          </w:tcPr>
          <w:p w14:paraId="1414B61A" w14:textId="77777777" w:rsidR="00E05341" w:rsidRPr="005D2778" w:rsidRDefault="00E05341" w:rsidP="00E05341">
            <w:pPr>
              <w:spacing w:after="0" w:line="240" w:lineRule="auto"/>
              <w:ind w:firstLineChars="200" w:firstLine="360"/>
              <w:rPr>
                <w:rFonts w:eastAsia="Times New Roman" w:cstheme="minorHAnsi"/>
                <w:sz w:val="18"/>
                <w:szCs w:val="18"/>
              </w:rPr>
            </w:pPr>
            <w:r w:rsidRPr="005D2778">
              <w:rPr>
                <w:rFonts w:eastAsia="Times New Roman" w:cstheme="minorHAnsi"/>
                <w:sz w:val="18"/>
                <w:szCs w:val="18"/>
              </w:rPr>
              <w:t>3.3. Finansijski derivati</w:t>
            </w:r>
          </w:p>
        </w:tc>
        <w:tc>
          <w:tcPr>
            <w:tcW w:w="1165" w:type="dxa"/>
            <w:tcBorders>
              <w:top w:val="nil"/>
              <w:left w:val="nil"/>
              <w:bottom w:val="single" w:sz="8" w:space="0" w:color="auto"/>
              <w:right w:val="single" w:sz="8" w:space="0" w:color="auto"/>
            </w:tcBorders>
            <w:shd w:val="clear" w:color="auto" w:fill="auto"/>
            <w:vAlign w:val="bottom"/>
            <w:hideMark/>
          </w:tcPr>
          <w:p w14:paraId="799ABF29"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0.1   </w:t>
            </w:r>
          </w:p>
        </w:tc>
        <w:tc>
          <w:tcPr>
            <w:tcW w:w="1276" w:type="dxa"/>
            <w:tcBorders>
              <w:top w:val="nil"/>
              <w:left w:val="nil"/>
              <w:bottom w:val="single" w:sz="8" w:space="0" w:color="auto"/>
              <w:right w:val="single" w:sz="8" w:space="0" w:color="auto"/>
            </w:tcBorders>
            <w:shd w:val="clear" w:color="auto" w:fill="auto"/>
            <w:vAlign w:val="bottom"/>
            <w:hideMark/>
          </w:tcPr>
          <w:p w14:paraId="40A47F2E"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2.4   </w:t>
            </w:r>
          </w:p>
        </w:tc>
        <w:tc>
          <w:tcPr>
            <w:tcW w:w="1134" w:type="dxa"/>
            <w:tcBorders>
              <w:top w:val="nil"/>
              <w:left w:val="nil"/>
              <w:bottom w:val="single" w:sz="8" w:space="0" w:color="auto"/>
              <w:right w:val="single" w:sz="8" w:space="0" w:color="auto"/>
            </w:tcBorders>
            <w:shd w:val="clear" w:color="auto" w:fill="auto"/>
            <w:vAlign w:val="bottom"/>
            <w:hideMark/>
          </w:tcPr>
          <w:p w14:paraId="01AFE826"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1.0   </w:t>
            </w:r>
          </w:p>
        </w:tc>
        <w:tc>
          <w:tcPr>
            <w:tcW w:w="1134" w:type="dxa"/>
            <w:tcBorders>
              <w:top w:val="nil"/>
              <w:left w:val="nil"/>
              <w:bottom w:val="single" w:sz="8" w:space="0" w:color="auto"/>
              <w:right w:val="single" w:sz="8" w:space="0" w:color="auto"/>
            </w:tcBorders>
            <w:shd w:val="clear" w:color="auto" w:fill="auto"/>
            <w:vAlign w:val="center"/>
            <w:hideMark/>
          </w:tcPr>
          <w:p w14:paraId="5469A483" w14:textId="77777777" w:rsidR="00E05341" w:rsidRPr="005D2778" w:rsidRDefault="00E05341" w:rsidP="00E05341">
            <w:pPr>
              <w:spacing w:after="0" w:line="240" w:lineRule="auto"/>
              <w:jc w:val="center"/>
              <w:rPr>
                <w:rFonts w:eastAsia="Times New Roman" w:cstheme="minorHAnsi"/>
                <w:sz w:val="18"/>
                <w:szCs w:val="18"/>
              </w:rPr>
            </w:pPr>
            <w:r w:rsidRPr="005D2778">
              <w:rPr>
                <w:rFonts w:eastAsia="Times New Roman" w:cstheme="minorHAnsi"/>
                <w:sz w:val="18"/>
                <w:szCs w:val="18"/>
              </w:rPr>
              <w:t>4447.17%</w:t>
            </w:r>
          </w:p>
        </w:tc>
        <w:tc>
          <w:tcPr>
            <w:tcW w:w="1276" w:type="dxa"/>
            <w:tcBorders>
              <w:top w:val="nil"/>
              <w:left w:val="nil"/>
              <w:bottom w:val="single" w:sz="8" w:space="0" w:color="auto"/>
              <w:right w:val="single" w:sz="8" w:space="0" w:color="auto"/>
            </w:tcBorders>
            <w:shd w:val="clear" w:color="auto" w:fill="auto"/>
            <w:vAlign w:val="center"/>
            <w:hideMark/>
          </w:tcPr>
          <w:p w14:paraId="73D923F5" w14:textId="77777777" w:rsidR="00E05341" w:rsidRPr="005D2778" w:rsidRDefault="00E05341" w:rsidP="00E05341">
            <w:pPr>
              <w:spacing w:after="0" w:line="240" w:lineRule="auto"/>
              <w:jc w:val="center"/>
              <w:rPr>
                <w:rFonts w:eastAsia="Times New Roman" w:cstheme="minorHAnsi"/>
                <w:sz w:val="18"/>
                <w:szCs w:val="18"/>
              </w:rPr>
            </w:pPr>
            <w:r w:rsidRPr="005D2778">
              <w:rPr>
                <w:rFonts w:eastAsia="Times New Roman" w:cstheme="minorHAnsi"/>
                <w:sz w:val="18"/>
                <w:szCs w:val="18"/>
              </w:rPr>
              <w:t>-58.63%</w:t>
            </w:r>
          </w:p>
        </w:tc>
        <w:tc>
          <w:tcPr>
            <w:tcW w:w="1012" w:type="dxa"/>
            <w:vAlign w:val="center"/>
            <w:hideMark/>
          </w:tcPr>
          <w:p w14:paraId="6C457433" w14:textId="77777777" w:rsidR="00E05341" w:rsidRPr="005D2778" w:rsidRDefault="00E05341" w:rsidP="00E05341">
            <w:pPr>
              <w:spacing w:after="0" w:line="240" w:lineRule="auto"/>
              <w:rPr>
                <w:rFonts w:eastAsia="Times New Roman" w:cstheme="minorHAnsi"/>
                <w:sz w:val="18"/>
                <w:szCs w:val="18"/>
              </w:rPr>
            </w:pPr>
          </w:p>
        </w:tc>
      </w:tr>
      <w:tr w:rsidR="00E05341" w:rsidRPr="005D2778" w14:paraId="153BCC8D" w14:textId="77777777" w:rsidTr="00E05341">
        <w:trPr>
          <w:trHeight w:val="315"/>
        </w:trPr>
        <w:tc>
          <w:tcPr>
            <w:tcW w:w="3503" w:type="dxa"/>
            <w:tcBorders>
              <w:top w:val="nil"/>
              <w:left w:val="single" w:sz="8" w:space="0" w:color="auto"/>
              <w:bottom w:val="single" w:sz="8" w:space="0" w:color="auto"/>
              <w:right w:val="single" w:sz="8" w:space="0" w:color="auto"/>
            </w:tcBorders>
            <w:shd w:val="clear" w:color="auto" w:fill="auto"/>
            <w:vAlign w:val="center"/>
            <w:hideMark/>
          </w:tcPr>
          <w:p w14:paraId="53442CAF" w14:textId="77777777" w:rsidR="00E05341" w:rsidRPr="005D2778" w:rsidRDefault="00E05341" w:rsidP="00E05341">
            <w:pPr>
              <w:spacing w:after="0" w:line="240" w:lineRule="auto"/>
              <w:ind w:firstLineChars="200" w:firstLine="360"/>
              <w:rPr>
                <w:rFonts w:eastAsia="Times New Roman" w:cstheme="minorHAnsi"/>
                <w:sz w:val="18"/>
                <w:szCs w:val="18"/>
              </w:rPr>
            </w:pPr>
            <w:r w:rsidRPr="005D2778">
              <w:rPr>
                <w:rFonts w:eastAsia="Times New Roman" w:cstheme="minorHAnsi"/>
                <w:sz w:val="18"/>
                <w:szCs w:val="18"/>
              </w:rPr>
              <w:t>3.4. Ostale investicije</w:t>
            </w:r>
          </w:p>
        </w:tc>
        <w:tc>
          <w:tcPr>
            <w:tcW w:w="1165" w:type="dxa"/>
            <w:tcBorders>
              <w:top w:val="nil"/>
              <w:left w:val="nil"/>
              <w:bottom w:val="single" w:sz="8" w:space="0" w:color="auto"/>
              <w:right w:val="single" w:sz="8" w:space="0" w:color="auto"/>
            </w:tcBorders>
            <w:shd w:val="clear" w:color="auto" w:fill="auto"/>
            <w:vAlign w:val="bottom"/>
            <w:hideMark/>
          </w:tcPr>
          <w:p w14:paraId="7973249D"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5,243.3   </w:t>
            </w:r>
          </w:p>
        </w:tc>
        <w:tc>
          <w:tcPr>
            <w:tcW w:w="1276" w:type="dxa"/>
            <w:tcBorders>
              <w:top w:val="nil"/>
              <w:left w:val="nil"/>
              <w:bottom w:val="single" w:sz="8" w:space="0" w:color="auto"/>
              <w:right w:val="single" w:sz="8" w:space="0" w:color="auto"/>
            </w:tcBorders>
            <w:shd w:val="clear" w:color="auto" w:fill="auto"/>
            <w:vAlign w:val="bottom"/>
            <w:hideMark/>
          </w:tcPr>
          <w:p w14:paraId="5150A294"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5,031.7   </w:t>
            </w:r>
          </w:p>
        </w:tc>
        <w:tc>
          <w:tcPr>
            <w:tcW w:w="1134" w:type="dxa"/>
            <w:tcBorders>
              <w:top w:val="nil"/>
              <w:left w:val="nil"/>
              <w:bottom w:val="single" w:sz="8" w:space="0" w:color="auto"/>
              <w:right w:val="single" w:sz="8" w:space="0" w:color="auto"/>
            </w:tcBorders>
            <w:shd w:val="clear" w:color="auto" w:fill="auto"/>
            <w:vAlign w:val="bottom"/>
            <w:hideMark/>
          </w:tcPr>
          <w:p w14:paraId="1D79F83C" w14:textId="77777777" w:rsidR="00E05341" w:rsidRPr="005D2778" w:rsidRDefault="00E05341" w:rsidP="00E05341">
            <w:pPr>
              <w:spacing w:after="0" w:line="240" w:lineRule="auto"/>
              <w:jc w:val="right"/>
              <w:rPr>
                <w:rFonts w:eastAsia="Times New Roman" w:cstheme="minorHAnsi"/>
                <w:sz w:val="18"/>
                <w:szCs w:val="18"/>
              </w:rPr>
            </w:pPr>
            <w:r w:rsidRPr="005D2778">
              <w:rPr>
                <w:rFonts w:eastAsia="Times New Roman" w:cstheme="minorHAnsi"/>
                <w:sz w:val="18"/>
                <w:szCs w:val="18"/>
              </w:rPr>
              <w:t xml:space="preserve">         4,968.6   </w:t>
            </w:r>
          </w:p>
        </w:tc>
        <w:tc>
          <w:tcPr>
            <w:tcW w:w="1134" w:type="dxa"/>
            <w:tcBorders>
              <w:top w:val="nil"/>
              <w:left w:val="nil"/>
              <w:bottom w:val="single" w:sz="8" w:space="0" w:color="auto"/>
              <w:right w:val="single" w:sz="8" w:space="0" w:color="auto"/>
            </w:tcBorders>
            <w:shd w:val="clear" w:color="auto" w:fill="auto"/>
            <w:vAlign w:val="center"/>
            <w:hideMark/>
          </w:tcPr>
          <w:p w14:paraId="6B34E1EC" w14:textId="77777777" w:rsidR="00E05341" w:rsidRPr="005D2778" w:rsidRDefault="00E05341" w:rsidP="00E05341">
            <w:pPr>
              <w:spacing w:after="0" w:line="240" w:lineRule="auto"/>
              <w:jc w:val="center"/>
              <w:rPr>
                <w:rFonts w:eastAsia="Times New Roman" w:cstheme="minorHAnsi"/>
                <w:sz w:val="18"/>
                <w:szCs w:val="18"/>
              </w:rPr>
            </w:pPr>
            <w:r w:rsidRPr="005D2778">
              <w:rPr>
                <w:rFonts w:eastAsia="Times New Roman" w:cstheme="minorHAnsi"/>
                <w:sz w:val="18"/>
                <w:szCs w:val="18"/>
              </w:rPr>
              <w:t>-4.04%</w:t>
            </w:r>
          </w:p>
        </w:tc>
        <w:tc>
          <w:tcPr>
            <w:tcW w:w="1276" w:type="dxa"/>
            <w:tcBorders>
              <w:top w:val="nil"/>
              <w:left w:val="nil"/>
              <w:bottom w:val="single" w:sz="8" w:space="0" w:color="auto"/>
              <w:right w:val="single" w:sz="8" w:space="0" w:color="auto"/>
            </w:tcBorders>
            <w:shd w:val="clear" w:color="auto" w:fill="auto"/>
            <w:vAlign w:val="center"/>
            <w:hideMark/>
          </w:tcPr>
          <w:p w14:paraId="66CC098D" w14:textId="77777777" w:rsidR="00E05341" w:rsidRPr="005D2778" w:rsidRDefault="00E05341" w:rsidP="00E05341">
            <w:pPr>
              <w:spacing w:after="0" w:line="240" w:lineRule="auto"/>
              <w:jc w:val="center"/>
              <w:rPr>
                <w:rFonts w:eastAsia="Times New Roman" w:cstheme="minorHAnsi"/>
                <w:sz w:val="18"/>
                <w:szCs w:val="18"/>
              </w:rPr>
            </w:pPr>
            <w:r w:rsidRPr="005D2778">
              <w:rPr>
                <w:rFonts w:eastAsia="Times New Roman" w:cstheme="minorHAnsi"/>
                <w:sz w:val="18"/>
                <w:szCs w:val="18"/>
              </w:rPr>
              <w:t>-1.25%</w:t>
            </w:r>
          </w:p>
        </w:tc>
        <w:tc>
          <w:tcPr>
            <w:tcW w:w="1012" w:type="dxa"/>
            <w:vAlign w:val="center"/>
            <w:hideMark/>
          </w:tcPr>
          <w:p w14:paraId="3C9758F0" w14:textId="77777777" w:rsidR="00E05341" w:rsidRPr="005D2778" w:rsidRDefault="00E05341" w:rsidP="00E05341">
            <w:pPr>
              <w:spacing w:after="0" w:line="240" w:lineRule="auto"/>
              <w:rPr>
                <w:rFonts w:eastAsia="Times New Roman" w:cstheme="minorHAnsi"/>
                <w:sz w:val="18"/>
                <w:szCs w:val="18"/>
              </w:rPr>
            </w:pPr>
          </w:p>
        </w:tc>
      </w:tr>
    </w:tbl>
    <w:p w14:paraId="3222FD23" w14:textId="77777777" w:rsidR="00E05341" w:rsidRDefault="00E05341" w:rsidP="00E05341">
      <w:pPr>
        <w:spacing w:after="200" w:line="240" w:lineRule="auto"/>
        <w:rPr>
          <w:rFonts w:eastAsia="Times New Roman" w:cs="Calibri"/>
          <w:i/>
          <w:sz w:val="18"/>
          <w:szCs w:val="24"/>
          <w:lang w:val="sr-Latn-RS"/>
        </w:rPr>
      </w:pPr>
      <w:r w:rsidRPr="00F75A93">
        <w:rPr>
          <w:rFonts w:eastAsia="Times New Roman" w:cs="Calibri"/>
          <w:i/>
          <w:sz w:val="18"/>
          <w:szCs w:val="24"/>
          <w:lang w:val="sr-Latn-RS"/>
        </w:rPr>
        <w:t xml:space="preserve">      Izvor: CBCG</w:t>
      </w:r>
    </w:p>
    <w:p w14:paraId="0355FF3C" w14:textId="6A231E16" w:rsidR="00E05341" w:rsidRDefault="00E05341" w:rsidP="00E05341">
      <w:pPr>
        <w:spacing w:line="276" w:lineRule="auto"/>
        <w:jc w:val="both"/>
        <w:rPr>
          <w:rFonts w:eastAsiaTheme="majorEastAsia" w:cstheme="minorHAnsi"/>
          <w:b/>
          <w:color w:val="2F5496" w:themeColor="accent1" w:themeShade="BF"/>
          <w:sz w:val="24"/>
          <w:szCs w:val="24"/>
          <w:lang w:val="sr-Latn-ME"/>
        </w:rPr>
      </w:pPr>
      <w:r>
        <w:rPr>
          <w:rFonts w:eastAsiaTheme="majorEastAsia" w:cstheme="minorHAnsi"/>
          <w:b/>
          <w:color w:val="2F5496" w:themeColor="accent1" w:themeShade="BF"/>
          <w:sz w:val="24"/>
          <w:szCs w:val="24"/>
          <w:lang w:val="sr-Latn-ME"/>
        </w:rPr>
        <w:t>1.1.6.4</w:t>
      </w:r>
      <w:r w:rsidR="002E35FA">
        <w:rPr>
          <w:rFonts w:eastAsiaTheme="majorEastAsia" w:cstheme="minorHAnsi"/>
          <w:b/>
          <w:color w:val="2F5496" w:themeColor="accent1" w:themeShade="BF"/>
          <w:sz w:val="24"/>
          <w:szCs w:val="24"/>
          <w:lang w:val="sr-Latn-ME"/>
        </w:rPr>
        <w:t>.</w:t>
      </w:r>
      <w:r>
        <w:rPr>
          <w:rFonts w:eastAsiaTheme="majorEastAsia" w:cstheme="minorHAnsi"/>
          <w:b/>
          <w:color w:val="2F5496" w:themeColor="accent1" w:themeShade="BF"/>
          <w:sz w:val="24"/>
          <w:szCs w:val="24"/>
          <w:lang w:val="sr-Latn-ME"/>
        </w:rPr>
        <w:t xml:space="preserve"> Spoljni dug</w:t>
      </w:r>
    </w:p>
    <w:p w14:paraId="152D5A45" w14:textId="77777777" w:rsidR="00E05341" w:rsidRPr="0082584E" w:rsidRDefault="00E05341" w:rsidP="00E05341">
      <w:pPr>
        <w:jc w:val="both"/>
        <w:rPr>
          <w:rFonts w:eastAsia="Times New Roman" w:cs="Calibri"/>
          <w:sz w:val="24"/>
          <w:szCs w:val="24"/>
          <w:lang w:val="sr-Latn-RS"/>
        </w:rPr>
      </w:pPr>
      <w:r w:rsidRPr="0082584E">
        <w:rPr>
          <w:rFonts w:eastAsia="Times New Roman" w:cs="Calibri"/>
          <w:sz w:val="24"/>
          <w:szCs w:val="24"/>
          <w:lang w:val="sr-Latn-RS"/>
        </w:rPr>
        <w:t>Ukupan spoljni dug Crne Gore na kraju 2023. godine</w:t>
      </w:r>
      <w:r>
        <w:rPr>
          <w:rFonts w:eastAsia="Times New Roman" w:cs="Calibri"/>
          <w:sz w:val="24"/>
          <w:szCs w:val="24"/>
          <w:lang w:val="sr-Latn-RS"/>
        </w:rPr>
        <w:t>,</w:t>
      </w:r>
      <w:r w:rsidRPr="0082584E">
        <w:rPr>
          <w:rFonts w:eastAsia="Times New Roman" w:cs="Calibri"/>
          <w:sz w:val="24"/>
          <w:szCs w:val="24"/>
          <w:lang w:val="sr-Latn-RS"/>
        </w:rPr>
        <w:t xml:space="preserve"> iznosio je 9.060,28 miliona eura i u odnosu na kraj decembra 2022. godine</w:t>
      </w:r>
      <w:r>
        <w:rPr>
          <w:rFonts w:eastAsia="Times New Roman" w:cs="Calibri"/>
          <w:sz w:val="24"/>
          <w:szCs w:val="24"/>
          <w:lang w:val="sr-Latn-RS"/>
        </w:rPr>
        <w:t>,</w:t>
      </w:r>
      <w:r w:rsidRPr="0082584E">
        <w:rPr>
          <w:rFonts w:eastAsia="Times New Roman" w:cs="Calibri"/>
          <w:sz w:val="24"/>
          <w:szCs w:val="24"/>
          <w:lang w:val="sr-Latn-RS"/>
        </w:rPr>
        <w:t xml:space="preserve"> smanjen je za 338,23 miliona eura. Učešće ukupnog spoljnog duga u BDP-u na kraju 2023. godine iznosilo je 130,11%</w:t>
      </w:r>
      <w:r>
        <w:rPr>
          <w:rFonts w:eastAsia="Times New Roman" w:cs="Calibri"/>
          <w:sz w:val="24"/>
          <w:szCs w:val="24"/>
          <w:lang w:val="sr-Latn-RS"/>
        </w:rPr>
        <w:t>,</w:t>
      </w:r>
      <w:r w:rsidRPr="0082584E">
        <w:rPr>
          <w:rFonts w:eastAsia="Times New Roman" w:cs="Calibri"/>
          <w:sz w:val="24"/>
          <w:szCs w:val="24"/>
          <w:lang w:val="sr-Latn-RS"/>
        </w:rPr>
        <w:t xml:space="preserve"> što predstavlja pad od 28,54 p</w:t>
      </w:r>
      <w:r>
        <w:rPr>
          <w:rFonts w:eastAsia="Times New Roman" w:cs="Calibri"/>
          <w:sz w:val="24"/>
          <w:szCs w:val="24"/>
          <w:lang w:val="sr-Latn-RS"/>
        </w:rPr>
        <w:t>.</w:t>
      </w:r>
      <w:r w:rsidRPr="0082584E">
        <w:rPr>
          <w:rFonts w:eastAsia="Times New Roman" w:cs="Calibri"/>
          <w:sz w:val="24"/>
          <w:szCs w:val="24"/>
          <w:lang w:val="sr-Latn-RS"/>
        </w:rPr>
        <w:t>p</w:t>
      </w:r>
      <w:r>
        <w:rPr>
          <w:rFonts w:eastAsia="Times New Roman" w:cs="Calibri"/>
          <w:sz w:val="24"/>
          <w:szCs w:val="24"/>
          <w:lang w:val="sr-Latn-RS"/>
        </w:rPr>
        <w:t>.</w:t>
      </w:r>
      <w:r w:rsidRPr="0082584E">
        <w:rPr>
          <w:rFonts w:eastAsia="Times New Roman" w:cs="Calibri"/>
          <w:sz w:val="24"/>
          <w:szCs w:val="24"/>
          <w:lang w:val="sr-Latn-RS"/>
        </w:rPr>
        <w:t xml:space="preserve"> na godišnjem nivou, više kao rezultat relativnog rasta BDP-a (17,55%) u 2023. godini, nego smanjenja ukupnog spoljnog duga (3,60%). U strukturi spoljnog duga Crne Gore na kraju 2023. godine</w:t>
      </w:r>
      <w:r>
        <w:rPr>
          <w:rFonts w:eastAsia="Times New Roman" w:cs="Calibri"/>
          <w:sz w:val="24"/>
          <w:szCs w:val="24"/>
          <w:lang w:val="sr-Latn-RS"/>
        </w:rPr>
        <w:t>,</w:t>
      </w:r>
      <w:r w:rsidRPr="0082584E">
        <w:rPr>
          <w:rFonts w:eastAsia="Times New Roman" w:cs="Calibri"/>
          <w:sz w:val="24"/>
          <w:szCs w:val="24"/>
          <w:lang w:val="sr-Latn-RS"/>
        </w:rPr>
        <w:t xml:space="preserve"> 39,95% ili 3.619,33 miliona eura odnosilo se na dug javnog sektora, dok se 60,05% ili 5.440,95 miliona eura odnosilo na dug privatnog sektora. </w:t>
      </w:r>
    </w:p>
    <w:p w14:paraId="07ECC8C2" w14:textId="77777777" w:rsidR="00E05341" w:rsidRPr="0082584E" w:rsidRDefault="00E05341" w:rsidP="00E05341">
      <w:pPr>
        <w:jc w:val="both"/>
        <w:rPr>
          <w:rFonts w:eastAsia="Times New Roman" w:cs="Calibri"/>
          <w:sz w:val="24"/>
          <w:szCs w:val="24"/>
        </w:rPr>
      </w:pPr>
      <w:r w:rsidRPr="0082584E">
        <w:rPr>
          <w:rFonts w:eastAsia="Times New Roman" w:cs="Calibri"/>
          <w:sz w:val="24"/>
          <w:szCs w:val="24"/>
        </w:rPr>
        <w:t>Prema preliminarnim podacima, ukupan spoljni dug Crne Gore na kraju drugog kvartala 2024. godine iznosio je 9.714,55 miliona eura. U odnosu na kraj decembra prethodne godine</w:t>
      </w:r>
      <w:r>
        <w:rPr>
          <w:rFonts w:eastAsia="Times New Roman" w:cs="Calibri"/>
          <w:sz w:val="24"/>
          <w:szCs w:val="24"/>
        </w:rPr>
        <w:t>,</w:t>
      </w:r>
      <w:r w:rsidRPr="0082584E">
        <w:rPr>
          <w:rFonts w:eastAsia="Times New Roman" w:cs="Calibri"/>
          <w:sz w:val="24"/>
          <w:szCs w:val="24"/>
        </w:rPr>
        <w:t xml:space="preserve"> ovaj dug uvećan je za 654,27 miliona eura, usljed većeg povećanja duga zabilježenog kod javnog sektora u odnosu na privatni sektor. </w:t>
      </w:r>
    </w:p>
    <w:p w14:paraId="21DE7D17" w14:textId="77777777" w:rsidR="00E05341" w:rsidRPr="0082584E" w:rsidRDefault="00E05341" w:rsidP="00E05341">
      <w:pPr>
        <w:jc w:val="both"/>
        <w:rPr>
          <w:rFonts w:eastAsia="Times New Roman" w:cs="Calibri"/>
          <w:sz w:val="24"/>
          <w:szCs w:val="24"/>
        </w:rPr>
      </w:pPr>
      <w:r w:rsidRPr="0082584E">
        <w:rPr>
          <w:rFonts w:eastAsia="Times New Roman" w:cs="Calibri"/>
          <w:sz w:val="24"/>
          <w:szCs w:val="24"/>
        </w:rPr>
        <w:t>U strukturi spoljnog duga Crne Gore na kraju drugog kvartala 2024. godine, 43,18% odnosilo se na dug javnog sektora, dok se 56,82% odnosilo na dug privatnog</w:t>
      </w:r>
      <w:r>
        <w:rPr>
          <w:rFonts w:eastAsia="Times New Roman" w:cs="Calibri"/>
          <w:sz w:val="24"/>
          <w:szCs w:val="24"/>
        </w:rPr>
        <w:t xml:space="preserve"> sektora</w:t>
      </w:r>
      <w:r w:rsidRPr="0082584E">
        <w:rPr>
          <w:rFonts w:eastAsia="Times New Roman" w:cs="Calibri"/>
          <w:sz w:val="24"/>
          <w:szCs w:val="24"/>
        </w:rPr>
        <w:t>. Spoljni dug javnog sektora iznosio je 4.194,31 milion eura, što predstavlja povećanje od 574,98 miliona eura u odnosu na kraj prethodne godine. Ovaj rast rezultat je povećanja obaveza po osnovu emitovanih obveznica na inostranom tržištu. Spoljni dug privatnog sektora na kraju drugog kvartala 2024. godine i</w:t>
      </w:r>
      <w:r>
        <w:rPr>
          <w:rFonts w:eastAsia="Times New Roman" w:cs="Calibri"/>
          <w:sz w:val="24"/>
          <w:szCs w:val="24"/>
        </w:rPr>
        <w:t>znosio je 5.520,24 miliona eura</w:t>
      </w:r>
      <w:r w:rsidRPr="0082584E">
        <w:rPr>
          <w:rFonts w:eastAsia="Times New Roman" w:cs="Calibri"/>
          <w:sz w:val="24"/>
          <w:szCs w:val="24"/>
        </w:rPr>
        <w:t xml:space="preserve"> ili 79,29 miliona eura više u odnosu na kraj prethodne godine. U valutnoj strukturi ukupnog spoljnog duga</w:t>
      </w:r>
      <w:r>
        <w:rPr>
          <w:rFonts w:eastAsia="Times New Roman" w:cs="Calibri"/>
          <w:sz w:val="24"/>
          <w:szCs w:val="24"/>
        </w:rPr>
        <w:t>,</w:t>
      </w:r>
      <w:r w:rsidRPr="0082584E">
        <w:rPr>
          <w:rFonts w:eastAsia="Times New Roman" w:cs="Calibri"/>
          <w:sz w:val="24"/>
          <w:szCs w:val="24"/>
        </w:rPr>
        <w:t xml:space="preserve"> na kraju drugog kvartala 2024. godine dominira euro sa oko 95% učešća, što rizik zemlje čini relativno niskim imajući u vidu da je euro u Crnoj Gori zvanično sredstvo plaćanja.</w:t>
      </w:r>
    </w:p>
    <w:p w14:paraId="6F71A130" w14:textId="77777777" w:rsidR="00E05341" w:rsidRPr="005B34A4" w:rsidRDefault="00E05341" w:rsidP="00E05341">
      <w:pPr>
        <w:spacing w:line="240" w:lineRule="auto"/>
        <w:jc w:val="both"/>
        <w:rPr>
          <w:b/>
          <w:bCs/>
        </w:rPr>
      </w:pPr>
      <w:r w:rsidRPr="005B34A4">
        <w:rPr>
          <w:b/>
          <w:bCs/>
        </w:rPr>
        <w:t>Tabela 3.1.6.4: Struktura spoljnjeg duga Crne Gore, u milionima eura</w:t>
      </w:r>
    </w:p>
    <w:tbl>
      <w:tblPr>
        <w:tblW w:w="9488" w:type="dxa"/>
        <w:tblInd w:w="118" w:type="dxa"/>
        <w:tblLook w:val="04A0" w:firstRow="1" w:lastRow="0" w:firstColumn="1" w:lastColumn="0" w:noHBand="0" w:noVBand="1"/>
      </w:tblPr>
      <w:tblGrid>
        <w:gridCol w:w="3392"/>
        <w:gridCol w:w="1134"/>
        <w:gridCol w:w="851"/>
        <w:gridCol w:w="992"/>
        <w:gridCol w:w="1559"/>
        <w:gridCol w:w="1560"/>
      </w:tblGrid>
      <w:tr w:rsidR="00E05341" w:rsidRPr="00AB37EE" w14:paraId="39288885" w14:textId="77777777" w:rsidTr="00E05341">
        <w:trPr>
          <w:trHeight w:val="735"/>
        </w:trPr>
        <w:tc>
          <w:tcPr>
            <w:tcW w:w="3392" w:type="dxa"/>
            <w:tcBorders>
              <w:top w:val="single" w:sz="8" w:space="0" w:color="auto"/>
              <w:left w:val="single" w:sz="8" w:space="0" w:color="auto"/>
              <w:bottom w:val="single" w:sz="8" w:space="0" w:color="auto"/>
              <w:right w:val="nil"/>
            </w:tcBorders>
            <w:shd w:val="clear" w:color="auto" w:fill="auto"/>
            <w:noWrap/>
            <w:vAlign w:val="center"/>
            <w:hideMark/>
          </w:tcPr>
          <w:p w14:paraId="7541935D" w14:textId="77777777" w:rsidR="00E05341" w:rsidRPr="00AB37EE" w:rsidRDefault="00E05341" w:rsidP="00E05341">
            <w:pPr>
              <w:spacing w:after="0" w:line="240" w:lineRule="auto"/>
              <w:jc w:val="center"/>
              <w:rPr>
                <w:rFonts w:eastAsia="Times New Roman" w:cstheme="minorHAnsi"/>
                <w:b/>
                <w:bCs/>
                <w:sz w:val="18"/>
                <w:szCs w:val="18"/>
              </w:rPr>
            </w:pPr>
            <w:r w:rsidRPr="00AB37EE">
              <w:rPr>
                <w:rFonts w:eastAsia="Times New Roman" w:cstheme="minorHAnsi"/>
                <w:b/>
                <w:bCs/>
                <w:sz w:val="18"/>
                <w:szCs w:val="18"/>
              </w:rPr>
              <w:t>Sektor</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BF4A66" w14:textId="77777777" w:rsidR="00E05341" w:rsidRPr="00AB37EE" w:rsidRDefault="00E05341" w:rsidP="00E05341">
            <w:pPr>
              <w:spacing w:after="0" w:line="240" w:lineRule="auto"/>
              <w:jc w:val="center"/>
              <w:rPr>
                <w:rFonts w:eastAsia="Times New Roman" w:cstheme="minorHAnsi"/>
                <w:b/>
                <w:bCs/>
                <w:i/>
                <w:iCs/>
                <w:sz w:val="18"/>
                <w:szCs w:val="18"/>
              </w:rPr>
            </w:pPr>
            <w:r w:rsidRPr="00AB37EE">
              <w:rPr>
                <w:rFonts w:eastAsia="Times New Roman" w:cstheme="minorHAnsi"/>
                <w:b/>
                <w:bCs/>
                <w:i/>
                <w:iCs/>
                <w:sz w:val="18"/>
                <w:szCs w:val="18"/>
              </w:rPr>
              <w:t>2022</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18960F63" w14:textId="77777777" w:rsidR="00E05341" w:rsidRPr="00AB37EE" w:rsidRDefault="00E05341" w:rsidP="00E05341">
            <w:pPr>
              <w:spacing w:after="0" w:line="240" w:lineRule="auto"/>
              <w:jc w:val="center"/>
              <w:rPr>
                <w:rFonts w:eastAsia="Times New Roman" w:cstheme="minorHAnsi"/>
                <w:b/>
                <w:bCs/>
                <w:i/>
                <w:iCs/>
                <w:sz w:val="18"/>
                <w:szCs w:val="18"/>
              </w:rPr>
            </w:pPr>
            <w:r w:rsidRPr="00AB37EE">
              <w:rPr>
                <w:rFonts w:eastAsia="Times New Roman" w:cstheme="minorHAnsi"/>
                <w:b/>
                <w:bCs/>
                <w:i/>
                <w:iCs/>
                <w:sz w:val="18"/>
                <w:szCs w:val="18"/>
              </w:rPr>
              <w:t>2023</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4FD904D5" w14:textId="77777777" w:rsidR="00E05341" w:rsidRPr="00AB37EE" w:rsidRDefault="00E05341" w:rsidP="00E05341">
            <w:pPr>
              <w:spacing w:after="0" w:line="240" w:lineRule="auto"/>
              <w:jc w:val="center"/>
              <w:rPr>
                <w:rFonts w:eastAsia="Times New Roman" w:cstheme="minorHAnsi"/>
                <w:b/>
                <w:bCs/>
                <w:i/>
                <w:iCs/>
                <w:sz w:val="18"/>
                <w:szCs w:val="18"/>
              </w:rPr>
            </w:pPr>
            <w:r w:rsidRPr="00AB37EE">
              <w:rPr>
                <w:rFonts w:eastAsia="Times New Roman" w:cstheme="minorHAnsi"/>
                <w:b/>
                <w:bCs/>
                <w:i/>
                <w:iCs/>
                <w:sz w:val="18"/>
                <w:szCs w:val="18"/>
              </w:rPr>
              <w:t>Q2 2024</w:t>
            </w:r>
          </w:p>
        </w:tc>
        <w:tc>
          <w:tcPr>
            <w:tcW w:w="1559" w:type="dxa"/>
            <w:tcBorders>
              <w:top w:val="single" w:sz="8" w:space="0" w:color="auto"/>
              <w:left w:val="nil"/>
              <w:bottom w:val="nil"/>
              <w:right w:val="single" w:sz="8" w:space="0" w:color="auto"/>
            </w:tcBorders>
            <w:shd w:val="clear" w:color="auto" w:fill="auto"/>
            <w:vAlign w:val="center"/>
            <w:hideMark/>
          </w:tcPr>
          <w:p w14:paraId="539B3E3D" w14:textId="77777777" w:rsidR="00E05341" w:rsidRPr="00AB37EE" w:rsidRDefault="00E05341" w:rsidP="00E05341">
            <w:pPr>
              <w:spacing w:after="0" w:line="240" w:lineRule="auto"/>
              <w:jc w:val="center"/>
              <w:rPr>
                <w:rFonts w:eastAsia="Times New Roman" w:cstheme="minorHAnsi"/>
                <w:b/>
                <w:bCs/>
                <w:i/>
                <w:iCs/>
                <w:sz w:val="18"/>
                <w:szCs w:val="18"/>
              </w:rPr>
            </w:pPr>
            <w:r w:rsidRPr="00AB37EE">
              <w:rPr>
                <w:rFonts w:eastAsia="Times New Roman" w:cstheme="minorHAnsi"/>
                <w:b/>
                <w:bCs/>
                <w:i/>
                <w:iCs/>
                <w:sz w:val="18"/>
                <w:szCs w:val="18"/>
              </w:rPr>
              <w:t>Promjena u % 2023/2022</w:t>
            </w:r>
          </w:p>
        </w:tc>
        <w:tc>
          <w:tcPr>
            <w:tcW w:w="1560" w:type="dxa"/>
            <w:tcBorders>
              <w:top w:val="single" w:sz="8" w:space="0" w:color="auto"/>
              <w:left w:val="nil"/>
              <w:bottom w:val="nil"/>
              <w:right w:val="single" w:sz="8" w:space="0" w:color="auto"/>
            </w:tcBorders>
            <w:shd w:val="clear" w:color="auto" w:fill="auto"/>
            <w:vAlign w:val="center"/>
            <w:hideMark/>
          </w:tcPr>
          <w:p w14:paraId="05AF825B" w14:textId="77777777" w:rsidR="00E05341" w:rsidRPr="00AB37EE" w:rsidRDefault="00E05341" w:rsidP="00E05341">
            <w:pPr>
              <w:spacing w:after="0" w:line="240" w:lineRule="auto"/>
              <w:jc w:val="center"/>
              <w:rPr>
                <w:rFonts w:eastAsia="Times New Roman" w:cstheme="minorHAnsi"/>
                <w:b/>
                <w:bCs/>
                <w:i/>
                <w:iCs/>
                <w:sz w:val="18"/>
                <w:szCs w:val="18"/>
              </w:rPr>
            </w:pPr>
            <w:r w:rsidRPr="00AB37EE">
              <w:rPr>
                <w:rFonts w:eastAsia="Times New Roman" w:cstheme="minorHAnsi"/>
                <w:b/>
                <w:bCs/>
                <w:i/>
                <w:iCs/>
                <w:sz w:val="18"/>
                <w:szCs w:val="18"/>
              </w:rPr>
              <w:t>Promjena u % Q2 2024/2023</w:t>
            </w:r>
          </w:p>
        </w:tc>
      </w:tr>
      <w:tr w:rsidR="00E05341" w:rsidRPr="00AB37EE" w14:paraId="64D108DF" w14:textId="77777777" w:rsidTr="00E05341">
        <w:trPr>
          <w:trHeight w:val="315"/>
        </w:trPr>
        <w:tc>
          <w:tcPr>
            <w:tcW w:w="3392" w:type="dxa"/>
            <w:tcBorders>
              <w:top w:val="nil"/>
              <w:left w:val="single" w:sz="8" w:space="0" w:color="auto"/>
              <w:bottom w:val="single" w:sz="8" w:space="0" w:color="auto"/>
              <w:right w:val="nil"/>
            </w:tcBorders>
            <w:shd w:val="clear" w:color="auto" w:fill="auto"/>
            <w:vAlign w:val="center"/>
            <w:hideMark/>
          </w:tcPr>
          <w:p w14:paraId="630A1747" w14:textId="77777777" w:rsidR="00E05341" w:rsidRPr="00AB37EE" w:rsidRDefault="00E05341" w:rsidP="00E05341">
            <w:pPr>
              <w:spacing w:after="0" w:line="240" w:lineRule="auto"/>
              <w:rPr>
                <w:rFonts w:eastAsia="Times New Roman" w:cstheme="minorHAnsi"/>
                <w:sz w:val="18"/>
                <w:szCs w:val="18"/>
              </w:rPr>
            </w:pPr>
            <w:r w:rsidRPr="00AB37EE">
              <w:rPr>
                <w:rFonts w:eastAsia="Times New Roman" w:cstheme="minorHAnsi"/>
                <w:sz w:val="18"/>
                <w:szCs w:val="18"/>
              </w:rPr>
              <w:t>1. Opšta država</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52BEB24" w14:textId="77777777" w:rsidR="00E05341" w:rsidRPr="00AB37EE" w:rsidRDefault="00E05341" w:rsidP="00E05341">
            <w:pPr>
              <w:spacing w:after="0" w:line="240" w:lineRule="auto"/>
              <w:jc w:val="right"/>
              <w:rPr>
                <w:rFonts w:eastAsia="Times New Roman" w:cstheme="minorHAnsi"/>
                <w:sz w:val="18"/>
                <w:szCs w:val="18"/>
              </w:rPr>
            </w:pPr>
            <w:r w:rsidRPr="00AB37EE">
              <w:rPr>
                <w:rFonts w:eastAsia="Times New Roman" w:cstheme="minorHAnsi"/>
                <w:sz w:val="18"/>
                <w:szCs w:val="18"/>
              </w:rPr>
              <w:t>3,557.6</w:t>
            </w:r>
          </w:p>
        </w:tc>
        <w:tc>
          <w:tcPr>
            <w:tcW w:w="851" w:type="dxa"/>
            <w:tcBorders>
              <w:top w:val="nil"/>
              <w:left w:val="nil"/>
              <w:bottom w:val="single" w:sz="8" w:space="0" w:color="auto"/>
              <w:right w:val="single" w:sz="8" w:space="0" w:color="auto"/>
            </w:tcBorders>
            <w:shd w:val="clear" w:color="auto" w:fill="auto"/>
            <w:vAlign w:val="center"/>
            <w:hideMark/>
          </w:tcPr>
          <w:p w14:paraId="50E89094" w14:textId="77777777" w:rsidR="00E05341" w:rsidRPr="00AB37EE" w:rsidRDefault="00E05341" w:rsidP="00E05341">
            <w:pPr>
              <w:spacing w:after="0" w:line="240" w:lineRule="auto"/>
              <w:jc w:val="right"/>
              <w:rPr>
                <w:rFonts w:eastAsia="Times New Roman" w:cstheme="minorHAnsi"/>
                <w:sz w:val="18"/>
                <w:szCs w:val="18"/>
              </w:rPr>
            </w:pPr>
            <w:r w:rsidRPr="00AB37EE">
              <w:rPr>
                <w:rFonts w:eastAsia="Times New Roman" w:cstheme="minorHAnsi"/>
                <w:sz w:val="18"/>
                <w:szCs w:val="18"/>
              </w:rPr>
              <w:t>3,517.3</w:t>
            </w:r>
          </w:p>
        </w:tc>
        <w:tc>
          <w:tcPr>
            <w:tcW w:w="992" w:type="dxa"/>
            <w:tcBorders>
              <w:top w:val="nil"/>
              <w:left w:val="nil"/>
              <w:bottom w:val="single" w:sz="8" w:space="0" w:color="auto"/>
              <w:right w:val="single" w:sz="8" w:space="0" w:color="auto"/>
            </w:tcBorders>
            <w:shd w:val="clear" w:color="auto" w:fill="auto"/>
            <w:vAlign w:val="center"/>
            <w:hideMark/>
          </w:tcPr>
          <w:p w14:paraId="04FF6911" w14:textId="77777777" w:rsidR="00E05341" w:rsidRPr="00AB37EE" w:rsidRDefault="00E05341" w:rsidP="00E05341">
            <w:pPr>
              <w:spacing w:after="0" w:line="240" w:lineRule="auto"/>
              <w:jc w:val="right"/>
              <w:rPr>
                <w:rFonts w:eastAsia="Times New Roman" w:cstheme="minorHAnsi"/>
                <w:sz w:val="18"/>
                <w:szCs w:val="18"/>
              </w:rPr>
            </w:pPr>
            <w:r w:rsidRPr="00AB37EE">
              <w:rPr>
                <w:rFonts w:eastAsia="Times New Roman" w:cstheme="minorHAnsi"/>
                <w:sz w:val="18"/>
                <w:szCs w:val="18"/>
              </w:rPr>
              <w:t>4,091.3</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556E68D9" w14:textId="77777777" w:rsidR="00E05341" w:rsidRPr="00AB37EE" w:rsidRDefault="00E05341" w:rsidP="00E05341">
            <w:pPr>
              <w:spacing w:after="0" w:line="240" w:lineRule="auto"/>
              <w:jc w:val="center"/>
              <w:rPr>
                <w:rFonts w:eastAsia="Times New Roman" w:cstheme="minorHAnsi"/>
                <w:sz w:val="18"/>
                <w:szCs w:val="18"/>
              </w:rPr>
            </w:pPr>
            <w:r w:rsidRPr="00AB37EE">
              <w:rPr>
                <w:rFonts w:eastAsia="Times New Roman" w:cstheme="minorHAnsi"/>
                <w:sz w:val="18"/>
                <w:szCs w:val="18"/>
              </w:rPr>
              <w:t>-1.13%</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07B9251A" w14:textId="77777777" w:rsidR="00E05341" w:rsidRPr="00AB37EE" w:rsidRDefault="00E05341" w:rsidP="00E05341">
            <w:pPr>
              <w:spacing w:after="0" w:line="240" w:lineRule="auto"/>
              <w:jc w:val="center"/>
              <w:rPr>
                <w:rFonts w:eastAsia="Times New Roman" w:cstheme="minorHAnsi"/>
                <w:sz w:val="18"/>
                <w:szCs w:val="18"/>
              </w:rPr>
            </w:pPr>
            <w:r w:rsidRPr="00AB37EE">
              <w:rPr>
                <w:rFonts w:eastAsia="Times New Roman" w:cstheme="minorHAnsi"/>
                <w:sz w:val="18"/>
                <w:szCs w:val="18"/>
              </w:rPr>
              <w:t>16.32%</w:t>
            </w:r>
          </w:p>
        </w:tc>
      </w:tr>
      <w:tr w:rsidR="00E05341" w:rsidRPr="00AB37EE" w14:paraId="484A6875" w14:textId="77777777" w:rsidTr="00E05341">
        <w:trPr>
          <w:trHeight w:val="315"/>
        </w:trPr>
        <w:tc>
          <w:tcPr>
            <w:tcW w:w="3392" w:type="dxa"/>
            <w:tcBorders>
              <w:top w:val="nil"/>
              <w:left w:val="single" w:sz="8" w:space="0" w:color="auto"/>
              <w:bottom w:val="single" w:sz="8" w:space="0" w:color="auto"/>
              <w:right w:val="nil"/>
            </w:tcBorders>
            <w:shd w:val="clear" w:color="auto" w:fill="auto"/>
            <w:vAlign w:val="center"/>
            <w:hideMark/>
          </w:tcPr>
          <w:p w14:paraId="424E3638" w14:textId="77777777" w:rsidR="00E05341" w:rsidRPr="00AB37EE" w:rsidRDefault="00E05341" w:rsidP="00E05341">
            <w:pPr>
              <w:spacing w:after="0" w:line="240" w:lineRule="auto"/>
              <w:rPr>
                <w:rFonts w:eastAsia="Times New Roman" w:cstheme="minorHAnsi"/>
                <w:sz w:val="18"/>
                <w:szCs w:val="18"/>
              </w:rPr>
            </w:pPr>
            <w:r w:rsidRPr="00AB37EE">
              <w:rPr>
                <w:rFonts w:eastAsia="Times New Roman" w:cstheme="minorHAnsi"/>
                <w:sz w:val="18"/>
                <w:szCs w:val="18"/>
              </w:rPr>
              <w:t>2. Centralna banka</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D82C8B3" w14:textId="77777777" w:rsidR="00E05341" w:rsidRPr="00AB37EE" w:rsidRDefault="00E05341" w:rsidP="00E05341">
            <w:pPr>
              <w:spacing w:after="0" w:line="240" w:lineRule="auto"/>
              <w:jc w:val="right"/>
              <w:rPr>
                <w:rFonts w:eastAsia="Times New Roman" w:cstheme="minorHAnsi"/>
                <w:sz w:val="18"/>
                <w:szCs w:val="18"/>
              </w:rPr>
            </w:pPr>
            <w:r w:rsidRPr="00AB37EE">
              <w:rPr>
                <w:rFonts w:eastAsia="Times New Roman" w:cstheme="minorHAnsi"/>
                <w:sz w:val="18"/>
                <w:szCs w:val="18"/>
              </w:rPr>
              <w:t>105.0</w:t>
            </w:r>
          </w:p>
        </w:tc>
        <w:tc>
          <w:tcPr>
            <w:tcW w:w="851" w:type="dxa"/>
            <w:tcBorders>
              <w:top w:val="nil"/>
              <w:left w:val="nil"/>
              <w:bottom w:val="single" w:sz="8" w:space="0" w:color="auto"/>
              <w:right w:val="single" w:sz="8" w:space="0" w:color="auto"/>
            </w:tcBorders>
            <w:shd w:val="clear" w:color="auto" w:fill="auto"/>
            <w:vAlign w:val="center"/>
            <w:hideMark/>
          </w:tcPr>
          <w:p w14:paraId="2D5A6A5F" w14:textId="77777777" w:rsidR="00E05341" w:rsidRPr="00AB37EE" w:rsidRDefault="00E05341" w:rsidP="00E05341">
            <w:pPr>
              <w:spacing w:after="0" w:line="240" w:lineRule="auto"/>
              <w:jc w:val="right"/>
              <w:rPr>
                <w:rFonts w:eastAsia="Times New Roman" w:cstheme="minorHAnsi"/>
                <w:sz w:val="18"/>
                <w:szCs w:val="18"/>
              </w:rPr>
            </w:pPr>
            <w:r w:rsidRPr="00AB37EE">
              <w:rPr>
                <w:rFonts w:eastAsia="Times New Roman" w:cstheme="minorHAnsi"/>
                <w:sz w:val="18"/>
                <w:szCs w:val="18"/>
              </w:rPr>
              <w:t>102.0</w:t>
            </w:r>
          </w:p>
        </w:tc>
        <w:tc>
          <w:tcPr>
            <w:tcW w:w="992" w:type="dxa"/>
            <w:tcBorders>
              <w:top w:val="nil"/>
              <w:left w:val="nil"/>
              <w:bottom w:val="single" w:sz="8" w:space="0" w:color="auto"/>
              <w:right w:val="single" w:sz="8" w:space="0" w:color="auto"/>
            </w:tcBorders>
            <w:shd w:val="clear" w:color="auto" w:fill="auto"/>
            <w:vAlign w:val="center"/>
            <w:hideMark/>
          </w:tcPr>
          <w:p w14:paraId="00AF9535" w14:textId="77777777" w:rsidR="00E05341" w:rsidRPr="00AB37EE" w:rsidRDefault="00E05341" w:rsidP="00E05341">
            <w:pPr>
              <w:spacing w:after="0" w:line="240" w:lineRule="auto"/>
              <w:jc w:val="right"/>
              <w:rPr>
                <w:rFonts w:eastAsia="Times New Roman" w:cstheme="minorHAnsi"/>
                <w:sz w:val="18"/>
                <w:szCs w:val="18"/>
              </w:rPr>
            </w:pPr>
            <w:r w:rsidRPr="00AB37EE">
              <w:rPr>
                <w:rFonts w:eastAsia="Times New Roman" w:cstheme="minorHAnsi"/>
                <w:sz w:val="18"/>
                <w:szCs w:val="18"/>
              </w:rPr>
              <w:t>103.0</w:t>
            </w:r>
          </w:p>
        </w:tc>
        <w:tc>
          <w:tcPr>
            <w:tcW w:w="1559" w:type="dxa"/>
            <w:tcBorders>
              <w:top w:val="nil"/>
              <w:left w:val="nil"/>
              <w:bottom w:val="single" w:sz="8" w:space="0" w:color="auto"/>
              <w:right w:val="single" w:sz="8" w:space="0" w:color="auto"/>
            </w:tcBorders>
            <w:shd w:val="clear" w:color="auto" w:fill="auto"/>
            <w:vAlign w:val="center"/>
            <w:hideMark/>
          </w:tcPr>
          <w:p w14:paraId="6AFBCBCC" w14:textId="77777777" w:rsidR="00E05341" w:rsidRPr="00AB37EE" w:rsidRDefault="00E05341" w:rsidP="00E05341">
            <w:pPr>
              <w:spacing w:after="0" w:line="240" w:lineRule="auto"/>
              <w:jc w:val="center"/>
              <w:rPr>
                <w:rFonts w:eastAsia="Times New Roman" w:cstheme="minorHAnsi"/>
                <w:sz w:val="18"/>
                <w:szCs w:val="18"/>
              </w:rPr>
            </w:pPr>
            <w:r w:rsidRPr="00AB37EE">
              <w:rPr>
                <w:rFonts w:eastAsia="Times New Roman" w:cstheme="minorHAnsi"/>
                <w:sz w:val="18"/>
                <w:szCs w:val="18"/>
              </w:rPr>
              <w:t>-2.82%</w:t>
            </w:r>
          </w:p>
        </w:tc>
        <w:tc>
          <w:tcPr>
            <w:tcW w:w="1560" w:type="dxa"/>
            <w:tcBorders>
              <w:top w:val="nil"/>
              <w:left w:val="nil"/>
              <w:bottom w:val="single" w:sz="8" w:space="0" w:color="auto"/>
              <w:right w:val="single" w:sz="8" w:space="0" w:color="auto"/>
            </w:tcBorders>
            <w:shd w:val="clear" w:color="auto" w:fill="auto"/>
            <w:vAlign w:val="center"/>
            <w:hideMark/>
          </w:tcPr>
          <w:p w14:paraId="58C63E21" w14:textId="77777777" w:rsidR="00E05341" w:rsidRPr="00AB37EE" w:rsidRDefault="00E05341" w:rsidP="00E05341">
            <w:pPr>
              <w:spacing w:after="0" w:line="240" w:lineRule="auto"/>
              <w:jc w:val="center"/>
              <w:rPr>
                <w:rFonts w:eastAsia="Times New Roman" w:cstheme="minorHAnsi"/>
                <w:sz w:val="18"/>
                <w:szCs w:val="18"/>
              </w:rPr>
            </w:pPr>
            <w:r w:rsidRPr="00AB37EE">
              <w:rPr>
                <w:rFonts w:eastAsia="Times New Roman" w:cstheme="minorHAnsi"/>
                <w:sz w:val="18"/>
                <w:szCs w:val="18"/>
              </w:rPr>
              <w:t>0.92%</w:t>
            </w:r>
          </w:p>
        </w:tc>
      </w:tr>
      <w:tr w:rsidR="00E05341" w:rsidRPr="00AB37EE" w14:paraId="21C74E93" w14:textId="77777777" w:rsidTr="00E05341">
        <w:trPr>
          <w:trHeight w:val="315"/>
        </w:trPr>
        <w:tc>
          <w:tcPr>
            <w:tcW w:w="3392" w:type="dxa"/>
            <w:tcBorders>
              <w:top w:val="nil"/>
              <w:left w:val="single" w:sz="8" w:space="0" w:color="auto"/>
              <w:bottom w:val="nil"/>
              <w:right w:val="nil"/>
            </w:tcBorders>
            <w:shd w:val="clear" w:color="auto" w:fill="auto"/>
            <w:vAlign w:val="center"/>
            <w:hideMark/>
          </w:tcPr>
          <w:p w14:paraId="69961CA1" w14:textId="77777777" w:rsidR="00E05341" w:rsidRPr="00AB37EE" w:rsidRDefault="00E05341" w:rsidP="00E05341">
            <w:pPr>
              <w:spacing w:after="0" w:line="240" w:lineRule="auto"/>
              <w:rPr>
                <w:rFonts w:eastAsia="Times New Roman" w:cstheme="minorHAnsi"/>
                <w:sz w:val="18"/>
                <w:szCs w:val="18"/>
              </w:rPr>
            </w:pPr>
            <w:r w:rsidRPr="00AB37EE">
              <w:rPr>
                <w:rFonts w:eastAsia="Times New Roman" w:cstheme="minorHAnsi"/>
                <w:sz w:val="18"/>
                <w:szCs w:val="18"/>
              </w:rPr>
              <w:t>3. Depozitne institucije, osim centralne banke</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ED53B4F" w14:textId="77777777" w:rsidR="00E05341" w:rsidRPr="00AB37EE" w:rsidRDefault="00E05341" w:rsidP="00E05341">
            <w:pPr>
              <w:spacing w:after="0" w:line="240" w:lineRule="auto"/>
              <w:jc w:val="right"/>
              <w:rPr>
                <w:rFonts w:eastAsia="Times New Roman" w:cstheme="minorHAnsi"/>
                <w:sz w:val="18"/>
                <w:szCs w:val="18"/>
              </w:rPr>
            </w:pPr>
            <w:r w:rsidRPr="00AB37EE">
              <w:rPr>
                <w:rFonts w:eastAsia="Times New Roman" w:cstheme="minorHAnsi"/>
                <w:sz w:val="18"/>
                <w:szCs w:val="18"/>
              </w:rPr>
              <w:t>1,546.3</w:t>
            </w:r>
          </w:p>
        </w:tc>
        <w:tc>
          <w:tcPr>
            <w:tcW w:w="851" w:type="dxa"/>
            <w:tcBorders>
              <w:top w:val="nil"/>
              <w:left w:val="nil"/>
              <w:bottom w:val="single" w:sz="8" w:space="0" w:color="auto"/>
              <w:right w:val="single" w:sz="8" w:space="0" w:color="auto"/>
            </w:tcBorders>
            <w:shd w:val="clear" w:color="auto" w:fill="auto"/>
            <w:vAlign w:val="center"/>
            <w:hideMark/>
          </w:tcPr>
          <w:p w14:paraId="155111FB" w14:textId="77777777" w:rsidR="00E05341" w:rsidRPr="00AB37EE" w:rsidRDefault="00E05341" w:rsidP="00E05341">
            <w:pPr>
              <w:spacing w:after="0" w:line="240" w:lineRule="auto"/>
              <w:jc w:val="right"/>
              <w:rPr>
                <w:rFonts w:eastAsia="Times New Roman" w:cstheme="minorHAnsi"/>
                <w:sz w:val="18"/>
                <w:szCs w:val="18"/>
              </w:rPr>
            </w:pPr>
            <w:r w:rsidRPr="00AB37EE">
              <w:rPr>
                <w:rFonts w:eastAsia="Times New Roman" w:cstheme="minorHAnsi"/>
                <w:sz w:val="18"/>
                <w:szCs w:val="18"/>
              </w:rPr>
              <w:t>1,434.8</w:t>
            </w:r>
          </w:p>
        </w:tc>
        <w:tc>
          <w:tcPr>
            <w:tcW w:w="992" w:type="dxa"/>
            <w:tcBorders>
              <w:top w:val="nil"/>
              <w:left w:val="nil"/>
              <w:bottom w:val="single" w:sz="8" w:space="0" w:color="auto"/>
              <w:right w:val="single" w:sz="8" w:space="0" w:color="auto"/>
            </w:tcBorders>
            <w:shd w:val="clear" w:color="auto" w:fill="auto"/>
            <w:vAlign w:val="center"/>
            <w:hideMark/>
          </w:tcPr>
          <w:p w14:paraId="622B7A36" w14:textId="77777777" w:rsidR="00E05341" w:rsidRPr="00AB37EE" w:rsidRDefault="00E05341" w:rsidP="00E05341">
            <w:pPr>
              <w:spacing w:after="0" w:line="240" w:lineRule="auto"/>
              <w:jc w:val="right"/>
              <w:rPr>
                <w:rFonts w:eastAsia="Times New Roman" w:cstheme="minorHAnsi"/>
                <w:sz w:val="18"/>
                <w:szCs w:val="18"/>
              </w:rPr>
            </w:pPr>
            <w:r w:rsidRPr="00AB37EE">
              <w:rPr>
                <w:rFonts w:eastAsia="Times New Roman" w:cstheme="minorHAnsi"/>
                <w:sz w:val="18"/>
                <w:szCs w:val="18"/>
              </w:rPr>
              <w:t>1,530.8</w:t>
            </w:r>
          </w:p>
        </w:tc>
        <w:tc>
          <w:tcPr>
            <w:tcW w:w="1559" w:type="dxa"/>
            <w:tcBorders>
              <w:top w:val="nil"/>
              <w:left w:val="nil"/>
              <w:bottom w:val="single" w:sz="8" w:space="0" w:color="auto"/>
              <w:right w:val="single" w:sz="8" w:space="0" w:color="auto"/>
            </w:tcBorders>
            <w:shd w:val="clear" w:color="auto" w:fill="auto"/>
            <w:vAlign w:val="center"/>
            <w:hideMark/>
          </w:tcPr>
          <w:p w14:paraId="38FC5404" w14:textId="77777777" w:rsidR="00E05341" w:rsidRPr="00AB37EE" w:rsidRDefault="00E05341" w:rsidP="00E05341">
            <w:pPr>
              <w:spacing w:after="0" w:line="240" w:lineRule="auto"/>
              <w:jc w:val="center"/>
              <w:rPr>
                <w:rFonts w:eastAsia="Times New Roman" w:cstheme="minorHAnsi"/>
                <w:sz w:val="18"/>
                <w:szCs w:val="18"/>
              </w:rPr>
            </w:pPr>
            <w:r w:rsidRPr="00AB37EE">
              <w:rPr>
                <w:rFonts w:eastAsia="Times New Roman" w:cstheme="minorHAnsi"/>
                <w:sz w:val="18"/>
                <w:szCs w:val="18"/>
              </w:rPr>
              <w:t>-7.21%</w:t>
            </w:r>
          </w:p>
        </w:tc>
        <w:tc>
          <w:tcPr>
            <w:tcW w:w="1560" w:type="dxa"/>
            <w:tcBorders>
              <w:top w:val="nil"/>
              <w:left w:val="nil"/>
              <w:bottom w:val="single" w:sz="8" w:space="0" w:color="auto"/>
              <w:right w:val="single" w:sz="8" w:space="0" w:color="auto"/>
            </w:tcBorders>
            <w:shd w:val="clear" w:color="auto" w:fill="auto"/>
            <w:vAlign w:val="center"/>
            <w:hideMark/>
          </w:tcPr>
          <w:p w14:paraId="432FF498" w14:textId="77777777" w:rsidR="00E05341" w:rsidRPr="00AB37EE" w:rsidRDefault="00E05341" w:rsidP="00E05341">
            <w:pPr>
              <w:spacing w:after="0" w:line="240" w:lineRule="auto"/>
              <w:jc w:val="center"/>
              <w:rPr>
                <w:rFonts w:eastAsia="Times New Roman" w:cstheme="minorHAnsi"/>
                <w:sz w:val="18"/>
                <w:szCs w:val="18"/>
              </w:rPr>
            </w:pPr>
            <w:r w:rsidRPr="00AB37EE">
              <w:rPr>
                <w:rFonts w:eastAsia="Times New Roman" w:cstheme="minorHAnsi"/>
                <w:sz w:val="18"/>
                <w:szCs w:val="18"/>
              </w:rPr>
              <w:t>6.69%</w:t>
            </w:r>
          </w:p>
        </w:tc>
      </w:tr>
      <w:tr w:rsidR="00E05341" w:rsidRPr="00AB37EE" w14:paraId="3A71FBF7" w14:textId="77777777" w:rsidTr="00E05341">
        <w:trPr>
          <w:trHeight w:val="315"/>
        </w:trPr>
        <w:tc>
          <w:tcPr>
            <w:tcW w:w="3392" w:type="dxa"/>
            <w:tcBorders>
              <w:top w:val="single" w:sz="8" w:space="0" w:color="auto"/>
              <w:left w:val="single" w:sz="8" w:space="0" w:color="auto"/>
              <w:bottom w:val="single" w:sz="8" w:space="0" w:color="auto"/>
              <w:right w:val="nil"/>
            </w:tcBorders>
            <w:shd w:val="clear" w:color="auto" w:fill="auto"/>
            <w:vAlign w:val="center"/>
            <w:hideMark/>
          </w:tcPr>
          <w:p w14:paraId="761E31B2" w14:textId="77777777" w:rsidR="00E05341" w:rsidRPr="00AB37EE" w:rsidRDefault="00E05341" w:rsidP="00E05341">
            <w:pPr>
              <w:spacing w:after="0" w:line="240" w:lineRule="auto"/>
              <w:rPr>
                <w:rFonts w:eastAsia="Times New Roman" w:cstheme="minorHAnsi"/>
                <w:sz w:val="18"/>
                <w:szCs w:val="18"/>
              </w:rPr>
            </w:pPr>
            <w:r w:rsidRPr="00AB37EE">
              <w:rPr>
                <w:rFonts w:eastAsia="Times New Roman" w:cstheme="minorHAnsi"/>
                <w:sz w:val="18"/>
                <w:szCs w:val="18"/>
              </w:rPr>
              <w:t>4. Ostali sektori</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F6560C3" w14:textId="77777777" w:rsidR="00E05341" w:rsidRPr="00AB37EE" w:rsidRDefault="00E05341" w:rsidP="00E05341">
            <w:pPr>
              <w:spacing w:after="0" w:line="240" w:lineRule="auto"/>
              <w:jc w:val="right"/>
              <w:rPr>
                <w:rFonts w:eastAsia="Times New Roman" w:cstheme="minorHAnsi"/>
                <w:sz w:val="18"/>
                <w:szCs w:val="18"/>
              </w:rPr>
            </w:pPr>
            <w:r w:rsidRPr="00AB37EE">
              <w:rPr>
                <w:rFonts w:eastAsia="Times New Roman" w:cstheme="minorHAnsi"/>
                <w:sz w:val="18"/>
                <w:szCs w:val="18"/>
              </w:rPr>
              <w:t>1,791.0</w:t>
            </w:r>
          </w:p>
        </w:tc>
        <w:tc>
          <w:tcPr>
            <w:tcW w:w="851" w:type="dxa"/>
            <w:tcBorders>
              <w:top w:val="nil"/>
              <w:left w:val="nil"/>
              <w:bottom w:val="single" w:sz="8" w:space="0" w:color="auto"/>
              <w:right w:val="single" w:sz="8" w:space="0" w:color="auto"/>
            </w:tcBorders>
            <w:shd w:val="clear" w:color="auto" w:fill="auto"/>
            <w:vAlign w:val="center"/>
            <w:hideMark/>
          </w:tcPr>
          <w:p w14:paraId="6F3E16A4" w14:textId="77777777" w:rsidR="00E05341" w:rsidRPr="00AB37EE" w:rsidRDefault="00E05341" w:rsidP="00E05341">
            <w:pPr>
              <w:spacing w:after="0" w:line="240" w:lineRule="auto"/>
              <w:jc w:val="right"/>
              <w:rPr>
                <w:rFonts w:eastAsia="Times New Roman" w:cstheme="minorHAnsi"/>
                <w:sz w:val="18"/>
                <w:szCs w:val="18"/>
              </w:rPr>
            </w:pPr>
            <w:r w:rsidRPr="00AB37EE">
              <w:rPr>
                <w:rFonts w:eastAsia="Times New Roman" w:cstheme="minorHAnsi"/>
                <w:sz w:val="18"/>
                <w:szCs w:val="18"/>
              </w:rPr>
              <w:t>1,731.9</w:t>
            </w:r>
          </w:p>
        </w:tc>
        <w:tc>
          <w:tcPr>
            <w:tcW w:w="992" w:type="dxa"/>
            <w:tcBorders>
              <w:top w:val="nil"/>
              <w:left w:val="nil"/>
              <w:bottom w:val="single" w:sz="8" w:space="0" w:color="auto"/>
              <w:right w:val="single" w:sz="8" w:space="0" w:color="auto"/>
            </w:tcBorders>
            <w:shd w:val="clear" w:color="auto" w:fill="auto"/>
            <w:vAlign w:val="center"/>
            <w:hideMark/>
          </w:tcPr>
          <w:p w14:paraId="3BF790E2" w14:textId="77777777" w:rsidR="00E05341" w:rsidRPr="00AB37EE" w:rsidRDefault="00E05341" w:rsidP="00E05341">
            <w:pPr>
              <w:spacing w:after="0" w:line="240" w:lineRule="auto"/>
              <w:jc w:val="right"/>
              <w:rPr>
                <w:rFonts w:eastAsia="Times New Roman" w:cstheme="minorHAnsi"/>
                <w:sz w:val="18"/>
                <w:szCs w:val="18"/>
              </w:rPr>
            </w:pPr>
            <w:r w:rsidRPr="00AB37EE">
              <w:rPr>
                <w:rFonts w:eastAsia="Times New Roman" w:cstheme="minorHAnsi"/>
                <w:sz w:val="18"/>
                <w:szCs w:val="18"/>
              </w:rPr>
              <w:t>1,685.9</w:t>
            </w:r>
          </w:p>
        </w:tc>
        <w:tc>
          <w:tcPr>
            <w:tcW w:w="1559" w:type="dxa"/>
            <w:tcBorders>
              <w:top w:val="nil"/>
              <w:left w:val="nil"/>
              <w:bottom w:val="single" w:sz="8" w:space="0" w:color="auto"/>
              <w:right w:val="single" w:sz="8" w:space="0" w:color="auto"/>
            </w:tcBorders>
            <w:shd w:val="clear" w:color="auto" w:fill="auto"/>
            <w:vAlign w:val="center"/>
            <w:hideMark/>
          </w:tcPr>
          <w:p w14:paraId="237DF8F5" w14:textId="77777777" w:rsidR="00E05341" w:rsidRPr="00AB37EE" w:rsidRDefault="00E05341" w:rsidP="00E05341">
            <w:pPr>
              <w:spacing w:after="0" w:line="240" w:lineRule="auto"/>
              <w:jc w:val="center"/>
              <w:rPr>
                <w:rFonts w:eastAsia="Times New Roman" w:cstheme="minorHAnsi"/>
                <w:sz w:val="18"/>
                <w:szCs w:val="18"/>
              </w:rPr>
            </w:pPr>
            <w:r w:rsidRPr="00AB37EE">
              <w:rPr>
                <w:rFonts w:eastAsia="Times New Roman" w:cstheme="minorHAnsi"/>
                <w:sz w:val="18"/>
                <w:szCs w:val="18"/>
              </w:rPr>
              <w:t>-3.30%</w:t>
            </w:r>
          </w:p>
        </w:tc>
        <w:tc>
          <w:tcPr>
            <w:tcW w:w="1560" w:type="dxa"/>
            <w:tcBorders>
              <w:top w:val="nil"/>
              <w:left w:val="nil"/>
              <w:bottom w:val="single" w:sz="8" w:space="0" w:color="auto"/>
              <w:right w:val="single" w:sz="8" w:space="0" w:color="auto"/>
            </w:tcBorders>
            <w:shd w:val="clear" w:color="auto" w:fill="auto"/>
            <w:vAlign w:val="center"/>
            <w:hideMark/>
          </w:tcPr>
          <w:p w14:paraId="32C49417" w14:textId="77777777" w:rsidR="00E05341" w:rsidRPr="00AB37EE" w:rsidRDefault="00E05341" w:rsidP="00E05341">
            <w:pPr>
              <w:spacing w:after="0" w:line="240" w:lineRule="auto"/>
              <w:jc w:val="center"/>
              <w:rPr>
                <w:rFonts w:eastAsia="Times New Roman" w:cstheme="minorHAnsi"/>
                <w:sz w:val="18"/>
                <w:szCs w:val="18"/>
              </w:rPr>
            </w:pPr>
            <w:r w:rsidRPr="00AB37EE">
              <w:rPr>
                <w:rFonts w:eastAsia="Times New Roman" w:cstheme="minorHAnsi"/>
                <w:sz w:val="18"/>
                <w:szCs w:val="18"/>
              </w:rPr>
              <w:t>-2.66%</w:t>
            </w:r>
          </w:p>
        </w:tc>
      </w:tr>
      <w:tr w:rsidR="00E05341" w:rsidRPr="00AB37EE" w14:paraId="48C28E45" w14:textId="77777777" w:rsidTr="00E05341">
        <w:trPr>
          <w:trHeight w:val="315"/>
        </w:trPr>
        <w:tc>
          <w:tcPr>
            <w:tcW w:w="3392" w:type="dxa"/>
            <w:tcBorders>
              <w:top w:val="nil"/>
              <w:left w:val="single" w:sz="8" w:space="0" w:color="auto"/>
              <w:bottom w:val="nil"/>
              <w:right w:val="nil"/>
            </w:tcBorders>
            <w:shd w:val="clear" w:color="auto" w:fill="auto"/>
            <w:vAlign w:val="center"/>
            <w:hideMark/>
          </w:tcPr>
          <w:p w14:paraId="41DC02C1" w14:textId="77777777" w:rsidR="00E05341" w:rsidRPr="00AB37EE" w:rsidRDefault="00E05341" w:rsidP="00E05341">
            <w:pPr>
              <w:spacing w:after="0" w:line="240" w:lineRule="auto"/>
              <w:rPr>
                <w:rFonts w:eastAsia="Times New Roman" w:cstheme="minorHAnsi"/>
                <w:sz w:val="18"/>
                <w:szCs w:val="18"/>
              </w:rPr>
            </w:pPr>
            <w:r w:rsidRPr="00AB37EE">
              <w:rPr>
                <w:rFonts w:eastAsia="Times New Roman" w:cstheme="minorHAnsi"/>
                <w:sz w:val="18"/>
                <w:szCs w:val="18"/>
              </w:rPr>
              <w:t>5. Direktne investicije: Interkompanijske pozajmice</w:t>
            </w:r>
          </w:p>
        </w:tc>
        <w:tc>
          <w:tcPr>
            <w:tcW w:w="1134" w:type="dxa"/>
            <w:tcBorders>
              <w:top w:val="nil"/>
              <w:left w:val="single" w:sz="8" w:space="0" w:color="auto"/>
              <w:bottom w:val="nil"/>
              <w:right w:val="single" w:sz="8" w:space="0" w:color="auto"/>
            </w:tcBorders>
            <w:shd w:val="clear" w:color="auto" w:fill="auto"/>
            <w:vAlign w:val="center"/>
            <w:hideMark/>
          </w:tcPr>
          <w:p w14:paraId="30627FA7" w14:textId="77777777" w:rsidR="00E05341" w:rsidRPr="00AB37EE" w:rsidRDefault="00E05341" w:rsidP="00E05341">
            <w:pPr>
              <w:spacing w:after="0" w:line="240" w:lineRule="auto"/>
              <w:jc w:val="right"/>
              <w:rPr>
                <w:rFonts w:eastAsia="Times New Roman" w:cstheme="minorHAnsi"/>
                <w:sz w:val="18"/>
                <w:szCs w:val="18"/>
              </w:rPr>
            </w:pPr>
            <w:r w:rsidRPr="00AB37EE">
              <w:rPr>
                <w:rFonts w:eastAsia="Times New Roman" w:cstheme="minorHAnsi"/>
                <w:sz w:val="18"/>
                <w:szCs w:val="18"/>
              </w:rPr>
              <w:t>2,398.6</w:t>
            </w:r>
          </w:p>
        </w:tc>
        <w:tc>
          <w:tcPr>
            <w:tcW w:w="851" w:type="dxa"/>
            <w:tcBorders>
              <w:top w:val="nil"/>
              <w:left w:val="nil"/>
              <w:bottom w:val="nil"/>
              <w:right w:val="single" w:sz="8" w:space="0" w:color="auto"/>
            </w:tcBorders>
            <w:shd w:val="clear" w:color="auto" w:fill="auto"/>
            <w:vAlign w:val="center"/>
            <w:hideMark/>
          </w:tcPr>
          <w:p w14:paraId="4DC805D4" w14:textId="77777777" w:rsidR="00E05341" w:rsidRPr="00AB37EE" w:rsidRDefault="00E05341" w:rsidP="00E05341">
            <w:pPr>
              <w:spacing w:after="0" w:line="240" w:lineRule="auto"/>
              <w:jc w:val="right"/>
              <w:rPr>
                <w:rFonts w:eastAsia="Times New Roman" w:cstheme="minorHAnsi"/>
                <w:sz w:val="18"/>
                <w:szCs w:val="18"/>
              </w:rPr>
            </w:pPr>
            <w:r w:rsidRPr="00AB37EE">
              <w:rPr>
                <w:rFonts w:eastAsia="Times New Roman" w:cstheme="minorHAnsi"/>
                <w:sz w:val="18"/>
                <w:szCs w:val="18"/>
              </w:rPr>
              <w:t>2,274.3</w:t>
            </w:r>
          </w:p>
        </w:tc>
        <w:tc>
          <w:tcPr>
            <w:tcW w:w="992" w:type="dxa"/>
            <w:tcBorders>
              <w:top w:val="nil"/>
              <w:left w:val="nil"/>
              <w:bottom w:val="nil"/>
              <w:right w:val="single" w:sz="8" w:space="0" w:color="auto"/>
            </w:tcBorders>
            <w:shd w:val="clear" w:color="auto" w:fill="auto"/>
            <w:vAlign w:val="center"/>
            <w:hideMark/>
          </w:tcPr>
          <w:p w14:paraId="0D947FE5" w14:textId="77777777" w:rsidR="00E05341" w:rsidRPr="00AB37EE" w:rsidRDefault="00E05341" w:rsidP="00E05341">
            <w:pPr>
              <w:spacing w:after="0" w:line="240" w:lineRule="auto"/>
              <w:jc w:val="right"/>
              <w:rPr>
                <w:rFonts w:eastAsia="Times New Roman" w:cstheme="minorHAnsi"/>
                <w:sz w:val="18"/>
                <w:szCs w:val="18"/>
              </w:rPr>
            </w:pPr>
            <w:r w:rsidRPr="00AB37EE">
              <w:rPr>
                <w:rFonts w:eastAsia="Times New Roman" w:cstheme="minorHAnsi"/>
                <w:sz w:val="18"/>
                <w:szCs w:val="18"/>
              </w:rPr>
              <w:t>2,303.6</w:t>
            </w:r>
          </w:p>
        </w:tc>
        <w:tc>
          <w:tcPr>
            <w:tcW w:w="1559" w:type="dxa"/>
            <w:tcBorders>
              <w:top w:val="nil"/>
              <w:left w:val="nil"/>
              <w:bottom w:val="single" w:sz="8" w:space="0" w:color="auto"/>
              <w:right w:val="single" w:sz="8" w:space="0" w:color="auto"/>
            </w:tcBorders>
            <w:shd w:val="clear" w:color="auto" w:fill="auto"/>
            <w:vAlign w:val="center"/>
            <w:hideMark/>
          </w:tcPr>
          <w:p w14:paraId="14FB1A8F" w14:textId="77777777" w:rsidR="00E05341" w:rsidRPr="00AB37EE" w:rsidRDefault="00E05341" w:rsidP="00E05341">
            <w:pPr>
              <w:spacing w:after="0" w:line="240" w:lineRule="auto"/>
              <w:jc w:val="center"/>
              <w:rPr>
                <w:rFonts w:eastAsia="Times New Roman" w:cstheme="minorHAnsi"/>
                <w:sz w:val="18"/>
                <w:szCs w:val="18"/>
              </w:rPr>
            </w:pPr>
            <w:r w:rsidRPr="00AB37EE">
              <w:rPr>
                <w:rFonts w:eastAsia="Times New Roman" w:cstheme="minorHAnsi"/>
                <w:sz w:val="18"/>
                <w:szCs w:val="18"/>
              </w:rPr>
              <w:t>-5.18%</w:t>
            </w:r>
          </w:p>
        </w:tc>
        <w:tc>
          <w:tcPr>
            <w:tcW w:w="1560" w:type="dxa"/>
            <w:tcBorders>
              <w:top w:val="nil"/>
              <w:left w:val="nil"/>
              <w:bottom w:val="single" w:sz="8" w:space="0" w:color="auto"/>
              <w:right w:val="single" w:sz="8" w:space="0" w:color="auto"/>
            </w:tcBorders>
            <w:shd w:val="clear" w:color="auto" w:fill="auto"/>
            <w:vAlign w:val="center"/>
            <w:hideMark/>
          </w:tcPr>
          <w:p w14:paraId="0036936E" w14:textId="77777777" w:rsidR="00E05341" w:rsidRPr="00AB37EE" w:rsidRDefault="00E05341" w:rsidP="00E05341">
            <w:pPr>
              <w:spacing w:after="0" w:line="240" w:lineRule="auto"/>
              <w:jc w:val="center"/>
              <w:rPr>
                <w:rFonts w:eastAsia="Times New Roman" w:cstheme="minorHAnsi"/>
                <w:sz w:val="18"/>
                <w:szCs w:val="18"/>
              </w:rPr>
            </w:pPr>
            <w:r w:rsidRPr="00AB37EE">
              <w:rPr>
                <w:rFonts w:eastAsia="Times New Roman" w:cstheme="minorHAnsi"/>
                <w:sz w:val="18"/>
                <w:szCs w:val="18"/>
              </w:rPr>
              <w:t>1.29%</w:t>
            </w:r>
          </w:p>
        </w:tc>
      </w:tr>
      <w:tr w:rsidR="00E05341" w:rsidRPr="00AB37EE" w14:paraId="5D58A203" w14:textId="77777777" w:rsidTr="00E05341">
        <w:trPr>
          <w:trHeight w:val="315"/>
        </w:trPr>
        <w:tc>
          <w:tcPr>
            <w:tcW w:w="3392" w:type="dxa"/>
            <w:tcBorders>
              <w:top w:val="single" w:sz="8" w:space="0" w:color="auto"/>
              <w:left w:val="single" w:sz="8" w:space="0" w:color="auto"/>
              <w:bottom w:val="single" w:sz="8" w:space="0" w:color="auto"/>
              <w:right w:val="nil"/>
            </w:tcBorders>
            <w:shd w:val="clear" w:color="auto" w:fill="auto"/>
            <w:vAlign w:val="center"/>
            <w:hideMark/>
          </w:tcPr>
          <w:p w14:paraId="6AD8C674" w14:textId="77777777" w:rsidR="00E05341" w:rsidRPr="00AB37EE" w:rsidRDefault="00E05341" w:rsidP="00E05341">
            <w:pPr>
              <w:spacing w:after="0" w:line="240" w:lineRule="auto"/>
              <w:rPr>
                <w:rFonts w:eastAsia="Times New Roman" w:cstheme="minorHAnsi"/>
                <w:b/>
                <w:bCs/>
                <w:sz w:val="18"/>
                <w:szCs w:val="18"/>
              </w:rPr>
            </w:pPr>
            <w:r w:rsidRPr="00AB37EE">
              <w:rPr>
                <w:rFonts w:eastAsia="Times New Roman" w:cstheme="minorHAnsi"/>
                <w:b/>
                <w:bCs/>
                <w:sz w:val="18"/>
                <w:szCs w:val="18"/>
              </w:rPr>
              <w:t>Ukupan spoljni dug</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42531E" w14:textId="77777777" w:rsidR="00E05341" w:rsidRPr="00AB37EE" w:rsidRDefault="00E05341" w:rsidP="00E05341">
            <w:pPr>
              <w:spacing w:after="0" w:line="240" w:lineRule="auto"/>
              <w:jc w:val="right"/>
              <w:rPr>
                <w:rFonts w:eastAsia="Times New Roman" w:cstheme="minorHAnsi"/>
                <w:b/>
                <w:bCs/>
                <w:sz w:val="18"/>
                <w:szCs w:val="18"/>
              </w:rPr>
            </w:pPr>
            <w:r w:rsidRPr="00AB37EE">
              <w:rPr>
                <w:rFonts w:eastAsia="Times New Roman" w:cstheme="minorHAnsi"/>
                <w:b/>
                <w:bCs/>
                <w:sz w:val="18"/>
                <w:szCs w:val="18"/>
              </w:rPr>
              <w:t>9,398.5</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207B6CDC" w14:textId="77777777" w:rsidR="00E05341" w:rsidRPr="00AB37EE" w:rsidRDefault="00E05341" w:rsidP="00E05341">
            <w:pPr>
              <w:spacing w:after="0" w:line="240" w:lineRule="auto"/>
              <w:jc w:val="right"/>
              <w:rPr>
                <w:rFonts w:eastAsia="Times New Roman" w:cstheme="minorHAnsi"/>
                <w:b/>
                <w:bCs/>
                <w:sz w:val="18"/>
                <w:szCs w:val="18"/>
              </w:rPr>
            </w:pPr>
            <w:r w:rsidRPr="00AB37EE">
              <w:rPr>
                <w:rFonts w:eastAsia="Times New Roman" w:cstheme="minorHAnsi"/>
                <w:b/>
                <w:bCs/>
                <w:sz w:val="18"/>
                <w:szCs w:val="18"/>
              </w:rPr>
              <w:t>9,060.3</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3A0BE7EC" w14:textId="77777777" w:rsidR="00E05341" w:rsidRPr="00AB37EE" w:rsidRDefault="00E05341" w:rsidP="00E05341">
            <w:pPr>
              <w:spacing w:after="0" w:line="240" w:lineRule="auto"/>
              <w:jc w:val="right"/>
              <w:rPr>
                <w:rFonts w:eastAsia="Times New Roman" w:cstheme="minorHAnsi"/>
                <w:b/>
                <w:bCs/>
                <w:sz w:val="18"/>
                <w:szCs w:val="18"/>
              </w:rPr>
            </w:pPr>
            <w:r w:rsidRPr="00AB37EE">
              <w:rPr>
                <w:rFonts w:eastAsia="Times New Roman" w:cstheme="minorHAnsi"/>
                <w:b/>
                <w:bCs/>
                <w:sz w:val="18"/>
                <w:szCs w:val="18"/>
              </w:rPr>
              <w:t>9,714.5</w:t>
            </w:r>
          </w:p>
        </w:tc>
        <w:tc>
          <w:tcPr>
            <w:tcW w:w="1559" w:type="dxa"/>
            <w:tcBorders>
              <w:top w:val="nil"/>
              <w:left w:val="nil"/>
              <w:bottom w:val="single" w:sz="8" w:space="0" w:color="auto"/>
              <w:right w:val="single" w:sz="8" w:space="0" w:color="auto"/>
            </w:tcBorders>
            <w:shd w:val="clear" w:color="auto" w:fill="auto"/>
            <w:vAlign w:val="center"/>
            <w:hideMark/>
          </w:tcPr>
          <w:p w14:paraId="75CD24D1" w14:textId="77777777" w:rsidR="00E05341" w:rsidRPr="00AB37EE" w:rsidRDefault="00E05341" w:rsidP="00E05341">
            <w:pPr>
              <w:spacing w:after="0" w:line="240" w:lineRule="auto"/>
              <w:jc w:val="center"/>
              <w:rPr>
                <w:rFonts w:eastAsia="Times New Roman" w:cstheme="minorHAnsi"/>
                <w:b/>
                <w:bCs/>
                <w:sz w:val="18"/>
                <w:szCs w:val="18"/>
              </w:rPr>
            </w:pPr>
            <w:r w:rsidRPr="00AB37EE">
              <w:rPr>
                <w:rFonts w:eastAsia="Times New Roman" w:cstheme="minorHAnsi"/>
                <w:b/>
                <w:bCs/>
                <w:sz w:val="18"/>
                <w:szCs w:val="18"/>
              </w:rPr>
              <w:t>-3.60%</w:t>
            </w:r>
          </w:p>
        </w:tc>
        <w:tc>
          <w:tcPr>
            <w:tcW w:w="1560" w:type="dxa"/>
            <w:tcBorders>
              <w:top w:val="nil"/>
              <w:left w:val="nil"/>
              <w:bottom w:val="single" w:sz="8" w:space="0" w:color="auto"/>
              <w:right w:val="single" w:sz="8" w:space="0" w:color="auto"/>
            </w:tcBorders>
            <w:shd w:val="clear" w:color="auto" w:fill="auto"/>
            <w:vAlign w:val="center"/>
            <w:hideMark/>
          </w:tcPr>
          <w:p w14:paraId="5A0A6F31" w14:textId="77777777" w:rsidR="00E05341" w:rsidRPr="00AB37EE" w:rsidRDefault="00E05341" w:rsidP="00E05341">
            <w:pPr>
              <w:spacing w:after="0" w:line="240" w:lineRule="auto"/>
              <w:jc w:val="center"/>
              <w:rPr>
                <w:rFonts w:eastAsia="Times New Roman" w:cstheme="minorHAnsi"/>
                <w:b/>
                <w:bCs/>
                <w:sz w:val="18"/>
                <w:szCs w:val="18"/>
              </w:rPr>
            </w:pPr>
            <w:r w:rsidRPr="00AB37EE">
              <w:rPr>
                <w:rFonts w:eastAsia="Times New Roman" w:cstheme="minorHAnsi"/>
                <w:b/>
                <w:bCs/>
                <w:sz w:val="18"/>
                <w:szCs w:val="18"/>
              </w:rPr>
              <w:t>7.22%</w:t>
            </w:r>
          </w:p>
        </w:tc>
      </w:tr>
    </w:tbl>
    <w:p w14:paraId="2C4C268E" w14:textId="77777777" w:rsidR="00E05341" w:rsidRPr="00C809FA" w:rsidRDefault="00E05341" w:rsidP="00E05341">
      <w:pPr>
        <w:shd w:val="clear" w:color="auto" w:fill="FFFFFF"/>
        <w:spacing w:line="240" w:lineRule="auto"/>
        <w:rPr>
          <w:b/>
          <w:bCs/>
          <w:i/>
          <w:sz w:val="23"/>
          <w:szCs w:val="23"/>
        </w:rPr>
      </w:pPr>
      <w:r w:rsidRPr="0082584E">
        <w:rPr>
          <w:rFonts w:eastAsia="Times New Roman" w:cs="Calibri"/>
          <w:sz w:val="24"/>
          <w:szCs w:val="24"/>
          <w:lang w:val="sr-Latn-RS"/>
        </w:rPr>
        <w:t xml:space="preserve">     </w:t>
      </w:r>
      <w:r w:rsidRPr="00C809FA">
        <w:rPr>
          <w:rFonts w:eastAsia="Times New Roman" w:cs="Calibri"/>
          <w:i/>
          <w:sz w:val="18"/>
          <w:szCs w:val="24"/>
          <w:lang w:val="sr-Latn-RS"/>
        </w:rPr>
        <w:t>Izvor: CBCG</w:t>
      </w:r>
    </w:p>
    <w:p w14:paraId="006FEAC9" w14:textId="604628C0" w:rsidR="00E05341" w:rsidRPr="005F1ED2" w:rsidRDefault="00E05341" w:rsidP="00E05341">
      <w:pPr>
        <w:keepNext/>
        <w:keepLines/>
        <w:spacing w:before="40" w:line="256" w:lineRule="auto"/>
        <w:outlineLvl w:val="1"/>
        <w:rPr>
          <w:rFonts w:eastAsiaTheme="majorEastAsia" w:cstheme="minorHAnsi"/>
          <w:b/>
          <w:color w:val="2F5496" w:themeColor="accent1" w:themeShade="BF"/>
          <w:sz w:val="24"/>
          <w:szCs w:val="24"/>
          <w:lang w:val="sr-Latn-ME"/>
        </w:rPr>
      </w:pPr>
      <w:bookmarkStart w:id="14" w:name="_Toc184111621"/>
      <w:r>
        <w:rPr>
          <w:rFonts w:eastAsiaTheme="majorEastAsia" w:cstheme="minorHAnsi"/>
          <w:b/>
          <w:color w:val="2F5496" w:themeColor="accent1" w:themeShade="BF"/>
          <w:sz w:val="24"/>
          <w:szCs w:val="24"/>
          <w:lang w:val="sr-Latn-ME"/>
        </w:rPr>
        <w:lastRenderedPageBreak/>
        <w:t>1</w:t>
      </w:r>
      <w:r w:rsidRPr="000941E8">
        <w:rPr>
          <w:rFonts w:eastAsiaTheme="majorEastAsia" w:cstheme="minorHAnsi"/>
          <w:b/>
          <w:color w:val="2F5496" w:themeColor="accent1" w:themeShade="BF"/>
          <w:sz w:val="24"/>
          <w:szCs w:val="24"/>
          <w:lang w:val="sr-Latn-ME"/>
        </w:rPr>
        <w:t>.2</w:t>
      </w:r>
      <w:r w:rsidR="002E35FA">
        <w:rPr>
          <w:rFonts w:eastAsiaTheme="majorEastAsia" w:cstheme="minorHAnsi"/>
          <w:b/>
          <w:color w:val="2F5496" w:themeColor="accent1" w:themeShade="BF"/>
          <w:sz w:val="24"/>
          <w:szCs w:val="24"/>
          <w:lang w:val="sr-Latn-ME"/>
        </w:rPr>
        <w:t>.</w:t>
      </w:r>
      <w:r w:rsidRPr="000941E8">
        <w:rPr>
          <w:rFonts w:eastAsiaTheme="majorEastAsia" w:cstheme="minorHAnsi"/>
          <w:b/>
          <w:color w:val="2F5496" w:themeColor="accent1" w:themeShade="BF"/>
          <w:sz w:val="24"/>
          <w:szCs w:val="24"/>
          <w:lang w:val="sr-Latn-ME"/>
        </w:rPr>
        <w:t xml:space="preserve"> Srednjoročni makroekonomski scenario</w:t>
      </w:r>
      <w:bookmarkEnd w:id="14"/>
    </w:p>
    <w:p w14:paraId="608EC249" w14:textId="77777777" w:rsidR="00E05341" w:rsidRPr="005F1ED2" w:rsidRDefault="00E05341" w:rsidP="00E05341">
      <w:pPr>
        <w:spacing w:line="276" w:lineRule="auto"/>
        <w:jc w:val="both"/>
        <w:rPr>
          <w:sz w:val="24"/>
          <w:szCs w:val="24"/>
          <w:lang w:val="sr-Latn-ME"/>
        </w:rPr>
      </w:pPr>
      <w:r w:rsidRPr="005F1ED2">
        <w:rPr>
          <w:sz w:val="24"/>
          <w:szCs w:val="24"/>
          <w:lang w:val="sr-Latn-ME"/>
        </w:rPr>
        <w:t>Crnogorsk</w:t>
      </w:r>
      <w:r>
        <w:rPr>
          <w:sz w:val="24"/>
          <w:szCs w:val="24"/>
          <w:lang w:val="sr-Latn-ME"/>
        </w:rPr>
        <w:t xml:space="preserve">a ekonomija je u proteklom periodu ostvarila značajan stepen </w:t>
      </w:r>
      <w:r w:rsidRPr="005F1ED2">
        <w:rPr>
          <w:sz w:val="24"/>
          <w:szCs w:val="24"/>
          <w:lang w:val="sr-Latn-ME"/>
        </w:rPr>
        <w:t>stabilnost</w:t>
      </w:r>
      <w:r>
        <w:rPr>
          <w:sz w:val="24"/>
          <w:szCs w:val="24"/>
          <w:lang w:val="sr-Latn-ME"/>
        </w:rPr>
        <w:t>i</w:t>
      </w:r>
      <w:r w:rsidRPr="005F1ED2">
        <w:rPr>
          <w:sz w:val="24"/>
          <w:szCs w:val="24"/>
          <w:lang w:val="sr-Latn-ME"/>
        </w:rPr>
        <w:t xml:space="preserve"> i otpornost</w:t>
      </w:r>
      <w:r>
        <w:rPr>
          <w:sz w:val="24"/>
          <w:szCs w:val="24"/>
          <w:lang w:val="sr-Latn-ME"/>
        </w:rPr>
        <w:t>i</w:t>
      </w:r>
      <w:r w:rsidRPr="005F1ED2">
        <w:rPr>
          <w:sz w:val="24"/>
          <w:szCs w:val="24"/>
          <w:lang w:val="sr-Latn-ME"/>
        </w:rPr>
        <w:t xml:space="preserve">, uz </w:t>
      </w:r>
      <w:r>
        <w:rPr>
          <w:sz w:val="24"/>
          <w:szCs w:val="24"/>
          <w:lang w:val="sr-Latn-ME"/>
        </w:rPr>
        <w:t>visoke</w:t>
      </w:r>
      <w:r w:rsidRPr="005F1ED2">
        <w:rPr>
          <w:sz w:val="24"/>
          <w:szCs w:val="24"/>
          <w:lang w:val="sr-Latn-ME"/>
        </w:rPr>
        <w:t xml:space="preserve"> stope rasta ostvarene u prethodne dvije godine. Makroekonomske </w:t>
      </w:r>
      <w:r>
        <w:rPr>
          <w:sz w:val="24"/>
          <w:szCs w:val="24"/>
          <w:lang w:val="sr-Latn-ME"/>
        </w:rPr>
        <w:t xml:space="preserve">projekcije za period 2024–2027, </w:t>
      </w:r>
      <w:r w:rsidRPr="005F1ED2">
        <w:rPr>
          <w:sz w:val="24"/>
          <w:szCs w:val="24"/>
          <w:lang w:val="sr-Latn-ME"/>
        </w:rPr>
        <w:t>predviđaju snažnu dinamiku</w:t>
      </w:r>
      <w:r>
        <w:rPr>
          <w:sz w:val="24"/>
          <w:szCs w:val="24"/>
          <w:lang w:val="sr-Latn-ME"/>
        </w:rPr>
        <w:t xml:space="preserve"> kretanja</w:t>
      </w:r>
      <w:r w:rsidRPr="005F1ED2">
        <w:rPr>
          <w:sz w:val="24"/>
          <w:szCs w:val="24"/>
          <w:lang w:val="sr-Latn-ME"/>
        </w:rPr>
        <w:t xml:space="preserve"> privatne potrošnje, koja će </w:t>
      </w:r>
      <w:r>
        <w:rPr>
          <w:sz w:val="24"/>
          <w:szCs w:val="24"/>
          <w:lang w:val="sr-Latn-ME"/>
        </w:rPr>
        <w:t>biti</w:t>
      </w:r>
      <w:r w:rsidRPr="005F1ED2">
        <w:rPr>
          <w:sz w:val="24"/>
          <w:szCs w:val="24"/>
          <w:lang w:val="sr-Latn-ME"/>
        </w:rPr>
        <w:t xml:space="preserve"> jedan od ključnih generatora ekonomskog rasta, </w:t>
      </w:r>
      <w:r>
        <w:rPr>
          <w:sz w:val="24"/>
          <w:szCs w:val="24"/>
          <w:lang w:val="sr-Latn-ME"/>
        </w:rPr>
        <w:t>usljed</w:t>
      </w:r>
      <w:r w:rsidRPr="005F1ED2">
        <w:rPr>
          <w:sz w:val="24"/>
          <w:szCs w:val="24"/>
          <w:lang w:val="sr-Latn-ME"/>
        </w:rPr>
        <w:t xml:space="preserve"> povećanj</w:t>
      </w:r>
      <w:r>
        <w:rPr>
          <w:sz w:val="24"/>
          <w:szCs w:val="24"/>
          <w:lang w:val="sr-Latn-ME"/>
        </w:rPr>
        <w:t>a</w:t>
      </w:r>
      <w:r w:rsidRPr="005F1ED2">
        <w:rPr>
          <w:sz w:val="24"/>
          <w:szCs w:val="24"/>
          <w:lang w:val="sr-Latn-ME"/>
        </w:rPr>
        <w:t xml:space="preserve"> minimalnih i prosječnih zarada i penzija, sprovođenj</w:t>
      </w:r>
      <w:r>
        <w:rPr>
          <w:sz w:val="24"/>
          <w:szCs w:val="24"/>
          <w:lang w:val="sr-Latn-ME"/>
        </w:rPr>
        <w:t>a</w:t>
      </w:r>
      <w:r w:rsidRPr="005F1ED2">
        <w:rPr>
          <w:sz w:val="24"/>
          <w:szCs w:val="24"/>
          <w:lang w:val="sr-Latn-ME"/>
        </w:rPr>
        <w:t xml:space="preserve"> </w:t>
      </w:r>
      <w:r>
        <w:rPr>
          <w:sz w:val="24"/>
          <w:szCs w:val="24"/>
          <w:lang w:val="sr-Latn-ME"/>
        </w:rPr>
        <w:t>sveobuhvatne</w:t>
      </w:r>
      <w:r w:rsidRPr="005F1ED2">
        <w:rPr>
          <w:sz w:val="24"/>
          <w:szCs w:val="24"/>
          <w:lang w:val="sr-Latn-ME"/>
        </w:rPr>
        <w:t xml:space="preserve"> reform</w:t>
      </w:r>
      <w:r>
        <w:rPr>
          <w:sz w:val="24"/>
          <w:szCs w:val="24"/>
          <w:lang w:val="sr-Latn-ME"/>
        </w:rPr>
        <w:t xml:space="preserve">e </w:t>
      </w:r>
      <w:r w:rsidRPr="005F1ED2">
        <w:rPr>
          <w:sz w:val="24"/>
          <w:szCs w:val="24"/>
          <w:lang w:val="sr-Latn-ME"/>
        </w:rPr>
        <w:t>poreske</w:t>
      </w:r>
      <w:r>
        <w:rPr>
          <w:sz w:val="24"/>
          <w:szCs w:val="24"/>
          <w:lang w:val="sr-Latn-ME"/>
        </w:rPr>
        <w:t xml:space="preserve"> i fiskalne</w:t>
      </w:r>
      <w:r w:rsidRPr="005F1ED2">
        <w:rPr>
          <w:sz w:val="24"/>
          <w:szCs w:val="24"/>
          <w:lang w:val="sr-Latn-ME"/>
        </w:rPr>
        <w:t xml:space="preserve"> politike i unaprjeđenj</w:t>
      </w:r>
      <w:r>
        <w:rPr>
          <w:sz w:val="24"/>
          <w:szCs w:val="24"/>
          <w:lang w:val="sr-Latn-ME"/>
        </w:rPr>
        <w:t>a</w:t>
      </w:r>
      <w:r w:rsidRPr="005F1ED2">
        <w:rPr>
          <w:sz w:val="24"/>
          <w:szCs w:val="24"/>
          <w:lang w:val="sr-Latn-ME"/>
        </w:rPr>
        <w:t xml:space="preserve"> poslovnog ambijenta. Makroekonomski izgledi Crne Gore u srednjoročnom periodu predviđaju intenziviranje investicion</w:t>
      </w:r>
      <w:r>
        <w:rPr>
          <w:sz w:val="24"/>
          <w:szCs w:val="24"/>
          <w:lang w:val="sr-Latn-ME"/>
        </w:rPr>
        <w:t>e</w:t>
      </w:r>
      <w:r w:rsidRPr="005F1ED2">
        <w:rPr>
          <w:sz w:val="24"/>
          <w:szCs w:val="24"/>
          <w:lang w:val="sr-Latn-ME"/>
        </w:rPr>
        <w:t xml:space="preserve"> aktivnosti, posebno u strateškim sektorima, kao i </w:t>
      </w:r>
      <w:r>
        <w:rPr>
          <w:sz w:val="24"/>
          <w:szCs w:val="24"/>
          <w:lang w:val="sr-Latn-ME"/>
        </w:rPr>
        <w:t xml:space="preserve">dalji </w:t>
      </w:r>
      <w:r w:rsidRPr="005F1ED2">
        <w:rPr>
          <w:sz w:val="24"/>
          <w:szCs w:val="24"/>
          <w:lang w:val="sr-Latn-ME"/>
        </w:rPr>
        <w:t>rast sektora turizma. Projekcije su zasnovane na temeljnoj i sveobuhvatnoj analizi domaćih ekonomskih kretanja i procjenama globalnih inflatornih pritisaka. U nastavku poglavlja, dat je pregled srednjoročnih makroekonomskih prognoza, identifikovanih makrofinansijskih rizika i izrađenog alternativnog</w:t>
      </w:r>
      <w:r>
        <w:rPr>
          <w:sz w:val="24"/>
          <w:szCs w:val="24"/>
          <w:lang w:val="sr-Latn-ME"/>
        </w:rPr>
        <w:t>, odnosno takozvanog stres test scenarija</w:t>
      </w:r>
      <w:r w:rsidRPr="005F1ED2">
        <w:rPr>
          <w:sz w:val="24"/>
          <w:szCs w:val="24"/>
          <w:lang w:val="sr-Latn-ME"/>
        </w:rPr>
        <w:t xml:space="preserve"> koji anticipira materijalizaciju niza potencijalnih rizika i izazova.</w:t>
      </w:r>
    </w:p>
    <w:p w14:paraId="5FC05D3C" w14:textId="7E964A21" w:rsidR="00E05341" w:rsidRPr="005F1ED2" w:rsidRDefault="00E05341" w:rsidP="00E05341">
      <w:pPr>
        <w:keepNext/>
        <w:keepLines/>
        <w:spacing w:before="40" w:line="256" w:lineRule="auto"/>
        <w:outlineLvl w:val="1"/>
        <w:rPr>
          <w:rFonts w:eastAsiaTheme="majorEastAsia" w:cstheme="minorHAnsi"/>
          <w:b/>
          <w:color w:val="2F5496" w:themeColor="accent1" w:themeShade="BF"/>
          <w:sz w:val="24"/>
          <w:szCs w:val="24"/>
          <w:lang w:val="sr-Latn-ME"/>
        </w:rPr>
      </w:pPr>
      <w:bookmarkStart w:id="15" w:name="_Toc184111622"/>
      <w:r>
        <w:rPr>
          <w:rFonts w:eastAsiaTheme="majorEastAsia" w:cstheme="minorHAnsi"/>
          <w:b/>
          <w:color w:val="2F5496" w:themeColor="accent1" w:themeShade="BF"/>
          <w:sz w:val="24"/>
          <w:szCs w:val="24"/>
          <w:lang w:val="sr-Latn-ME"/>
        </w:rPr>
        <w:t>1</w:t>
      </w:r>
      <w:r w:rsidRPr="000941E8">
        <w:rPr>
          <w:rFonts w:eastAsiaTheme="majorEastAsia" w:cstheme="minorHAnsi"/>
          <w:b/>
          <w:color w:val="2F5496" w:themeColor="accent1" w:themeShade="BF"/>
          <w:sz w:val="24"/>
          <w:szCs w:val="24"/>
          <w:lang w:val="sr-Latn-ME"/>
        </w:rPr>
        <w:t>.2.1</w:t>
      </w:r>
      <w:r w:rsidR="002E35FA">
        <w:rPr>
          <w:rFonts w:eastAsiaTheme="majorEastAsia" w:cstheme="minorHAnsi"/>
          <w:b/>
          <w:color w:val="2F5496" w:themeColor="accent1" w:themeShade="BF"/>
          <w:sz w:val="24"/>
          <w:szCs w:val="24"/>
          <w:lang w:val="sr-Latn-ME"/>
        </w:rPr>
        <w:t>.</w:t>
      </w:r>
      <w:r w:rsidRPr="000941E8">
        <w:rPr>
          <w:rFonts w:eastAsiaTheme="majorEastAsia" w:cstheme="minorHAnsi"/>
          <w:b/>
          <w:color w:val="2F5496" w:themeColor="accent1" w:themeShade="BF"/>
          <w:sz w:val="24"/>
          <w:szCs w:val="24"/>
          <w:lang w:val="sr-Latn-ME"/>
        </w:rPr>
        <w:t xml:space="preserve"> Osnovni makroekonomski scenario 2024-2027</w:t>
      </w:r>
      <w:bookmarkEnd w:id="15"/>
    </w:p>
    <w:p w14:paraId="71C5AF9E" w14:textId="77777777" w:rsidR="00E05341" w:rsidRPr="005F1ED2" w:rsidRDefault="00E05341" w:rsidP="00E05341">
      <w:pPr>
        <w:spacing w:after="200" w:line="276" w:lineRule="auto"/>
        <w:jc w:val="both"/>
        <w:rPr>
          <w:sz w:val="24"/>
          <w:szCs w:val="24"/>
          <w:lang w:val="sr-Latn-ME"/>
        </w:rPr>
      </w:pPr>
      <w:r w:rsidRPr="005F1ED2">
        <w:rPr>
          <w:sz w:val="24"/>
          <w:szCs w:val="24"/>
          <w:lang w:val="sr-Latn-ME"/>
        </w:rPr>
        <w:t>Crna Gora je u prethodnom periodu pokazala otpornost u suočavanju s globalnim ekonomskim izazovima, uključujući inflacione pritiske, poremećaje u lancima s</w:t>
      </w:r>
      <w:r>
        <w:rPr>
          <w:sz w:val="24"/>
          <w:szCs w:val="24"/>
          <w:lang w:val="sr-Latn-ME"/>
        </w:rPr>
        <w:t xml:space="preserve">nabdijevanja i energetsku krizu, </w:t>
      </w:r>
      <w:r w:rsidRPr="005F1ED2">
        <w:rPr>
          <w:sz w:val="24"/>
          <w:szCs w:val="24"/>
          <w:lang w:val="sr-Latn-ME"/>
        </w:rPr>
        <w:t xml:space="preserve">uspjela da ostvari rast koji je premašio regionalni </w:t>
      </w:r>
      <w:r>
        <w:rPr>
          <w:sz w:val="24"/>
          <w:szCs w:val="24"/>
          <w:lang w:val="sr-Latn-ME"/>
        </w:rPr>
        <w:t xml:space="preserve">i evropski </w:t>
      </w:r>
      <w:r w:rsidRPr="005F1ED2">
        <w:rPr>
          <w:sz w:val="24"/>
          <w:szCs w:val="24"/>
          <w:lang w:val="sr-Latn-ME"/>
        </w:rPr>
        <w:t xml:space="preserve">prosjek. </w:t>
      </w:r>
      <w:r>
        <w:rPr>
          <w:sz w:val="24"/>
          <w:szCs w:val="24"/>
          <w:lang w:val="sr-Latn-ME"/>
        </w:rPr>
        <w:t>Aktuelni privredni trendovi</w:t>
      </w:r>
      <w:r w:rsidRPr="005F1ED2">
        <w:rPr>
          <w:sz w:val="24"/>
          <w:szCs w:val="24"/>
          <w:lang w:val="sr-Latn-ME"/>
        </w:rPr>
        <w:t>, uz po</w:t>
      </w:r>
      <w:r>
        <w:rPr>
          <w:sz w:val="24"/>
          <w:szCs w:val="24"/>
          <w:lang w:val="sr-Latn-ME"/>
        </w:rPr>
        <w:t>stepeno smirivanje rasta cijena</w:t>
      </w:r>
      <w:r w:rsidRPr="005F1ED2">
        <w:rPr>
          <w:sz w:val="24"/>
          <w:szCs w:val="24"/>
          <w:lang w:val="sr-Latn-ME"/>
        </w:rPr>
        <w:t xml:space="preserve"> </w:t>
      </w:r>
      <w:r>
        <w:rPr>
          <w:sz w:val="24"/>
          <w:szCs w:val="24"/>
          <w:lang w:val="sr-Latn-ME"/>
        </w:rPr>
        <w:t>i</w:t>
      </w:r>
      <w:r w:rsidRPr="005F1ED2">
        <w:rPr>
          <w:sz w:val="24"/>
          <w:szCs w:val="24"/>
          <w:lang w:val="sr-Latn-ME"/>
        </w:rPr>
        <w:t xml:space="preserve"> mjere povećanja minimalne i prosječne zarade, </w:t>
      </w:r>
      <w:r>
        <w:rPr>
          <w:sz w:val="24"/>
          <w:szCs w:val="24"/>
          <w:lang w:val="sr-Latn-ME"/>
        </w:rPr>
        <w:t>rasta</w:t>
      </w:r>
      <w:r w:rsidRPr="005F1ED2">
        <w:rPr>
          <w:sz w:val="24"/>
          <w:szCs w:val="24"/>
          <w:lang w:val="sr-Latn-ME"/>
        </w:rPr>
        <w:t xml:space="preserve"> minimalne penzije od početka go</w:t>
      </w:r>
      <w:r>
        <w:rPr>
          <w:sz w:val="24"/>
          <w:szCs w:val="24"/>
          <w:lang w:val="sr-Latn-ME"/>
        </w:rPr>
        <w:t>dine i izmjene poreske politike, determinisaće visoki rast ekonomije u narednom periodu.</w:t>
      </w:r>
    </w:p>
    <w:p w14:paraId="47EF4505" w14:textId="77777777" w:rsidR="00E05341" w:rsidRPr="005F1ED2" w:rsidRDefault="00E05341" w:rsidP="00E05341">
      <w:pPr>
        <w:spacing w:after="200" w:line="276" w:lineRule="auto"/>
        <w:jc w:val="both"/>
        <w:rPr>
          <w:sz w:val="24"/>
          <w:szCs w:val="24"/>
          <w:lang w:val="sr-Latn-ME"/>
        </w:rPr>
      </w:pPr>
      <w:r w:rsidRPr="005F1ED2">
        <w:rPr>
          <w:sz w:val="24"/>
          <w:szCs w:val="24"/>
          <w:lang w:val="sr-Latn-ME"/>
        </w:rPr>
        <w:t xml:space="preserve">Tokom 2024. godine, sektori građevinarstva, trgovine i saobraćaja ostvaruju rast, dok industrijska proizvodnja bilježi pad, pod uticajem nepovoljnih hidroloških uslova i posljedično niže </w:t>
      </w:r>
      <w:r>
        <w:rPr>
          <w:sz w:val="24"/>
          <w:szCs w:val="24"/>
          <w:lang w:val="sr-Latn-ME"/>
        </w:rPr>
        <w:t>proizvodnje električne energije</w:t>
      </w:r>
      <w:r w:rsidRPr="005F1ED2">
        <w:rPr>
          <w:sz w:val="24"/>
          <w:szCs w:val="24"/>
          <w:lang w:val="sr-Latn-ME"/>
        </w:rPr>
        <w:t xml:space="preserve">. Pozitivni trendovi nastavljaju da karakterišu tržište rada, koje </w:t>
      </w:r>
      <w:r>
        <w:rPr>
          <w:sz w:val="24"/>
          <w:szCs w:val="24"/>
          <w:lang w:val="sr-Latn-ME"/>
        </w:rPr>
        <w:t>bilježi izrazito povoljne parametre</w:t>
      </w:r>
      <w:r w:rsidRPr="005F1ED2">
        <w:rPr>
          <w:sz w:val="24"/>
          <w:szCs w:val="24"/>
          <w:lang w:val="sr-Latn-ME"/>
        </w:rPr>
        <w:t xml:space="preserve"> u prethodnim godinama, sa rastom zaposlenosti i prosječnih neto zarada, </w:t>
      </w:r>
      <w:r>
        <w:rPr>
          <w:sz w:val="24"/>
          <w:szCs w:val="24"/>
          <w:lang w:val="sr-Latn-ME"/>
        </w:rPr>
        <w:t>uz kontinuirani pad stope nezaposlenosti.</w:t>
      </w:r>
      <w:r w:rsidRPr="005F1ED2">
        <w:rPr>
          <w:sz w:val="24"/>
          <w:szCs w:val="24"/>
          <w:lang w:val="sr-Latn-ME"/>
        </w:rPr>
        <w:t xml:space="preserve"> U sektoru turizma zabilježen je rast broja noćenja u kolektivnom smještaju, dok su prihodi od turizma u prvih devet mjeseci 2024. godine iznosili 1,31 milijardu eura, što predstavlja blagi pad u odnosu na </w:t>
      </w:r>
      <w:r>
        <w:rPr>
          <w:sz w:val="24"/>
          <w:szCs w:val="24"/>
          <w:lang w:val="sr-Latn-ME"/>
        </w:rPr>
        <w:t>2023</w:t>
      </w:r>
      <w:r w:rsidRPr="005F1ED2">
        <w:rPr>
          <w:sz w:val="24"/>
          <w:szCs w:val="24"/>
          <w:lang w:val="sr-Latn-ME"/>
        </w:rPr>
        <w:t xml:space="preserve">, prvenstveno zbog smanjenog priliva nerezidenata. Ipak, u poređenju sa pretkriznom 2019. godinom, prihodi od turizma bilježe snažan </w:t>
      </w:r>
      <w:r>
        <w:rPr>
          <w:sz w:val="24"/>
          <w:szCs w:val="24"/>
          <w:lang w:val="sr-Latn-ME"/>
        </w:rPr>
        <w:t>rast od 29,0%. Bankarski sektor karakteriše postepeni pad</w:t>
      </w:r>
      <w:r w:rsidRPr="005F1ED2">
        <w:rPr>
          <w:sz w:val="24"/>
          <w:szCs w:val="24"/>
          <w:lang w:val="sr-Latn-ME"/>
        </w:rPr>
        <w:t xml:space="preserve"> </w:t>
      </w:r>
      <w:r>
        <w:rPr>
          <w:sz w:val="24"/>
          <w:szCs w:val="24"/>
          <w:lang w:val="sr-Latn-ME"/>
        </w:rPr>
        <w:t>kamatnih stopa i snažni porast</w:t>
      </w:r>
      <w:r w:rsidRPr="005F1ED2">
        <w:rPr>
          <w:sz w:val="24"/>
          <w:szCs w:val="24"/>
          <w:lang w:val="sr-Latn-ME"/>
        </w:rPr>
        <w:t xml:space="preserve"> novoodobrenih kredita, </w:t>
      </w:r>
      <w:r>
        <w:rPr>
          <w:sz w:val="24"/>
          <w:szCs w:val="24"/>
          <w:lang w:val="sr-Latn-ME"/>
        </w:rPr>
        <w:t>uz</w:t>
      </w:r>
      <w:r w:rsidRPr="005F1ED2">
        <w:rPr>
          <w:sz w:val="24"/>
          <w:szCs w:val="24"/>
          <w:lang w:val="sr-Latn-ME"/>
        </w:rPr>
        <w:t xml:space="preserve"> stabilnost i visok</w:t>
      </w:r>
      <w:r>
        <w:rPr>
          <w:sz w:val="24"/>
          <w:szCs w:val="24"/>
          <w:lang w:val="sr-Latn-ME"/>
        </w:rPr>
        <w:t>i</w:t>
      </w:r>
      <w:r w:rsidRPr="005F1ED2">
        <w:rPr>
          <w:sz w:val="24"/>
          <w:szCs w:val="24"/>
          <w:lang w:val="sr-Latn-ME"/>
        </w:rPr>
        <w:t xml:space="preserve"> nivo likvidnosti. Rast ukupnih depozita od 2,8% u prvih deset mjeseci 2024. godine dodatno potvrđuje signale povjerenja građana i kompanija u bankarski sektor. Sa druge strane, spoljnotrgovinska pozicija i dalje bilježi slične trendove deficita trgovinskog bilansa kao u prethodnom periodu, usljed pada izvoza roba u 2024. godini i rasta uvoza, koji je u velikoj mjeri vođen domaćom potražnjom. Inflacija registruje primjetna pozitivna kretanja</w:t>
      </w:r>
      <w:r>
        <w:rPr>
          <w:sz w:val="24"/>
          <w:szCs w:val="24"/>
          <w:lang w:val="sr-Latn-ME"/>
        </w:rPr>
        <w:t>,</w:t>
      </w:r>
      <w:r w:rsidRPr="005F1ED2">
        <w:rPr>
          <w:sz w:val="24"/>
          <w:szCs w:val="24"/>
          <w:lang w:val="sr-Latn-ME"/>
        </w:rPr>
        <w:t xml:space="preserve"> krećući se paralelno s</w:t>
      </w:r>
      <w:r>
        <w:rPr>
          <w:sz w:val="24"/>
          <w:szCs w:val="24"/>
          <w:lang w:val="sr-Latn-ME"/>
        </w:rPr>
        <w:t xml:space="preserve">a inflacijom u Evropskoj uniji i </w:t>
      </w:r>
      <w:r w:rsidRPr="005F1ED2">
        <w:rPr>
          <w:sz w:val="24"/>
          <w:szCs w:val="24"/>
          <w:lang w:val="sr-Latn-ME"/>
        </w:rPr>
        <w:t xml:space="preserve">na nivoima koji su najniži još od perioda pandemije. </w:t>
      </w:r>
      <w:r w:rsidRPr="005F1ED2">
        <w:rPr>
          <w:sz w:val="24"/>
          <w:szCs w:val="24"/>
          <w:lang w:val="sr-Latn-ME"/>
        </w:rPr>
        <w:lastRenderedPageBreak/>
        <w:t xml:space="preserve">Godišnja stopa inflacije u tekućoj godini značajno je usporila i u oktobru iznosi 1,2%. Neto strane direktne investicije u prvih devet mjeseci porasle su za 18,8% </w:t>
      </w:r>
      <w:r>
        <w:rPr>
          <w:sz w:val="24"/>
          <w:szCs w:val="24"/>
          <w:lang w:val="sr-Latn-ME"/>
        </w:rPr>
        <w:t>na godišnjem nivou</w:t>
      </w:r>
      <w:r w:rsidRPr="005F1ED2">
        <w:rPr>
          <w:sz w:val="24"/>
          <w:szCs w:val="24"/>
          <w:lang w:val="sr-Latn-ME"/>
        </w:rPr>
        <w:t>,</w:t>
      </w:r>
      <w:r>
        <w:rPr>
          <w:sz w:val="24"/>
          <w:szCs w:val="24"/>
          <w:lang w:val="sr-Latn-ME"/>
        </w:rPr>
        <w:t xml:space="preserve"> pri čemu </w:t>
      </w:r>
      <w:r w:rsidRPr="005F1ED2">
        <w:rPr>
          <w:sz w:val="24"/>
          <w:szCs w:val="24"/>
          <w:lang w:val="sr-Latn-ME"/>
        </w:rPr>
        <w:t xml:space="preserve">su investicije u kompanije i banke zabilježile rast od 44,0%, što ukazuje na </w:t>
      </w:r>
      <w:r>
        <w:rPr>
          <w:sz w:val="24"/>
          <w:szCs w:val="24"/>
          <w:lang w:val="sr-Latn-ME"/>
        </w:rPr>
        <w:t xml:space="preserve">oporavak investicione aktivnosti. </w:t>
      </w:r>
      <w:r w:rsidRPr="0068636C">
        <w:rPr>
          <w:b/>
          <w:sz w:val="24"/>
          <w:szCs w:val="24"/>
          <w:lang w:val="sr-Latn-ME"/>
        </w:rPr>
        <w:t>Na osnovu navedenih ma</w:t>
      </w:r>
      <w:r>
        <w:rPr>
          <w:b/>
          <w:sz w:val="24"/>
          <w:szCs w:val="24"/>
          <w:lang w:val="sr-Latn-ME"/>
        </w:rPr>
        <w:t>kroekonomskih kretanja, prognozirani</w:t>
      </w:r>
      <w:r w:rsidRPr="0068636C">
        <w:rPr>
          <w:b/>
          <w:sz w:val="24"/>
          <w:szCs w:val="24"/>
          <w:lang w:val="sr-Latn-ME"/>
        </w:rPr>
        <w:t xml:space="preserve"> rast crnogorske ekonomije </w:t>
      </w:r>
      <w:r>
        <w:rPr>
          <w:b/>
          <w:sz w:val="24"/>
          <w:szCs w:val="24"/>
          <w:lang w:val="sr-Latn-ME"/>
        </w:rPr>
        <w:t>u</w:t>
      </w:r>
      <w:r w:rsidRPr="0068636C">
        <w:rPr>
          <w:b/>
          <w:sz w:val="24"/>
          <w:szCs w:val="24"/>
          <w:lang w:val="sr-Latn-ME"/>
        </w:rPr>
        <w:t xml:space="preserve"> 2024. godin</w:t>
      </w:r>
      <w:r>
        <w:rPr>
          <w:b/>
          <w:sz w:val="24"/>
          <w:szCs w:val="24"/>
          <w:lang w:val="sr-Latn-ME"/>
        </w:rPr>
        <w:t>i</w:t>
      </w:r>
      <w:r w:rsidRPr="0068636C">
        <w:rPr>
          <w:b/>
          <w:sz w:val="24"/>
          <w:szCs w:val="24"/>
          <w:lang w:val="sr-Latn-ME"/>
        </w:rPr>
        <w:t xml:space="preserve"> iznosi 3,8%.</w:t>
      </w:r>
    </w:p>
    <w:p w14:paraId="4137BE23" w14:textId="77777777" w:rsidR="00E05341" w:rsidRPr="00F23A0C" w:rsidRDefault="00E05341" w:rsidP="00E05341">
      <w:pPr>
        <w:spacing w:after="200" w:line="276" w:lineRule="auto"/>
        <w:jc w:val="both"/>
        <w:rPr>
          <w:sz w:val="24"/>
          <w:szCs w:val="24"/>
          <w:lang w:val="sr-Latn-ME"/>
        </w:rPr>
      </w:pPr>
      <w:r w:rsidRPr="00BE6143">
        <w:rPr>
          <w:b/>
          <w:sz w:val="24"/>
          <w:szCs w:val="24"/>
          <w:lang w:val="sr-Latn-ME"/>
        </w:rPr>
        <w:t>Prema preliminarnim projekcijama Ministarstva finansija, crnogorska ekonomija će u srednjem roku ostvariti prosječan godišnji rast od 3,7%, odnosno po godinama 4,8% u 2025, 3,2% i 3,1% u 2026. i 2027. godini.</w:t>
      </w:r>
      <w:r w:rsidRPr="005F1ED2">
        <w:rPr>
          <w:sz w:val="24"/>
          <w:szCs w:val="24"/>
          <w:lang w:val="sr-Latn-ME"/>
        </w:rPr>
        <w:t xml:space="preserve"> Prognoze rasta za srednjoročni period temelje se na nastavku trenda rasta domaće potrošnje, </w:t>
      </w:r>
      <w:r>
        <w:rPr>
          <w:sz w:val="24"/>
          <w:szCs w:val="24"/>
          <w:lang w:val="sr-Latn-ME"/>
        </w:rPr>
        <w:t>intenziviranju</w:t>
      </w:r>
      <w:r w:rsidRPr="005F1ED2">
        <w:rPr>
          <w:sz w:val="24"/>
          <w:szCs w:val="24"/>
          <w:lang w:val="sr-Latn-ME"/>
        </w:rPr>
        <w:t xml:space="preserve"> investicionog ciklusa kroz olakšanje biznis barijera, ali i </w:t>
      </w:r>
      <w:r>
        <w:rPr>
          <w:sz w:val="24"/>
          <w:szCs w:val="24"/>
          <w:lang w:val="sr-Latn-ME"/>
        </w:rPr>
        <w:t>povoljnim kretanjima u turizmu</w:t>
      </w:r>
      <w:r w:rsidRPr="005F1ED2">
        <w:rPr>
          <w:sz w:val="24"/>
          <w:szCs w:val="24"/>
          <w:lang w:val="sr-Latn-ME"/>
        </w:rPr>
        <w:t>. U narednim godinama</w:t>
      </w:r>
      <w:r>
        <w:rPr>
          <w:sz w:val="24"/>
          <w:szCs w:val="24"/>
          <w:lang w:val="sr-Latn-ME"/>
        </w:rPr>
        <w:t>,</w:t>
      </w:r>
      <w:r w:rsidRPr="005F1ED2">
        <w:rPr>
          <w:sz w:val="24"/>
          <w:szCs w:val="24"/>
          <w:lang w:val="sr-Latn-ME"/>
        </w:rPr>
        <w:t xml:space="preserve"> očekuje se nastavak visoke privatne potrošnje, na bazi </w:t>
      </w:r>
      <w:r>
        <w:rPr>
          <w:sz w:val="24"/>
          <w:szCs w:val="24"/>
          <w:lang w:val="sr-Latn-ME"/>
        </w:rPr>
        <w:t>implementacije</w:t>
      </w:r>
      <w:r w:rsidRPr="005F1ED2">
        <w:rPr>
          <w:sz w:val="24"/>
          <w:szCs w:val="24"/>
          <w:lang w:val="sr-Latn-ME"/>
        </w:rPr>
        <w:t xml:space="preserve"> mjera </w:t>
      </w:r>
      <w:r>
        <w:rPr>
          <w:sz w:val="24"/>
          <w:szCs w:val="24"/>
          <w:lang w:val="sr-Latn-ME"/>
        </w:rPr>
        <w:t>fiskalne reforme</w:t>
      </w:r>
      <w:r w:rsidRPr="005F1ED2">
        <w:rPr>
          <w:sz w:val="24"/>
          <w:szCs w:val="24"/>
          <w:lang w:val="sr-Latn-ME"/>
        </w:rPr>
        <w:t>, kroz povećanj</w:t>
      </w:r>
      <w:r>
        <w:rPr>
          <w:sz w:val="24"/>
          <w:szCs w:val="24"/>
          <w:lang w:val="sr-Latn-ME"/>
        </w:rPr>
        <w:t>e</w:t>
      </w:r>
      <w:r w:rsidRPr="005F1ED2">
        <w:rPr>
          <w:sz w:val="24"/>
          <w:szCs w:val="24"/>
          <w:lang w:val="sr-Latn-ME"/>
        </w:rPr>
        <w:t xml:space="preserve"> minimalne zarade </w:t>
      </w:r>
      <w:r>
        <w:rPr>
          <w:sz w:val="24"/>
          <w:szCs w:val="24"/>
          <w:lang w:val="sr-Latn-ME"/>
        </w:rPr>
        <w:t>od 600€ (za zaposlene do V nivoa kvalifikacije obrazovanja), odnosno 800€ (VI i veći stepen obrazovanja)</w:t>
      </w:r>
      <w:r w:rsidRPr="005F1ED2">
        <w:rPr>
          <w:sz w:val="24"/>
          <w:szCs w:val="24"/>
          <w:lang w:val="sr-Latn-ME"/>
        </w:rPr>
        <w:t xml:space="preserve"> i </w:t>
      </w:r>
      <w:r>
        <w:rPr>
          <w:sz w:val="24"/>
          <w:szCs w:val="24"/>
          <w:lang w:val="sr-Latn-ME"/>
        </w:rPr>
        <w:t xml:space="preserve">rasta </w:t>
      </w:r>
      <w:r w:rsidRPr="005F1ED2">
        <w:rPr>
          <w:sz w:val="24"/>
          <w:szCs w:val="24"/>
          <w:lang w:val="sr-Latn-ME"/>
        </w:rPr>
        <w:t xml:space="preserve">prosječne zarade </w:t>
      </w:r>
      <w:r>
        <w:rPr>
          <w:sz w:val="24"/>
          <w:szCs w:val="24"/>
          <w:lang w:val="sr-Latn-ME"/>
        </w:rPr>
        <w:t>usljed smanjenja stope doprinosa na penzijsko invalidsko osiguranje sa ukupno 20,5% na 10%. Privatna potrošnja biće intenzivirana i na bazi porasta zaposlenosti, ekspanzije kreditne aktivnosti, većih doznaka iz inostranstva, uz dalje povećanje prosječne penzije</w:t>
      </w:r>
      <w:r w:rsidRPr="005F1ED2">
        <w:rPr>
          <w:sz w:val="24"/>
          <w:szCs w:val="24"/>
          <w:lang w:val="sr-Latn-ME"/>
        </w:rPr>
        <w:t xml:space="preserve">. Lična potrošnja domaćinstava će shodno reformi poreske politike, biti naročito snažna u 2025. godini, u kojoj je prognoziran njen rast od 7,2%. </w:t>
      </w:r>
      <w:r w:rsidRPr="005F1ED2">
        <w:rPr>
          <w:rFonts w:cstheme="minorHAnsi"/>
          <w:sz w:val="24"/>
          <w:szCs w:val="24"/>
          <w:lang w:val="sr-Latn-ME"/>
        </w:rPr>
        <w:t xml:space="preserve">U srednjem roku, </w:t>
      </w:r>
      <w:r>
        <w:rPr>
          <w:rFonts w:cstheme="minorHAnsi"/>
          <w:sz w:val="24"/>
          <w:szCs w:val="24"/>
          <w:lang w:val="sr-Latn-ME"/>
        </w:rPr>
        <w:t>usljed</w:t>
      </w:r>
      <w:r w:rsidRPr="005F1ED2">
        <w:rPr>
          <w:rFonts w:cstheme="minorHAnsi"/>
          <w:sz w:val="24"/>
          <w:szCs w:val="24"/>
          <w:lang w:val="sr-Latn-ME"/>
        </w:rPr>
        <w:t xml:space="preserve"> </w:t>
      </w:r>
      <w:r>
        <w:rPr>
          <w:rFonts w:cstheme="minorHAnsi"/>
          <w:sz w:val="24"/>
          <w:szCs w:val="24"/>
          <w:lang w:val="sr-Latn-ME"/>
        </w:rPr>
        <w:t xml:space="preserve">visoke tekuće budžetske </w:t>
      </w:r>
      <w:r w:rsidRPr="005F1ED2">
        <w:rPr>
          <w:rFonts w:cstheme="minorHAnsi"/>
          <w:sz w:val="24"/>
          <w:szCs w:val="24"/>
          <w:lang w:val="sr-Latn-ME"/>
        </w:rPr>
        <w:t>i rast</w:t>
      </w:r>
      <w:r>
        <w:rPr>
          <w:rFonts w:cstheme="minorHAnsi"/>
          <w:sz w:val="24"/>
          <w:szCs w:val="24"/>
          <w:lang w:val="sr-Latn-ME"/>
        </w:rPr>
        <w:t>a</w:t>
      </w:r>
      <w:r w:rsidRPr="005F1ED2">
        <w:rPr>
          <w:rFonts w:cstheme="minorHAnsi"/>
          <w:sz w:val="24"/>
          <w:szCs w:val="24"/>
          <w:lang w:val="sr-Latn-ME"/>
        </w:rPr>
        <w:t xml:space="preserve"> javnih investicija, prognozira se da će javna potrošnja rasti po prosječnoj godišnjoj stopi od 2,6%.</w:t>
      </w:r>
    </w:p>
    <w:p w14:paraId="12861F15" w14:textId="77777777" w:rsidR="00E05341" w:rsidRPr="005F1ED2" w:rsidRDefault="00E05341" w:rsidP="00E05341">
      <w:pPr>
        <w:spacing w:after="200" w:line="276" w:lineRule="auto"/>
        <w:jc w:val="both"/>
        <w:rPr>
          <w:lang w:val="sr-Latn-ME"/>
        </w:rPr>
      </w:pPr>
      <w:r w:rsidRPr="005F1ED2">
        <w:rPr>
          <w:sz w:val="24"/>
          <w:szCs w:val="24"/>
          <w:lang w:val="sr-Latn-ME"/>
        </w:rPr>
        <w:t xml:space="preserve">Imajući u vidu </w:t>
      </w:r>
      <w:r>
        <w:rPr>
          <w:sz w:val="24"/>
          <w:szCs w:val="24"/>
          <w:lang w:val="sr-Latn-ME"/>
        </w:rPr>
        <w:t>posljednje</w:t>
      </w:r>
      <w:r w:rsidRPr="005F1ED2">
        <w:rPr>
          <w:sz w:val="24"/>
          <w:szCs w:val="24"/>
          <w:lang w:val="sr-Latn-ME"/>
        </w:rPr>
        <w:t xml:space="preserve"> podatke o stopi inflacije koja je nakon rekordnih dvocifrenih nivoa u prethodne dvije godine, najniža od 2021. godine, u narednom srednjoročnom periodu očekuje se dodatno usporavanje inflacije. </w:t>
      </w:r>
      <w:r>
        <w:rPr>
          <w:sz w:val="24"/>
          <w:szCs w:val="24"/>
          <w:lang w:val="sr-Latn-ME"/>
        </w:rPr>
        <w:t>U</w:t>
      </w:r>
      <w:r w:rsidRPr="005F1ED2">
        <w:rPr>
          <w:sz w:val="24"/>
          <w:szCs w:val="24"/>
          <w:lang w:val="sr-Latn-ME"/>
        </w:rPr>
        <w:t xml:space="preserve"> periodu 2025-2027. godine</w:t>
      </w:r>
      <w:r>
        <w:rPr>
          <w:sz w:val="24"/>
          <w:szCs w:val="24"/>
          <w:lang w:val="sr-Latn-ME"/>
        </w:rPr>
        <w:t>,</w:t>
      </w:r>
      <w:r w:rsidRPr="005F1ED2">
        <w:rPr>
          <w:sz w:val="24"/>
          <w:szCs w:val="24"/>
          <w:lang w:val="sr-Latn-ME"/>
        </w:rPr>
        <w:t xml:space="preserve"> prognozira</w:t>
      </w:r>
      <w:r>
        <w:rPr>
          <w:sz w:val="24"/>
          <w:szCs w:val="24"/>
          <w:lang w:val="sr-Latn-ME"/>
        </w:rPr>
        <w:t>na je</w:t>
      </w:r>
      <w:r w:rsidRPr="005F1ED2">
        <w:rPr>
          <w:sz w:val="24"/>
          <w:szCs w:val="24"/>
          <w:lang w:val="sr-Latn-ME"/>
        </w:rPr>
        <w:t xml:space="preserve"> prosječna stopa inflacije od 2,9%.</w:t>
      </w:r>
      <w:r w:rsidRPr="005F1ED2">
        <w:rPr>
          <w:lang w:val="sr-Latn-ME"/>
        </w:rPr>
        <w:t xml:space="preserve"> </w:t>
      </w:r>
      <w:r w:rsidRPr="005F1ED2">
        <w:rPr>
          <w:sz w:val="24"/>
          <w:szCs w:val="24"/>
          <w:lang w:val="sr-Latn-ME"/>
        </w:rPr>
        <w:t>Postepenom ublažavanju stope inflacije u narednom trogodišnjem periodu doprinijeće smirivanje eksternih kretanja, čiji je budući razvoj i dalje neizvjestan. Stagnaciji i padu</w:t>
      </w:r>
      <w:r>
        <w:rPr>
          <w:sz w:val="24"/>
          <w:szCs w:val="24"/>
          <w:lang w:val="sr-Latn-ME"/>
        </w:rPr>
        <w:t xml:space="preserve"> domaće</w:t>
      </w:r>
      <w:r w:rsidRPr="005F1ED2">
        <w:rPr>
          <w:sz w:val="24"/>
          <w:szCs w:val="24"/>
          <w:lang w:val="sr-Latn-ME"/>
        </w:rPr>
        <w:t xml:space="preserve"> mjesečne inflacije od 0,4% u septembru 2024, doprinijelo je sprovođenje programa Vlade za ograničavanje marži, dok je prognozirano da će stabilizacija makroekonomskog okruženja u narednom periodu dodatno doprinijeti ublažavanju inflatornih pritisaka.</w:t>
      </w:r>
    </w:p>
    <w:p w14:paraId="3E631E5A" w14:textId="77777777" w:rsidR="00E05341" w:rsidRPr="005F1ED2" w:rsidRDefault="00E05341" w:rsidP="00E05341">
      <w:pPr>
        <w:spacing w:after="200" w:line="276" w:lineRule="auto"/>
        <w:jc w:val="both"/>
        <w:rPr>
          <w:sz w:val="24"/>
          <w:szCs w:val="24"/>
          <w:lang w:val="sr-Latn-ME"/>
        </w:rPr>
      </w:pPr>
      <w:r w:rsidRPr="005F1ED2">
        <w:rPr>
          <w:sz w:val="24"/>
          <w:szCs w:val="24"/>
          <w:lang w:val="sr-Latn-ME"/>
        </w:rPr>
        <w:t>Trendovi na tržištu rada prate rast ekonomije</w:t>
      </w:r>
      <w:r>
        <w:rPr>
          <w:sz w:val="24"/>
          <w:szCs w:val="24"/>
          <w:lang w:val="sr-Latn-ME"/>
        </w:rPr>
        <w:t>. U periodu 2025-2027, projektovan je rast</w:t>
      </w:r>
      <w:r w:rsidRPr="005F1ED2">
        <w:rPr>
          <w:sz w:val="24"/>
          <w:szCs w:val="24"/>
          <w:lang w:val="sr-Latn-ME"/>
        </w:rPr>
        <w:t xml:space="preserve"> broja zaposlenih od oko </w:t>
      </w:r>
      <w:r>
        <w:rPr>
          <w:sz w:val="24"/>
          <w:szCs w:val="24"/>
          <w:lang w:val="sr-Latn-ME"/>
        </w:rPr>
        <w:t>2</w:t>
      </w:r>
      <w:r w:rsidRPr="005F1ED2">
        <w:rPr>
          <w:sz w:val="24"/>
          <w:szCs w:val="24"/>
          <w:lang w:val="sr-Latn-ME"/>
        </w:rPr>
        <w:t xml:space="preserve">% prosječno </w:t>
      </w:r>
      <w:r>
        <w:rPr>
          <w:sz w:val="24"/>
          <w:szCs w:val="24"/>
          <w:lang w:val="sr-Latn-ME"/>
        </w:rPr>
        <w:t>godišnje.</w:t>
      </w:r>
      <w:r w:rsidRPr="005F1ED2">
        <w:rPr>
          <w:sz w:val="24"/>
          <w:szCs w:val="24"/>
          <w:lang w:val="sr-Latn-ME"/>
        </w:rPr>
        <w:t xml:space="preserve"> U narednom periodu, </w:t>
      </w:r>
      <w:r>
        <w:rPr>
          <w:sz w:val="24"/>
          <w:szCs w:val="24"/>
          <w:lang w:val="sr-Latn-ME"/>
        </w:rPr>
        <w:t>shodno</w:t>
      </w:r>
      <w:r w:rsidRPr="005F1ED2">
        <w:rPr>
          <w:sz w:val="24"/>
          <w:szCs w:val="24"/>
          <w:lang w:val="sr-Latn-ME"/>
        </w:rPr>
        <w:t xml:space="preserve"> planovima domaćih politika usmjerenih na smanjenje nezaposlenosti i poboljšanje tržišta rada, očekuje se rast zarada od </w:t>
      </w:r>
      <w:r>
        <w:rPr>
          <w:sz w:val="24"/>
          <w:szCs w:val="24"/>
          <w:lang w:val="sr-Latn-ME"/>
        </w:rPr>
        <w:t>oko 6% prosječno</w:t>
      </w:r>
      <w:r w:rsidRPr="005F1ED2">
        <w:rPr>
          <w:sz w:val="24"/>
          <w:szCs w:val="24"/>
          <w:lang w:val="sr-Latn-ME"/>
        </w:rPr>
        <w:t>, koji ukazuje povećanje kupovne moći stanovništva. Prema projekcijama, prosječna stopa nezaposlenosti će na kraju projektovanog horizonta iznositi 9,2%, uslovljena bržim smanjenjem broja nezaposlenih od prvobitno prognoziranog.</w:t>
      </w:r>
      <w:r>
        <w:rPr>
          <w:sz w:val="24"/>
          <w:szCs w:val="24"/>
          <w:lang w:val="sr-Latn-ME"/>
        </w:rPr>
        <w:t xml:space="preserve"> Domaće tržište rada u proteklom periodu karakteriše izraženi nedostatak radne snage, naročito tokom ljetnje turističke sezone, uz porast broja izdatih dozvola za privremeni rad stranaca.</w:t>
      </w:r>
    </w:p>
    <w:p w14:paraId="7B904599" w14:textId="77777777" w:rsidR="00E05341" w:rsidRDefault="00E05341" w:rsidP="00E05341">
      <w:pPr>
        <w:spacing w:after="200" w:line="276" w:lineRule="auto"/>
        <w:jc w:val="both"/>
        <w:rPr>
          <w:rFonts w:cstheme="minorHAnsi"/>
          <w:sz w:val="24"/>
          <w:szCs w:val="24"/>
          <w:lang w:val="sr-Latn-ME"/>
        </w:rPr>
      </w:pPr>
      <w:r w:rsidRPr="005F1ED2">
        <w:rPr>
          <w:rFonts w:cstheme="minorHAnsi"/>
          <w:sz w:val="24"/>
          <w:szCs w:val="24"/>
          <w:lang w:val="sr-Latn-ME"/>
        </w:rPr>
        <w:lastRenderedPageBreak/>
        <w:t>Prospekti srednjoročnog ekonomskog rasta podržani su strateškim prioritetom ispunjavanja EU agende u procesu pristupanja Crne Gore, s posebnim naglaskom na Plan rasta EU i</w:t>
      </w:r>
      <w:r>
        <w:rPr>
          <w:rFonts w:cstheme="minorHAnsi"/>
          <w:sz w:val="24"/>
          <w:szCs w:val="24"/>
          <w:lang w:val="sr-Latn-ME"/>
        </w:rPr>
        <w:t xml:space="preserve"> dostupne</w:t>
      </w:r>
      <w:r w:rsidRPr="005F1ED2">
        <w:rPr>
          <w:rFonts w:cstheme="minorHAnsi"/>
          <w:sz w:val="24"/>
          <w:szCs w:val="24"/>
          <w:lang w:val="sr-Latn-ME"/>
        </w:rPr>
        <w:t xml:space="preserve"> finansijske instrumente koji podržavaju domaće razvojne projekte i reformske mjere. Dodatno, pristupanje Crne Gore Jedinstvenom</w:t>
      </w:r>
      <w:r>
        <w:rPr>
          <w:rFonts w:cstheme="minorHAnsi"/>
          <w:sz w:val="24"/>
          <w:szCs w:val="24"/>
          <w:lang w:val="sr-Latn-ME"/>
        </w:rPr>
        <w:t xml:space="preserve"> </w:t>
      </w:r>
      <w:r w:rsidRPr="005F1ED2">
        <w:rPr>
          <w:rFonts w:cstheme="minorHAnsi"/>
          <w:sz w:val="24"/>
          <w:szCs w:val="24"/>
          <w:lang w:val="sr-Latn-ME"/>
        </w:rPr>
        <w:t>pro</w:t>
      </w:r>
      <w:r>
        <w:rPr>
          <w:rFonts w:cstheme="minorHAnsi"/>
          <w:sz w:val="24"/>
          <w:szCs w:val="24"/>
          <w:lang w:val="sr-Latn-ME"/>
        </w:rPr>
        <w:t xml:space="preserve">storu plaćanja u eurima (SEPA), </w:t>
      </w:r>
      <w:r w:rsidRPr="005F1ED2">
        <w:rPr>
          <w:rFonts w:cstheme="minorHAnsi"/>
          <w:sz w:val="24"/>
          <w:szCs w:val="24"/>
          <w:lang w:val="sr-Latn-ME"/>
        </w:rPr>
        <w:t>predstavlja ključan korak u usklađivanju crnogorskog finansijskog sistema sa EU standardima, jačanje integracije i unaprjeđenje efikasnosti i sig</w:t>
      </w:r>
      <w:r>
        <w:rPr>
          <w:rFonts w:cstheme="minorHAnsi"/>
          <w:sz w:val="24"/>
          <w:szCs w:val="24"/>
          <w:lang w:val="sr-Latn-ME"/>
        </w:rPr>
        <w:t>urnosti prekograničnih plaćanja</w:t>
      </w:r>
      <w:r w:rsidRPr="005F1ED2">
        <w:rPr>
          <w:rFonts w:cstheme="minorHAnsi"/>
          <w:sz w:val="24"/>
          <w:szCs w:val="24"/>
          <w:lang w:val="sr-Latn-ME"/>
        </w:rPr>
        <w:t>.</w:t>
      </w:r>
      <w:r w:rsidRPr="005F1ED2">
        <w:rPr>
          <w:lang w:val="sr-Latn-ME"/>
        </w:rPr>
        <w:t xml:space="preserve"> </w:t>
      </w:r>
      <w:r w:rsidRPr="005F1ED2">
        <w:rPr>
          <w:rFonts w:cstheme="minorHAnsi"/>
          <w:sz w:val="24"/>
          <w:szCs w:val="24"/>
          <w:lang w:val="sr-Latn-ME"/>
        </w:rPr>
        <w:t>Crna Gora ostaje čvrsto posvećena daljoj implementaciji reformi</w:t>
      </w:r>
      <w:r>
        <w:rPr>
          <w:rFonts w:cstheme="minorHAnsi"/>
          <w:sz w:val="24"/>
          <w:szCs w:val="24"/>
          <w:lang w:val="sr-Latn-ME"/>
        </w:rPr>
        <w:t xml:space="preserve"> predviđenih Reformskom agendom</w:t>
      </w:r>
      <w:r w:rsidRPr="005F1ED2">
        <w:rPr>
          <w:rFonts w:cstheme="minorHAnsi"/>
          <w:sz w:val="24"/>
          <w:szCs w:val="24"/>
          <w:lang w:val="sr-Latn-ME"/>
        </w:rPr>
        <w:t xml:space="preserve"> i stvaranju boljih uslova za građane i privredu, s ciljem jačanja stabilnosti i konkurentnosti</w:t>
      </w:r>
      <w:r>
        <w:rPr>
          <w:rFonts w:cstheme="minorHAnsi"/>
          <w:sz w:val="24"/>
          <w:szCs w:val="24"/>
          <w:lang w:val="sr-Latn-ME"/>
        </w:rPr>
        <w:t xml:space="preserve"> domaće ekonomije</w:t>
      </w:r>
      <w:r w:rsidRPr="005F1ED2">
        <w:rPr>
          <w:rFonts w:cstheme="minorHAnsi"/>
          <w:sz w:val="24"/>
          <w:szCs w:val="24"/>
          <w:lang w:val="sr-Latn-ME"/>
        </w:rPr>
        <w:t>.</w:t>
      </w:r>
      <w:r>
        <w:rPr>
          <w:rFonts w:cstheme="minorHAnsi"/>
          <w:sz w:val="24"/>
          <w:szCs w:val="24"/>
          <w:lang w:val="sr-Latn-ME"/>
        </w:rPr>
        <w:t xml:space="preserve"> </w:t>
      </w:r>
    </w:p>
    <w:p w14:paraId="4D444649" w14:textId="77777777" w:rsidR="00E05341" w:rsidRPr="006B0866" w:rsidRDefault="00E05341" w:rsidP="00E05341">
      <w:pPr>
        <w:spacing w:after="200" w:line="276" w:lineRule="auto"/>
        <w:jc w:val="both"/>
        <w:rPr>
          <w:rFonts w:cstheme="minorHAnsi"/>
          <w:sz w:val="24"/>
          <w:szCs w:val="24"/>
          <w:lang w:val="sr-Latn-ME"/>
        </w:rPr>
      </w:pPr>
      <w:r w:rsidRPr="006B0866">
        <w:rPr>
          <w:rFonts w:cstheme="minorHAnsi"/>
          <w:sz w:val="24"/>
          <w:szCs w:val="24"/>
          <w:lang w:val="sr-Latn-ME"/>
        </w:rPr>
        <w:t>Makroekonomske prognoze 202</w:t>
      </w:r>
      <w:r>
        <w:rPr>
          <w:rFonts w:cstheme="minorHAnsi"/>
          <w:sz w:val="24"/>
          <w:szCs w:val="24"/>
          <w:lang w:val="sr-Latn-ME"/>
        </w:rPr>
        <w:t>5-</w:t>
      </w:r>
      <w:r w:rsidRPr="006B0866">
        <w:rPr>
          <w:rFonts w:cstheme="minorHAnsi"/>
          <w:sz w:val="24"/>
          <w:szCs w:val="24"/>
          <w:lang w:val="sr-Latn-ME"/>
        </w:rPr>
        <w:t xml:space="preserve">2027. imaju sljedeće komponente sa potrošne strane: </w:t>
      </w:r>
    </w:p>
    <w:p w14:paraId="4F493AAE" w14:textId="77777777" w:rsidR="00E05341" w:rsidRDefault="00E05341" w:rsidP="00E05341">
      <w:pPr>
        <w:spacing w:after="120" w:line="276" w:lineRule="auto"/>
        <w:jc w:val="both"/>
        <w:rPr>
          <w:rFonts w:cstheme="minorHAnsi"/>
          <w:color w:val="000000" w:themeColor="text1"/>
          <w:sz w:val="24"/>
          <w:szCs w:val="24"/>
          <w:lang w:val="sr-Latn-ME"/>
        </w:rPr>
      </w:pPr>
      <w:r w:rsidRPr="006B0866">
        <w:rPr>
          <w:rFonts w:cstheme="minorHAnsi"/>
          <w:color w:val="000000" w:themeColor="text1"/>
          <w:sz w:val="24"/>
          <w:szCs w:val="24"/>
          <w:lang w:val="sr-Latn-ME"/>
        </w:rPr>
        <w:t>- Dinamiku rasta ekonomije Crne Gore u srednjem roku, dominantno će opredijeliti s</w:t>
      </w:r>
      <w:r>
        <w:rPr>
          <w:rFonts w:cstheme="minorHAnsi"/>
          <w:color w:val="000000" w:themeColor="text1"/>
          <w:sz w:val="24"/>
          <w:szCs w:val="24"/>
          <w:lang w:val="sr-Latn-ME"/>
        </w:rPr>
        <w:t>nažna domaća potražnja (uticaj 3,9</w:t>
      </w:r>
      <w:r w:rsidRPr="006B0866">
        <w:rPr>
          <w:rFonts w:cstheme="minorHAnsi"/>
          <w:color w:val="000000" w:themeColor="text1"/>
          <w:sz w:val="24"/>
          <w:szCs w:val="24"/>
          <w:lang w:val="sr-Latn-ME"/>
        </w:rPr>
        <w:t xml:space="preserve"> p.p), sa privatnom potrošnjom i investicijama kao pokretačima privredne aktivnosti. Lična potrošnja domaćinstava biće podstaknuta rastom u turizmu i povezanim djelatnostima, rastom zaposlenosti i zarada, kreditne aktivnosti i doznaka iz inostranstva. </w:t>
      </w:r>
      <w:r>
        <w:rPr>
          <w:rFonts w:cstheme="minorHAnsi"/>
          <w:color w:val="000000" w:themeColor="text1"/>
          <w:sz w:val="24"/>
          <w:szCs w:val="24"/>
          <w:lang w:val="sr-Latn-ME"/>
        </w:rPr>
        <w:t>Lična potrošnja domaćinstava će</w:t>
      </w:r>
      <w:r w:rsidRPr="006B0866">
        <w:rPr>
          <w:rFonts w:cstheme="minorHAnsi"/>
          <w:color w:val="000000" w:themeColor="text1"/>
          <w:sz w:val="24"/>
          <w:szCs w:val="24"/>
          <w:lang w:val="sr-Latn-ME"/>
        </w:rPr>
        <w:t xml:space="preserve"> usljed implementacije reforme poreske politike, </w:t>
      </w:r>
      <w:r>
        <w:rPr>
          <w:rFonts w:cstheme="minorHAnsi"/>
          <w:color w:val="000000" w:themeColor="text1"/>
          <w:sz w:val="24"/>
          <w:szCs w:val="24"/>
          <w:lang w:val="sr-Latn-ME"/>
        </w:rPr>
        <w:t>biti naročito snažna u 2025. godini sa rastom od preko 7% realno.</w:t>
      </w:r>
      <w:r w:rsidRPr="006B0866">
        <w:rPr>
          <w:rFonts w:cstheme="minorHAnsi"/>
          <w:color w:val="000000" w:themeColor="text1"/>
          <w:sz w:val="24"/>
          <w:szCs w:val="24"/>
          <w:lang w:val="sr-Latn-ME"/>
        </w:rPr>
        <w:t xml:space="preserve"> </w:t>
      </w:r>
      <w:r>
        <w:rPr>
          <w:rFonts w:cstheme="minorHAnsi"/>
          <w:color w:val="000000" w:themeColor="text1"/>
          <w:sz w:val="24"/>
          <w:szCs w:val="24"/>
          <w:lang w:val="sr-Latn-ME"/>
        </w:rPr>
        <w:t>Sa druge strane, predviđa se</w:t>
      </w:r>
      <w:r w:rsidRPr="006B0866">
        <w:rPr>
          <w:rFonts w:cstheme="minorHAnsi"/>
          <w:color w:val="000000" w:themeColor="text1"/>
          <w:sz w:val="24"/>
          <w:szCs w:val="24"/>
          <w:lang w:val="sr-Latn-ME"/>
        </w:rPr>
        <w:t xml:space="preserve"> </w:t>
      </w:r>
      <w:r>
        <w:rPr>
          <w:rFonts w:cstheme="minorHAnsi"/>
          <w:color w:val="000000" w:themeColor="text1"/>
          <w:sz w:val="24"/>
          <w:szCs w:val="24"/>
          <w:lang w:val="sr-Latn-ME"/>
        </w:rPr>
        <w:t xml:space="preserve">rast potrošnje države </w:t>
      </w:r>
      <w:r w:rsidRPr="006B0866">
        <w:rPr>
          <w:rFonts w:cstheme="minorHAnsi"/>
          <w:color w:val="000000" w:themeColor="text1"/>
          <w:sz w:val="24"/>
          <w:szCs w:val="24"/>
          <w:lang w:val="sr-Latn-ME"/>
        </w:rPr>
        <w:t>od 2,</w:t>
      </w:r>
      <w:r>
        <w:rPr>
          <w:rFonts w:cstheme="minorHAnsi"/>
          <w:color w:val="000000" w:themeColor="text1"/>
          <w:sz w:val="24"/>
          <w:szCs w:val="24"/>
          <w:lang w:val="sr-Latn-ME"/>
        </w:rPr>
        <w:t>6</w:t>
      </w:r>
      <w:r w:rsidRPr="006B0866">
        <w:rPr>
          <w:rFonts w:cstheme="minorHAnsi"/>
          <w:color w:val="000000" w:themeColor="text1"/>
          <w:sz w:val="24"/>
          <w:szCs w:val="24"/>
          <w:lang w:val="sr-Latn-ME"/>
        </w:rPr>
        <w:t>%</w:t>
      </w:r>
      <w:r>
        <w:rPr>
          <w:rFonts w:cstheme="minorHAnsi"/>
          <w:color w:val="000000" w:themeColor="text1"/>
          <w:sz w:val="24"/>
          <w:szCs w:val="24"/>
          <w:lang w:val="sr-Latn-ME"/>
        </w:rPr>
        <w:t xml:space="preserve"> godišnje</w:t>
      </w:r>
      <w:r w:rsidRPr="006B0866">
        <w:rPr>
          <w:rFonts w:cstheme="minorHAnsi"/>
          <w:color w:val="000000" w:themeColor="text1"/>
          <w:sz w:val="24"/>
          <w:szCs w:val="24"/>
          <w:lang w:val="sr-Latn-ME"/>
        </w:rPr>
        <w:t xml:space="preserve">, </w:t>
      </w:r>
      <w:r>
        <w:rPr>
          <w:rFonts w:cstheme="minorHAnsi"/>
          <w:color w:val="000000" w:themeColor="text1"/>
          <w:sz w:val="24"/>
          <w:szCs w:val="24"/>
          <w:lang w:val="sr-Latn-ME"/>
        </w:rPr>
        <w:t>usljed</w:t>
      </w:r>
      <w:r w:rsidRPr="006B0866">
        <w:rPr>
          <w:rFonts w:cstheme="minorHAnsi"/>
          <w:color w:val="000000" w:themeColor="text1"/>
          <w:sz w:val="24"/>
          <w:szCs w:val="24"/>
          <w:lang w:val="sr-Latn-ME"/>
        </w:rPr>
        <w:t xml:space="preserve"> visok</w:t>
      </w:r>
      <w:r>
        <w:rPr>
          <w:rFonts w:cstheme="minorHAnsi"/>
          <w:color w:val="000000" w:themeColor="text1"/>
          <w:sz w:val="24"/>
          <w:szCs w:val="24"/>
          <w:lang w:val="sr-Latn-ME"/>
        </w:rPr>
        <w:t>e</w:t>
      </w:r>
      <w:r w:rsidRPr="006B0866">
        <w:rPr>
          <w:rFonts w:cstheme="minorHAnsi"/>
          <w:color w:val="000000" w:themeColor="text1"/>
          <w:sz w:val="24"/>
          <w:szCs w:val="24"/>
          <w:lang w:val="sr-Latn-ME"/>
        </w:rPr>
        <w:t xml:space="preserve"> tekuć</w:t>
      </w:r>
      <w:r>
        <w:rPr>
          <w:rFonts w:cstheme="minorHAnsi"/>
          <w:color w:val="000000" w:themeColor="text1"/>
          <w:sz w:val="24"/>
          <w:szCs w:val="24"/>
          <w:lang w:val="sr-Latn-ME"/>
        </w:rPr>
        <w:t>e</w:t>
      </w:r>
      <w:r w:rsidRPr="006B0866">
        <w:rPr>
          <w:rFonts w:cstheme="minorHAnsi"/>
          <w:color w:val="000000" w:themeColor="text1"/>
          <w:sz w:val="24"/>
          <w:szCs w:val="24"/>
          <w:lang w:val="sr-Latn-ME"/>
        </w:rPr>
        <w:t xml:space="preserve"> potrošnj</w:t>
      </w:r>
      <w:r>
        <w:rPr>
          <w:rFonts w:cstheme="minorHAnsi"/>
          <w:color w:val="000000" w:themeColor="text1"/>
          <w:sz w:val="24"/>
          <w:szCs w:val="24"/>
          <w:lang w:val="sr-Latn-ME"/>
        </w:rPr>
        <w:t>e i planiranih</w:t>
      </w:r>
      <w:r w:rsidRPr="006B0866">
        <w:rPr>
          <w:rFonts w:cstheme="minorHAnsi"/>
          <w:color w:val="000000" w:themeColor="text1"/>
          <w:sz w:val="24"/>
          <w:szCs w:val="24"/>
          <w:lang w:val="sr-Latn-ME"/>
        </w:rPr>
        <w:t xml:space="preserve"> kapitalnih ulaganja finansiranih iz javnih izvora. Makroekonomski okvir u srednjoročnom periodu predviđa nastavak oporavka i intenziviranje investicione aktivnosti, s prosječnom godišnjom stopom rasta od oko 5%, na osnovu</w:t>
      </w:r>
      <w:r>
        <w:rPr>
          <w:rFonts w:cstheme="minorHAnsi"/>
          <w:color w:val="000000" w:themeColor="text1"/>
          <w:sz w:val="24"/>
          <w:szCs w:val="24"/>
          <w:lang w:val="sr-Latn-ME"/>
        </w:rPr>
        <w:t xml:space="preserve"> javnih ulaganja u infrastrukturu, prosvjetu, zdravstvo i digitalizaciju, </w:t>
      </w:r>
      <w:r w:rsidRPr="006B0866">
        <w:rPr>
          <w:rFonts w:cstheme="minorHAnsi"/>
          <w:color w:val="000000" w:themeColor="text1"/>
          <w:sz w:val="24"/>
          <w:szCs w:val="24"/>
          <w:lang w:val="sr-Latn-ME"/>
        </w:rPr>
        <w:t>kao i na osnovu značajnih investicionih planova</w:t>
      </w:r>
      <w:r>
        <w:rPr>
          <w:rFonts w:cstheme="minorHAnsi"/>
          <w:color w:val="000000" w:themeColor="text1"/>
          <w:sz w:val="24"/>
          <w:szCs w:val="24"/>
          <w:lang w:val="sr-Latn-ME"/>
        </w:rPr>
        <w:t xml:space="preserve"> privatnog sektora</w:t>
      </w:r>
      <w:r w:rsidRPr="006B0866">
        <w:rPr>
          <w:rFonts w:cstheme="minorHAnsi"/>
          <w:color w:val="000000" w:themeColor="text1"/>
          <w:sz w:val="24"/>
          <w:szCs w:val="24"/>
          <w:lang w:val="sr-Latn-ME"/>
        </w:rPr>
        <w:t xml:space="preserve">, primarno u sektorima energetike i turizma. </w:t>
      </w:r>
      <w:r w:rsidRPr="0089318B">
        <w:rPr>
          <w:rFonts w:cstheme="minorHAnsi"/>
          <w:color w:val="000000" w:themeColor="text1"/>
          <w:sz w:val="24"/>
          <w:szCs w:val="24"/>
          <w:lang w:val="sr-Latn-ME"/>
        </w:rPr>
        <w:t xml:space="preserve">Dinamika </w:t>
      </w:r>
      <w:r>
        <w:rPr>
          <w:rFonts w:cstheme="minorHAnsi"/>
          <w:color w:val="000000" w:themeColor="text1"/>
          <w:sz w:val="24"/>
          <w:szCs w:val="24"/>
          <w:lang w:val="sr-Latn-ME"/>
        </w:rPr>
        <w:t>rasta investicija</w:t>
      </w:r>
      <w:r w:rsidRPr="006B0866">
        <w:rPr>
          <w:rFonts w:cstheme="minorHAnsi"/>
          <w:color w:val="000000" w:themeColor="text1"/>
          <w:sz w:val="24"/>
          <w:szCs w:val="24"/>
          <w:lang w:val="sr-Latn-ME"/>
        </w:rPr>
        <w:t xml:space="preserve"> biće podstaknuta</w:t>
      </w:r>
      <w:r w:rsidRPr="0089318B">
        <w:rPr>
          <w:rFonts w:cstheme="minorHAnsi"/>
          <w:color w:val="000000" w:themeColor="text1"/>
          <w:sz w:val="24"/>
          <w:szCs w:val="24"/>
          <w:lang w:val="sr-Latn-ME"/>
        </w:rPr>
        <w:t xml:space="preserve"> Planom rasta EU, koji omogućava pristup finansijskim sredstvima za realizaciju kapitalnih projekata i sprovođenje strukturnih reformi. </w:t>
      </w:r>
      <w:r w:rsidRPr="006B0866">
        <w:rPr>
          <w:rFonts w:cstheme="minorHAnsi"/>
          <w:color w:val="000000" w:themeColor="text1"/>
          <w:sz w:val="24"/>
          <w:szCs w:val="24"/>
          <w:lang w:val="sr-Latn-ME"/>
        </w:rPr>
        <w:t>Dalje ublažavanje inflatornih pritisaka, nastavak smanjenja ključnih kamatnih stopa i unapr</w:t>
      </w:r>
      <w:r>
        <w:rPr>
          <w:rFonts w:cstheme="minorHAnsi"/>
          <w:color w:val="000000" w:themeColor="text1"/>
          <w:sz w:val="24"/>
          <w:szCs w:val="24"/>
          <w:lang w:val="sr-Latn-ME"/>
        </w:rPr>
        <w:t>j</w:t>
      </w:r>
      <w:r w:rsidRPr="006B0866">
        <w:rPr>
          <w:rFonts w:cstheme="minorHAnsi"/>
          <w:color w:val="000000" w:themeColor="text1"/>
          <w:sz w:val="24"/>
          <w:szCs w:val="24"/>
          <w:lang w:val="sr-Latn-ME"/>
        </w:rPr>
        <w:t>eđenje domaćeg regulatornog okvira u srednjem roku, moglo bi doprinijeti povoljn</w:t>
      </w:r>
      <w:r>
        <w:rPr>
          <w:rFonts w:cstheme="minorHAnsi"/>
          <w:color w:val="000000" w:themeColor="text1"/>
          <w:sz w:val="24"/>
          <w:szCs w:val="24"/>
          <w:lang w:val="sr-Latn-ME"/>
        </w:rPr>
        <w:t>ijim investicionim prospektima;</w:t>
      </w:r>
    </w:p>
    <w:p w14:paraId="475D0F16" w14:textId="77777777" w:rsidR="00E05341" w:rsidRPr="006B0866" w:rsidRDefault="00E05341" w:rsidP="00E05341">
      <w:pPr>
        <w:spacing w:after="200" w:line="276" w:lineRule="auto"/>
        <w:jc w:val="both"/>
        <w:rPr>
          <w:rFonts w:cstheme="minorHAnsi"/>
          <w:color w:val="000000" w:themeColor="text1"/>
          <w:sz w:val="24"/>
          <w:szCs w:val="24"/>
          <w:lang w:val="sr-Latn-ME"/>
        </w:rPr>
      </w:pPr>
      <w:r w:rsidRPr="006B0866">
        <w:rPr>
          <w:rFonts w:cstheme="minorHAnsi"/>
          <w:color w:val="000000" w:themeColor="text1"/>
          <w:sz w:val="24"/>
          <w:szCs w:val="24"/>
          <w:lang w:val="sr-Latn-ME"/>
        </w:rPr>
        <w:t xml:space="preserve">- Neto izvoz će imati marginalni negativni efekat na privredni rast u narednim godinama, uprkos </w:t>
      </w:r>
      <w:r>
        <w:rPr>
          <w:rFonts w:cstheme="minorHAnsi"/>
          <w:color w:val="000000" w:themeColor="text1"/>
          <w:sz w:val="24"/>
          <w:szCs w:val="24"/>
          <w:lang w:val="sr-Latn-ME"/>
        </w:rPr>
        <w:t>rastu u turizmu</w:t>
      </w:r>
      <w:r w:rsidRPr="006B0866">
        <w:rPr>
          <w:rFonts w:cstheme="minorHAnsi"/>
          <w:color w:val="000000" w:themeColor="text1"/>
          <w:sz w:val="24"/>
          <w:szCs w:val="24"/>
          <w:lang w:val="sr-Latn-ME"/>
        </w:rPr>
        <w:t xml:space="preserve">, zbog rasta uvoza za potrebe lične i investicione potrošnje. U narednoj godini, očekuje se </w:t>
      </w:r>
      <w:r>
        <w:rPr>
          <w:rFonts w:cstheme="minorHAnsi"/>
          <w:color w:val="000000" w:themeColor="text1"/>
          <w:sz w:val="24"/>
          <w:szCs w:val="24"/>
          <w:lang w:val="sr-Latn-ME"/>
        </w:rPr>
        <w:t>nepovoljan trgovinski bilans</w:t>
      </w:r>
      <w:r w:rsidRPr="006B0866">
        <w:rPr>
          <w:rFonts w:cstheme="minorHAnsi"/>
          <w:color w:val="000000" w:themeColor="text1"/>
          <w:sz w:val="24"/>
          <w:szCs w:val="24"/>
          <w:lang w:val="sr-Latn-ME"/>
        </w:rPr>
        <w:t xml:space="preserve"> zbog planirane rekonstrukcije Termoelektrane Pljevlja i privremen</w:t>
      </w:r>
      <w:r>
        <w:rPr>
          <w:rFonts w:cstheme="minorHAnsi"/>
          <w:color w:val="000000" w:themeColor="text1"/>
          <w:sz w:val="24"/>
          <w:szCs w:val="24"/>
          <w:lang w:val="sr-Latn-ME"/>
        </w:rPr>
        <w:t>e obustave rada ovog postrojenja, a usljed povećane potrebe za električnom energijom</w:t>
      </w:r>
      <w:r w:rsidRPr="006B0866">
        <w:rPr>
          <w:rFonts w:cstheme="minorHAnsi"/>
          <w:color w:val="000000" w:themeColor="text1"/>
          <w:sz w:val="24"/>
          <w:szCs w:val="24"/>
          <w:lang w:val="sr-Latn-ME"/>
        </w:rPr>
        <w:t xml:space="preserve"> </w:t>
      </w:r>
      <w:r>
        <w:rPr>
          <w:rFonts w:cstheme="minorHAnsi"/>
          <w:color w:val="000000" w:themeColor="text1"/>
          <w:sz w:val="24"/>
          <w:szCs w:val="24"/>
          <w:lang w:val="sr-Latn-ME"/>
        </w:rPr>
        <w:t>koja</w:t>
      </w:r>
      <w:r w:rsidRPr="006B0866">
        <w:rPr>
          <w:rFonts w:cstheme="minorHAnsi"/>
          <w:color w:val="000000" w:themeColor="text1"/>
          <w:sz w:val="24"/>
          <w:szCs w:val="24"/>
          <w:lang w:val="sr-Latn-ME"/>
        </w:rPr>
        <w:t xml:space="preserve"> čini značajan segment domaćeg izvoza. U srednjem roku, predviđa se kontinuirani rast turističkog sektora, s prosječnim godišnjim povećanjem prihoda od oko 6,0% i daljom diversifikacijom strukture gostiju. U skladu sa povećanjem potrošnje i investicija, očekuje se rast uvoza od 3,5% </w:t>
      </w:r>
      <w:r>
        <w:rPr>
          <w:rFonts w:cstheme="minorHAnsi"/>
          <w:color w:val="000000" w:themeColor="text1"/>
          <w:sz w:val="24"/>
          <w:szCs w:val="24"/>
          <w:lang w:val="sr-Latn-ME"/>
        </w:rPr>
        <w:t xml:space="preserve">godišnje </w:t>
      </w:r>
      <w:r w:rsidRPr="006B0866">
        <w:rPr>
          <w:rFonts w:cstheme="minorHAnsi"/>
          <w:color w:val="000000" w:themeColor="text1"/>
          <w:sz w:val="24"/>
          <w:szCs w:val="24"/>
          <w:lang w:val="sr-Latn-ME"/>
        </w:rPr>
        <w:t>u periodu 2025-2027. Takođe, predviđa se da će uvoz apsorbovati značajan dio povećane potrošnje i investicija, imajući u vidu nisku domaću proizvodnu bazu, što bi moglo predstavljati izazov za privredni rast u srednjem roku.</w:t>
      </w:r>
    </w:p>
    <w:p w14:paraId="58188BB8" w14:textId="77777777" w:rsidR="00E05341" w:rsidRPr="00531891" w:rsidRDefault="00E05341" w:rsidP="00E05341">
      <w:pPr>
        <w:keepNext/>
        <w:spacing w:after="60" w:line="276" w:lineRule="auto"/>
        <w:jc w:val="both"/>
        <w:rPr>
          <w:rFonts w:ascii="Cambria" w:eastAsia="Times New Roman" w:hAnsi="Cambria" w:cs="Calibri"/>
          <w:b/>
          <w:bCs/>
          <w:color w:val="2F5496" w:themeColor="accent1" w:themeShade="BF"/>
          <w:sz w:val="20"/>
          <w:szCs w:val="20"/>
          <w:lang w:val="sr-Latn-ME"/>
        </w:rPr>
      </w:pPr>
      <w:r w:rsidRPr="00531891">
        <w:rPr>
          <w:rFonts w:ascii="Cambria" w:hAnsi="Cambria"/>
          <w:b/>
          <w:color w:val="2F5496" w:themeColor="accent1" w:themeShade="BF"/>
          <w:sz w:val="20"/>
          <w:szCs w:val="20"/>
        </w:rPr>
        <w:lastRenderedPageBreak/>
        <w:t>T</w:t>
      </w:r>
      <w:r w:rsidRPr="006B0866">
        <w:rPr>
          <w:rFonts w:cstheme="minorHAnsi"/>
          <w:b/>
          <w:color w:val="2F5496" w:themeColor="accent1" w:themeShade="BF"/>
          <w:sz w:val="20"/>
          <w:szCs w:val="20"/>
        </w:rPr>
        <w:t xml:space="preserve">abela 3.2.1: </w:t>
      </w:r>
      <w:r w:rsidRPr="006B0866">
        <w:rPr>
          <w:rFonts w:eastAsia="Times New Roman" w:cstheme="minorHAnsi"/>
          <w:b/>
          <w:bCs/>
          <w:color w:val="2F5496" w:themeColor="accent1" w:themeShade="BF"/>
          <w:sz w:val="20"/>
          <w:szCs w:val="20"/>
          <w:lang w:val="sr-Latn-ME"/>
        </w:rPr>
        <w:t>Crna Gora: Makroekonomske projekcije 2024-2027, osnovni scenario</w:t>
      </w:r>
    </w:p>
    <w:tbl>
      <w:tblPr>
        <w:tblStyle w:val="ListTable1Light-Accent11"/>
        <w:tblW w:w="9030" w:type="dxa"/>
        <w:tblLook w:val="04A0" w:firstRow="1" w:lastRow="0" w:firstColumn="1" w:lastColumn="0" w:noHBand="0" w:noVBand="1"/>
      </w:tblPr>
      <w:tblGrid>
        <w:gridCol w:w="4025"/>
        <w:gridCol w:w="1001"/>
        <w:gridCol w:w="1001"/>
        <w:gridCol w:w="1001"/>
        <w:gridCol w:w="1001"/>
        <w:gridCol w:w="1001"/>
      </w:tblGrid>
      <w:tr w:rsidR="00E05341" w:rsidRPr="0005195D" w14:paraId="77C26A3E" w14:textId="77777777" w:rsidTr="00E05341">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9030" w:type="dxa"/>
            <w:gridSpan w:val="6"/>
            <w:noWrap/>
            <w:hideMark/>
          </w:tcPr>
          <w:p w14:paraId="40B4EBAF" w14:textId="77777777" w:rsidR="00E05341" w:rsidRPr="00531891" w:rsidRDefault="00E05341" w:rsidP="00E05341">
            <w:pPr>
              <w:jc w:val="center"/>
              <w:rPr>
                <w:rFonts w:ascii="Calibri" w:eastAsia="Times New Roman" w:hAnsi="Calibri" w:cs="Calibri"/>
                <w:b w:val="0"/>
                <w:bCs w:val="0"/>
                <w:sz w:val="16"/>
                <w:szCs w:val="16"/>
                <w:lang w:val="sr-Latn-ME" w:eastAsia="sr-Latn-ME"/>
              </w:rPr>
            </w:pPr>
            <w:r w:rsidRPr="00531891">
              <w:rPr>
                <w:rFonts w:ascii="Calibri" w:eastAsia="Times New Roman" w:hAnsi="Calibri" w:cs="Calibri"/>
                <w:sz w:val="16"/>
                <w:szCs w:val="16"/>
                <w:lang w:val="sr-Latn-ME" w:eastAsia="sr-Latn-ME"/>
              </w:rPr>
              <w:t>CG: Makroekonomske projekcije, 2024-2027 - Osnovni scenario</w:t>
            </w:r>
          </w:p>
        </w:tc>
      </w:tr>
      <w:tr w:rsidR="00E05341" w:rsidRPr="0005195D" w14:paraId="368CBFC2" w14:textId="77777777" w:rsidTr="00E0534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025" w:type="dxa"/>
            <w:noWrap/>
            <w:hideMark/>
          </w:tcPr>
          <w:p w14:paraId="7872CC46" w14:textId="77777777" w:rsidR="00E05341" w:rsidRPr="00531891" w:rsidRDefault="00E05341" w:rsidP="00E05341">
            <w:pPr>
              <w:rPr>
                <w:rFonts w:ascii="Calibri" w:eastAsia="Times New Roman" w:hAnsi="Calibri" w:cs="Calibri"/>
                <w:b w:val="0"/>
                <w:bCs w:val="0"/>
                <w:sz w:val="16"/>
                <w:szCs w:val="16"/>
                <w:lang w:val="sr-Latn-ME" w:eastAsia="sr-Latn-ME"/>
              </w:rPr>
            </w:pPr>
            <w:r w:rsidRPr="00531891">
              <w:rPr>
                <w:rFonts w:ascii="Calibri" w:eastAsia="Times New Roman" w:hAnsi="Calibri" w:cs="Calibri"/>
                <w:sz w:val="16"/>
                <w:szCs w:val="16"/>
                <w:lang w:val="sr-Latn-ME" w:eastAsia="sr-Latn-ME"/>
              </w:rPr>
              <w:t> </w:t>
            </w:r>
          </w:p>
        </w:tc>
        <w:tc>
          <w:tcPr>
            <w:tcW w:w="1001" w:type="dxa"/>
            <w:noWrap/>
            <w:hideMark/>
          </w:tcPr>
          <w:p w14:paraId="67138E17"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sr-Latn-ME" w:eastAsia="sr-Latn-ME"/>
              </w:rPr>
            </w:pPr>
            <w:r w:rsidRPr="00531891">
              <w:rPr>
                <w:rFonts w:ascii="Calibri" w:eastAsia="Times New Roman" w:hAnsi="Calibri" w:cs="Calibri"/>
                <w:b/>
                <w:bCs/>
                <w:sz w:val="20"/>
                <w:szCs w:val="20"/>
                <w:lang w:val="sr-Latn-ME" w:eastAsia="sr-Latn-ME"/>
              </w:rPr>
              <w:t>2023</w:t>
            </w:r>
          </w:p>
        </w:tc>
        <w:tc>
          <w:tcPr>
            <w:tcW w:w="1001" w:type="dxa"/>
            <w:noWrap/>
            <w:hideMark/>
          </w:tcPr>
          <w:p w14:paraId="743F0183"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sr-Latn-ME" w:eastAsia="sr-Latn-ME"/>
              </w:rPr>
            </w:pPr>
            <w:r w:rsidRPr="00531891">
              <w:rPr>
                <w:rFonts w:ascii="Calibri" w:eastAsia="Times New Roman" w:hAnsi="Calibri" w:cs="Calibri"/>
                <w:b/>
                <w:bCs/>
                <w:sz w:val="20"/>
                <w:szCs w:val="20"/>
                <w:lang w:val="sr-Latn-ME" w:eastAsia="sr-Latn-ME"/>
              </w:rPr>
              <w:t>2024</w:t>
            </w:r>
          </w:p>
        </w:tc>
        <w:tc>
          <w:tcPr>
            <w:tcW w:w="1001" w:type="dxa"/>
            <w:noWrap/>
            <w:hideMark/>
          </w:tcPr>
          <w:p w14:paraId="3029F3C7"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sr-Latn-ME" w:eastAsia="sr-Latn-ME"/>
              </w:rPr>
            </w:pPr>
            <w:r w:rsidRPr="00531891">
              <w:rPr>
                <w:rFonts w:ascii="Calibri" w:eastAsia="Times New Roman" w:hAnsi="Calibri" w:cs="Calibri"/>
                <w:b/>
                <w:bCs/>
                <w:sz w:val="20"/>
                <w:szCs w:val="20"/>
                <w:lang w:val="sr-Latn-ME" w:eastAsia="sr-Latn-ME"/>
              </w:rPr>
              <w:t>2025</w:t>
            </w:r>
          </w:p>
        </w:tc>
        <w:tc>
          <w:tcPr>
            <w:tcW w:w="1001" w:type="dxa"/>
            <w:noWrap/>
            <w:hideMark/>
          </w:tcPr>
          <w:p w14:paraId="5479F66E"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sr-Latn-ME" w:eastAsia="sr-Latn-ME"/>
              </w:rPr>
            </w:pPr>
            <w:r w:rsidRPr="00531891">
              <w:rPr>
                <w:rFonts w:ascii="Calibri" w:eastAsia="Times New Roman" w:hAnsi="Calibri" w:cs="Calibri"/>
                <w:b/>
                <w:bCs/>
                <w:sz w:val="20"/>
                <w:szCs w:val="20"/>
                <w:lang w:val="sr-Latn-ME" w:eastAsia="sr-Latn-ME"/>
              </w:rPr>
              <w:t>2026</w:t>
            </w:r>
          </w:p>
        </w:tc>
        <w:tc>
          <w:tcPr>
            <w:tcW w:w="1001" w:type="dxa"/>
            <w:noWrap/>
            <w:hideMark/>
          </w:tcPr>
          <w:p w14:paraId="65EFAB55"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sr-Latn-ME" w:eastAsia="sr-Latn-ME"/>
              </w:rPr>
            </w:pPr>
            <w:r w:rsidRPr="00531891">
              <w:rPr>
                <w:rFonts w:ascii="Calibri" w:eastAsia="Times New Roman" w:hAnsi="Calibri" w:cs="Calibri"/>
                <w:b/>
                <w:bCs/>
                <w:sz w:val="20"/>
                <w:szCs w:val="20"/>
                <w:lang w:val="sr-Latn-ME" w:eastAsia="sr-Latn-ME"/>
              </w:rPr>
              <w:t>2027</w:t>
            </w:r>
          </w:p>
        </w:tc>
      </w:tr>
      <w:tr w:rsidR="00E05341" w:rsidRPr="0005195D" w14:paraId="757E835D" w14:textId="77777777" w:rsidTr="00E05341">
        <w:trPr>
          <w:trHeight w:val="269"/>
        </w:trPr>
        <w:tc>
          <w:tcPr>
            <w:cnfStyle w:val="001000000000" w:firstRow="0" w:lastRow="0" w:firstColumn="1" w:lastColumn="0" w:oddVBand="0" w:evenVBand="0" w:oddHBand="0" w:evenHBand="0" w:firstRowFirstColumn="0" w:firstRowLastColumn="0" w:lastRowFirstColumn="0" w:lastRowLastColumn="0"/>
            <w:tcW w:w="4025" w:type="dxa"/>
            <w:noWrap/>
            <w:hideMark/>
          </w:tcPr>
          <w:p w14:paraId="50A5542F" w14:textId="77777777" w:rsidR="00E05341" w:rsidRPr="00531891" w:rsidRDefault="00E05341" w:rsidP="00E05341">
            <w:pPr>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 </w:t>
            </w:r>
          </w:p>
        </w:tc>
        <w:tc>
          <w:tcPr>
            <w:tcW w:w="5005" w:type="dxa"/>
            <w:gridSpan w:val="5"/>
            <w:noWrap/>
            <w:hideMark/>
          </w:tcPr>
          <w:p w14:paraId="719B7FB0" w14:textId="77777777" w:rsidR="00E05341" w:rsidRPr="00531891" w:rsidRDefault="00E05341" w:rsidP="00E053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u w:val="single"/>
                <w:lang w:val="sr-Latn-ME" w:eastAsia="sr-Latn-ME"/>
              </w:rPr>
            </w:pPr>
          </w:p>
        </w:tc>
      </w:tr>
      <w:tr w:rsidR="00E05341" w:rsidRPr="0005195D" w14:paraId="7D87D557" w14:textId="77777777" w:rsidTr="00E0534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025" w:type="dxa"/>
            <w:noWrap/>
            <w:hideMark/>
          </w:tcPr>
          <w:p w14:paraId="11826D84" w14:textId="77777777" w:rsidR="00E05341" w:rsidRPr="00531891" w:rsidRDefault="00E05341" w:rsidP="00E05341">
            <w:pPr>
              <w:ind w:firstLineChars="100" w:firstLine="20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Nominalni BDP u mil.€</w:t>
            </w:r>
          </w:p>
        </w:tc>
        <w:tc>
          <w:tcPr>
            <w:tcW w:w="1001" w:type="dxa"/>
            <w:noWrap/>
            <w:hideMark/>
          </w:tcPr>
          <w:p w14:paraId="53B015A0"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6963.6</w:t>
            </w:r>
          </w:p>
        </w:tc>
        <w:tc>
          <w:tcPr>
            <w:tcW w:w="1001" w:type="dxa"/>
            <w:noWrap/>
            <w:hideMark/>
          </w:tcPr>
          <w:p w14:paraId="253A8F91"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7416.7</w:t>
            </w:r>
          </w:p>
        </w:tc>
        <w:tc>
          <w:tcPr>
            <w:tcW w:w="1001" w:type="dxa"/>
            <w:noWrap/>
            <w:hideMark/>
          </w:tcPr>
          <w:p w14:paraId="52A26B7E"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7965.4</w:t>
            </w:r>
          </w:p>
        </w:tc>
        <w:tc>
          <w:tcPr>
            <w:tcW w:w="1001" w:type="dxa"/>
            <w:noWrap/>
            <w:hideMark/>
          </w:tcPr>
          <w:p w14:paraId="3C0294FE"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8372.8</w:t>
            </w:r>
          </w:p>
        </w:tc>
        <w:tc>
          <w:tcPr>
            <w:tcW w:w="1001" w:type="dxa"/>
            <w:noWrap/>
            <w:hideMark/>
          </w:tcPr>
          <w:p w14:paraId="4A1AB468"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8757.5</w:t>
            </w:r>
          </w:p>
        </w:tc>
      </w:tr>
      <w:tr w:rsidR="00E05341" w:rsidRPr="0005195D" w14:paraId="5DB72654" w14:textId="77777777" w:rsidTr="00E05341">
        <w:trPr>
          <w:trHeight w:val="269"/>
        </w:trPr>
        <w:tc>
          <w:tcPr>
            <w:cnfStyle w:val="001000000000" w:firstRow="0" w:lastRow="0" w:firstColumn="1" w:lastColumn="0" w:oddVBand="0" w:evenVBand="0" w:oddHBand="0" w:evenHBand="0" w:firstRowFirstColumn="0" w:firstRowLastColumn="0" w:lastRowFirstColumn="0" w:lastRowLastColumn="0"/>
            <w:tcW w:w="4025" w:type="dxa"/>
            <w:noWrap/>
            <w:hideMark/>
          </w:tcPr>
          <w:p w14:paraId="5F106975" w14:textId="77777777" w:rsidR="00E05341" w:rsidRPr="00531891" w:rsidRDefault="00E05341" w:rsidP="00E05341">
            <w:pPr>
              <w:ind w:firstLineChars="200" w:firstLine="40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Nominalni rast</w:t>
            </w:r>
          </w:p>
        </w:tc>
        <w:tc>
          <w:tcPr>
            <w:tcW w:w="1001" w:type="dxa"/>
            <w:noWrap/>
            <w:hideMark/>
          </w:tcPr>
          <w:p w14:paraId="13AA9B47"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17.5</w:t>
            </w:r>
          </w:p>
        </w:tc>
        <w:tc>
          <w:tcPr>
            <w:tcW w:w="1001" w:type="dxa"/>
            <w:noWrap/>
            <w:hideMark/>
          </w:tcPr>
          <w:p w14:paraId="1313AA3E"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6.5</w:t>
            </w:r>
          </w:p>
        </w:tc>
        <w:tc>
          <w:tcPr>
            <w:tcW w:w="1001" w:type="dxa"/>
            <w:noWrap/>
            <w:hideMark/>
          </w:tcPr>
          <w:p w14:paraId="7476CFE2"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7.4</w:t>
            </w:r>
          </w:p>
        </w:tc>
        <w:tc>
          <w:tcPr>
            <w:tcW w:w="1001" w:type="dxa"/>
            <w:noWrap/>
            <w:hideMark/>
          </w:tcPr>
          <w:p w14:paraId="0D11F642"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5.1</w:t>
            </w:r>
          </w:p>
        </w:tc>
        <w:tc>
          <w:tcPr>
            <w:tcW w:w="1001" w:type="dxa"/>
            <w:noWrap/>
            <w:hideMark/>
          </w:tcPr>
          <w:p w14:paraId="0520FDD9"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4.6</w:t>
            </w:r>
          </w:p>
        </w:tc>
      </w:tr>
      <w:tr w:rsidR="00E05341" w:rsidRPr="0005195D" w14:paraId="00D78BBD" w14:textId="77777777" w:rsidTr="00E0534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025" w:type="dxa"/>
            <w:noWrap/>
            <w:hideMark/>
          </w:tcPr>
          <w:p w14:paraId="56463CB5" w14:textId="77777777" w:rsidR="00E05341" w:rsidRPr="00531891" w:rsidRDefault="00E05341" w:rsidP="00E05341">
            <w:pPr>
              <w:ind w:firstLineChars="200" w:firstLine="400"/>
              <w:rPr>
                <w:rFonts w:ascii="Calibri" w:eastAsia="Times New Roman" w:hAnsi="Calibri" w:cs="Calibri"/>
                <w:b w:val="0"/>
                <w:bCs w:val="0"/>
                <w:sz w:val="20"/>
                <w:szCs w:val="20"/>
                <w:lang w:val="sr-Latn-ME" w:eastAsia="sr-Latn-ME"/>
              </w:rPr>
            </w:pPr>
            <w:r w:rsidRPr="00531891">
              <w:rPr>
                <w:rFonts w:ascii="Calibri" w:eastAsia="Times New Roman" w:hAnsi="Calibri" w:cs="Calibri"/>
                <w:sz w:val="20"/>
                <w:szCs w:val="20"/>
                <w:lang w:val="sr-Latn-ME" w:eastAsia="sr-Latn-ME"/>
              </w:rPr>
              <w:t>Realni rast</w:t>
            </w:r>
          </w:p>
        </w:tc>
        <w:tc>
          <w:tcPr>
            <w:tcW w:w="1001" w:type="dxa"/>
            <w:noWrap/>
            <w:hideMark/>
          </w:tcPr>
          <w:p w14:paraId="5F93BD93"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sr-Latn-ME" w:eastAsia="sr-Latn-ME"/>
              </w:rPr>
            </w:pPr>
            <w:r w:rsidRPr="00531891">
              <w:rPr>
                <w:rFonts w:ascii="Calibri" w:eastAsia="Times New Roman" w:hAnsi="Calibri" w:cs="Calibri"/>
                <w:b/>
                <w:bCs/>
                <w:sz w:val="20"/>
                <w:szCs w:val="20"/>
                <w:lang w:val="sr-Latn-ME" w:eastAsia="sr-Latn-ME"/>
              </w:rPr>
              <w:t>6.3</w:t>
            </w:r>
          </w:p>
        </w:tc>
        <w:tc>
          <w:tcPr>
            <w:tcW w:w="1001" w:type="dxa"/>
            <w:noWrap/>
            <w:hideMark/>
          </w:tcPr>
          <w:p w14:paraId="41DC97BB"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sr-Latn-ME" w:eastAsia="sr-Latn-ME"/>
              </w:rPr>
            </w:pPr>
            <w:r w:rsidRPr="00531891">
              <w:rPr>
                <w:rFonts w:ascii="Calibri" w:eastAsia="Times New Roman" w:hAnsi="Calibri" w:cs="Calibri"/>
                <w:b/>
                <w:bCs/>
                <w:sz w:val="20"/>
                <w:szCs w:val="20"/>
                <w:lang w:val="sr-Latn-ME" w:eastAsia="sr-Latn-ME"/>
              </w:rPr>
              <w:t>3.8</w:t>
            </w:r>
          </w:p>
        </w:tc>
        <w:tc>
          <w:tcPr>
            <w:tcW w:w="1001" w:type="dxa"/>
            <w:noWrap/>
            <w:hideMark/>
          </w:tcPr>
          <w:p w14:paraId="46B5A6EB"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sr-Latn-ME" w:eastAsia="sr-Latn-ME"/>
              </w:rPr>
            </w:pPr>
            <w:r w:rsidRPr="00531891">
              <w:rPr>
                <w:rFonts w:ascii="Calibri" w:eastAsia="Times New Roman" w:hAnsi="Calibri" w:cs="Calibri"/>
                <w:b/>
                <w:bCs/>
                <w:sz w:val="20"/>
                <w:szCs w:val="20"/>
                <w:lang w:val="sr-Latn-ME" w:eastAsia="sr-Latn-ME"/>
              </w:rPr>
              <w:t>4.8</w:t>
            </w:r>
          </w:p>
        </w:tc>
        <w:tc>
          <w:tcPr>
            <w:tcW w:w="1001" w:type="dxa"/>
            <w:noWrap/>
            <w:hideMark/>
          </w:tcPr>
          <w:p w14:paraId="41D151E0"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sr-Latn-ME" w:eastAsia="sr-Latn-ME"/>
              </w:rPr>
            </w:pPr>
            <w:r w:rsidRPr="00531891">
              <w:rPr>
                <w:rFonts w:ascii="Calibri" w:eastAsia="Times New Roman" w:hAnsi="Calibri" w:cs="Calibri"/>
                <w:b/>
                <w:bCs/>
                <w:sz w:val="20"/>
                <w:szCs w:val="20"/>
                <w:lang w:val="sr-Latn-ME" w:eastAsia="sr-Latn-ME"/>
              </w:rPr>
              <w:t>3.2</w:t>
            </w:r>
          </w:p>
        </w:tc>
        <w:tc>
          <w:tcPr>
            <w:tcW w:w="1001" w:type="dxa"/>
            <w:noWrap/>
            <w:hideMark/>
          </w:tcPr>
          <w:p w14:paraId="163EC350"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sr-Latn-ME" w:eastAsia="sr-Latn-ME"/>
              </w:rPr>
            </w:pPr>
            <w:r w:rsidRPr="00531891">
              <w:rPr>
                <w:rFonts w:ascii="Calibri" w:eastAsia="Times New Roman" w:hAnsi="Calibri" w:cs="Calibri"/>
                <w:b/>
                <w:bCs/>
                <w:sz w:val="20"/>
                <w:szCs w:val="20"/>
                <w:lang w:val="sr-Latn-ME" w:eastAsia="sr-Latn-ME"/>
              </w:rPr>
              <w:t>3.1</w:t>
            </w:r>
          </w:p>
        </w:tc>
      </w:tr>
      <w:tr w:rsidR="00E05341" w:rsidRPr="0005195D" w14:paraId="2F006CE1" w14:textId="77777777" w:rsidTr="00E05341">
        <w:trPr>
          <w:trHeight w:val="269"/>
        </w:trPr>
        <w:tc>
          <w:tcPr>
            <w:cnfStyle w:val="001000000000" w:firstRow="0" w:lastRow="0" w:firstColumn="1" w:lastColumn="0" w:oddVBand="0" w:evenVBand="0" w:oddHBand="0" w:evenHBand="0" w:firstRowFirstColumn="0" w:firstRowLastColumn="0" w:lastRowFirstColumn="0" w:lastRowLastColumn="0"/>
            <w:tcW w:w="4025" w:type="dxa"/>
            <w:noWrap/>
            <w:hideMark/>
          </w:tcPr>
          <w:p w14:paraId="6818838F" w14:textId="77777777" w:rsidR="00E05341" w:rsidRPr="00531891" w:rsidRDefault="00E05341" w:rsidP="00E05341">
            <w:pPr>
              <w:ind w:firstLineChars="200" w:firstLine="40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Inflacija (prosjek)</w:t>
            </w:r>
          </w:p>
        </w:tc>
        <w:tc>
          <w:tcPr>
            <w:tcW w:w="1001" w:type="dxa"/>
            <w:noWrap/>
            <w:hideMark/>
          </w:tcPr>
          <w:p w14:paraId="0F7C041B"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8.6</w:t>
            </w:r>
          </w:p>
        </w:tc>
        <w:tc>
          <w:tcPr>
            <w:tcW w:w="1001" w:type="dxa"/>
            <w:noWrap/>
            <w:hideMark/>
          </w:tcPr>
          <w:p w14:paraId="23B6481E"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3.7</w:t>
            </w:r>
          </w:p>
        </w:tc>
        <w:tc>
          <w:tcPr>
            <w:tcW w:w="1001" w:type="dxa"/>
            <w:noWrap/>
            <w:hideMark/>
          </w:tcPr>
          <w:p w14:paraId="22F9653E"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3.8</w:t>
            </w:r>
          </w:p>
        </w:tc>
        <w:tc>
          <w:tcPr>
            <w:tcW w:w="1001" w:type="dxa"/>
            <w:noWrap/>
            <w:hideMark/>
          </w:tcPr>
          <w:p w14:paraId="54ADB3CB"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2.5</w:t>
            </w:r>
          </w:p>
        </w:tc>
        <w:tc>
          <w:tcPr>
            <w:tcW w:w="1001" w:type="dxa"/>
            <w:noWrap/>
            <w:hideMark/>
          </w:tcPr>
          <w:p w14:paraId="26D75C66"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2.3</w:t>
            </w:r>
          </w:p>
        </w:tc>
      </w:tr>
      <w:tr w:rsidR="00E05341" w:rsidRPr="0005195D" w14:paraId="5A3BB204" w14:textId="77777777" w:rsidTr="00E0534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025" w:type="dxa"/>
            <w:noWrap/>
          </w:tcPr>
          <w:p w14:paraId="3E5DB394" w14:textId="77777777" w:rsidR="00E05341" w:rsidRPr="00531891" w:rsidRDefault="00E05341" w:rsidP="00E05341">
            <w:pPr>
              <w:ind w:firstLineChars="200" w:firstLine="400"/>
              <w:rPr>
                <w:rFonts w:ascii="Calibri" w:eastAsia="Times New Roman" w:hAnsi="Calibri" w:cs="Calibri"/>
                <w:sz w:val="20"/>
                <w:szCs w:val="20"/>
                <w:lang w:val="sr-Latn-ME" w:eastAsia="sr-Latn-ME"/>
              </w:rPr>
            </w:pPr>
          </w:p>
        </w:tc>
        <w:tc>
          <w:tcPr>
            <w:tcW w:w="5005" w:type="dxa"/>
            <w:gridSpan w:val="5"/>
            <w:noWrap/>
          </w:tcPr>
          <w:p w14:paraId="2BBF0551"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sr-Latn-ME" w:eastAsia="sr-Latn-ME"/>
              </w:rPr>
            </w:pPr>
          </w:p>
        </w:tc>
      </w:tr>
      <w:tr w:rsidR="00E05341" w:rsidRPr="0005195D" w14:paraId="31696CFA" w14:textId="77777777" w:rsidTr="00E05341">
        <w:trPr>
          <w:trHeight w:val="269"/>
        </w:trPr>
        <w:tc>
          <w:tcPr>
            <w:cnfStyle w:val="001000000000" w:firstRow="0" w:lastRow="0" w:firstColumn="1" w:lastColumn="0" w:oddVBand="0" w:evenVBand="0" w:oddHBand="0" w:evenHBand="0" w:firstRowFirstColumn="0" w:firstRowLastColumn="0" w:lastRowFirstColumn="0" w:lastRowLastColumn="0"/>
            <w:tcW w:w="4025" w:type="dxa"/>
            <w:noWrap/>
          </w:tcPr>
          <w:p w14:paraId="3F292922" w14:textId="77777777" w:rsidR="00E05341" w:rsidRPr="00531891" w:rsidRDefault="00E05341" w:rsidP="00E05341">
            <w:pPr>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 xml:space="preserve">     Deficit tekućeg računa, %</w:t>
            </w:r>
            <w:r>
              <w:rPr>
                <w:rFonts w:ascii="Calibri" w:eastAsia="Times New Roman" w:hAnsi="Calibri" w:cs="Calibri"/>
                <w:sz w:val="20"/>
                <w:szCs w:val="20"/>
                <w:lang w:val="sr-Latn-ME" w:eastAsia="sr-Latn-ME"/>
              </w:rPr>
              <w:t xml:space="preserve"> </w:t>
            </w:r>
            <w:r w:rsidRPr="00531891">
              <w:rPr>
                <w:rFonts w:ascii="Calibri" w:eastAsia="Times New Roman" w:hAnsi="Calibri" w:cs="Calibri"/>
                <w:sz w:val="20"/>
                <w:szCs w:val="20"/>
                <w:lang w:val="sr-Latn-ME" w:eastAsia="sr-Latn-ME"/>
              </w:rPr>
              <w:t>BDP</w:t>
            </w:r>
          </w:p>
        </w:tc>
        <w:tc>
          <w:tcPr>
            <w:tcW w:w="1001" w:type="dxa"/>
            <w:noWrap/>
            <w:vAlign w:val="bottom"/>
          </w:tcPr>
          <w:p w14:paraId="291BC37C"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sr-Latn-ME"/>
              </w:rPr>
            </w:pPr>
            <w:r w:rsidRPr="00531891">
              <w:rPr>
                <w:rFonts w:ascii="Calibri" w:hAnsi="Calibri" w:cs="Calibri"/>
                <w:sz w:val="20"/>
                <w:szCs w:val="20"/>
                <w:lang w:val="sr-Latn-ME"/>
              </w:rPr>
              <w:t>-11.4</w:t>
            </w:r>
          </w:p>
        </w:tc>
        <w:tc>
          <w:tcPr>
            <w:tcW w:w="1001" w:type="dxa"/>
            <w:noWrap/>
            <w:vAlign w:val="bottom"/>
          </w:tcPr>
          <w:p w14:paraId="2927467D"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sr-Latn-ME"/>
              </w:rPr>
            </w:pPr>
            <w:r w:rsidRPr="00531891">
              <w:rPr>
                <w:rFonts w:ascii="Calibri" w:hAnsi="Calibri" w:cs="Calibri"/>
                <w:sz w:val="20"/>
                <w:szCs w:val="20"/>
                <w:lang w:val="sr-Latn-ME"/>
              </w:rPr>
              <w:t>-12.6</w:t>
            </w:r>
          </w:p>
        </w:tc>
        <w:tc>
          <w:tcPr>
            <w:tcW w:w="1001" w:type="dxa"/>
            <w:noWrap/>
            <w:vAlign w:val="bottom"/>
          </w:tcPr>
          <w:p w14:paraId="62C7E61A"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sr-Latn-ME"/>
              </w:rPr>
            </w:pPr>
            <w:r w:rsidRPr="00531891">
              <w:rPr>
                <w:rFonts w:ascii="Calibri" w:hAnsi="Calibri" w:cs="Calibri"/>
                <w:sz w:val="20"/>
                <w:szCs w:val="20"/>
                <w:lang w:val="sr-Latn-ME"/>
              </w:rPr>
              <w:t>-13.5</w:t>
            </w:r>
          </w:p>
        </w:tc>
        <w:tc>
          <w:tcPr>
            <w:tcW w:w="1001" w:type="dxa"/>
            <w:noWrap/>
            <w:vAlign w:val="bottom"/>
          </w:tcPr>
          <w:p w14:paraId="29D3523B"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sr-Latn-ME"/>
              </w:rPr>
            </w:pPr>
            <w:r w:rsidRPr="00531891">
              <w:rPr>
                <w:rFonts w:ascii="Calibri" w:hAnsi="Calibri" w:cs="Calibri"/>
                <w:sz w:val="20"/>
                <w:szCs w:val="20"/>
                <w:lang w:val="sr-Latn-ME"/>
              </w:rPr>
              <w:t>-12.3</w:t>
            </w:r>
          </w:p>
        </w:tc>
        <w:tc>
          <w:tcPr>
            <w:tcW w:w="1001" w:type="dxa"/>
            <w:noWrap/>
            <w:vAlign w:val="bottom"/>
          </w:tcPr>
          <w:p w14:paraId="2B0672A8"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sr-Latn-ME"/>
              </w:rPr>
            </w:pPr>
            <w:r w:rsidRPr="00531891">
              <w:rPr>
                <w:rFonts w:ascii="Calibri" w:hAnsi="Calibri" w:cs="Calibri"/>
                <w:sz w:val="20"/>
                <w:szCs w:val="20"/>
                <w:lang w:val="sr-Latn-ME"/>
              </w:rPr>
              <w:t>-10.3</w:t>
            </w:r>
          </w:p>
        </w:tc>
      </w:tr>
      <w:tr w:rsidR="00E05341" w:rsidRPr="0005195D" w14:paraId="7DB75D69" w14:textId="77777777" w:rsidTr="00E0534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025" w:type="dxa"/>
            <w:noWrap/>
            <w:hideMark/>
          </w:tcPr>
          <w:p w14:paraId="34867369" w14:textId="77777777" w:rsidR="00E05341" w:rsidRPr="00531891" w:rsidRDefault="00E05341" w:rsidP="00E05341">
            <w:pPr>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 </w:t>
            </w:r>
          </w:p>
        </w:tc>
        <w:tc>
          <w:tcPr>
            <w:tcW w:w="5005" w:type="dxa"/>
            <w:gridSpan w:val="5"/>
            <w:noWrap/>
            <w:hideMark/>
          </w:tcPr>
          <w:p w14:paraId="25064CA7" w14:textId="77777777" w:rsidR="00E05341" w:rsidRPr="00531891" w:rsidRDefault="00E05341" w:rsidP="00E053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val="sr-Latn-ME" w:eastAsia="sr-Latn-ME"/>
              </w:rPr>
            </w:pPr>
            <w:r w:rsidRPr="00531891">
              <w:rPr>
                <w:rFonts w:ascii="Calibri" w:eastAsia="Times New Roman" w:hAnsi="Calibri" w:cs="Calibri"/>
                <w:sz w:val="16"/>
                <w:szCs w:val="16"/>
                <w:lang w:val="sr-Latn-ME" w:eastAsia="sr-Latn-ME"/>
              </w:rPr>
              <w:t>(realne stope rasta u %)</w:t>
            </w:r>
          </w:p>
        </w:tc>
      </w:tr>
      <w:tr w:rsidR="00E05341" w:rsidRPr="0005195D" w14:paraId="0079C18F" w14:textId="77777777" w:rsidTr="00E05341">
        <w:trPr>
          <w:trHeight w:val="269"/>
        </w:trPr>
        <w:tc>
          <w:tcPr>
            <w:cnfStyle w:val="001000000000" w:firstRow="0" w:lastRow="0" w:firstColumn="1" w:lastColumn="0" w:oddVBand="0" w:evenVBand="0" w:oddHBand="0" w:evenHBand="0" w:firstRowFirstColumn="0" w:firstRowLastColumn="0" w:lastRowFirstColumn="0" w:lastRowLastColumn="0"/>
            <w:tcW w:w="4025" w:type="dxa"/>
            <w:noWrap/>
            <w:hideMark/>
          </w:tcPr>
          <w:p w14:paraId="7E876E91" w14:textId="77777777" w:rsidR="00E05341" w:rsidRPr="00531891" w:rsidRDefault="00E05341" w:rsidP="00E05341">
            <w:pPr>
              <w:ind w:firstLineChars="100" w:firstLine="200"/>
              <w:rPr>
                <w:rFonts w:ascii="Calibri" w:eastAsia="Times New Roman" w:hAnsi="Calibri" w:cs="Calibri"/>
                <w:b w:val="0"/>
                <w:bCs w:val="0"/>
                <w:sz w:val="20"/>
                <w:szCs w:val="20"/>
                <w:lang w:val="sr-Latn-ME" w:eastAsia="sr-Latn-ME"/>
              </w:rPr>
            </w:pPr>
            <w:r w:rsidRPr="00531891">
              <w:rPr>
                <w:rFonts w:ascii="Calibri" w:eastAsia="Times New Roman" w:hAnsi="Calibri" w:cs="Calibri"/>
                <w:sz w:val="20"/>
                <w:szCs w:val="20"/>
                <w:lang w:val="sr-Latn-ME" w:eastAsia="sr-Latn-ME"/>
              </w:rPr>
              <w:t>Realni rast BDP-a</w:t>
            </w:r>
          </w:p>
        </w:tc>
        <w:tc>
          <w:tcPr>
            <w:tcW w:w="1001" w:type="dxa"/>
            <w:noWrap/>
            <w:hideMark/>
          </w:tcPr>
          <w:p w14:paraId="2CA9A065"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sr-Latn-ME" w:eastAsia="sr-Latn-ME"/>
              </w:rPr>
            </w:pPr>
            <w:r w:rsidRPr="00531891">
              <w:rPr>
                <w:rFonts w:ascii="Calibri" w:eastAsia="Times New Roman" w:hAnsi="Calibri" w:cs="Calibri"/>
                <w:b/>
                <w:bCs/>
                <w:color w:val="000000"/>
                <w:sz w:val="20"/>
                <w:szCs w:val="20"/>
                <w:lang w:val="sr-Latn-ME" w:eastAsia="sr-Latn-ME"/>
              </w:rPr>
              <w:t>6.3</w:t>
            </w:r>
          </w:p>
        </w:tc>
        <w:tc>
          <w:tcPr>
            <w:tcW w:w="1001" w:type="dxa"/>
            <w:noWrap/>
            <w:hideMark/>
          </w:tcPr>
          <w:p w14:paraId="027B15F1"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sr-Latn-ME" w:eastAsia="sr-Latn-ME"/>
              </w:rPr>
            </w:pPr>
            <w:r w:rsidRPr="00531891">
              <w:rPr>
                <w:rFonts w:ascii="Calibri" w:eastAsia="Times New Roman" w:hAnsi="Calibri" w:cs="Calibri"/>
                <w:b/>
                <w:bCs/>
                <w:color w:val="000000"/>
                <w:sz w:val="20"/>
                <w:szCs w:val="20"/>
                <w:lang w:val="sr-Latn-ME" w:eastAsia="sr-Latn-ME"/>
              </w:rPr>
              <w:t>3.8</w:t>
            </w:r>
          </w:p>
        </w:tc>
        <w:tc>
          <w:tcPr>
            <w:tcW w:w="1001" w:type="dxa"/>
            <w:noWrap/>
            <w:hideMark/>
          </w:tcPr>
          <w:p w14:paraId="47056A75"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sr-Latn-ME" w:eastAsia="sr-Latn-ME"/>
              </w:rPr>
            </w:pPr>
            <w:r w:rsidRPr="00531891">
              <w:rPr>
                <w:rFonts w:ascii="Calibri" w:eastAsia="Times New Roman" w:hAnsi="Calibri" w:cs="Calibri"/>
                <w:b/>
                <w:bCs/>
                <w:color w:val="000000"/>
                <w:sz w:val="20"/>
                <w:szCs w:val="20"/>
                <w:lang w:val="sr-Latn-ME" w:eastAsia="sr-Latn-ME"/>
              </w:rPr>
              <w:t>4.8</w:t>
            </w:r>
          </w:p>
        </w:tc>
        <w:tc>
          <w:tcPr>
            <w:tcW w:w="1001" w:type="dxa"/>
            <w:noWrap/>
            <w:hideMark/>
          </w:tcPr>
          <w:p w14:paraId="35D1F548"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sr-Latn-ME" w:eastAsia="sr-Latn-ME"/>
              </w:rPr>
            </w:pPr>
            <w:r w:rsidRPr="00531891">
              <w:rPr>
                <w:rFonts w:ascii="Calibri" w:eastAsia="Times New Roman" w:hAnsi="Calibri" w:cs="Calibri"/>
                <w:b/>
                <w:bCs/>
                <w:color w:val="000000"/>
                <w:sz w:val="20"/>
                <w:szCs w:val="20"/>
                <w:lang w:val="sr-Latn-ME" w:eastAsia="sr-Latn-ME"/>
              </w:rPr>
              <w:t>3.2</w:t>
            </w:r>
          </w:p>
        </w:tc>
        <w:tc>
          <w:tcPr>
            <w:tcW w:w="1001" w:type="dxa"/>
            <w:noWrap/>
            <w:hideMark/>
          </w:tcPr>
          <w:p w14:paraId="52BB8F6A"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20"/>
                <w:szCs w:val="20"/>
                <w:lang w:val="sr-Latn-ME" w:eastAsia="sr-Latn-ME"/>
              </w:rPr>
            </w:pPr>
            <w:r w:rsidRPr="00531891">
              <w:rPr>
                <w:rFonts w:ascii="Calibri" w:eastAsia="Times New Roman" w:hAnsi="Calibri" w:cs="Calibri"/>
                <w:b/>
                <w:bCs/>
                <w:color w:val="000000"/>
                <w:sz w:val="20"/>
                <w:szCs w:val="20"/>
                <w:lang w:val="sr-Latn-ME" w:eastAsia="sr-Latn-ME"/>
              </w:rPr>
              <w:t>3.1</w:t>
            </w:r>
          </w:p>
        </w:tc>
      </w:tr>
      <w:tr w:rsidR="00E05341" w:rsidRPr="0005195D" w14:paraId="1489E27B" w14:textId="77777777" w:rsidTr="00E0534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025" w:type="dxa"/>
            <w:noWrap/>
            <w:hideMark/>
          </w:tcPr>
          <w:p w14:paraId="5A033B94" w14:textId="77777777" w:rsidR="00E05341" w:rsidRPr="00531891" w:rsidRDefault="00E05341" w:rsidP="00E05341">
            <w:pPr>
              <w:ind w:firstLineChars="100" w:firstLine="20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Domaća tražnja</w:t>
            </w:r>
          </w:p>
        </w:tc>
        <w:tc>
          <w:tcPr>
            <w:tcW w:w="1001" w:type="dxa"/>
            <w:noWrap/>
            <w:hideMark/>
          </w:tcPr>
          <w:p w14:paraId="4911722F"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val="sr-Latn-ME" w:eastAsia="sr-Latn-ME"/>
              </w:rPr>
            </w:pPr>
            <w:r w:rsidRPr="00531891">
              <w:rPr>
                <w:rFonts w:ascii="Calibri" w:eastAsia="Times New Roman" w:hAnsi="Calibri" w:cs="Calibri"/>
                <w:b/>
                <w:bCs/>
                <w:color w:val="000000"/>
                <w:sz w:val="20"/>
                <w:szCs w:val="20"/>
                <w:lang w:val="sr-Latn-ME" w:eastAsia="sr-Latn-ME"/>
              </w:rPr>
              <w:t>5.0</w:t>
            </w:r>
          </w:p>
        </w:tc>
        <w:tc>
          <w:tcPr>
            <w:tcW w:w="1001" w:type="dxa"/>
            <w:noWrap/>
            <w:hideMark/>
          </w:tcPr>
          <w:p w14:paraId="3D565D13"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val="sr-Latn-ME" w:eastAsia="sr-Latn-ME"/>
              </w:rPr>
            </w:pPr>
            <w:r w:rsidRPr="00531891">
              <w:rPr>
                <w:rFonts w:ascii="Calibri" w:eastAsia="Times New Roman" w:hAnsi="Calibri" w:cs="Calibri"/>
                <w:b/>
                <w:bCs/>
                <w:color w:val="000000"/>
                <w:sz w:val="20"/>
                <w:szCs w:val="20"/>
                <w:lang w:val="sr-Latn-ME" w:eastAsia="sr-Latn-ME"/>
              </w:rPr>
              <w:t>4.0</w:t>
            </w:r>
          </w:p>
        </w:tc>
        <w:tc>
          <w:tcPr>
            <w:tcW w:w="1001" w:type="dxa"/>
            <w:noWrap/>
            <w:hideMark/>
          </w:tcPr>
          <w:p w14:paraId="353D803D"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val="sr-Latn-ME" w:eastAsia="sr-Latn-ME"/>
              </w:rPr>
            </w:pPr>
            <w:r w:rsidRPr="00531891">
              <w:rPr>
                <w:rFonts w:ascii="Calibri" w:eastAsia="Times New Roman" w:hAnsi="Calibri" w:cs="Calibri"/>
                <w:b/>
                <w:bCs/>
                <w:color w:val="000000"/>
                <w:sz w:val="20"/>
                <w:szCs w:val="20"/>
                <w:lang w:val="sr-Latn-ME" w:eastAsia="sr-Latn-ME"/>
              </w:rPr>
              <w:t>5.9</w:t>
            </w:r>
          </w:p>
        </w:tc>
        <w:tc>
          <w:tcPr>
            <w:tcW w:w="1001" w:type="dxa"/>
            <w:noWrap/>
            <w:hideMark/>
          </w:tcPr>
          <w:p w14:paraId="136D71F0"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val="sr-Latn-ME" w:eastAsia="sr-Latn-ME"/>
              </w:rPr>
            </w:pPr>
            <w:r w:rsidRPr="00531891">
              <w:rPr>
                <w:rFonts w:ascii="Calibri" w:eastAsia="Times New Roman" w:hAnsi="Calibri" w:cs="Calibri"/>
                <w:b/>
                <w:bCs/>
                <w:color w:val="000000"/>
                <w:sz w:val="20"/>
                <w:szCs w:val="20"/>
                <w:lang w:val="sr-Latn-ME" w:eastAsia="sr-Latn-ME"/>
              </w:rPr>
              <w:t>2.4</w:t>
            </w:r>
          </w:p>
        </w:tc>
        <w:tc>
          <w:tcPr>
            <w:tcW w:w="1001" w:type="dxa"/>
            <w:noWrap/>
            <w:hideMark/>
          </w:tcPr>
          <w:p w14:paraId="68B8CC7E"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lang w:val="sr-Latn-ME" w:eastAsia="sr-Latn-ME"/>
              </w:rPr>
            </w:pPr>
            <w:r w:rsidRPr="00531891">
              <w:rPr>
                <w:rFonts w:ascii="Calibri" w:eastAsia="Times New Roman" w:hAnsi="Calibri" w:cs="Calibri"/>
                <w:b/>
                <w:bCs/>
                <w:color w:val="000000"/>
                <w:sz w:val="20"/>
                <w:szCs w:val="20"/>
                <w:lang w:val="sr-Latn-ME" w:eastAsia="sr-Latn-ME"/>
              </w:rPr>
              <w:t>1.6</w:t>
            </w:r>
          </w:p>
        </w:tc>
      </w:tr>
      <w:tr w:rsidR="00E05341" w:rsidRPr="0005195D" w14:paraId="0A294223" w14:textId="77777777" w:rsidTr="00E05341">
        <w:trPr>
          <w:trHeight w:val="269"/>
        </w:trPr>
        <w:tc>
          <w:tcPr>
            <w:cnfStyle w:val="001000000000" w:firstRow="0" w:lastRow="0" w:firstColumn="1" w:lastColumn="0" w:oddVBand="0" w:evenVBand="0" w:oddHBand="0" w:evenHBand="0" w:firstRowFirstColumn="0" w:firstRowLastColumn="0" w:lastRowFirstColumn="0" w:lastRowLastColumn="0"/>
            <w:tcW w:w="4025" w:type="dxa"/>
            <w:noWrap/>
            <w:hideMark/>
          </w:tcPr>
          <w:p w14:paraId="08C240F5" w14:textId="77777777" w:rsidR="00E05341" w:rsidRPr="00531891" w:rsidRDefault="00E05341" w:rsidP="00E05341">
            <w:pPr>
              <w:ind w:firstLineChars="100" w:firstLine="20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Potrošnja domaćinstava</w:t>
            </w:r>
          </w:p>
        </w:tc>
        <w:tc>
          <w:tcPr>
            <w:tcW w:w="1001" w:type="dxa"/>
            <w:noWrap/>
            <w:hideMark/>
          </w:tcPr>
          <w:p w14:paraId="1F42BA4B"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6.5</w:t>
            </w:r>
          </w:p>
        </w:tc>
        <w:tc>
          <w:tcPr>
            <w:tcW w:w="1001" w:type="dxa"/>
            <w:noWrap/>
            <w:hideMark/>
          </w:tcPr>
          <w:p w14:paraId="5DF18711"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4.0</w:t>
            </w:r>
          </w:p>
        </w:tc>
        <w:tc>
          <w:tcPr>
            <w:tcW w:w="1001" w:type="dxa"/>
            <w:noWrap/>
            <w:hideMark/>
          </w:tcPr>
          <w:p w14:paraId="15D77D62"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7.2</w:t>
            </w:r>
          </w:p>
        </w:tc>
        <w:tc>
          <w:tcPr>
            <w:tcW w:w="1001" w:type="dxa"/>
            <w:noWrap/>
            <w:hideMark/>
          </w:tcPr>
          <w:p w14:paraId="06F1C2CA"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2.1</w:t>
            </w:r>
          </w:p>
        </w:tc>
        <w:tc>
          <w:tcPr>
            <w:tcW w:w="1001" w:type="dxa"/>
            <w:noWrap/>
            <w:hideMark/>
          </w:tcPr>
          <w:p w14:paraId="03CA7CFA"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1.1</w:t>
            </w:r>
          </w:p>
        </w:tc>
      </w:tr>
      <w:tr w:rsidR="00E05341" w:rsidRPr="0005195D" w14:paraId="1360A6DD" w14:textId="77777777" w:rsidTr="00E0534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025" w:type="dxa"/>
            <w:noWrap/>
            <w:hideMark/>
          </w:tcPr>
          <w:p w14:paraId="6BDAFED8" w14:textId="77777777" w:rsidR="00E05341" w:rsidRPr="00531891" w:rsidRDefault="00E05341" w:rsidP="00E05341">
            <w:pPr>
              <w:ind w:firstLineChars="100" w:firstLine="20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Potrošnja države</w:t>
            </w:r>
          </w:p>
        </w:tc>
        <w:tc>
          <w:tcPr>
            <w:tcW w:w="1001" w:type="dxa"/>
            <w:noWrap/>
            <w:hideMark/>
          </w:tcPr>
          <w:p w14:paraId="4B6FA545"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3.1</w:t>
            </w:r>
          </w:p>
        </w:tc>
        <w:tc>
          <w:tcPr>
            <w:tcW w:w="1001" w:type="dxa"/>
            <w:noWrap/>
            <w:hideMark/>
          </w:tcPr>
          <w:p w14:paraId="15242B33"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3.0</w:t>
            </w:r>
          </w:p>
        </w:tc>
        <w:tc>
          <w:tcPr>
            <w:tcW w:w="1001" w:type="dxa"/>
            <w:noWrap/>
            <w:hideMark/>
          </w:tcPr>
          <w:p w14:paraId="279A02EB"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2.7</w:t>
            </w:r>
          </w:p>
        </w:tc>
        <w:tc>
          <w:tcPr>
            <w:tcW w:w="1001" w:type="dxa"/>
            <w:noWrap/>
            <w:hideMark/>
          </w:tcPr>
          <w:p w14:paraId="5A6EBE79"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2.5</w:t>
            </w:r>
          </w:p>
        </w:tc>
        <w:tc>
          <w:tcPr>
            <w:tcW w:w="1001" w:type="dxa"/>
            <w:noWrap/>
            <w:hideMark/>
          </w:tcPr>
          <w:p w14:paraId="658DFE46"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2.5</w:t>
            </w:r>
          </w:p>
        </w:tc>
      </w:tr>
      <w:tr w:rsidR="00E05341" w:rsidRPr="0005195D" w14:paraId="7F5CAC97" w14:textId="77777777" w:rsidTr="00E05341">
        <w:trPr>
          <w:trHeight w:val="269"/>
        </w:trPr>
        <w:tc>
          <w:tcPr>
            <w:cnfStyle w:val="001000000000" w:firstRow="0" w:lastRow="0" w:firstColumn="1" w:lastColumn="0" w:oddVBand="0" w:evenVBand="0" w:oddHBand="0" w:evenHBand="0" w:firstRowFirstColumn="0" w:firstRowLastColumn="0" w:lastRowFirstColumn="0" w:lastRowLastColumn="0"/>
            <w:tcW w:w="4025" w:type="dxa"/>
            <w:noWrap/>
            <w:hideMark/>
          </w:tcPr>
          <w:p w14:paraId="7DEE212E" w14:textId="77777777" w:rsidR="00E05341" w:rsidRPr="00531891" w:rsidRDefault="00E05341" w:rsidP="00E05341">
            <w:pPr>
              <w:ind w:firstLineChars="100" w:firstLine="20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Bruto investicije</w:t>
            </w:r>
          </w:p>
        </w:tc>
        <w:tc>
          <w:tcPr>
            <w:tcW w:w="1001" w:type="dxa"/>
            <w:noWrap/>
            <w:hideMark/>
          </w:tcPr>
          <w:p w14:paraId="337BEB0E"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2.5</w:t>
            </w:r>
          </w:p>
        </w:tc>
        <w:tc>
          <w:tcPr>
            <w:tcW w:w="1001" w:type="dxa"/>
            <w:noWrap/>
            <w:hideMark/>
          </w:tcPr>
          <w:p w14:paraId="33F54FFA"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4.6</w:t>
            </w:r>
          </w:p>
        </w:tc>
        <w:tc>
          <w:tcPr>
            <w:tcW w:w="1001" w:type="dxa"/>
            <w:noWrap/>
            <w:hideMark/>
          </w:tcPr>
          <w:p w14:paraId="650A0621"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4.7</w:t>
            </w:r>
          </w:p>
        </w:tc>
        <w:tc>
          <w:tcPr>
            <w:tcW w:w="1001" w:type="dxa"/>
            <w:noWrap/>
            <w:hideMark/>
          </w:tcPr>
          <w:p w14:paraId="4C9A17CC"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2.9</w:t>
            </w:r>
          </w:p>
        </w:tc>
        <w:tc>
          <w:tcPr>
            <w:tcW w:w="1001" w:type="dxa"/>
            <w:noWrap/>
            <w:hideMark/>
          </w:tcPr>
          <w:p w14:paraId="4E8FD7F5"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2.6</w:t>
            </w:r>
          </w:p>
        </w:tc>
      </w:tr>
      <w:tr w:rsidR="00E05341" w:rsidRPr="0005195D" w14:paraId="5EC74FC2" w14:textId="77777777" w:rsidTr="00E0534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025" w:type="dxa"/>
            <w:noWrap/>
            <w:hideMark/>
          </w:tcPr>
          <w:p w14:paraId="21560DD9" w14:textId="77777777" w:rsidR="00E05341" w:rsidRPr="00531891" w:rsidRDefault="00E05341" w:rsidP="00E05341">
            <w:pPr>
              <w:ind w:firstLineChars="100" w:firstLine="20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Bruto investicije u osnovna sredstva</w:t>
            </w:r>
          </w:p>
        </w:tc>
        <w:tc>
          <w:tcPr>
            <w:tcW w:w="1001" w:type="dxa"/>
            <w:noWrap/>
            <w:hideMark/>
          </w:tcPr>
          <w:p w14:paraId="7D5E145F"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6.9</w:t>
            </w:r>
          </w:p>
        </w:tc>
        <w:tc>
          <w:tcPr>
            <w:tcW w:w="1001" w:type="dxa"/>
            <w:noWrap/>
            <w:hideMark/>
          </w:tcPr>
          <w:p w14:paraId="1D4078D9"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6.5</w:t>
            </w:r>
          </w:p>
        </w:tc>
        <w:tc>
          <w:tcPr>
            <w:tcW w:w="1001" w:type="dxa"/>
            <w:noWrap/>
            <w:hideMark/>
          </w:tcPr>
          <w:p w14:paraId="4D68EBE2"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6.5</w:t>
            </w:r>
          </w:p>
        </w:tc>
        <w:tc>
          <w:tcPr>
            <w:tcW w:w="1001" w:type="dxa"/>
            <w:noWrap/>
            <w:hideMark/>
          </w:tcPr>
          <w:p w14:paraId="4D2E08C7"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4.0</w:t>
            </w:r>
          </w:p>
        </w:tc>
        <w:tc>
          <w:tcPr>
            <w:tcW w:w="1001" w:type="dxa"/>
            <w:noWrap/>
            <w:hideMark/>
          </w:tcPr>
          <w:p w14:paraId="7A13A5A9"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3.5</w:t>
            </w:r>
          </w:p>
        </w:tc>
      </w:tr>
      <w:tr w:rsidR="00E05341" w:rsidRPr="0005195D" w14:paraId="1C13AA80" w14:textId="77777777" w:rsidTr="00E05341">
        <w:trPr>
          <w:trHeight w:val="269"/>
        </w:trPr>
        <w:tc>
          <w:tcPr>
            <w:cnfStyle w:val="001000000000" w:firstRow="0" w:lastRow="0" w:firstColumn="1" w:lastColumn="0" w:oddVBand="0" w:evenVBand="0" w:oddHBand="0" w:evenHBand="0" w:firstRowFirstColumn="0" w:firstRowLastColumn="0" w:lastRowFirstColumn="0" w:lastRowLastColumn="0"/>
            <w:tcW w:w="4025" w:type="dxa"/>
            <w:noWrap/>
            <w:hideMark/>
          </w:tcPr>
          <w:p w14:paraId="1F4BBFFD" w14:textId="77777777" w:rsidR="00E05341" w:rsidRPr="00531891" w:rsidRDefault="00E05341" w:rsidP="00E05341">
            <w:pPr>
              <w:ind w:firstLineChars="100" w:firstLine="20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Promjena zaliha</w:t>
            </w:r>
          </w:p>
        </w:tc>
        <w:tc>
          <w:tcPr>
            <w:tcW w:w="1001" w:type="dxa"/>
            <w:noWrap/>
            <w:hideMark/>
          </w:tcPr>
          <w:p w14:paraId="3810FFB6"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-8.4</w:t>
            </w:r>
          </w:p>
        </w:tc>
        <w:tc>
          <w:tcPr>
            <w:tcW w:w="1001" w:type="dxa"/>
            <w:noWrap/>
            <w:hideMark/>
          </w:tcPr>
          <w:p w14:paraId="7F2EC8CC"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0.0</w:t>
            </w:r>
          </w:p>
        </w:tc>
        <w:tc>
          <w:tcPr>
            <w:tcW w:w="1001" w:type="dxa"/>
            <w:noWrap/>
            <w:hideMark/>
          </w:tcPr>
          <w:p w14:paraId="40DA3897"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0.0</w:t>
            </w:r>
          </w:p>
        </w:tc>
        <w:tc>
          <w:tcPr>
            <w:tcW w:w="1001" w:type="dxa"/>
            <w:noWrap/>
            <w:hideMark/>
          </w:tcPr>
          <w:p w14:paraId="0EB9C3B6"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0.0</w:t>
            </w:r>
          </w:p>
        </w:tc>
        <w:tc>
          <w:tcPr>
            <w:tcW w:w="1001" w:type="dxa"/>
            <w:noWrap/>
            <w:hideMark/>
          </w:tcPr>
          <w:p w14:paraId="0795E234"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0.0</w:t>
            </w:r>
          </w:p>
        </w:tc>
      </w:tr>
      <w:tr w:rsidR="00E05341" w:rsidRPr="0005195D" w14:paraId="65622681" w14:textId="77777777" w:rsidTr="00E0534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025" w:type="dxa"/>
            <w:noWrap/>
            <w:hideMark/>
          </w:tcPr>
          <w:p w14:paraId="3980C086" w14:textId="77777777" w:rsidR="00E05341" w:rsidRPr="00531891" w:rsidRDefault="00E05341" w:rsidP="00E05341">
            <w:pPr>
              <w:ind w:firstLineChars="100" w:firstLine="20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Izvoz roba i usluga</w:t>
            </w:r>
          </w:p>
        </w:tc>
        <w:tc>
          <w:tcPr>
            <w:tcW w:w="1001" w:type="dxa"/>
            <w:noWrap/>
            <w:hideMark/>
          </w:tcPr>
          <w:p w14:paraId="1B66AE39"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9.0</w:t>
            </w:r>
          </w:p>
        </w:tc>
        <w:tc>
          <w:tcPr>
            <w:tcW w:w="1001" w:type="dxa"/>
            <w:noWrap/>
            <w:hideMark/>
          </w:tcPr>
          <w:p w14:paraId="4D367681"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2.5</w:t>
            </w:r>
          </w:p>
        </w:tc>
        <w:tc>
          <w:tcPr>
            <w:tcW w:w="1001" w:type="dxa"/>
            <w:noWrap/>
            <w:hideMark/>
          </w:tcPr>
          <w:p w14:paraId="3D6D1CBD"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2.7</w:t>
            </w:r>
          </w:p>
        </w:tc>
        <w:tc>
          <w:tcPr>
            <w:tcW w:w="1001" w:type="dxa"/>
            <w:noWrap/>
            <w:hideMark/>
          </w:tcPr>
          <w:p w14:paraId="1DF44B64"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5.1</w:t>
            </w:r>
          </w:p>
        </w:tc>
        <w:tc>
          <w:tcPr>
            <w:tcW w:w="1001" w:type="dxa"/>
            <w:noWrap/>
            <w:hideMark/>
          </w:tcPr>
          <w:p w14:paraId="3FFCEECE"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5.2</w:t>
            </w:r>
          </w:p>
        </w:tc>
      </w:tr>
      <w:tr w:rsidR="00E05341" w:rsidRPr="0005195D" w14:paraId="477F2AE9" w14:textId="77777777" w:rsidTr="00E05341">
        <w:trPr>
          <w:trHeight w:val="269"/>
        </w:trPr>
        <w:tc>
          <w:tcPr>
            <w:cnfStyle w:val="001000000000" w:firstRow="0" w:lastRow="0" w:firstColumn="1" w:lastColumn="0" w:oddVBand="0" w:evenVBand="0" w:oddHBand="0" w:evenHBand="0" w:firstRowFirstColumn="0" w:firstRowLastColumn="0" w:lastRowFirstColumn="0" w:lastRowLastColumn="0"/>
            <w:tcW w:w="4025" w:type="dxa"/>
            <w:noWrap/>
            <w:hideMark/>
          </w:tcPr>
          <w:p w14:paraId="016C229F" w14:textId="77777777" w:rsidR="00E05341" w:rsidRPr="00531891" w:rsidRDefault="00E05341" w:rsidP="00E05341">
            <w:pPr>
              <w:ind w:firstLineChars="100" w:firstLine="20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Uvoz roba i usluga</w:t>
            </w:r>
          </w:p>
        </w:tc>
        <w:tc>
          <w:tcPr>
            <w:tcW w:w="1001" w:type="dxa"/>
            <w:noWrap/>
            <w:hideMark/>
          </w:tcPr>
          <w:p w14:paraId="2C78D5A0"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5.9</w:t>
            </w:r>
          </w:p>
        </w:tc>
        <w:tc>
          <w:tcPr>
            <w:tcW w:w="1001" w:type="dxa"/>
            <w:noWrap/>
            <w:hideMark/>
          </w:tcPr>
          <w:p w14:paraId="32A826E1"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3.2</w:t>
            </w:r>
          </w:p>
        </w:tc>
        <w:tc>
          <w:tcPr>
            <w:tcW w:w="1001" w:type="dxa"/>
            <w:noWrap/>
            <w:hideMark/>
          </w:tcPr>
          <w:p w14:paraId="77E85D37"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5.3</w:t>
            </w:r>
          </w:p>
        </w:tc>
        <w:tc>
          <w:tcPr>
            <w:tcW w:w="1001" w:type="dxa"/>
            <w:noWrap/>
            <w:hideMark/>
          </w:tcPr>
          <w:p w14:paraId="284CF683"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3.1</w:t>
            </w:r>
          </w:p>
        </w:tc>
        <w:tc>
          <w:tcPr>
            <w:tcW w:w="1001" w:type="dxa"/>
            <w:noWrap/>
            <w:hideMark/>
          </w:tcPr>
          <w:p w14:paraId="2B99D4A3"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r w:rsidRPr="00531891">
              <w:rPr>
                <w:rFonts w:ascii="Calibri" w:eastAsia="Times New Roman" w:hAnsi="Calibri" w:cs="Calibri"/>
                <w:color w:val="000000"/>
                <w:sz w:val="20"/>
                <w:szCs w:val="20"/>
                <w:lang w:val="sr-Latn-ME" w:eastAsia="sr-Latn-ME"/>
              </w:rPr>
              <w:t>2.0</w:t>
            </w:r>
          </w:p>
        </w:tc>
      </w:tr>
      <w:tr w:rsidR="00E05341" w:rsidRPr="0005195D" w14:paraId="2BF43BE3" w14:textId="77777777" w:rsidTr="00E0534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025" w:type="dxa"/>
            <w:noWrap/>
            <w:hideMark/>
          </w:tcPr>
          <w:p w14:paraId="749E013C" w14:textId="77777777" w:rsidR="00E05341" w:rsidRPr="00531891" w:rsidRDefault="00E05341" w:rsidP="00E05341">
            <w:pPr>
              <w:ind w:firstLineChars="200" w:firstLine="400"/>
              <w:rPr>
                <w:rFonts w:ascii="Calibri" w:eastAsia="Times New Roman" w:hAnsi="Calibri" w:cs="Calibri"/>
                <w:sz w:val="20"/>
                <w:szCs w:val="20"/>
                <w:lang w:val="sr-Latn-ME" w:eastAsia="sr-Latn-ME"/>
              </w:rPr>
            </w:pPr>
            <w:r w:rsidRPr="00531891">
              <w:rPr>
                <w:rFonts w:ascii="Calibri" w:eastAsia="Times New Roman" w:hAnsi="Calibri" w:cs="Calibri"/>
                <w:sz w:val="20"/>
                <w:szCs w:val="20"/>
                <w:lang w:val="sr-Latn-ME" w:eastAsia="sr-Latn-ME"/>
              </w:rPr>
              <w:t> </w:t>
            </w:r>
          </w:p>
        </w:tc>
        <w:tc>
          <w:tcPr>
            <w:tcW w:w="5005" w:type="dxa"/>
            <w:gridSpan w:val="5"/>
            <w:vMerge w:val="restart"/>
            <w:hideMark/>
          </w:tcPr>
          <w:p w14:paraId="6CA25DC5" w14:textId="77777777" w:rsidR="00E05341" w:rsidRPr="00531891" w:rsidRDefault="00E05341" w:rsidP="00E0534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6"/>
                <w:szCs w:val="16"/>
                <w:lang w:val="sr-Latn-ME" w:eastAsia="sr-Latn-ME"/>
              </w:rPr>
            </w:pPr>
            <w:r w:rsidRPr="00531891">
              <w:rPr>
                <w:rFonts w:ascii="Calibri" w:eastAsia="Times New Roman" w:hAnsi="Calibri" w:cs="Calibri"/>
                <w:sz w:val="16"/>
                <w:szCs w:val="16"/>
                <w:lang w:val="sr-Latn-ME" w:eastAsia="sr-Latn-ME"/>
              </w:rPr>
              <w:t>rast u procentima ako nije naznačeno drugačije</w:t>
            </w:r>
          </w:p>
        </w:tc>
      </w:tr>
      <w:tr w:rsidR="00E05341" w:rsidRPr="0005195D" w14:paraId="6703243D" w14:textId="77777777" w:rsidTr="00E05341">
        <w:trPr>
          <w:trHeight w:val="229"/>
        </w:trPr>
        <w:tc>
          <w:tcPr>
            <w:cnfStyle w:val="001000000000" w:firstRow="0" w:lastRow="0" w:firstColumn="1" w:lastColumn="0" w:oddVBand="0" w:evenVBand="0" w:oddHBand="0" w:evenHBand="0" w:firstRowFirstColumn="0" w:firstRowLastColumn="0" w:lastRowFirstColumn="0" w:lastRowLastColumn="0"/>
            <w:tcW w:w="4025" w:type="dxa"/>
            <w:noWrap/>
            <w:hideMark/>
          </w:tcPr>
          <w:p w14:paraId="53AA4DE7" w14:textId="77777777" w:rsidR="00E05341" w:rsidRPr="00531891" w:rsidRDefault="00E05341" w:rsidP="00E05341">
            <w:pPr>
              <w:ind w:firstLineChars="100" w:firstLine="200"/>
              <w:rPr>
                <w:rFonts w:ascii="Calibri" w:eastAsia="Times New Roman" w:hAnsi="Calibri" w:cs="Calibri"/>
                <w:b w:val="0"/>
                <w:bCs w:val="0"/>
                <w:sz w:val="20"/>
                <w:szCs w:val="20"/>
                <w:lang w:val="sr-Latn-ME" w:eastAsia="sr-Latn-ME"/>
              </w:rPr>
            </w:pPr>
            <w:r w:rsidRPr="00531891">
              <w:rPr>
                <w:rFonts w:ascii="Calibri" w:eastAsia="Times New Roman" w:hAnsi="Calibri" w:cs="Calibri"/>
                <w:sz w:val="20"/>
                <w:szCs w:val="20"/>
                <w:lang w:val="sr-Latn-ME" w:eastAsia="sr-Latn-ME"/>
              </w:rPr>
              <w:t>Makroekonomski indikatori:</w:t>
            </w:r>
          </w:p>
        </w:tc>
        <w:tc>
          <w:tcPr>
            <w:tcW w:w="5005" w:type="dxa"/>
            <w:gridSpan w:val="5"/>
            <w:vMerge/>
            <w:hideMark/>
          </w:tcPr>
          <w:p w14:paraId="477B79F9" w14:textId="77777777" w:rsidR="00E05341" w:rsidRPr="00531891" w:rsidRDefault="00E05341" w:rsidP="00E0534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6"/>
                <w:szCs w:val="16"/>
                <w:lang w:val="sr-Latn-ME" w:eastAsia="sr-Latn-ME"/>
              </w:rPr>
            </w:pPr>
          </w:p>
        </w:tc>
      </w:tr>
      <w:tr w:rsidR="00E05341" w:rsidRPr="0005195D" w14:paraId="531272B7" w14:textId="77777777" w:rsidTr="00E0534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025" w:type="dxa"/>
            <w:noWrap/>
            <w:hideMark/>
          </w:tcPr>
          <w:p w14:paraId="7E922FBE" w14:textId="77777777" w:rsidR="00E05341" w:rsidRPr="00531891" w:rsidRDefault="00E05341" w:rsidP="00E05341">
            <w:pPr>
              <w:ind w:firstLineChars="100" w:firstLine="200"/>
              <w:outlineLvl w:val="0"/>
              <w:rPr>
                <w:rFonts w:ascii="Calibri" w:eastAsia="Times New Roman" w:hAnsi="Calibri" w:cs="Calibri"/>
                <w:sz w:val="20"/>
                <w:szCs w:val="20"/>
                <w:lang w:val="sr-Latn-ME" w:eastAsia="sr-Latn-ME"/>
              </w:rPr>
            </w:pPr>
            <w:bookmarkStart w:id="16" w:name="_Toc184111623"/>
            <w:r w:rsidRPr="00531891">
              <w:rPr>
                <w:rFonts w:ascii="Calibri" w:eastAsia="Times New Roman" w:hAnsi="Calibri" w:cs="Calibri"/>
                <w:sz w:val="20"/>
                <w:szCs w:val="20"/>
                <w:lang w:val="sr-Latn-ME" w:eastAsia="sr-Latn-ME"/>
              </w:rPr>
              <w:t>Rast zaposlenosti</w:t>
            </w:r>
            <w:bookmarkEnd w:id="16"/>
          </w:p>
        </w:tc>
        <w:tc>
          <w:tcPr>
            <w:tcW w:w="1001" w:type="dxa"/>
            <w:noWrap/>
            <w:hideMark/>
          </w:tcPr>
          <w:p w14:paraId="493E8854" w14:textId="77777777" w:rsidR="00E05341" w:rsidRPr="00531891" w:rsidRDefault="00E05341" w:rsidP="00E05341">
            <w:pPr>
              <w:ind w:firstLineChars="100" w:firstLine="200"/>
              <w:jc w:val="right"/>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bookmarkStart w:id="17" w:name="_Toc184111624"/>
            <w:r w:rsidRPr="00531891">
              <w:rPr>
                <w:rFonts w:ascii="Calibri" w:eastAsia="Times New Roman" w:hAnsi="Calibri" w:cs="Calibri"/>
                <w:color w:val="000000"/>
                <w:sz w:val="20"/>
                <w:szCs w:val="20"/>
                <w:lang w:val="sr-Latn-ME" w:eastAsia="sr-Latn-ME"/>
              </w:rPr>
              <w:t>10.8</w:t>
            </w:r>
            <w:bookmarkEnd w:id="17"/>
          </w:p>
        </w:tc>
        <w:tc>
          <w:tcPr>
            <w:tcW w:w="1001" w:type="dxa"/>
            <w:noWrap/>
            <w:hideMark/>
          </w:tcPr>
          <w:p w14:paraId="7F00E58A" w14:textId="77777777" w:rsidR="00E05341" w:rsidRPr="00531891" w:rsidRDefault="00E05341" w:rsidP="00E05341">
            <w:pPr>
              <w:ind w:firstLineChars="100" w:firstLine="200"/>
              <w:jc w:val="right"/>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bookmarkStart w:id="18" w:name="_Toc184111625"/>
            <w:r w:rsidRPr="00531891">
              <w:rPr>
                <w:rFonts w:ascii="Calibri" w:eastAsia="Times New Roman" w:hAnsi="Calibri" w:cs="Calibri"/>
                <w:color w:val="000000"/>
                <w:sz w:val="20"/>
                <w:szCs w:val="20"/>
                <w:lang w:val="sr-Latn-ME" w:eastAsia="sr-Latn-ME"/>
              </w:rPr>
              <w:t>3.5</w:t>
            </w:r>
            <w:bookmarkEnd w:id="18"/>
          </w:p>
        </w:tc>
        <w:tc>
          <w:tcPr>
            <w:tcW w:w="1001" w:type="dxa"/>
            <w:noWrap/>
            <w:hideMark/>
          </w:tcPr>
          <w:p w14:paraId="6072D5F8" w14:textId="77777777" w:rsidR="00E05341" w:rsidRPr="00531891" w:rsidRDefault="00E05341" w:rsidP="00E05341">
            <w:pPr>
              <w:ind w:firstLineChars="100" w:firstLine="200"/>
              <w:jc w:val="right"/>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bookmarkStart w:id="19" w:name="_Toc184111626"/>
            <w:r w:rsidRPr="00531891">
              <w:rPr>
                <w:rFonts w:ascii="Calibri" w:eastAsia="Times New Roman" w:hAnsi="Calibri" w:cs="Calibri"/>
                <w:color w:val="000000"/>
                <w:sz w:val="20"/>
                <w:szCs w:val="20"/>
                <w:lang w:val="sr-Latn-ME" w:eastAsia="sr-Latn-ME"/>
              </w:rPr>
              <w:t>2.4</w:t>
            </w:r>
            <w:bookmarkEnd w:id="19"/>
          </w:p>
        </w:tc>
        <w:tc>
          <w:tcPr>
            <w:tcW w:w="1001" w:type="dxa"/>
            <w:noWrap/>
            <w:hideMark/>
          </w:tcPr>
          <w:p w14:paraId="3087683B" w14:textId="77777777" w:rsidR="00E05341" w:rsidRPr="00531891" w:rsidRDefault="00E05341" w:rsidP="00E05341">
            <w:pPr>
              <w:ind w:firstLineChars="100" w:firstLine="200"/>
              <w:jc w:val="right"/>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bookmarkStart w:id="20" w:name="_Toc184111627"/>
            <w:r w:rsidRPr="00531891">
              <w:rPr>
                <w:rFonts w:ascii="Calibri" w:eastAsia="Times New Roman" w:hAnsi="Calibri" w:cs="Calibri"/>
                <w:color w:val="000000"/>
                <w:sz w:val="20"/>
                <w:szCs w:val="20"/>
                <w:lang w:val="sr-Latn-ME" w:eastAsia="sr-Latn-ME"/>
              </w:rPr>
              <w:t>2.0</w:t>
            </w:r>
            <w:bookmarkEnd w:id="20"/>
          </w:p>
        </w:tc>
        <w:tc>
          <w:tcPr>
            <w:tcW w:w="1001" w:type="dxa"/>
            <w:noWrap/>
            <w:hideMark/>
          </w:tcPr>
          <w:p w14:paraId="55B670CE" w14:textId="77777777" w:rsidR="00E05341" w:rsidRPr="00531891" w:rsidRDefault="00E05341" w:rsidP="00E05341">
            <w:pPr>
              <w:ind w:firstLineChars="100" w:firstLine="200"/>
              <w:jc w:val="right"/>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bookmarkStart w:id="21" w:name="_Toc184111628"/>
            <w:r w:rsidRPr="00531891">
              <w:rPr>
                <w:rFonts w:ascii="Calibri" w:eastAsia="Times New Roman" w:hAnsi="Calibri" w:cs="Calibri"/>
                <w:color w:val="000000"/>
                <w:sz w:val="20"/>
                <w:szCs w:val="20"/>
                <w:lang w:val="sr-Latn-ME" w:eastAsia="sr-Latn-ME"/>
              </w:rPr>
              <w:t>1.3</w:t>
            </w:r>
            <w:bookmarkEnd w:id="21"/>
          </w:p>
        </w:tc>
      </w:tr>
      <w:tr w:rsidR="00E05341" w:rsidRPr="0005195D" w14:paraId="1CBDF40F" w14:textId="77777777" w:rsidTr="00E05341">
        <w:trPr>
          <w:trHeight w:val="269"/>
        </w:trPr>
        <w:tc>
          <w:tcPr>
            <w:cnfStyle w:val="001000000000" w:firstRow="0" w:lastRow="0" w:firstColumn="1" w:lastColumn="0" w:oddVBand="0" w:evenVBand="0" w:oddHBand="0" w:evenHBand="0" w:firstRowFirstColumn="0" w:firstRowLastColumn="0" w:lastRowFirstColumn="0" w:lastRowLastColumn="0"/>
            <w:tcW w:w="4025" w:type="dxa"/>
            <w:noWrap/>
            <w:hideMark/>
          </w:tcPr>
          <w:p w14:paraId="05C7B532" w14:textId="77777777" w:rsidR="00E05341" w:rsidRPr="00531891" w:rsidRDefault="00E05341" w:rsidP="00E05341">
            <w:pPr>
              <w:ind w:firstLineChars="100" w:firstLine="200"/>
              <w:outlineLvl w:val="0"/>
              <w:rPr>
                <w:rFonts w:ascii="Calibri" w:eastAsia="Times New Roman" w:hAnsi="Calibri" w:cs="Calibri"/>
                <w:sz w:val="20"/>
                <w:szCs w:val="20"/>
                <w:lang w:val="sr-Latn-ME" w:eastAsia="sr-Latn-ME"/>
              </w:rPr>
            </w:pPr>
            <w:bookmarkStart w:id="22" w:name="_Toc184111629"/>
            <w:r w:rsidRPr="00531891">
              <w:rPr>
                <w:rFonts w:ascii="Calibri" w:eastAsia="Times New Roman" w:hAnsi="Calibri" w:cs="Calibri"/>
                <w:sz w:val="20"/>
                <w:szCs w:val="20"/>
                <w:lang w:val="sr-Latn-ME" w:eastAsia="sr-Latn-ME"/>
              </w:rPr>
              <w:t>Rast zarada (bruto)</w:t>
            </w:r>
            <w:bookmarkEnd w:id="22"/>
          </w:p>
        </w:tc>
        <w:tc>
          <w:tcPr>
            <w:tcW w:w="1001" w:type="dxa"/>
            <w:noWrap/>
            <w:hideMark/>
          </w:tcPr>
          <w:p w14:paraId="597EE30E" w14:textId="77777777" w:rsidR="00E05341" w:rsidRPr="00531891" w:rsidRDefault="00E05341" w:rsidP="00E05341">
            <w:pPr>
              <w:ind w:firstLineChars="100" w:firstLine="200"/>
              <w:jc w:val="right"/>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bookmarkStart w:id="23" w:name="_Toc184111630"/>
            <w:r w:rsidRPr="00531891">
              <w:rPr>
                <w:rFonts w:ascii="Calibri" w:eastAsia="Times New Roman" w:hAnsi="Calibri" w:cs="Calibri"/>
                <w:color w:val="000000"/>
                <w:sz w:val="20"/>
                <w:szCs w:val="20"/>
                <w:lang w:val="sr-Latn-ME" w:eastAsia="sr-Latn-ME"/>
              </w:rPr>
              <w:t>11.8</w:t>
            </w:r>
            <w:bookmarkEnd w:id="23"/>
          </w:p>
        </w:tc>
        <w:tc>
          <w:tcPr>
            <w:tcW w:w="1001" w:type="dxa"/>
            <w:noWrap/>
            <w:hideMark/>
          </w:tcPr>
          <w:p w14:paraId="73D96A26" w14:textId="77777777" w:rsidR="00E05341" w:rsidRPr="00531891" w:rsidRDefault="00E05341" w:rsidP="00E05341">
            <w:pPr>
              <w:ind w:firstLineChars="100" w:firstLine="200"/>
              <w:jc w:val="right"/>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bookmarkStart w:id="24" w:name="_Toc184111631"/>
            <w:r w:rsidRPr="00531891">
              <w:rPr>
                <w:rFonts w:ascii="Calibri" w:eastAsia="Times New Roman" w:hAnsi="Calibri" w:cs="Calibri"/>
                <w:color w:val="000000"/>
                <w:sz w:val="20"/>
                <w:szCs w:val="20"/>
                <w:lang w:val="sr-Latn-ME" w:eastAsia="sr-Latn-ME"/>
              </w:rPr>
              <w:t>5.0</w:t>
            </w:r>
            <w:bookmarkEnd w:id="24"/>
          </w:p>
        </w:tc>
        <w:tc>
          <w:tcPr>
            <w:tcW w:w="1001" w:type="dxa"/>
            <w:noWrap/>
            <w:hideMark/>
          </w:tcPr>
          <w:p w14:paraId="76CA1A61" w14:textId="77777777" w:rsidR="00E05341" w:rsidRPr="00531891" w:rsidRDefault="00E05341" w:rsidP="00E05341">
            <w:pPr>
              <w:ind w:firstLineChars="100" w:firstLine="200"/>
              <w:jc w:val="right"/>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bookmarkStart w:id="25" w:name="_Toc184111632"/>
            <w:r w:rsidRPr="00531891">
              <w:rPr>
                <w:rFonts w:ascii="Calibri" w:eastAsia="Times New Roman" w:hAnsi="Calibri" w:cs="Calibri"/>
                <w:color w:val="000000"/>
                <w:sz w:val="20"/>
                <w:szCs w:val="20"/>
                <w:lang w:val="sr-Latn-ME" w:eastAsia="sr-Latn-ME"/>
              </w:rPr>
              <w:t>9.0</w:t>
            </w:r>
            <w:bookmarkEnd w:id="25"/>
          </w:p>
        </w:tc>
        <w:tc>
          <w:tcPr>
            <w:tcW w:w="1001" w:type="dxa"/>
            <w:noWrap/>
            <w:hideMark/>
          </w:tcPr>
          <w:p w14:paraId="4262EEB4" w14:textId="77777777" w:rsidR="00E05341" w:rsidRPr="00531891" w:rsidRDefault="00E05341" w:rsidP="00E05341">
            <w:pPr>
              <w:ind w:firstLineChars="100" w:firstLine="200"/>
              <w:jc w:val="right"/>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bookmarkStart w:id="26" w:name="_Toc184111633"/>
            <w:r w:rsidRPr="00531891">
              <w:rPr>
                <w:rFonts w:ascii="Calibri" w:eastAsia="Times New Roman" w:hAnsi="Calibri" w:cs="Calibri"/>
                <w:color w:val="000000"/>
                <w:sz w:val="20"/>
                <w:szCs w:val="20"/>
                <w:lang w:val="sr-Latn-ME" w:eastAsia="sr-Latn-ME"/>
              </w:rPr>
              <w:t>4.0</w:t>
            </w:r>
            <w:bookmarkEnd w:id="26"/>
          </w:p>
        </w:tc>
        <w:tc>
          <w:tcPr>
            <w:tcW w:w="1001" w:type="dxa"/>
            <w:noWrap/>
            <w:hideMark/>
          </w:tcPr>
          <w:p w14:paraId="686C45C8" w14:textId="77777777" w:rsidR="00E05341" w:rsidRPr="00531891" w:rsidRDefault="00E05341" w:rsidP="00E05341">
            <w:pPr>
              <w:ind w:firstLineChars="100" w:firstLine="200"/>
              <w:jc w:val="right"/>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sr-Latn-ME" w:eastAsia="sr-Latn-ME"/>
              </w:rPr>
            </w:pPr>
            <w:bookmarkStart w:id="27" w:name="_Toc184111634"/>
            <w:r w:rsidRPr="00531891">
              <w:rPr>
                <w:rFonts w:ascii="Calibri" w:eastAsia="Times New Roman" w:hAnsi="Calibri" w:cs="Calibri"/>
                <w:color w:val="000000"/>
                <w:sz w:val="20"/>
                <w:szCs w:val="20"/>
                <w:lang w:val="sr-Latn-ME" w:eastAsia="sr-Latn-ME"/>
              </w:rPr>
              <w:t>4.0</w:t>
            </w:r>
            <w:bookmarkEnd w:id="27"/>
          </w:p>
        </w:tc>
      </w:tr>
      <w:tr w:rsidR="00E05341" w:rsidRPr="0005195D" w14:paraId="50FA3DFB" w14:textId="77777777" w:rsidTr="00E0534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025" w:type="dxa"/>
            <w:noWrap/>
            <w:hideMark/>
          </w:tcPr>
          <w:p w14:paraId="3E48943A" w14:textId="77777777" w:rsidR="00E05341" w:rsidRPr="00531891" w:rsidRDefault="00E05341" w:rsidP="00E05341">
            <w:pPr>
              <w:ind w:firstLineChars="100" w:firstLine="200"/>
              <w:outlineLvl w:val="0"/>
              <w:rPr>
                <w:rFonts w:ascii="Calibri" w:eastAsia="Times New Roman" w:hAnsi="Calibri" w:cs="Calibri"/>
                <w:sz w:val="20"/>
                <w:szCs w:val="20"/>
                <w:lang w:val="sr-Latn-ME" w:eastAsia="sr-Latn-ME"/>
              </w:rPr>
            </w:pPr>
            <w:bookmarkStart w:id="28" w:name="_Toc184111635"/>
            <w:r w:rsidRPr="00531891">
              <w:rPr>
                <w:rFonts w:ascii="Calibri" w:eastAsia="Times New Roman" w:hAnsi="Calibri" w:cs="Calibri"/>
                <w:sz w:val="20"/>
                <w:szCs w:val="20"/>
                <w:lang w:val="sr-Latn-ME" w:eastAsia="sr-Latn-ME"/>
              </w:rPr>
              <w:t>Stopa nezaposlenosti</w:t>
            </w:r>
            <w:bookmarkEnd w:id="28"/>
            <w:r w:rsidRPr="00531891">
              <w:rPr>
                <w:rFonts w:ascii="Calibri" w:eastAsia="Times New Roman" w:hAnsi="Calibri" w:cs="Calibri"/>
                <w:sz w:val="20"/>
                <w:szCs w:val="20"/>
                <w:lang w:val="sr-Latn-ME" w:eastAsia="sr-Latn-ME"/>
              </w:rPr>
              <w:t xml:space="preserve"> </w:t>
            </w:r>
          </w:p>
        </w:tc>
        <w:tc>
          <w:tcPr>
            <w:tcW w:w="1001" w:type="dxa"/>
            <w:noWrap/>
            <w:hideMark/>
          </w:tcPr>
          <w:p w14:paraId="016B586E" w14:textId="77777777" w:rsidR="00E05341" w:rsidRPr="00531891" w:rsidRDefault="00E05341" w:rsidP="00E05341">
            <w:pPr>
              <w:ind w:firstLineChars="100" w:firstLine="200"/>
              <w:jc w:val="right"/>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bookmarkStart w:id="29" w:name="_Toc184111636"/>
            <w:r w:rsidRPr="00531891">
              <w:rPr>
                <w:rFonts w:ascii="Calibri" w:eastAsia="Times New Roman" w:hAnsi="Calibri" w:cs="Calibri"/>
                <w:color w:val="000000"/>
                <w:sz w:val="20"/>
                <w:szCs w:val="20"/>
                <w:lang w:val="sr-Latn-ME" w:eastAsia="sr-Latn-ME"/>
              </w:rPr>
              <w:t>13.1</w:t>
            </w:r>
            <w:bookmarkEnd w:id="29"/>
          </w:p>
        </w:tc>
        <w:tc>
          <w:tcPr>
            <w:tcW w:w="1001" w:type="dxa"/>
            <w:noWrap/>
            <w:hideMark/>
          </w:tcPr>
          <w:p w14:paraId="0E2C21E5" w14:textId="77777777" w:rsidR="00E05341" w:rsidRPr="00531891" w:rsidRDefault="00E05341" w:rsidP="00E05341">
            <w:pPr>
              <w:ind w:firstLineChars="100" w:firstLine="200"/>
              <w:jc w:val="right"/>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bookmarkStart w:id="30" w:name="_Toc184111637"/>
            <w:r w:rsidRPr="00531891">
              <w:rPr>
                <w:rFonts w:ascii="Calibri" w:eastAsia="Times New Roman" w:hAnsi="Calibri" w:cs="Calibri"/>
                <w:color w:val="000000"/>
                <w:sz w:val="20"/>
                <w:szCs w:val="20"/>
                <w:lang w:val="sr-Latn-ME" w:eastAsia="sr-Latn-ME"/>
              </w:rPr>
              <w:t>11.7</w:t>
            </w:r>
            <w:bookmarkEnd w:id="30"/>
          </w:p>
        </w:tc>
        <w:tc>
          <w:tcPr>
            <w:tcW w:w="1001" w:type="dxa"/>
            <w:noWrap/>
            <w:hideMark/>
          </w:tcPr>
          <w:p w14:paraId="4E1D0EEE" w14:textId="77777777" w:rsidR="00E05341" w:rsidRPr="00531891" w:rsidRDefault="00E05341" w:rsidP="00E05341">
            <w:pPr>
              <w:ind w:firstLineChars="100" w:firstLine="200"/>
              <w:jc w:val="right"/>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bookmarkStart w:id="31" w:name="_Toc184111638"/>
            <w:r w:rsidRPr="00531891">
              <w:rPr>
                <w:rFonts w:ascii="Calibri" w:eastAsia="Times New Roman" w:hAnsi="Calibri" w:cs="Calibri"/>
                <w:color w:val="000000"/>
                <w:sz w:val="20"/>
                <w:szCs w:val="20"/>
                <w:lang w:val="sr-Latn-ME" w:eastAsia="sr-Latn-ME"/>
              </w:rPr>
              <w:t>10.6</w:t>
            </w:r>
            <w:bookmarkEnd w:id="31"/>
          </w:p>
        </w:tc>
        <w:tc>
          <w:tcPr>
            <w:tcW w:w="1001" w:type="dxa"/>
            <w:noWrap/>
            <w:hideMark/>
          </w:tcPr>
          <w:p w14:paraId="4BD2A367" w14:textId="77777777" w:rsidR="00E05341" w:rsidRPr="00531891" w:rsidRDefault="00E05341" w:rsidP="00E05341">
            <w:pPr>
              <w:ind w:firstLineChars="100" w:firstLine="200"/>
              <w:jc w:val="right"/>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bookmarkStart w:id="32" w:name="_Toc184111639"/>
            <w:r w:rsidRPr="00531891">
              <w:rPr>
                <w:rFonts w:ascii="Calibri" w:eastAsia="Times New Roman" w:hAnsi="Calibri" w:cs="Calibri"/>
                <w:color w:val="000000"/>
                <w:sz w:val="20"/>
                <w:szCs w:val="20"/>
                <w:lang w:val="sr-Latn-ME" w:eastAsia="sr-Latn-ME"/>
              </w:rPr>
              <w:t>9.9</w:t>
            </w:r>
            <w:bookmarkEnd w:id="32"/>
          </w:p>
        </w:tc>
        <w:tc>
          <w:tcPr>
            <w:tcW w:w="1001" w:type="dxa"/>
            <w:noWrap/>
            <w:hideMark/>
          </w:tcPr>
          <w:p w14:paraId="6AD38DF7" w14:textId="77777777" w:rsidR="00E05341" w:rsidRPr="00531891" w:rsidRDefault="00E05341" w:rsidP="00E05341">
            <w:pPr>
              <w:ind w:firstLineChars="100" w:firstLine="200"/>
              <w:jc w:val="right"/>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sr-Latn-ME" w:eastAsia="sr-Latn-ME"/>
              </w:rPr>
            </w:pPr>
            <w:bookmarkStart w:id="33" w:name="_Toc184111640"/>
            <w:r w:rsidRPr="00531891">
              <w:rPr>
                <w:rFonts w:ascii="Calibri" w:eastAsia="Times New Roman" w:hAnsi="Calibri" w:cs="Calibri"/>
                <w:color w:val="000000"/>
                <w:sz w:val="20"/>
                <w:szCs w:val="20"/>
                <w:lang w:val="sr-Latn-ME" w:eastAsia="sr-Latn-ME"/>
              </w:rPr>
              <w:t>9.2</w:t>
            </w:r>
            <w:bookmarkEnd w:id="33"/>
          </w:p>
        </w:tc>
      </w:tr>
      <w:tr w:rsidR="00E05341" w:rsidRPr="0005195D" w14:paraId="6841F6DE" w14:textId="77777777" w:rsidTr="00E05341">
        <w:trPr>
          <w:trHeight w:val="269"/>
        </w:trPr>
        <w:tc>
          <w:tcPr>
            <w:cnfStyle w:val="001000000000" w:firstRow="0" w:lastRow="0" w:firstColumn="1" w:lastColumn="0" w:oddVBand="0" w:evenVBand="0" w:oddHBand="0" w:evenHBand="0" w:firstRowFirstColumn="0" w:firstRowLastColumn="0" w:lastRowFirstColumn="0" w:lastRowLastColumn="0"/>
            <w:tcW w:w="4025" w:type="dxa"/>
            <w:noWrap/>
          </w:tcPr>
          <w:p w14:paraId="2B28ACC3" w14:textId="77777777" w:rsidR="00E05341" w:rsidRPr="00531891" w:rsidRDefault="00E05341" w:rsidP="00E05341">
            <w:pPr>
              <w:ind w:firstLineChars="100" w:firstLine="200"/>
              <w:outlineLvl w:val="0"/>
              <w:rPr>
                <w:rFonts w:ascii="Calibri" w:eastAsia="Times New Roman" w:hAnsi="Calibri" w:cs="Calibri"/>
                <w:sz w:val="20"/>
                <w:szCs w:val="20"/>
                <w:lang w:val="sr-Latn-ME" w:eastAsia="sr-Latn-ME"/>
              </w:rPr>
            </w:pPr>
            <w:bookmarkStart w:id="34" w:name="_Toc184111641"/>
            <w:r w:rsidRPr="00531891">
              <w:rPr>
                <w:rFonts w:ascii="Calibri" w:eastAsia="Times New Roman" w:hAnsi="Calibri" w:cs="Calibri"/>
                <w:sz w:val="20"/>
                <w:szCs w:val="20"/>
                <w:lang w:val="sr-Latn-ME" w:eastAsia="sr-Latn-ME"/>
              </w:rPr>
              <w:t>Neto SDI, %BDP</w:t>
            </w:r>
            <w:bookmarkEnd w:id="34"/>
          </w:p>
        </w:tc>
        <w:tc>
          <w:tcPr>
            <w:tcW w:w="1001" w:type="dxa"/>
            <w:noWrap/>
            <w:vAlign w:val="bottom"/>
          </w:tcPr>
          <w:p w14:paraId="527881DE"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val="sr-Latn-ME"/>
              </w:rPr>
            </w:pPr>
            <w:r w:rsidRPr="00531891">
              <w:rPr>
                <w:rFonts w:ascii="Calibri" w:hAnsi="Calibri" w:cs="Calibri"/>
                <w:color w:val="000000"/>
                <w:sz w:val="20"/>
                <w:szCs w:val="20"/>
                <w:lang w:val="sr-Latn-ME"/>
              </w:rPr>
              <w:t>6.2</w:t>
            </w:r>
          </w:p>
        </w:tc>
        <w:tc>
          <w:tcPr>
            <w:tcW w:w="1001" w:type="dxa"/>
            <w:noWrap/>
            <w:vAlign w:val="bottom"/>
          </w:tcPr>
          <w:p w14:paraId="741AF0FF"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val="sr-Latn-ME"/>
              </w:rPr>
            </w:pPr>
            <w:r w:rsidRPr="00531891">
              <w:rPr>
                <w:rFonts w:ascii="Calibri" w:hAnsi="Calibri" w:cs="Calibri"/>
                <w:color w:val="000000"/>
                <w:sz w:val="20"/>
                <w:szCs w:val="20"/>
                <w:lang w:val="sr-Latn-ME"/>
              </w:rPr>
              <w:t>7.4</w:t>
            </w:r>
          </w:p>
        </w:tc>
        <w:tc>
          <w:tcPr>
            <w:tcW w:w="1001" w:type="dxa"/>
            <w:noWrap/>
            <w:vAlign w:val="bottom"/>
          </w:tcPr>
          <w:p w14:paraId="489C4E30"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val="sr-Latn-ME"/>
              </w:rPr>
            </w:pPr>
            <w:r w:rsidRPr="00531891">
              <w:rPr>
                <w:rFonts w:ascii="Calibri" w:hAnsi="Calibri" w:cs="Calibri"/>
                <w:color w:val="000000"/>
                <w:sz w:val="20"/>
                <w:szCs w:val="20"/>
                <w:lang w:val="sr-Latn-ME"/>
              </w:rPr>
              <w:t>6.9</w:t>
            </w:r>
          </w:p>
        </w:tc>
        <w:tc>
          <w:tcPr>
            <w:tcW w:w="1001" w:type="dxa"/>
            <w:noWrap/>
            <w:vAlign w:val="bottom"/>
          </w:tcPr>
          <w:p w14:paraId="2F70627A"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val="sr-Latn-ME"/>
              </w:rPr>
            </w:pPr>
            <w:r w:rsidRPr="00531891">
              <w:rPr>
                <w:rFonts w:ascii="Calibri" w:hAnsi="Calibri" w:cs="Calibri"/>
                <w:color w:val="000000"/>
                <w:sz w:val="20"/>
                <w:szCs w:val="20"/>
                <w:lang w:val="sr-Latn-ME"/>
              </w:rPr>
              <w:t>6.6</w:t>
            </w:r>
          </w:p>
        </w:tc>
        <w:tc>
          <w:tcPr>
            <w:tcW w:w="1001" w:type="dxa"/>
            <w:noWrap/>
            <w:vAlign w:val="bottom"/>
          </w:tcPr>
          <w:p w14:paraId="057EB066" w14:textId="77777777" w:rsidR="00E05341" w:rsidRPr="00531891"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lang w:val="sr-Latn-ME"/>
              </w:rPr>
            </w:pPr>
            <w:r w:rsidRPr="00531891">
              <w:rPr>
                <w:rFonts w:ascii="Calibri" w:hAnsi="Calibri" w:cs="Calibri"/>
                <w:color w:val="000000"/>
                <w:sz w:val="20"/>
                <w:szCs w:val="20"/>
                <w:lang w:val="sr-Latn-ME"/>
              </w:rPr>
              <w:t>6.3</w:t>
            </w:r>
          </w:p>
        </w:tc>
      </w:tr>
      <w:tr w:rsidR="00E05341" w:rsidRPr="0005195D" w14:paraId="36ABAE1E" w14:textId="77777777" w:rsidTr="00E0534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025" w:type="dxa"/>
            <w:noWrap/>
          </w:tcPr>
          <w:p w14:paraId="45A89D3B" w14:textId="77777777" w:rsidR="00E05341" w:rsidRPr="00531891" w:rsidRDefault="00E05341" w:rsidP="00E05341">
            <w:pPr>
              <w:ind w:firstLineChars="100" w:firstLine="200"/>
              <w:outlineLvl w:val="0"/>
              <w:rPr>
                <w:rFonts w:ascii="Calibri" w:eastAsia="Times New Roman" w:hAnsi="Calibri" w:cs="Calibri"/>
                <w:sz w:val="20"/>
                <w:szCs w:val="20"/>
                <w:lang w:val="sr-Latn-ME" w:eastAsia="sr-Latn-ME"/>
              </w:rPr>
            </w:pPr>
            <w:bookmarkStart w:id="35" w:name="_Toc184111642"/>
            <w:r w:rsidRPr="00531891">
              <w:rPr>
                <w:rFonts w:ascii="Calibri" w:eastAsia="Times New Roman" w:hAnsi="Calibri" w:cs="Calibri"/>
                <w:sz w:val="20"/>
                <w:szCs w:val="20"/>
                <w:lang w:val="sr-Latn-ME" w:eastAsia="sr-Latn-ME"/>
              </w:rPr>
              <w:t>Novoodobreni krediti</w:t>
            </w:r>
            <w:bookmarkEnd w:id="35"/>
          </w:p>
        </w:tc>
        <w:tc>
          <w:tcPr>
            <w:tcW w:w="1001" w:type="dxa"/>
            <w:noWrap/>
            <w:vAlign w:val="bottom"/>
          </w:tcPr>
          <w:p w14:paraId="70A4C090"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sr-Latn-ME"/>
              </w:rPr>
            </w:pPr>
            <w:r w:rsidRPr="00531891">
              <w:rPr>
                <w:rFonts w:ascii="Calibri" w:hAnsi="Calibri" w:cs="Calibri"/>
                <w:sz w:val="20"/>
                <w:szCs w:val="20"/>
                <w:lang w:val="sr-Latn-ME"/>
              </w:rPr>
              <w:t>-6.0</w:t>
            </w:r>
          </w:p>
        </w:tc>
        <w:tc>
          <w:tcPr>
            <w:tcW w:w="1001" w:type="dxa"/>
            <w:noWrap/>
            <w:vAlign w:val="bottom"/>
          </w:tcPr>
          <w:p w14:paraId="7B7C563C"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sr-Latn-ME"/>
              </w:rPr>
            </w:pPr>
            <w:r w:rsidRPr="00531891">
              <w:rPr>
                <w:rFonts w:ascii="Calibri" w:hAnsi="Calibri" w:cs="Calibri"/>
                <w:sz w:val="20"/>
                <w:szCs w:val="20"/>
                <w:lang w:val="sr-Latn-ME"/>
              </w:rPr>
              <w:t>15.0</w:t>
            </w:r>
          </w:p>
        </w:tc>
        <w:tc>
          <w:tcPr>
            <w:tcW w:w="1001" w:type="dxa"/>
            <w:noWrap/>
            <w:vAlign w:val="bottom"/>
          </w:tcPr>
          <w:p w14:paraId="6C053ACC"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sr-Latn-ME"/>
              </w:rPr>
            </w:pPr>
            <w:r w:rsidRPr="00531891">
              <w:rPr>
                <w:rFonts w:ascii="Calibri" w:hAnsi="Calibri" w:cs="Calibri"/>
                <w:sz w:val="20"/>
                <w:szCs w:val="20"/>
                <w:lang w:val="sr-Latn-ME"/>
              </w:rPr>
              <w:t>15.0</w:t>
            </w:r>
          </w:p>
        </w:tc>
        <w:tc>
          <w:tcPr>
            <w:tcW w:w="1001" w:type="dxa"/>
            <w:noWrap/>
            <w:vAlign w:val="bottom"/>
          </w:tcPr>
          <w:p w14:paraId="1FAD9FD1"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sr-Latn-ME"/>
              </w:rPr>
            </w:pPr>
            <w:r w:rsidRPr="00531891">
              <w:rPr>
                <w:rFonts w:ascii="Calibri" w:hAnsi="Calibri" w:cs="Calibri"/>
                <w:sz w:val="20"/>
                <w:szCs w:val="20"/>
                <w:lang w:val="sr-Latn-ME"/>
              </w:rPr>
              <w:t>4.0</w:t>
            </w:r>
          </w:p>
        </w:tc>
        <w:tc>
          <w:tcPr>
            <w:tcW w:w="1001" w:type="dxa"/>
            <w:noWrap/>
            <w:vAlign w:val="bottom"/>
          </w:tcPr>
          <w:p w14:paraId="62D8EA91" w14:textId="77777777" w:rsidR="00E05341" w:rsidRPr="00531891"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sr-Latn-ME"/>
              </w:rPr>
            </w:pPr>
            <w:r w:rsidRPr="00531891">
              <w:rPr>
                <w:rFonts w:ascii="Calibri" w:hAnsi="Calibri" w:cs="Calibri"/>
                <w:sz w:val="20"/>
                <w:szCs w:val="20"/>
                <w:lang w:val="sr-Latn-ME"/>
              </w:rPr>
              <w:t>5.0</w:t>
            </w:r>
          </w:p>
        </w:tc>
      </w:tr>
    </w:tbl>
    <w:p w14:paraId="73438EE2" w14:textId="77777777" w:rsidR="00E05341" w:rsidRPr="00560644" w:rsidRDefault="00E05341" w:rsidP="00E05341">
      <w:pPr>
        <w:jc w:val="both"/>
        <w:rPr>
          <w:rFonts w:ascii="Calibri" w:eastAsia="Calibri" w:hAnsi="Calibri" w:cs="Calibri"/>
          <w:sz w:val="20"/>
          <w:szCs w:val="20"/>
          <w:lang w:val="sr-Latn-ME"/>
        </w:rPr>
      </w:pPr>
      <w:r w:rsidRPr="00560644">
        <w:rPr>
          <w:rFonts w:ascii="Calibri" w:hAnsi="Calibri" w:cs="Calibri"/>
          <w:i/>
          <w:sz w:val="20"/>
          <w:szCs w:val="20"/>
          <w:lang w:val="sr-Latn-ME"/>
        </w:rPr>
        <w:t>Izvor: Projekcije Ministarstva finansija</w:t>
      </w:r>
    </w:p>
    <w:p w14:paraId="01CD7A14" w14:textId="77777777" w:rsidR="00E05341" w:rsidRPr="006B0866" w:rsidRDefault="00E05341" w:rsidP="00E05341">
      <w:pPr>
        <w:spacing w:line="276" w:lineRule="auto"/>
        <w:jc w:val="both"/>
        <w:rPr>
          <w:rFonts w:cstheme="minorHAnsi"/>
          <w:sz w:val="24"/>
          <w:szCs w:val="24"/>
          <w:lang w:val="sr-Latn-ME"/>
        </w:rPr>
      </w:pPr>
      <w:r w:rsidRPr="006B0866">
        <w:rPr>
          <w:rFonts w:cstheme="minorHAnsi"/>
          <w:sz w:val="24"/>
          <w:szCs w:val="24"/>
          <w:lang w:val="sr-Latn-ME"/>
        </w:rPr>
        <w:t xml:space="preserve">Makroekonomski indikatori: </w:t>
      </w:r>
    </w:p>
    <w:p w14:paraId="42D0FC0D" w14:textId="77777777" w:rsidR="00E05341" w:rsidRPr="006B0866" w:rsidRDefault="00E05341" w:rsidP="00E05341">
      <w:pPr>
        <w:spacing w:after="120" w:line="276" w:lineRule="auto"/>
        <w:jc w:val="both"/>
        <w:rPr>
          <w:rFonts w:cstheme="minorHAnsi"/>
          <w:sz w:val="24"/>
          <w:szCs w:val="24"/>
          <w:lang w:val="sr-Latn-ME"/>
        </w:rPr>
      </w:pPr>
      <w:r w:rsidRPr="006B0866">
        <w:rPr>
          <w:rFonts w:cstheme="minorHAnsi"/>
          <w:sz w:val="24"/>
          <w:szCs w:val="24"/>
          <w:lang w:val="sr-Latn-ME"/>
        </w:rPr>
        <w:t>• Deficit tekućeg računa platnog bilansa će se spustiti sa procijenjenih 12</w:t>
      </w:r>
      <w:r>
        <w:rPr>
          <w:rFonts w:cstheme="minorHAnsi"/>
          <w:sz w:val="24"/>
          <w:szCs w:val="24"/>
          <w:lang w:val="sr-Latn-ME"/>
        </w:rPr>
        <w:t xml:space="preserve">,6% BDP-a u 2024, </w:t>
      </w:r>
      <w:r w:rsidRPr="006B0866">
        <w:rPr>
          <w:rFonts w:cstheme="minorHAnsi"/>
          <w:sz w:val="24"/>
          <w:szCs w:val="24"/>
          <w:lang w:val="sr-Latn-ME"/>
        </w:rPr>
        <w:t>na 10,3%</w:t>
      </w:r>
      <w:r>
        <w:rPr>
          <w:rFonts w:cstheme="minorHAnsi"/>
          <w:sz w:val="24"/>
          <w:szCs w:val="24"/>
          <w:lang w:val="sr-Latn-ME"/>
        </w:rPr>
        <w:t xml:space="preserve"> BDP-a</w:t>
      </w:r>
      <w:r w:rsidRPr="006B0866">
        <w:rPr>
          <w:rFonts w:cstheme="minorHAnsi"/>
          <w:sz w:val="24"/>
          <w:szCs w:val="24"/>
          <w:lang w:val="sr-Latn-ME"/>
        </w:rPr>
        <w:t xml:space="preserve"> u 2027. godini, kao rezultat predviđene dinamike uvoza i izvoza, uz povećanje suficita na računima usluga, kao i primarnog i sekundarnog dohotka; </w:t>
      </w:r>
    </w:p>
    <w:p w14:paraId="66624DB3" w14:textId="77777777" w:rsidR="00E05341" w:rsidRPr="006B0866" w:rsidRDefault="00E05341" w:rsidP="00E05341">
      <w:pPr>
        <w:spacing w:after="120" w:line="276" w:lineRule="auto"/>
        <w:jc w:val="both"/>
        <w:rPr>
          <w:rFonts w:cstheme="minorHAnsi"/>
          <w:sz w:val="24"/>
          <w:szCs w:val="24"/>
          <w:lang w:val="sr-Latn-ME"/>
        </w:rPr>
      </w:pPr>
      <w:r w:rsidRPr="006B0866">
        <w:rPr>
          <w:rFonts w:cstheme="minorHAnsi"/>
          <w:sz w:val="24"/>
          <w:szCs w:val="24"/>
          <w:lang w:val="sr-Latn-ME"/>
        </w:rPr>
        <w:t>• Učešće neto stranih direktnih investicija (neto SDI) projektovano je na oko 6,</w:t>
      </w:r>
      <w:r>
        <w:rPr>
          <w:rFonts w:cstheme="minorHAnsi"/>
          <w:sz w:val="24"/>
          <w:szCs w:val="24"/>
          <w:lang w:val="sr-Latn-ME"/>
        </w:rPr>
        <w:t>8</w:t>
      </w:r>
      <w:r w:rsidRPr="006B0866">
        <w:rPr>
          <w:rFonts w:cstheme="minorHAnsi"/>
          <w:sz w:val="24"/>
          <w:szCs w:val="24"/>
          <w:lang w:val="sr-Latn-ME"/>
        </w:rPr>
        <w:t>% BDP-a u srednjem roku;</w:t>
      </w:r>
    </w:p>
    <w:p w14:paraId="644BA7BD" w14:textId="77777777" w:rsidR="00E05341" w:rsidRPr="006B0866" w:rsidRDefault="00E05341" w:rsidP="00E05341">
      <w:pPr>
        <w:spacing w:after="120" w:line="276" w:lineRule="auto"/>
        <w:jc w:val="both"/>
        <w:rPr>
          <w:rFonts w:cstheme="minorHAnsi"/>
          <w:sz w:val="24"/>
          <w:szCs w:val="24"/>
          <w:lang w:val="sr-Latn-ME"/>
        </w:rPr>
      </w:pPr>
      <w:r w:rsidRPr="006B0866">
        <w:rPr>
          <w:rFonts w:cstheme="minorHAnsi"/>
          <w:sz w:val="24"/>
          <w:szCs w:val="24"/>
          <w:lang w:val="sr-Latn-ME"/>
        </w:rPr>
        <w:t>• Novoodobreni krediti će nastaviti da stimulišu rast privredne aktivnosti uz</w:t>
      </w:r>
      <w:r w:rsidRPr="006B0866">
        <w:rPr>
          <w:rFonts w:cstheme="minorHAnsi"/>
        </w:rPr>
        <w:t xml:space="preserve"> </w:t>
      </w:r>
      <w:r w:rsidRPr="006B0866">
        <w:rPr>
          <w:rFonts w:cstheme="minorHAnsi"/>
          <w:sz w:val="24"/>
          <w:szCs w:val="24"/>
          <w:lang w:val="sr-Latn-ME"/>
        </w:rPr>
        <w:t>znatno brži rast (blizu 10,0%), usljed ublažavanja kreditnih uslova i pada kamatnih stopa</w:t>
      </w:r>
      <w:r>
        <w:rPr>
          <w:rFonts w:cstheme="minorHAnsi"/>
          <w:sz w:val="24"/>
          <w:szCs w:val="24"/>
          <w:lang w:val="sr-Latn-ME"/>
        </w:rPr>
        <w:t>, kao i usljed povećanja raspoloživog dohotka građana i većeg kreditiranja privrede shodno reformi poreske politike</w:t>
      </w:r>
      <w:r w:rsidRPr="006B0866">
        <w:rPr>
          <w:rFonts w:cstheme="minorHAnsi"/>
          <w:sz w:val="24"/>
          <w:szCs w:val="24"/>
          <w:lang w:val="sr-Latn-ME"/>
        </w:rPr>
        <w:t xml:space="preserve">; </w:t>
      </w:r>
    </w:p>
    <w:p w14:paraId="456EE416" w14:textId="77777777" w:rsidR="00E05341" w:rsidRPr="006B0866" w:rsidRDefault="00E05341" w:rsidP="00E05341">
      <w:pPr>
        <w:spacing w:after="120" w:line="276" w:lineRule="auto"/>
        <w:jc w:val="both"/>
        <w:rPr>
          <w:rFonts w:cstheme="minorHAnsi"/>
          <w:sz w:val="24"/>
          <w:szCs w:val="24"/>
          <w:lang w:val="sr-Latn-ME"/>
        </w:rPr>
      </w:pPr>
      <w:r w:rsidRPr="006B0866">
        <w:rPr>
          <w:rFonts w:cstheme="minorHAnsi"/>
          <w:sz w:val="24"/>
          <w:szCs w:val="24"/>
          <w:lang w:val="sr-Latn-ME"/>
        </w:rPr>
        <w:t xml:space="preserve">• Zaposlenost će, nakon snažnog rasta u prethodnim godinama, u periodu 2025–2027. bilježiti umjereniji rast, uz prosječnu godišnju stopu od </w:t>
      </w:r>
      <w:r>
        <w:rPr>
          <w:rFonts w:cstheme="minorHAnsi"/>
          <w:sz w:val="24"/>
          <w:szCs w:val="24"/>
          <w:lang w:val="sr-Latn-ME"/>
        </w:rPr>
        <w:t>oko 2</w:t>
      </w:r>
      <w:r w:rsidRPr="006B0866">
        <w:rPr>
          <w:rFonts w:cstheme="minorHAnsi"/>
          <w:sz w:val="24"/>
          <w:szCs w:val="24"/>
          <w:lang w:val="sr-Latn-ME"/>
        </w:rPr>
        <w:t xml:space="preserve">%. Stopa nezaposlenosti će se prema projekcijama, spustiti sa 11,7% u 2024, na 9,2% u 2027. Rast zarada u srednjem roku </w:t>
      </w:r>
      <w:r w:rsidRPr="006B0866">
        <w:rPr>
          <w:rFonts w:cstheme="minorHAnsi"/>
          <w:sz w:val="24"/>
          <w:szCs w:val="24"/>
          <w:lang w:val="sr-Latn-ME"/>
        </w:rPr>
        <w:lastRenderedPageBreak/>
        <w:t xml:space="preserve">procijenjen je na oko </w:t>
      </w:r>
      <w:r>
        <w:rPr>
          <w:rFonts w:cstheme="minorHAnsi"/>
          <w:sz w:val="24"/>
          <w:szCs w:val="24"/>
          <w:lang w:val="sr-Latn-ME"/>
        </w:rPr>
        <w:t>6</w:t>
      </w:r>
      <w:r w:rsidRPr="006B0866">
        <w:rPr>
          <w:rFonts w:cstheme="minorHAnsi"/>
          <w:sz w:val="24"/>
          <w:szCs w:val="24"/>
          <w:lang w:val="sr-Latn-ME"/>
        </w:rPr>
        <w:t>%</w:t>
      </w:r>
      <w:r>
        <w:rPr>
          <w:rFonts w:cstheme="minorHAnsi"/>
          <w:sz w:val="24"/>
          <w:szCs w:val="24"/>
          <w:lang w:val="sr-Latn-ME"/>
        </w:rPr>
        <w:t xml:space="preserve"> godišnje</w:t>
      </w:r>
      <w:r w:rsidRPr="006B0866">
        <w:rPr>
          <w:rFonts w:cstheme="minorHAnsi"/>
          <w:sz w:val="24"/>
          <w:szCs w:val="24"/>
          <w:lang w:val="sr-Latn-ME"/>
        </w:rPr>
        <w:t>, shodno povećanju</w:t>
      </w:r>
      <w:r>
        <w:rPr>
          <w:rFonts w:cstheme="minorHAnsi"/>
          <w:sz w:val="24"/>
          <w:szCs w:val="24"/>
          <w:lang w:val="sr-Latn-ME"/>
        </w:rPr>
        <w:t xml:space="preserve"> minimalne i prosječne zarade u ekonomiji;</w:t>
      </w:r>
    </w:p>
    <w:p w14:paraId="4A310572" w14:textId="77777777" w:rsidR="00E05341" w:rsidRDefault="00E05341" w:rsidP="00E05341">
      <w:pPr>
        <w:spacing w:after="120" w:line="276" w:lineRule="auto"/>
        <w:jc w:val="both"/>
        <w:rPr>
          <w:rFonts w:cstheme="minorHAnsi"/>
          <w:sz w:val="24"/>
          <w:szCs w:val="24"/>
          <w:lang w:val="sr-Latn-ME"/>
        </w:rPr>
      </w:pPr>
      <w:r w:rsidRPr="006B0866">
        <w:rPr>
          <w:rFonts w:cstheme="minorHAnsi"/>
          <w:sz w:val="24"/>
          <w:szCs w:val="24"/>
          <w:lang w:val="sr-Latn-ME"/>
        </w:rPr>
        <w:t>• Inflacija će se prema procjenama smanjiti sa 3,7% u 2024, na nivo od 2,3% na kraj</w:t>
      </w:r>
      <w:r>
        <w:rPr>
          <w:rFonts w:cstheme="minorHAnsi"/>
          <w:sz w:val="24"/>
          <w:szCs w:val="24"/>
          <w:lang w:val="sr-Latn-ME"/>
        </w:rPr>
        <w:t>u projektovanog perioda (2027), uz prognoziranu dinamiku kretanja domaćeg privrednog ciklusa i smirivanje inflatornih pritisaka u Evropi i na globalnom nivou.</w:t>
      </w:r>
    </w:p>
    <w:p w14:paraId="55AABE01" w14:textId="77777777" w:rsidR="00E05341" w:rsidRDefault="00E05341" w:rsidP="00E05341">
      <w:pPr>
        <w:spacing w:after="120" w:line="276" w:lineRule="auto"/>
        <w:jc w:val="both"/>
        <w:rPr>
          <w:rFonts w:cstheme="minorHAnsi"/>
          <w:sz w:val="24"/>
          <w:szCs w:val="24"/>
          <w:lang w:val="sr-Latn-ME"/>
        </w:rPr>
      </w:pPr>
      <w:r>
        <w:rPr>
          <w:rFonts w:cstheme="minorHAnsi"/>
          <w:sz w:val="24"/>
          <w:szCs w:val="24"/>
          <w:lang w:val="sr-Latn-ME"/>
        </w:rPr>
        <w:t>Gledajući sa proizvodne strane,</w:t>
      </w:r>
      <w:r w:rsidRPr="003C52AF">
        <w:rPr>
          <w:rFonts w:cstheme="minorHAnsi"/>
          <w:sz w:val="24"/>
          <w:szCs w:val="24"/>
          <w:lang w:val="sr-Latn-ME"/>
        </w:rPr>
        <w:t xml:space="preserve"> rast crnog</w:t>
      </w:r>
      <w:r>
        <w:rPr>
          <w:rFonts w:cstheme="minorHAnsi"/>
          <w:sz w:val="24"/>
          <w:szCs w:val="24"/>
          <w:lang w:val="sr-Latn-ME"/>
        </w:rPr>
        <w:t>orske ekonomije u srednjem roku</w:t>
      </w:r>
      <w:r w:rsidRPr="003C52AF">
        <w:rPr>
          <w:rFonts w:cstheme="minorHAnsi"/>
          <w:sz w:val="24"/>
          <w:szCs w:val="24"/>
          <w:lang w:val="sr-Latn-ME"/>
        </w:rPr>
        <w:t xml:space="preserve"> će dominantno opredjeljivati sektori turizma (rast </w:t>
      </w:r>
      <w:r>
        <w:rPr>
          <w:rFonts w:cstheme="minorHAnsi"/>
          <w:sz w:val="24"/>
          <w:szCs w:val="24"/>
          <w:lang w:val="sr-Latn-ME"/>
        </w:rPr>
        <w:t>6</w:t>
      </w:r>
      <w:r w:rsidRPr="003C52AF">
        <w:rPr>
          <w:rFonts w:cstheme="minorHAnsi"/>
          <w:sz w:val="24"/>
          <w:szCs w:val="24"/>
          <w:lang w:val="sr-Latn-ME"/>
        </w:rPr>
        <w:t xml:space="preserve">% </w:t>
      </w:r>
      <w:r>
        <w:rPr>
          <w:rFonts w:cstheme="minorHAnsi"/>
          <w:sz w:val="24"/>
          <w:szCs w:val="24"/>
          <w:lang w:val="sr-Latn-ME"/>
        </w:rPr>
        <w:t>godišnje</w:t>
      </w:r>
      <w:r w:rsidRPr="003C52AF">
        <w:rPr>
          <w:rFonts w:cstheme="minorHAnsi"/>
          <w:sz w:val="24"/>
          <w:szCs w:val="24"/>
          <w:lang w:val="sr-Latn-ME"/>
        </w:rPr>
        <w:t xml:space="preserve">), </w:t>
      </w:r>
      <w:r>
        <w:rPr>
          <w:rFonts w:cstheme="minorHAnsi"/>
          <w:sz w:val="24"/>
          <w:szCs w:val="24"/>
          <w:lang w:val="sr-Latn-ME"/>
        </w:rPr>
        <w:t>poljoprivrede (rast 7%) i građevinarstva</w:t>
      </w:r>
      <w:r w:rsidRPr="003C52AF">
        <w:rPr>
          <w:rFonts w:cstheme="minorHAnsi"/>
          <w:sz w:val="24"/>
          <w:szCs w:val="24"/>
          <w:lang w:val="sr-Latn-ME"/>
        </w:rPr>
        <w:t xml:space="preserve"> (rast </w:t>
      </w:r>
      <w:r>
        <w:rPr>
          <w:rFonts w:cstheme="minorHAnsi"/>
          <w:sz w:val="24"/>
          <w:szCs w:val="24"/>
          <w:lang w:val="sr-Latn-ME"/>
        </w:rPr>
        <w:t>4%), u skladu sa</w:t>
      </w:r>
      <w:r w:rsidRPr="003C52AF">
        <w:rPr>
          <w:rFonts w:cstheme="minorHAnsi"/>
          <w:sz w:val="24"/>
          <w:szCs w:val="24"/>
          <w:lang w:val="sr-Latn-ME"/>
        </w:rPr>
        <w:t xml:space="preserve"> projektovan</w:t>
      </w:r>
      <w:r>
        <w:rPr>
          <w:rFonts w:cstheme="minorHAnsi"/>
          <w:sz w:val="24"/>
          <w:szCs w:val="24"/>
          <w:lang w:val="sr-Latn-ME"/>
        </w:rPr>
        <w:t>om</w:t>
      </w:r>
      <w:r w:rsidRPr="003C52AF">
        <w:rPr>
          <w:rFonts w:cstheme="minorHAnsi"/>
          <w:sz w:val="24"/>
          <w:szCs w:val="24"/>
          <w:lang w:val="sr-Latn-ME"/>
        </w:rPr>
        <w:t xml:space="preserve"> dinamik</w:t>
      </w:r>
      <w:r>
        <w:rPr>
          <w:rFonts w:cstheme="minorHAnsi"/>
          <w:sz w:val="24"/>
          <w:szCs w:val="24"/>
          <w:lang w:val="sr-Latn-ME"/>
        </w:rPr>
        <w:t>om</w:t>
      </w:r>
      <w:r w:rsidRPr="003C52AF">
        <w:rPr>
          <w:rFonts w:cstheme="minorHAnsi"/>
          <w:sz w:val="24"/>
          <w:szCs w:val="24"/>
          <w:lang w:val="sr-Latn-ME"/>
        </w:rPr>
        <w:t xml:space="preserve"> investicija.</w:t>
      </w:r>
    </w:p>
    <w:p w14:paraId="1248132B" w14:textId="77777777" w:rsidR="00E05341" w:rsidRDefault="00E05341" w:rsidP="00E05341">
      <w:pPr>
        <w:spacing w:after="120" w:line="276" w:lineRule="auto"/>
        <w:jc w:val="both"/>
        <w:rPr>
          <w:rFonts w:cstheme="minorHAnsi"/>
          <w:sz w:val="24"/>
          <w:szCs w:val="24"/>
          <w:lang w:val="sr-Latn-ME"/>
        </w:rPr>
      </w:pPr>
      <w:r w:rsidRPr="002135E9">
        <w:rPr>
          <w:rFonts w:cstheme="minorHAnsi"/>
          <w:sz w:val="24"/>
          <w:szCs w:val="24"/>
          <w:lang w:val="sr-Latn-ME"/>
        </w:rPr>
        <w:t>U sljedećoj tabeli dat je pregled indikatora po agregiranim proizvodnim sektorima</w:t>
      </w:r>
      <w:r>
        <w:rPr>
          <w:rFonts w:cstheme="minorHAnsi"/>
          <w:sz w:val="24"/>
          <w:szCs w:val="24"/>
          <w:lang w:val="sr-Latn-ME"/>
        </w:rPr>
        <w:t>:</w:t>
      </w:r>
    </w:p>
    <w:tbl>
      <w:tblPr>
        <w:tblStyle w:val="GridTable2-Accent11"/>
        <w:tblW w:w="5510" w:type="pct"/>
        <w:tblLook w:val="04A0" w:firstRow="1" w:lastRow="0" w:firstColumn="1" w:lastColumn="0" w:noHBand="0" w:noVBand="1"/>
      </w:tblPr>
      <w:tblGrid>
        <w:gridCol w:w="2791"/>
        <w:gridCol w:w="581"/>
        <w:gridCol w:w="581"/>
        <w:gridCol w:w="581"/>
        <w:gridCol w:w="581"/>
        <w:gridCol w:w="581"/>
        <w:gridCol w:w="581"/>
        <w:gridCol w:w="581"/>
        <w:gridCol w:w="581"/>
        <w:gridCol w:w="627"/>
        <w:gridCol w:w="627"/>
        <w:gridCol w:w="627"/>
        <w:gridCol w:w="627"/>
      </w:tblGrid>
      <w:tr w:rsidR="00E05341" w:rsidRPr="003C52AF" w14:paraId="56885E73" w14:textId="77777777" w:rsidTr="003E5074">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403" w:type="pct"/>
            <w:hideMark/>
          </w:tcPr>
          <w:p w14:paraId="07575ECA" w14:textId="77777777" w:rsidR="00E05341" w:rsidRPr="003C52AF" w:rsidRDefault="00E05341" w:rsidP="00E05341">
            <w:pPr>
              <w:spacing w:line="276" w:lineRule="auto"/>
              <w:jc w:val="both"/>
              <w:rPr>
                <w:rFonts w:cstheme="minorHAnsi"/>
                <w:b w:val="0"/>
                <w:sz w:val="18"/>
                <w:szCs w:val="18"/>
              </w:rPr>
            </w:pPr>
            <w:r w:rsidRPr="003C52AF">
              <w:rPr>
                <w:rFonts w:cstheme="minorHAnsi"/>
                <w:b w:val="0"/>
                <w:sz w:val="18"/>
                <w:szCs w:val="18"/>
              </w:rPr>
              <w:t> </w:t>
            </w:r>
          </w:p>
        </w:tc>
        <w:tc>
          <w:tcPr>
            <w:tcW w:w="1168" w:type="pct"/>
            <w:gridSpan w:val="4"/>
            <w:hideMark/>
          </w:tcPr>
          <w:p w14:paraId="3DDC2DD8" w14:textId="77777777" w:rsidR="00E05341" w:rsidRPr="003C52AF" w:rsidRDefault="00E05341" w:rsidP="00E05341">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3C52AF">
              <w:rPr>
                <w:rFonts w:cstheme="minorHAnsi"/>
                <w:b w:val="0"/>
                <w:sz w:val="18"/>
                <w:szCs w:val="18"/>
              </w:rPr>
              <w:t>realne stope rasta, u %</w:t>
            </w:r>
          </w:p>
        </w:tc>
        <w:tc>
          <w:tcPr>
            <w:tcW w:w="1168" w:type="pct"/>
            <w:gridSpan w:val="4"/>
            <w:hideMark/>
          </w:tcPr>
          <w:p w14:paraId="42D795BB" w14:textId="77777777" w:rsidR="00E05341" w:rsidRPr="003C52AF" w:rsidRDefault="00E05341" w:rsidP="00E05341">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3C52AF">
              <w:rPr>
                <w:rFonts w:cstheme="minorHAnsi"/>
                <w:b w:val="0"/>
                <w:sz w:val="18"/>
                <w:szCs w:val="18"/>
              </w:rPr>
              <w:t>učešće u rastu BDP-u, %</w:t>
            </w:r>
          </w:p>
        </w:tc>
        <w:tc>
          <w:tcPr>
            <w:tcW w:w="1261" w:type="pct"/>
            <w:gridSpan w:val="4"/>
            <w:hideMark/>
          </w:tcPr>
          <w:p w14:paraId="6397EDBD" w14:textId="77777777" w:rsidR="00E05341" w:rsidRPr="003C52AF" w:rsidRDefault="00E05341" w:rsidP="00E05341">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3C52AF">
              <w:rPr>
                <w:rFonts w:cstheme="minorHAnsi"/>
                <w:b w:val="0"/>
                <w:sz w:val="18"/>
                <w:szCs w:val="18"/>
              </w:rPr>
              <w:t xml:space="preserve">učešće u BDV, u % </w:t>
            </w:r>
          </w:p>
        </w:tc>
      </w:tr>
      <w:tr w:rsidR="00E05341" w:rsidRPr="003C52AF" w14:paraId="4009BBF1" w14:textId="77777777" w:rsidTr="003E5074">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403" w:type="pct"/>
            <w:noWrap/>
            <w:hideMark/>
          </w:tcPr>
          <w:p w14:paraId="489C461B" w14:textId="77777777" w:rsidR="00E05341" w:rsidRPr="003C52AF" w:rsidRDefault="00E05341" w:rsidP="00E05341">
            <w:pPr>
              <w:spacing w:line="276" w:lineRule="auto"/>
              <w:jc w:val="both"/>
              <w:rPr>
                <w:rFonts w:cstheme="minorHAnsi"/>
                <w:b w:val="0"/>
                <w:sz w:val="18"/>
                <w:szCs w:val="18"/>
              </w:rPr>
            </w:pPr>
            <w:r w:rsidRPr="003C52AF">
              <w:rPr>
                <w:rFonts w:cstheme="minorHAnsi"/>
                <w:b w:val="0"/>
                <w:sz w:val="18"/>
                <w:szCs w:val="18"/>
              </w:rPr>
              <w:t>Sektori</w:t>
            </w:r>
          </w:p>
        </w:tc>
        <w:tc>
          <w:tcPr>
            <w:tcW w:w="292" w:type="pct"/>
            <w:noWrap/>
            <w:hideMark/>
          </w:tcPr>
          <w:p w14:paraId="2E3A5BF7"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2024</w:t>
            </w:r>
          </w:p>
        </w:tc>
        <w:tc>
          <w:tcPr>
            <w:tcW w:w="292" w:type="pct"/>
            <w:noWrap/>
            <w:hideMark/>
          </w:tcPr>
          <w:p w14:paraId="0FE6EAA0"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2025</w:t>
            </w:r>
          </w:p>
        </w:tc>
        <w:tc>
          <w:tcPr>
            <w:tcW w:w="292" w:type="pct"/>
            <w:noWrap/>
            <w:hideMark/>
          </w:tcPr>
          <w:p w14:paraId="28C3B213"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2026</w:t>
            </w:r>
          </w:p>
        </w:tc>
        <w:tc>
          <w:tcPr>
            <w:tcW w:w="292" w:type="pct"/>
            <w:noWrap/>
            <w:hideMark/>
          </w:tcPr>
          <w:p w14:paraId="76935459"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2027</w:t>
            </w:r>
          </w:p>
        </w:tc>
        <w:tc>
          <w:tcPr>
            <w:tcW w:w="292" w:type="pct"/>
            <w:noWrap/>
            <w:hideMark/>
          </w:tcPr>
          <w:p w14:paraId="0D17C52F"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2024</w:t>
            </w:r>
          </w:p>
        </w:tc>
        <w:tc>
          <w:tcPr>
            <w:tcW w:w="292" w:type="pct"/>
            <w:noWrap/>
            <w:hideMark/>
          </w:tcPr>
          <w:p w14:paraId="63F45072"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2025</w:t>
            </w:r>
          </w:p>
        </w:tc>
        <w:tc>
          <w:tcPr>
            <w:tcW w:w="292" w:type="pct"/>
            <w:noWrap/>
            <w:hideMark/>
          </w:tcPr>
          <w:p w14:paraId="2EBF2458"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2026</w:t>
            </w:r>
          </w:p>
        </w:tc>
        <w:tc>
          <w:tcPr>
            <w:tcW w:w="292" w:type="pct"/>
            <w:noWrap/>
            <w:hideMark/>
          </w:tcPr>
          <w:p w14:paraId="75E21244"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2027</w:t>
            </w:r>
          </w:p>
        </w:tc>
        <w:tc>
          <w:tcPr>
            <w:tcW w:w="315" w:type="pct"/>
            <w:noWrap/>
            <w:hideMark/>
          </w:tcPr>
          <w:p w14:paraId="7CE3B3C9"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2024</w:t>
            </w:r>
          </w:p>
        </w:tc>
        <w:tc>
          <w:tcPr>
            <w:tcW w:w="315" w:type="pct"/>
            <w:noWrap/>
            <w:hideMark/>
          </w:tcPr>
          <w:p w14:paraId="4675143D"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2025</w:t>
            </w:r>
          </w:p>
        </w:tc>
        <w:tc>
          <w:tcPr>
            <w:tcW w:w="315" w:type="pct"/>
            <w:noWrap/>
            <w:hideMark/>
          </w:tcPr>
          <w:p w14:paraId="1496497F"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2026</w:t>
            </w:r>
          </w:p>
        </w:tc>
        <w:tc>
          <w:tcPr>
            <w:tcW w:w="315" w:type="pct"/>
            <w:noWrap/>
            <w:hideMark/>
          </w:tcPr>
          <w:p w14:paraId="648E3EBD"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2027</w:t>
            </w:r>
          </w:p>
        </w:tc>
      </w:tr>
      <w:tr w:rsidR="00E05341" w:rsidRPr="003C52AF" w14:paraId="5AB6AA38" w14:textId="77777777" w:rsidTr="003E5074">
        <w:trPr>
          <w:trHeight w:val="195"/>
        </w:trPr>
        <w:tc>
          <w:tcPr>
            <w:cnfStyle w:val="001000000000" w:firstRow="0" w:lastRow="0" w:firstColumn="1" w:lastColumn="0" w:oddVBand="0" w:evenVBand="0" w:oddHBand="0" w:evenHBand="0" w:firstRowFirstColumn="0" w:firstRowLastColumn="0" w:lastRowFirstColumn="0" w:lastRowLastColumn="0"/>
            <w:tcW w:w="1403" w:type="pct"/>
            <w:noWrap/>
            <w:hideMark/>
          </w:tcPr>
          <w:p w14:paraId="507BD9E0" w14:textId="77777777" w:rsidR="00E05341" w:rsidRPr="003C52AF" w:rsidRDefault="00E05341" w:rsidP="00E05341">
            <w:pPr>
              <w:spacing w:line="276" w:lineRule="auto"/>
              <w:jc w:val="both"/>
              <w:rPr>
                <w:rFonts w:cstheme="minorHAnsi"/>
                <w:b w:val="0"/>
                <w:sz w:val="18"/>
                <w:szCs w:val="18"/>
              </w:rPr>
            </w:pPr>
            <w:r w:rsidRPr="003C52AF">
              <w:rPr>
                <w:rFonts w:cstheme="minorHAnsi"/>
                <w:b w:val="0"/>
                <w:sz w:val="18"/>
                <w:szCs w:val="18"/>
              </w:rPr>
              <w:t>Poljoprivreda</w:t>
            </w:r>
          </w:p>
        </w:tc>
        <w:tc>
          <w:tcPr>
            <w:tcW w:w="292" w:type="pct"/>
            <w:noWrap/>
            <w:hideMark/>
          </w:tcPr>
          <w:p w14:paraId="3A625199"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7.0</w:t>
            </w:r>
          </w:p>
        </w:tc>
        <w:tc>
          <w:tcPr>
            <w:tcW w:w="292" w:type="pct"/>
            <w:noWrap/>
            <w:hideMark/>
          </w:tcPr>
          <w:p w14:paraId="68E131A6"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7.0</w:t>
            </w:r>
          </w:p>
        </w:tc>
        <w:tc>
          <w:tcPr>
            <w:tcW w:w="292" w:type="pct"/>
            <w:noWrap/>
            <w:hideMark/>
          </w:tcPr>
          <w:p w14:paraId="223A89B2"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7.0</w:t>
            </w:r>
          </w:p>
        </w:tc>
        <w:tc>
          <w:tcPr>
            <w:tcW w:w="292" w:type="pct"/>
            <w:noWrap/>
            <w:hideMark/>
          </w:tcPr>
          <w:p w14:paraId="3AC123B8"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7.0</w:t>
            </w:r>
          </w:p>
        </w:tc>
        <w:tc>
          <w:tcPr>
            <w:tcW w:w="292" w:type="pct"/>
            <w:noWrap/>
            <w:hideMark/>
          </w:tcPr>
          <w:p w14:paraId="1E840A36"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0.4</w:t>
            </w:r>
          </w:p>
        </w:tc>
        <w:tc>
          <w:tcPr>
            <w:tcW w:w="292" w:type="pct"/>
            <w:noWrap/>
            <w:hideMark/>
          </w:tcPr>
          <w:p w14:paraId="4A886E37"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0.4</w:t>
            </w:r>
          </w:p>
        </w:tc>
        <w:tc>
          <w:tcPr>
            <w:tcW w:w="292" w:type="pct"/>
            <w:noWrap/>
            <w:hideMark/>
          </w:tcPr>
          <w:p w14:paraId="6EF92173"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0.4</w:t>
            </w:r>
          </w:p>
        </w:tc>
        <w:tc>
          <w:tcPr>
            <w:tcW w:w="292" w:type="pct"/>
            <w:noWrap/>
            <w:hideMark/>
          </w:tcPr>
          <w:p w14:paraId="66852113"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0.4</w:t>
            </w:r>
          </w:p>
        </w:tc>
        <w:tc>
          <w:tcPr>
            <w:tcW w:w="315" w:type="pct"/>
            <w:noWrap/>
            <w:hideMark/>
          </w:tcPr>
          <w:p w14:paraId="1C52D01D"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7.2</w:t>
            </w:r>
          </w:p>
        </w:tc>
        <w:tc>
          <w:tcPr>
            <w:tcW w:w="315" w:type="pct"/>
            <w:noWrap/>
            <w:hideMark/>
          </w:tcPr>
          <w:p w14:paraId="3006A5D4"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7.3</w:t>
            </w:r>
          </w:p>
        </w:tc>
        <w:tc>
          <w:tcPr>
            <w:tcW w:w="315" w:type="pct"/>
            <w:noWrap/>
            <w:hideMark/>
          </w:tcPr>
          <w:p w14:paraId="0A147FD3"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7.6</w:t>
            </w:r>
          </w:p>
        </w:tc>
        <w:tc>
          <w:tcPr>
            <w:tcW w:w="315" w:type="pct"/>
            <w:noWrap/>
            <w:hideMark/>
          </w:tcPr>
          <w:p w14:paraId="4F7871E8"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7.8</w:t>
            </w:r>
          </w:p>
        </w:tc>
      </w:tr>
      <w:tr w:rsidR="00E05341" w:rsidRPr="003C52AF" w14:paraId="69E006CD" w14:textId="77777777" w:rsidTr="003E5074">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1403" w:type="pct"/>
            <w:noWrap/>
            <w:hideMark/>
          </w:tcPr>
          <w:p w14:paraId="2CAD177D" w14:textId="77777777" w:rsidR="00E05341" w:rsidRPr="003C52AF" w:rsidRDefault="00E05341" w:rsidP="00E05341">
            <w:pPr>
              <w:spacing w:line="276" w:lineRule="auto"/>
              <w:jc w:val="both"/>
              <w:rPr>
                <w:rFonts w:cstheme="minorHAnsi"/>
                <w:b w:val="0"/>
                <w:sz w:val="18"/>
                <w:szCs w:val="18"/>
              </w:rPr>
            </w:pPr>
            <w:r w:rsidRPr="003C52AF">
              <w:rPr>
                <w:rFonts w:cstheme="minorHAnsi"/>
                <w:b w:val="0"/>
                <w:sz w:val="18"/>
                <w:szCs w:val="18"/>
              </w:rPr>
              <w:t>Industrijska proizvodnja</w:t>
            </w:r>
          </w:p>
        </w:tc>
        <w:tc>
          <w:tcPr>
            <w:tcW w:w="292" w:type="pct"/>
            <w:noWrap/>
            <w:hideMark/>
          </w:tcPr>
          <w:p w14:paraId="076AD488"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4.2</w:t>
            </w:r>
          </w:p>
        </w:tc>
        <w:tc>
          <w:tcPr>
            <w:tcW w:w="292" w:type="pct"/>
            <w:noWrap/>
            <w:hideMark/>
          </w:tcPr>
          <w:p w14:paraId="286808C6"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6.0</w:t>
            </w:r>
          </w:p>
        </w:tc>
        <w:tc>
          <w:tcPr>
            <w:tcW w:w="292" w:type="pct"/>
            <w:noWrap/>
            <w:hideMark/>
          </w:tcPr>
          <w:p w14:paraId="3A256394"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6.2</w:t>
            </w:r>
          </w:p>
        </w:tc>
        <w:tc>
          <w:tcPr>
            <w:tcW w:w="292" w:type="pct"/>
            <w:noWrap/>
            <w:hideMark/>
          </w:tcPr>
          <w:p w14:paraId="476A01D4"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5.2</w:t>
            </w:r>
          </w:p>
        </w:tc>
        <w:tc>
          <w:tcPr>
            <w:tcW w:w="292" w:type="pct"/>
            <w:noWrap/>
            <w:hideMark/>
          </w:tcPr>
          <w:p w14:paraId="48D4EC6B"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0.4</w:t>
            </w:r>
          </w:p>
        </w:tc>
        <w:tc>
          <w:tcPr>
            <w:tcW w:w="292" w:type="pct"/>
            <w:noWrap/>
            <w:hideMark/>
          </w:tcPr>
          <w:p w14:paraId="2B7EACE0"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0.5</w:t>
            </w:r>
          </w:p>
        </w:tc>
        <w:tc>
          <w:tcPr>
            <w:tcW w:w="292" w:type="pct"/>
            <w:noWrap/>
            <w:hideMark/>
          </w:tcPr>
          <w:p w14:paraId="35BAC559"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0.6</w:t>
            </w:r>
          </w:p>
        </w:tc>
        <w:tc>
          <w:tcPr>
            <w:tcW w:w="292" w:type="pct"/>
            <w:noWrap/>
            <w:hideMark/>
          </w:tcPr>
          <w:p w14:paraId="5931B51B"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0.5</w:t>
            </w:r>
          </w:p>
        </w:tc>
        <w:tc>
          <w:tcPr>
            <w:tcW w:w="315" w:type="pct"/>
            <w:noWrap/>
            <w:hideMark/>
          </w:tcPr>
          <w:p w14:paraId="62FDBB7A"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11.3</w:t>
            </w:r>
          </w:p>
        </w:tc>
        <w:tc>
          <w:tcPr>
            <w:tcW w:w="315" w:type="pct"/>
            <w:noWrap/>
            <w:hideMark/>
          </w:tcPr>
          <w:p w14:paraId="3B0E1C06"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11.4</w:t>
            </w:r>
          </w:p>
        </w:tc>
        <w:tc>
          <w:tcPr>
            <w:tcW w:w="315" w:type="pct"/>
            <w:noWrap/>
            <w:hideMark/>
          </w:tcPr>
          <w:p w14:paraId="2755F0D1"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11.7</w:t>
            </w:r>
          </w:p>
        </w:tc>
        <w:tc>
          <w:tcPr>
            <w:tcW w:w="315" w:type="pct"/>
            <w:noWrap/>
            <w:hideMark/>
          </w:tcPr>
          <w:p w14:paraId="27044537"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11.8</w:t>
            </w:r>
          </w:p>
        </w:tc>
      </w:tr>
      <w:tr w:rsidR="00E05341" w:rsidRPr="003C52AF" w14:paraId="7AF107D9" w14:textId="77777777" w:rsidTr="003E5074">
        <w:trPr>
          <w:trHeight w:val="195"/>
        </w:trPr>
        <w:tc>
          <w:tcPr>
            <w:cnfStyle w:val="001000000000" w:firstRow="0" w:lastRow="0" w:firstColumn="1" w:lastColumn="0" w:oddVBand="0" w:evenVBand="0" w:oddHBand="0" w:evenHBand="0" w:firstRowFirstColumn="0" w:firstRowLastColumn="0" w:lastRowFirstColumn="0" w:lastRowLastColumn="0"/>
            <w:tcW w:w="1403" w:type="pct"/>
            <w:noWrap/>
            <w:hideMark/>
          </w:tcPr>
          <w:p w14:paraId="5271CCAD" w14:textId="77777777" w:rsidR="00E05341" w:rsidRPr="003C52AF" w:rsidRDefault="00E05341" w:rsidP="00E05341">
            <w:pPr>
              <w:spacing w:line="276" w:lineRule="auto"/>
              <w:jc w:val="both"/>
              <w:rPr>
                <w:rFonts w:cstheme="minorHAnsi"/>
                <w:b w:val="0"/>
                <w:sz w:val="18"/>
                <w:szCs w:val="18"/>
              </w:rPr>
            </w:pPr>
            <w:r w:rsidRPr="003C52AF">
              <w:rPr>
                <w:rFonts w:cstheme="minorHAnsi"/>
                <w:b w:val="0"/>
                <w:sz w:val="18"/>
                <w:szCs w:val="18"/>
              </w:rPr>
              <w:t>Građevinarstvo</w:t>
            </w:r>
          </w:p>
        </w:tc>
        <w:tc>
          <w:tcPr>
            <w:tcW w:w="292" w:type="pct"/>
            <w:noWrap/>
            <w:hideMark/>
          </w:tcPr>
          <w:p w14:paraId="72C5D965"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3.0</w:t>
            </w:r>
          </w:p>
        </w:tc>
        <w:tc>
          <w:tcPr>
            <w:tcW w:w="292" w:type="pct"/>
            <w:noWrap/>
            <w:hideMark/>
          </w:tcPr>
          <w:p w14:paraId="2B31DBA6"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5.0</w:t>
            </w:r>
          </w:p>
        </w:tc>
        <w:tc>
          <w:tcPr>
            <w:tcW w:w="292" w:type="pct"/>
            <w:noWrap/>
            <w:hideMark/>
          </w:tcPr>
          <w:p w14:paraId="32C42EC5"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3.0</w:t>
            </w:r>
          </w:p>
        </w:tc>
        <w:tc>
          <w:tcPr>
            <w:tcW w:w="292" w:type="pct"/>
            <w:noWrap/>
            <w:hideMark/>
          </w:tcPr>
          <w:p w14:paraId="2B430FA3"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4.0</w:t>
            </w:r>
          </w:p>
        </w:tc>
        <w:tc>
          <w:tcPr>
            <w:tcW w:w="292" w:type="pct"/>
            <w:noWrap/>
            <w:hideMark/>
          </w:tcPr>
          <w:p w14:paraId="46BBB269"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0.1</w:t>
            </w:r>
          </w:p>
        </w:tc>
        <w:tc>
          <w:tcPr>
            <w:tcW w:w="292" w:type="pct"/>
            <w:noWrap/>
            <w:hideMark/>
          </w:tcPr>
          <w:p w14:paraId="29B849F3"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0.2</w:t>
            </w:r>
          </w:p>
        </w:tc>
        <w:tc>
          <w:tcPr>
            <w:tcW w:w="292" w:type="pct"/>
            <w:noWrap/>
            <w:hideMark/>
          </w:tcPr>
          <w:p w14:paraId="1DF9C705"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0.1</w:t>
            </w:r>
          </w:p>
        </w:tc>
        <w:tc>
          <w:tcPr>
            <w:tcW w:w="292" w:type="pct"/>
            <w:noWrap/>
            <w:hideMark/>
          </w:tcPr>
          <w:p w14:paraId="1254D932"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0.1</w:t>
            </w:r>
          </w:p>
        </w:tc>
        <w:tc>
          <w:tcPr>
            <w:tcW w:w="315" w:type="pct"/>
            <w:noWrap/>
            <w:hideMark/>
          </w:tcPr>
          <w:p w14:paraId="5C1D067D"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4.4</w:t>
            </w:r>
          </w:p>
        </w:tc>
        <w:tc>
          <w:tcPr>
            <w:tcW w:w="315" w:type="pct"/>
            <w:noWrap/>
            <w:hideMark/>
          </w:tcPr>
          <w:p w14:paraId="608ED382"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4.4</w:t>
            </w:r>
          </w:p>
        </w:tc>
        <w:tc>
          <w:tcPr>
            <w:tcW w:w="315" w:type="pct"/>
            <w:noWrap/>
            <w:hideMark/>
          </w:tcPr>
          <w:p w14:paraId="625503DB"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4.3</w:t>
            </w:r>
          </w:p>
        </w:tc>
        <w:tc>
          <w:tcPr>
            <w:tcW w:w="315" w:type="pct"/>
            <w:noWrap/>
            <w:hideMark/>
          </w:tcPr>
          <w:p w14:paraId="7281DC65"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4.4</w:t>
            </w:r>
          </w:p>
        </w:tc>
      </w:tr>
      <w:tr w:rsidR="00E05341" w:rsidRPr="003C52AF" w14:paraId="1394C440" w14:textId="77777777" w:rsidTr="003E5074">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403" w:type="pct"/>
            <w:noWrap/>
            <w:hideMark/>
          </w:tcPr>
          <w:p w14:paraId="0BC70519" w14:textId="77777777" w:rsidR="00E05341" w:rsidRPr="003C52AF" w:rsidRDefault="00E05341" w:rsidP="00E05341">
            <w:pPr>
              <w:spacing w:line="276" w:lineRule="auto"/>
              <w:jc w:val="both"/>
              <w:rPr>
                <w:rFonts w:cstheme="minorHAnsi"/>
                <w:b w:val="0"/>
                <w:sz w:val="18"/>
                <w:szCs w:val="18"/>
              </w:rPr>
            </w:pPr>
            <w:r w:rsidRPr="003C52AF">
              <w:rPr>
                <w:rFonts w:cstheme="minorHAnsi"/>
                <w:b w:val="0"/>
                <w:sz w:val="18"/>
                <w:szCs w:val="18"/>
              </w:rPr>
              <w:t>Uslužne djelatnosti</w:t>
            </w:r>
          </w:p>
        </w:tc>
        <w:tc>
          <w:tcPr>
            <w:tcW w:w="292" w:type="pct"/>
            <w:noWrap/>
            <w:hideMark/>
          </w:tcPr>
          <w:p w14:paraId="6D1B4DE5"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4.1</w:t>
            </w:r>
          </w:p>
        </w:tc>
        <w:tc>
          <w:tcPr>
            <w:tcW w:w="292" w:type="pct"/>
            <w:noWrap/>
            <w:hideMark/>
          </w:tcPr>
          <w:p w14:paraId="4B8844C6"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4.6</w:t>
            </w:r>
          </w:p>
        </w:tc>
        <w:tc>
          <w:tcPr>
            <w:tcW w:w="292" w:type="pct"/>
            <w:noWrap/>
            <w:hideMark/>
          </w:tcPr>
          <w:p w14:paraId="45C34010"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3.1</w:t>
            </w:r>
          </w:p>
        </w:tc>
        <w:tc>
          <w:tcPr>
            <w:tcW w:w="292" w:type="pct"/>
            <w:noWrap/>
            <w:hideMark/>
          </w:tcPr>
          <w:p w14:paraId="6E7D815F"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3.4</w:t>
            </w:r>
          </w:p>
        </w:tc>
        <w:tc>
          <w:tcPr>
            <w:tcW w:w="292" w:type="pct"/>
            <w:noWrap/>
            <w:hideMark/>
          </w:tcPr>
          <w:p w14:paraId="5FD9185D"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2.5</w:t>
            </w:r>
          </w:p>
        </w:tc>
        <w:tc>
          <w:tcPr>
            <w:tcW w:w="292" w:type="pct"/>
            <w:noWrap/>
            <w:hideMark/>
          </w:tcPr>
          <w:p w14:paraId="2688958F"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2.9</w:t>
            </w:r>
          </w:p>
        </w:tc>
        <w:tc>
          <w:tcPr>
            <w:tcW w:w="292" w:type="pct"/>
            <w:noWrap/>
            <w:hideMark/>
          </w:tcPr>
          <w:p w14:paraId="60DE4665"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1.9</w:t>
            </w:r>
          </w:p>
        </w:tc>
        <w:tc>
          <w:tcPr>
            <w:tcW w:w="292" w:type="pct"/>
            <w:noWrap/>
            <w:hideMark/>
          </w:tcPr>
          <w:p w14:paraId="4A3F7A6A"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2.1</w:t>
            </w:r>
          </w:p>
        </w:tc>
        <w:tc>
          <w:tcPr>
            <w:tcW w:w="315" w:type="pct"/>
            <w:noWrap/>
            <w:hideMark/>
          </w:tcPr>
          <w:p w14:paraId="004819AA"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77.1</w:t>
            </w:r>
          </w:p>
        </w:tc>
        <w:tc>
          <w:tcPr>
            <w:tcW w:w="315" w:type="pct"/>
            <w:noWrap/>
            <w:hideMark/>
          </w:tcPr>
          <w:p w14:paraId="690D4A79"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76.9</w:t>
            </w:r>
          </w:p>
        </w:tc>
        <w:tc>
          <w:tcPr>
            <w:tcW w:w="315" w:type="pct"/>
            <w:noWrap/>
            <w:hideMark/>
          </w:tcPr>
          <w:p w14:paraId="3DEEFB3F"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76.4</w:t>
            </w:r>
          </w:p>
        </w:tc>
        <w:tc>
          <w:tcPr>
            <w:tcW w:w="315" w:type="pct"/>
            <w:noWrap/>
            <w:hideMark/>
          </w:tcPr>
          <w:p w14:paraId="14296858"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76.0</w:t>
            </w:r>
          </w:p>
        </w:tc>
      </w:tr>
      <w:tr w:rsidR="00E05341" w:rsidRPr="003C52AF" w14:paraId="3FAF29C9" w14:textId="77777777" w:rsidTr="003E5074">
        <w:trPr>
          <w:trHeight w:val="254"/>
        </w:trPr>
        <w:tc>
          <w:tcPr>
            <w:cnfStyle w:val="001000000000" w:firstRow="0" w:lastRow="0" w:firstColumn="1" w:lastColumn="0" w:oddVBand="0" w:evenVBand="0" w:oddHBand="0" w:evenHBand="0" w:firstRowFirstColumn="0" w:firstRowLastColumn="0" w:lastRowFirstColumn="0" w:lastRowLastColumn="0"/>
            <w:tcW w:w="1403" w:type="pct"/>
            <w:noWrap/>
            <w:hideMark/>
          </w:tcPr>
          <w:p w14:paraId="4D397B47" w14:textId="77777777" w:rsidR="00E05341" w:rsidRPr="003C52AF" w:rsidRDefault="00E05341" w:rsidP="00E05341">
            <w:pPr>
              <w:spacing w:line="276" w:lineRule="auto"/>
              <w:jc w:val="both"/>
              <w:rPr>
                <w:rFonts w:cstheme="minorHAnsi"/>
                <w:b w:val="0"/>
                <w:sz w:val="18"/>
                <w:szCs w:val="18"/>
              </w:rPr>
            </w:pPr>
            <w:r w:rsidRPr="003C52AF">
              <w:rPr>
                <w:rFonts w:cstheme="minorHAnsi"/>
                <w:b w:val="0"/>
                <w:sz w:val="18"/>
                <w:szCs w:val="18"/>
              </w:rPr>
              <w:t xml:space="preserve"> -od čega usluge smještaja i ishrane</w:t>
            </w:r>
          </w:p>
        </w:tc>
        <w:tc>
          <w:tcPr>
            <w:tcW w:w="292" w:type="pct"/>
            <w:noWrap/>
            <w:hideMark/>
          </w:tcPr>
          <w:p w14:paraId="313B3D31"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-2.0</w:t>
            </w:r>
          </w:p>
        </w:tc>
        <w:tc>
          <w:tcPr>
            <w:tcW w:w="292" w:type="pct"/>
            <w:noWrap/>
            <w:hideMark/>
          </w:tcPr>
          <w:p w14:paraId="48A757F1"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6.0</w:t>
            </w:r>
          </w:p>
        </w:tc>
        <w:tc>
          <w:tcPr>
            <w:tcW w:w="292" w:type="pct"/>
            <w:noWrap/>
            <w:hideMark/>
          </w:tcPr>
          <w:p w14:paraId="56E59BE8"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6.0</w:t>
            </w:r>
          </w:p>
        </w:tc>
        <w:tc>
          <w:tcPr>
            <w:tcW w:w="292" w:type="pct"/>
            <w:noWrap/>
            <w:hideMark/>
          </w:tcPr>
          <w:p w14:paraId="419AE793"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7.0</w:t>
            </w:r>
          </w:p>
        </w:tc>
        <w:tc>
          <w:tcPr>
            <w:tcW w:w="292" w:type="pct"/>
            <w:noWrap/>
            <w:hideMark/>
          </w:tcPr>
          <w:p w14:paraId="6EB2D980"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-0.2</w:t>
            </w:r>
          </w:p>
        </w:tc>
        <w:tc>
          <w:tcPr>
            <w:tcW w:w="292" w:type="pct"/>
            <w:noWrap/>
            <w:hideMark/>
          </w:tcPr>
          <w:p w14:paraId="5E4F014E"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0.5</w:t>
            </w:r>
          </w:p>
        </w:tc>
        <w:tc>
          <w:tcPr>
            <w:tcW w:w="292" w:type="pct"/>
            <w:noWrap/>
            <w:hideMark/>
          </w:tcPr>
          <w:p w14:paraId="17F1E647"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0.5</w:t>
            </w:r>
          </w:p>
        </w:tc>
        <w:tc>
          <w:tcPr>
            <w:tcW w:w="292" w:type="pct"/>
            <w:noWrap/>
            <w:hideMark/>
          </w:tcPr>
          <w:p w14:paraId="361BFC93"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0.6</w:t>
            </w:r>
          </w:p>
        </w:tc>
        <w:tc>
          <w:tcPr>
            <w:tcW w:w="315" w:type="pct"/>
            <w:noWrap/>
            <w:hideMark/>
          </w:tcPr>
          <w:p w14:paraId="6AB55184"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10.2</w:t>
            </w:r>
          </w:p>
        </w:tc>
        <w:tc>
          <w:tcPr>
            <w:tcW w:w="315" w:type="pct"/>
            <w:noWrap/>
            <w:hideMark/>
          </w:tcPr>
          <w:p w14:paraId="4905250C"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10.3</w:t>
            </w:r>
          </w:p>
        </w:tc>
        <w:tc>
          <w:tcPr>
            <w:tcW w:w="315" w:type="pct"/>
            <w:noWrap/>
            <w:hideMark/>
          </w:tcPr>
          <w:p w14:paraId="656B0D02"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10.5</w:t>
            </w:r>
          </w:p>
        </w:tc>
        <w:tc>
          <w:tcPr>
            <w:tcW w:w="315" w:type="pct"/>
            <w:noWrap/>
            <w:hideMark/>
          </w:tcPr>
          <w:p w14:paraId="56DEE2C9"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10.8</w:t>
            </w:r>
          </w:p>
        </w:tc>
      </w:tr>
      <w:tr w:rsidR="00E05341" w:rsidRPr="003C52AF" w14:paraId="08D0763B" w14:textId="77777777" w:rsidTr="003E5074">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1403" w:type="pct"/>
            <w:noWrap/>
            <w:hideMark/>
          </w:tcPr>
          <w:p w14:paraId="3DE2EC05" w14:textId="77777777" w:rsidR="00E05341" w:rsidRPr="003C52AF" w:rsidRDefault="00E05341" w:rsidP="00E05341">
            <w:pPr>
              <w:spacing w:line="276" w:lineRule="auto"/>
              <w:jc w:val="both"/>
              <w:rPr>
                <w:rFonts w:cstheme="minorHAnsi"/>
                <w:b w:val="0"/>
                <w:sz w:val="18"/>
                <w:szCs w:val="18"/>
              </w:rPr>
            </w:pPr>
            <w:r w:rsidRPr="003C52AF">
              <w:rPr>
                <w:rFonts w:cstheme="minorHAnsi"/>
                <w:b w:val="0"/>
                <w:sz w:val="18"/>
                <w:szCs w:val="18"/>
              </w:rPr>
              <w:t>BDV (bruto dodata vrijednost)</w:t>
            </w:r>
          </w:p>
        </w:tc>
        <w:tc>
          <w:tcPr>
            <w:tcW w:w="292" w:type="pct"/>
            <w:noWrap/>
            <w:hideMark/>
          </w:tcPr>
          <w:p w14:paraId="45855A27"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3.8</w:t>
            </w:r>
          </w:p>
        </w:tc>
        <w:tc>
          <w:tcPr>
            <w:tcW w:w="292" w:type="pct"/>
            <w:noWrap/>
            <w:hideMark/>
          </w:tcPr>
          <w:p w14:paraId="27E057F2"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4.8</w:t>
            </w:r>
          </w:p>
        </w:tc>
        <w:tc>
          <w:tcPr>
            <w:tcW w:w="292" w:type="pct"/>
            <w:noWrap/>
            <w:hideMark/>
          </w:tcPr>
          <w:p w14:paraId="649AA738"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3.2</w:t>
            </w:r>
          </w:p>
        </w:tc>
        <w:tc>
          <w:tcPr>
            <w:tcW w:w="292" w:type="pct"/>
            <w:noWrap/>
            <w:hideMark/>
          </w:tcPr>
          <w:p w14:paraId="1C0DF40D"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3.1</w:t>
            </w:r>
          </w:p>
        </w:tc>
        <w:tc>
          <w:tcPr>
            <w:tcW w:w="292" w:type="pct"/>
            <w:noWrap/>
            <w:hideMark/>
          </w:tcPr>
          <w:p w14:paraId="5E584EFE"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3.8</w:t>
            </w:r>
          </w:p>
        </w:tc>
        <w:tc>
          <w:tcPr>
            <w:tcW w:w="292" w:type="pct"/>
            <w:noWrap/>
            <w:hideMark/>
          </w:tcPr>
          <w:p w14:paraId="7CDB4FEB"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4.8</w:t>
            </w:r>
          </w:p>
        </w:tc>
        <w:tc>
          <w:tcPr>
            <w:tcW w:w="292" w:type="pct"/>
            <w:noWrap/>
            <w:hideMark/>
          </w:tcPr>
          <w:p w14:paraId="0495EEEC"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3.2</w:t>
            </w:r>
          </w:p>
        </w:tc>
        <w:tc>
          <w:tcPr>
            <w:tcW w:w="292" w:type="pct"/>
            <w:noWrap/>
            <w:hideMark/>
          </w:tcPr>
          <w:p w14:paraId="06FB93A7"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3.1</w:t>
            </w:r>
          </w:p>
        </w:tc>
        <w:tc>
          <w:tcPr>
            <w:tcW w:w="315" w:type="pct"/>
            <w:noWrap/>
            <w:hideMark/>
          </w:tcPr>
          <w:p w14:paraId="7C5C1ED1"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100.0</w:t>
            </w:r>
          </w:p>
        </w:tc>
        <w:tc>
          <w:tcPr>
            <w:tcW w:w="315" w:type="pct"/>
            <w:noWrap/>
            <w:hideMark/>
          </w:tcPr>
          <w:p w14:paraId="75173E1F"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100.0</w:t>
            </w:r>
          </w:p>
        </w:tc>
        <w:tc>
          <w:tcPr>
            <w:tcW w:w="315" w:type="pct"/>
            <w:noWrap/>
            <w:hideMark/>
          </w:tcPr>
          <w:p w14:paraId="17B71164"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100.0</w:t>
            </w:r>
          </w:p>
        </w:tc>
        <w:tc>
          <w:tcPr>
            <w:tcW w:w="315" w:type="pct"/>
            <w:noWrap/>
            <w:hideMark/>
          </w:tcPr>
          <w:p w14:paraId="6522F2FB"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100.0</w:t>
            </w:r>
          </w:p>
        </w:tc>
      </w:tr>
      <w:tr w:rsidR="00E05341" w:rsidRPr="003C52AF" w14:paraId="540358A4" w14:textId="77777777" w:rsidTr="003E5074">
        <w:trPr>
          <w:trHeight w:val="203"/>
        </w:trPr>
        <w:tc>
          <w:tcPr>
            <w:cnfStyle w:val="001000000000" w:firstRow="0" w:lastRow="0" w:firstColumn="1" w:lastColumn="0" w:oddVBand="0" w:evenVBand="0" w:oddHBand="0" w:evenHBand="0" w:firstRowFirstColumn="0" w:firstRowLastColumn="0" w:lastRowFirstColumn="0" w:lastRowLastColumn="0"/>
            <w:tcW w:w="1403" w:type="pct"/>
            <w:noWrap/>
            <w:hideMark/>
          </w:tcPr>
          <w:p w14:paraId="40547041" w14:textId="77777777" w:rsidR="00E05341" w:rsidRPr="003C52AF" w:rsidRDefault="00E05341" w:rsidP="00E05341">
            <w:pPr>
              <w:spacing w:line="276" w:lineRule="auto"/>
              <w:jc w:val="both"/>
              <w:rPr>
                <w:rFonts w:cstheme="minorHAnsi"/>
                <w:b w:val="0"/>
                <w:sz w:val="18"/>
                <w:szCs w:val="18"/>
              </w:rPr>
            </w:pPr>
            <w:r w:rsidRPr="003C52AF">
              <w:rPr>
                <w:rFonts w:cstheme="minorHAnsi"/>
                <w:b w:val="0"/>
                <w:sz w:val="18"/>
                <w:szCs w:val="18"/>
              </w:rPr>
              <w:t>Porezi minus subvencije</w:t>
            </w:r>
          </w:p>
        </w:tc>
        <w:tc>
          <w:tcPr>
            <w:tcW w:w="292" w:type="pct"/>
            <w:noWrap/>
            <w:hideMark/>
          </w:tcPr>
          <w:p w14:paraId="026337A6"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0.0</w:t>
            </w:r>
          </w:p>
        </w:tc>
        <w:tc>
          <w:tcPr>
            <w:tcW w:w="292" w:type="pct"/>
            <w:noWrap/>
            <w:hideMark/>
          </w:tcPr>
          <w:p w14:paraId="335A7A1A"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0.0</w:t>
            </w:r>
          </w:p>
        </w:tc>
        <w:tc>
          <w:tcPr>
            <w:tcW w:w="292" w:type="pct"/>
            <w:noWrap/>
            <w:hideMark/>
          </w:tcPr>
          <w:p w14:paraId="310B0407"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0.0</w:t>
            </w:r>
          </w:p>
        </w:tc>
        <w:tc>
          <w:tcPr>
            <w:tcW w:w="292" w:type="pct"/>
            <w:noWrap/>
            <w:hideMark/>
          </w:tcPr>
          <w:p w14:paraId="0EA63D17"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0.0</w:t>
            </w:r>
          </w:p>
        </w:tc>
        <w:tc>
          <w:tcPr>
            <w:tcW w:w="292" w:type="pct"/>
            <w:noWrap/>
            <w:hideMark/>
          </w:tcPr>
          <w:p w14:paraId="1A8245D8"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0.0</w:t>
            </w:r>
          </w:p>
        </w:tc>
        <w:tc>
          <w:tcPr>
            <w:tcW w:w="292" w:type="pct"/>
            <w:noWrap/>
            <w:hideMark/>
          </w:tcPr>
          <w:p w14:paraId="12BE2293"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0.0</w:t>
            </w:r>
          </w:p>
        </w:tc>
        <w:tc>
          <w:tcPr>
            <w:tcW w:w="292" w:type="pct"/>
            <w:noWrap/>
            <w:hideMark/>
          </w:tcPr>
          <w:p w14:paraId="2341103C"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0.0</w:t>
            </w:r>
          </w:p>
        </w:tc>
        <w:tc>
          <w:tcPr>
            <w:tcW w:w="292" w:type="pct"/>
            <w:noWrap/>
            <w:hideMark/>
          </w:tcPr>
          <w:p w14:paraId="1218956E"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0.0</w:t>
            </w:r>
          </w:p>
        </w:tc>
        <w:tc>
          <w:tcPr>
            <w:tcW w:w="315" w:type="pct"/>
            <w:noWrap/>
            <w:hideMark/>
          </w:tcPr>
          <w:p w14:paraId="54296950"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N/A</w:t>
            </w:r>
          </w:p>
        </w:tc>
        <w:tc>
          <w:tcPr>
            <w:tcW w:w="315" w:type="pct"/>
            <w:noWrap/>
            <w:hideMark/>
          </w:tcPr>
          <w:p w14:paraId="53B9FF6C"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N/A</w:t>
            </w:r>
          </w:p>
        </w:tc>
        <w:tc>
          <w:tcPr>
            <w:tcW w:w="315" w:type="pct"/>
            <w:noWrap/>
            <w:hideMark/>
          </w:tcPr>
          <w:p w14:paraId="2188B884"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N/A</w:t>
            </w:r>
          </w:p>
        </w:tc>
        <w:tc>
          <w:tcPr>
            <w:tcW w:w="315" w:type="pct"/>
            <w:noWrap/>
            <w:hideMark/>
          </w:tcPr>
          <w:p w14:paraId="151B511C" w14:textId="77777777" w:rsidR="00E05341" w:rsidRPr="003C52AF" w:rsidRDefault="00E05341" w:rsidP="00E05341">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C52AF">
              <w:rPr>
                <w:rFonts w:cstheme="minorHAnsi"/>
                <w:sz w:val="18"/>
                <w:szCs w:val="18"/>
              </w:rPr>
              <w:t>N/A</w:t>
            </w:r>
          </w:p>
        </w:tc>
      </w:tr>
      <w:tr w:rsidR="00E05341" w:rsidRPr="003C52AF" w14:paraId="405D7F76" w14:textId="77777777" w:rsidTr="003E5074">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403" w:type="pct"/>
            <w:noWrap/>
            <w:hideMark/>
          </w:tcPr>
          <w:p w14:paraId="1F6C71A2" w14:textId="77777777" w:rsidR="00E05341" w:rsidRPr="003C52AF" w:rsidRDefault="00E05341" w:rsidP="00E05341">
            <w:pPr>
              <w:spacing w:line="276" w:lineRule="auto"/>
              <w:jc w:val="both"/>
              <w:rPr>
                <w:rFonts w:cstheme="minorHAnsi"/>
                <w:b w:val="0"/>
                <w:sz w:val="18"/>
                <w:szCs w:val="18"/>
              </w:rPr>
            </w:pPr>
            <w:r w:rsidRPr="003C52AF">
              <w:rPr>
                <w:rFonts w:cstheme="minorHAnsi"/>
                <w:b w:val="0"/>
                <w:sz w:val="18"/>
                <w:szCs w:val="18"/>
              </w:rPr>
              <w:t>BDP</w:t>
            </w:r>
          </w:p>
        </w:tc>
        <w:tc>
          <w:tcPr>
            <w:tcW w:w="292" w:type="pct"/>
            <w:noWrap/>
            <w:hideMark/>
          </w:tcPr>
          <w:p w14:paraId="1E501677"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3.8</w:t>
            </w:r>
          </w:p>
        </w:tc>
        <w:tc>
          <w:tcPr>
            <w:tcW w:w="292" w:type="pct"/>
            <w:noWrap/>
            <w:hideMark/>
          </w:tcPr>
          <w:p w14:paraId="017A9911"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4.8</w:t>
            </w:r>
          </w:p>
        </w:tc>
        <w:tc>
          <w:tcPr>
            <w:tcW w:w="292" w:type="pct"/>
            <w:noWrap/>
            <w:hideMark/>
          </w:tcPr>
          <w:p w14:paraId="574EDFBD"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3.2</w:t>
            </w:r>
          </w:p>
        </w:tc>
        <w:tc>
          <w:tcPr>
            <w:tcW w:w="292" w:type="pct"/>
            <w:noWrap/>
            <w:hideMark/>
          </w:tcPr>
          <w:p w14:paraId="07EA4934"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3.1</w:t>
            </w:r>
          </w:p>
        </w:tc>
        <w:tc>
          <w:tcPr>
            <w:tcW w:w="292" w:type="pct"/>
            <w:noWrap/>
            <w:hideMark/>
          </w:tcPr>
          <w:p w14:paraId="42071247"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3.8</w:t>
            </w:r>
          </w:p>
        </w:tc>
        <w:tc>
          <w:tcPr>
            <w:tcW w:w="292" w:type="pct"/>
            <w:noWrap/>
            <w:hideMark/>
          </w:tcPr>
          <w:p w14:paraId="24550516"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4.8</w:t>
            </w:r>
          </w:p>
        </w:tc>
        <w:tc>
          <w:tcPr>
            <w:tcW w:w="292" w:type="pct"/>
            <w:noWrap/>
            <w:hideMark/>
          </w:tcPr>
          <w:p w14:paraId="6CB0E7EB"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3.2</w:t>
            </w:r>
          </w:p>
        </w:tc>
        <w:tc>
          <w:tcPr>
            <w:tcW w:w="292" w:type="pct"/>
            <w:noWrap/>
            <w:hideMark/>
          </w:tcPr>
          <w:p w14:paraId="59BE14C9"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3.1</w:t>
            </w:r>
          </w:p>
        </w:tc>
        <w:tc>
          <w:tcPr>
            <w:tcW w:w="315" w:type="pct"/>
            <w:noWrap/>
            <w:hideMark/>
          </w:tcPr>
          <w:p w14:paraId="6C304AF1"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N/A</w:t>
            </w:r>
          </w:p>
        </w:tc>
        <w:tc>
          <w:tcPr>
            <w:tcW w:w="315" w:type="pct"/>
            <w:noWrap/>
            <w:hideMark/>
          </w:tcPr>
          <w:p w14:paraId="13B7FD49"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N/A</w:t>
            </w:r>
          </w:p>
        </w:tc>
        <w:tc>
          <w:tcPr>
            <w:tcW w:w="315" w:type="pct"/>
            <w:noWrap/>
            <w:hideMark/>
          </w:tcPr>
          <w:p w14:paraId="147C8535"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N/A</w:t>
            </w:r>
          </w:p>
        </w:tc>
        <w:tc>
          <w:tcPr>
            <w:tcW w:w="315" w:type="pct"/>
            <w:noWrap/>
            <w:hideMark/>
          </w:tcPr>
          <w:p w14:paraId="080EF1C3" w14:textId="77777777" w:rsidR="00E05341" w:rsidRPr="003C52AF" w:rsidRDefault="00E05341" w:rsidP="00E05341">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C52AF">
              <w:rPr>
                <w:rFonts w:cstheme="minorHAnsi"/>
                <w:sz w:val="18"/>
                <w:szCs w:val="18"/>
              </w:rPr>
              <w:t>N/A</w:t>
            </w:r>
          </w:p>
        </w:tc>
      </w:tr>
    </w:tbl>
    <w:p w14:paraId="5DEF9F7E" w14:textId="77777777" w:rsidR="00E05341" w:rsidRPr="00A235D9" w:rsidRDefault="00E05341" w:rsidP="00E05341">
      <w:pPr>
        <w:spacing w:line="276" w:lineRule="auto"/>
        <w:jc w:val="both"/>
        <w:rPr>
          <w:rFonts w:cstheme="minorHAnsi"/>
          <w:i/>
          <w:sz w:val="18"/>
          <w:szCs w:val="16"/>
          <w:lang w:val="sr-Latn-ME"/>
        </w:rPr>
      </w:pPr>
      <w:r w:rsidRPr="00A235D9">
        <w:rPr>
          <w:rFonts w:cstheme="minorHAnsi"/>
          <w:i/>
          <w:sz w:val="18"/>
          <w:szCs w:val="16"/>
          <w:lang w:val="sr-Latn-ME"/>
        </w:rPr>
        <w:t>Izvor: Projekcije Ministarstva finansija</w:t>
      </w:r>
    </w:p>
    <w:p w14:paraId="4CC68581" w14:textId="77777777" w:rsidR="00E05341" w:rsidRPr="00216F29" w:rsidRDefault="00E05341" w:rsidP="00E05341">
      <w:pPr>
        <w:jc w:val="both"/>
        <w:rPr>
          <w:rFonts w:cstheme="minorHAnsi"/>
          <w:sz w:val="24"/>
          <w:szCs w:val="24"/>
          <w:lang w:val="sr-Latn-ME"/>
        </w:rPr>
      </w:pPr>
      <w:r w:rsidRPr="00216F29">
        <w:rPr>
          <w:rFonts w:cstheme="minorHAnsi"/>
          <w:sz w:val="24"/>
          <w:szCs w:val="24"/>
          <w:lang w:val="sr-Latn-ME"/>
        </w:rPr>
        <w:t>Planirano ostvarenje makroekonomskih i fiskalnih pokazatelja u srednjem roku zasnovano je na tekućim planovima i politikama, pretpostavkama privrednog ciklusa u EU, uz predviđene mjere reformi kojima će se ostvariti osnovni scenario prognoziranih kretanja. Ipak, usljed neizvjesnog konteksta domaćeg i eksternog okruženja u kojima se odvija privredna aktivnost, projektovani pokazatelji su podložni promjenama usljed identifikovanih rizika po makroekonomsku i finansijsku stabilnost.</w:t>
      </w:r>
    </w:p>
    <w:p w14:paraId="76FC92CE" w14:textId="77777777" w:rsidR="00E05341" w:rsidRPr="00216F29" w:rsidRDefault="00E05341" w:rsidP="00E05341">
      <w:pPr>
        <w:jc w:val="both"/>
        <w:rPr>
          <w:rFonts w:cstheme="minorHAnsi"/>
          <w:sz w:val="24"/>
          <w:szCs w:val="24"/>
          <w:lang w:val="sr-Latn-ME"/>
        </w:rPr>
      </w:pPr>
      <w:r w:rsidRPr="00216F29">
        <w:rPr>
          <w:rFonts w:cstheme="minorHAnsi"/>
          <w:sz w:val="24"/>
          <w:szCs w:val="24"/>
          <w:lang w:val="sr-Latn-ME"/>
        </w:rPr>
        <w:t>Stoga, ključni rizici koji bi mogli uticati na prospekte rasta u narednom periodu su dati u nastavku:</w:t>
      </w:r>
    </w:p>
    <w:p w14:paraId="5298ED15" w14:textId="77777777" w:rsidR="00E05341" w:rsidRDefault="00E05341" w:rsidP="00E05341">
      <w:pPr>
        <w:pStyle w:val="ListParagraph"/>
        <w:widowControl w:val="0"/>
        <w:numPr>
          <w:ilvl w:val="0"/>
          <w:numId w:val="7"/>
        </w:numPr>
        <w:autoSpaceDE w:val="0"/>
        <w:autoSpaceDN w:val="0"/>
        <w:adjustRightInd w:val="0"/>
        <w:spacing w:after="0" w:line="276" w:lineRule="auto"/>
        <w:ind w:right="130"/>
        <w:contextualSpacing w:val="0"/>
        <w:jc w:val="both"/>
        <w:rPr>
          <w:rFonts w:cstheme="minorHAnsi"/>
          <w:sz w:val="24"/>
          <w:szCs w:val="24"/>
          <w:lang w:val="sr-Latn-ME"/>
        </w:rPr>
      </w:pPr>
      <w:r w:rsidRPr="00216F29">
        <w:rPr>
          <w:rFonts w:cstheme="minorHAnsi"/>
          <w:sz w:val="24"/>
          <w:szCs w:val="24"/>
          <w:lang w:val="sr-Latn-ME"/>
        </w:rPr>
        <w:t>Usporavanjem evropske ekonomije i trajućim inflatornim pritiscima, ranjivosti domaće ekonomije ostaju snažno izražene. Efekti značajnijih promjena u privrednim trendovima EU, se dominantno odnose na potencijalno niži rast turizma u Crnoj Gori, investicija i potrošnje, a posljedično i na niži ekonomski rast</w:t>
      </w:r>
      <w:r>
        <w:rPr>
          <w:rFonts w:cstheme="minorHAnsi"/>
          <w:sz w:val="24"/>
          <w:szCs w:val="24"/>
          <w:lang w:val="sr-Latn-ME"/>
        </w:rPr>
        <w:t>;</w:t>
      </w:r>
    </w:p>
    <w:p w14:paraId="4FCC2F65" w14:textId="77777777" w:rsidR="00E05341" w:rsidRDefault="00E05341" w:rsidP="00E05341">
      <w:pPr>
        <w:pStyle w:val="ListParagraph"/>
        <w:widowControl w:val="0"/>
        <w:numPr>
          <w:ilvl w:val="0"/>
          <w:numId w:val="7"/>
        </w:numPr>
        <w:autoSpaceDE w:val="0"/>
        <w:autoSpaceDN w:val="0"/>
        <w:adjustRightInd w:val="0"/>
        <w:spacing w:after="0" w:line="276" w:lineRule="auto"/>
        <w:ind w:right="130"/>
        <w:contextualSpacing w:val="0"/>
        <w:jc w:val="both"/>
        <w:rPr>
          <w:rFonts w:cstheme="minorHAnsi"/>
          <w:sz w:val="24"/>
          <w:szCs w:val="24"/>
          <w:lang w:val="sr-Latn-ME"/>
        </w:rPr>
      </w:pPr>
      <w:r>
        <w:rPr>
          <w:rFonts w:cstheme="minorHAnsi"/>
          <w:sz w:val="24"/>
          <w:szCs w:val="24"/>
          <w:lang w:val="sr-Latn-ME"/>
        </w:rPr>
        <w:t>Sporija dinamika implementacije investicionih planova i strukturnih reformi u ekonomiji, koja može dovesti do usporavanja ekonomskog rasta i ostvarenja prihoda budžeta;</w:t>
      </w:r>
    </w:p>
    <w:p w14:paraId="67431DB1" w14:textId="676E4083" w:rsidR="00E05341" w:rsidRDefault="00E05341" w:rsidP="00E05341">
      <w:pPr>
        <w:pStyle w:val="ListParagraph"/>
        <w:widowControl w:val="0"/>
        <w:numPr>
          <w:ilvl w:val="0"/>
          <w:numId w:val="7"/>
        </w:numPr>
        <w:autoSpaceDE w:val="0"/>
        <w:autoSpaceDN w:val="0"/>
        <w:adjustRightInd w:val="0"/>
        <w:spacing w:after="0" w:line="276" w:lineRule="auto"/>
        <w:ind w:right="130"/>
        <w:contextualSpacing w:val="0"/>
        <w:jc w:val="both"/>
        <w:rPr>
          <w:rFonts w:cstheme="minorHAnsi"/>
          <w:sz w:val="24"/>
          <w:szCs w:val="24"/>
          <w:lang w:val="sr-Latn-ME"/>
        </w:rPr>
      </w:pPr>
      <w:r w:rsidRPr="00216F29">
        <w:rPr>
          <w:rFonts w:cstheme="minorHAnsi"/>
          <w:sz w:val="24"/>
          <w:szCs w:val="24"/>
          <w:lang w:val="sr-Latn-ME"/>
        </w:rPr>
        <w:t>Klimatske promjene mogu imati efekte po dinamiku rasta ekonomije u srednjem roku, usljed uticaja na sektore turizma, poljoprivrede i energetike.</w:t>
      </w:r>
    </w:p>
    <w:p w14:paraId="4F2FF0BF" w14:textId="77777777" w:rsidR="00E05341" w:rsidRPr="00F968B6" w:rsidRDefault="00E05341" w:rsidP="00E05341">
      <w:pPr>
        <w:rPr>
          <w:rFonts w:cstheme="minorHAnsi"/>
          <w:sz w:val="24"/>
          <w:szCs w:val="24"/>
          <w:lang w:val="sr-Latn-ME"/>
        </w:rPr>
      </w:pPr>
    </w:p>
    <w:p w14:paraId="7D339FEE" w14:textId="29757404" w:rsidR="00E05341" w:rsidRDefault="00E05341" w:rsidP="00E05341">
      <w:pPr>
        <w:spacing w:line="276" w:lineRule="auto"/>
        <w:jc w:val="both"/>
        <w:rPr>
          <w:rFonts w:eastAsiaTheme="majorEastAsia" w:cstheme="minorHAnsi"/>
          <w:b/>
          <w:color w:val="2F5496" w:themeColor="accent1" w:themeShade="BF"/>
          <w:sz w:val="24"/>
          <w:szCs w:val="24"/>
          <w:lang w:val="sr-Latn-ME"/>
        </w:rPr>
      </w:pPr>
      <w:r>
        <w:rPr>
          <w:rFonts w:eastAsiaTheme="majorEastAsia" w:cstheme="minorHAnsi"/>
          <w:b/>
          <w:color w:val="2F5496" w:themeColor="accent1" w:themeShade="BF"/>
          <w:sz w:val="24"/>
          <w:szCs w:val="24"/>
          <w:lang w:val="sr-Latn-ME"/>
        </w:rPr>
        <w:t>1</w:t>
      </w:r>
      <w:r w:rsidRPr="00216F29">
        <w:rPr>
          <w:rFonts w:eastAsiaTheme="majorEastAsia" w:cstheme="minorHAnsi"/>
          <w:b/>
          <w:color w:val="2F5496" w:themeColor="accent1" w:themeShade="BF"/>
          <w:sz w:val="24"/>
          <w:szCs w:val="24"/>
          <w:lang w:val="sr-Latn-ME"/>
        </w:rPr>
        <w:t>.2.2</w:t>
      </w:r>
      <w:r w:rsidR="002E35FA">
        <w:rPr>
          <w:rFonts w:eastAsiaTheme="majorEastAsia" w:cstheme="minorHAnsi"/>
          <w:b/>
          <w:color w:val="2F5496" w:themeColor="accent1" w:themeShade="BF"/>
          <w:sz w:val="24"/>
          <w:szCs w:val="24"/>
          <w:lang w:val="sr-Latn-ME"/>
        </w:rPr>
        <w:t>.</w:t>
      </w:r>
      <w:r w:rsidRPr="00216F29">
        <w:rPr>
          <w:rFonts w:eastAsiaTheme="majorEastAsia" w:cstheme="minorHAnsi"/>
          <w:b/>
          <w:color w:val="2F5496" w:themeColor="accent1" w:themeShade="BF"/>
          <w:sz w:val="24"/>
          <w:szCs w:val="24"/>
          <w:lang w:val="sr-Latn-ME"/>
        </w:rPr>
        <w:t xml:space="preserve"> Potencijalni rast</w:t>
      </w:r>
    </w:p>
    <w:p w14:paraId="408B77C7" w14:textId="5ADDA81B" w:rsidR="00E05341" w:rsidRDefault="003E5074" w:rsidP="00E05341">
      <w:pPr>
        <w:pStyle w:val="Caption"/>
        <w:keepNext/>
        <w:jc w:val="both"/>
      </w:pPr>
      <w:r>
        <w:rPr>
          <w:noProof/>
          <w:lang w:val="en-GB" w:eastAsia="en-GB"/>
        </w:rPr>
        <w:drawing>
          <wp:anchor distT="0" distB="0" distL="114300" distR="114300" simplePos="0" relativeHeight="251689984" behindDoc="0" locked="0" layoutInCell="1" allowOverlap="1" wp14:anchorId="13E44DA7" wp14:editId="2D4DB32E">
            <wp:simplePos x="0" y="0"/>
            <wp:positionH relativeFrom="margin">
              <wp:posOffset>-20471</wp:posOffset>
            </wp:positionH>
            <wp:positionV relativeFrom="margin">
              <wp:posOffset>1459173</wp:posOffset>
            </wp:positionV>
            <wp:extent cx="3109595" cy="1918970"/>
            <wp:effectExtent l="0" t="0" r="0" b="5080"/>
            <wp:wrapSquare wrapText="bothSides"/>
            <wp:docPr id="1" name="Chart 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E05341">
        <w:t>Grafik 1.2.2: Output gap 2007-2027</w:t>
      </w:r>
    </w:p>
    <w:p w14:paraId="417EF31F" w14:textId="6410280F" w:rsidR="00E05341" w:rsidRDefault="00E05341" w:rsidP="00E05341">
      <w:pPr>
        <w:spacing w:line="276" w:lineRule="auto"/>
        <w:jc w:val="both"/>
        <w:rPr>
          <w:rFonts w:cstheme="minorHAnsi"/>
          <w:sz w:val="24"/>
          <w:szCs w:val="24"/>
          <w:lang w:val="sr-Latn-ME"/>
        </w:rPr>
      </w:pPr>
      <w:r w:rsidRPr="00F968B6">
        <w:rPr>
          <w:rFonts w:cstheme="minorHAnsi"/>
          <w:sz w:val="24"/>
          <w:szCs w:val="24"/>
          <w:lang w:val="sr-Latn-ME"/>
        </w:rPr>
        <w:t>Crnogorska ekonomija tokom posljednjih nekoliko godina bilježi</w:t>
      </w:r>
      <w:r>
        <w:rPr>
          <w:rFonts w:cstheme="minorHAnsi"/>
          <w:sz w:val="24"/>
          <w:szCs w:val="24"/>
          <w:lang w:val="sr-Latn-ME"/>
        </w:rPr>
        <w:t xml:space="preserve"> visoke stope ekonomskog rasta. </w:t>
      </w:r>
      <w:r w:rsidRPr="00F968B6">
        <w:rPr>
          <w:rFonts w:cstheme="minorHAnsi"/>
          <w:sz w:val="24"/>
          <w:szCs w:val="24"/>
          <w:lang w:val="sr-Latn-ME"/>
        </w:rPr>
        <w:t>Analiza proizvodnih faktora u makroekonomskom modelu, pokazuje da se rast crnogorske ekonomije u periodu 200</w:t>
      </w:r>
      <w:r>
        <w:rPr>
          <w:rFonts w:cstheme="minorHAnsi"/>
          <w:sz w:val="24"/>
          <w:szCs w:val="24"/>
          <w:lang w:val="sr-Latn-ME"/>
        </w:rPr>
        <w:t>7</w:t>
      </w:r>
      <w:r w:rsidRPr="00F968B6">
        <w:rPr>
          <w:rFonts w:cstheme="minorHAnsi"/>
          <w:sz w:val="24"/>
          <w:szCs w:val="24"/>
          <w:lang w:val="sr-Latn-ME"/>
        </w:rPr>
        <w:t>-202</w:t>
      </w:r>
      <w:r>
        <w:rPr>
          <w:rFonts w:cstheme="minorHAnsi"/>
          <w:sz w:val="24"/>
          <w:szCs w:val="24"/>
          <w:lang w:val="sr-Latn-ME"/>
        </w:rPr>
        <w:t>4</w:t>
      </w:r>
      <w:r w:rsidRPr="00F968B6">
        <w:rPr>
          <w:rFonts w:cstheme="minorHAnsi"/>
          <w:sz w:val="24"/>
          <w:szCs w:val="24"/>
          <w:lang w:val="sr-Latn-ME"/>
        </w:rPr>
        <w:t>, kretao oko potencijala, pa je prosječni rast ekonomije u ovom periodu iznosio 2,</w:t>
      </w:r>
      <w:r>
        <w:rPr>
          <w:rFonts w:cstheme="minorHAnsi"/>
          <w:sz w:val="24"/>
          <w:szCs w:val="24"/>
          <w:lang w:val="sr-Latn-ME"/>
        </w:rPr>
        <w:t>6</w:t>
      </w:r>
      <w:r w:rsidRPr="00F968B6">
        <w:rPr>
          <w:rFonts w:cstheme="minorHAnsi"/>
          <w:sz w:val="24"/>
          <w:szCs w:val="24"/>
          <w:lang w:val="sr-Latn-ME"/>
        </w:rPr>
        <w:t>%. Rastu je najviše doprinio rast kapitalne aktive od 2,</w:t>
      </w:r>
      <w:r>
        <w:rPr>
          <w:rFonts w:cstheme="minorHAnsi"/>
          <w:sz w:val="24"/>
          <w:szCs w:val="24"/>
          <w:lang w:val="sr-Latn-ME"/>
        </w:rPr>
        <w:t>4</w:t>
      </w:r>
      <w:r w:rsidRPr="00F968B6">
        <w:rPr>
          <w:rFonts w:cstheme="minorHAnsi"/>
          <w:sz w:val="24"/>
          <w:szCs w:val="24"/>
          <w:lang w:val="sr-Latn-ME"/>
        </w:rPr>
        <w:t>%, radna snaga je kao faktor rasta dodala 1,2%, dok je ukupna faktorska produktivnost, kao faktor kombinovanja raspoloživih tehnološ</w:t>
      </w:r>
      <w:r>
        <w:rPr>
          <w:rFonts w:cstheme="minorHAnsi"/>
          <w:sz w:val="24"/>
          <w:szCs w:val="24"/>
          <w:lang w:val="sr-Latn-ME"/>
        </w:rPr>
        <w:t>kih kapaciteta, oduzela rastu 1,0</w:t>
      </w:r>
      <w:r w:rsidRPr="00F968B6">
        <w:rPr>
          <w:rFonts w:cstheme="minorHAnsi"/>
          <w:sz w:val="24"/>
          <w:szCs w:val="24"/>
          <w:lang w:val="sr-Latn-ME"/>
        </w:rPr>
        <w:t>%. Za period 202</w:t>
      </w:r>
      <w:r>
        <w:rPr>
          <w:rFonts w:cstheme="minorHAnsi"/>
          <w:sz w:val="24"/>
          <w:szCs w:val="24"/>
          <w:lang w:val="sr-Latn-ME"/>
        </w:rPr>
        <w:t>5-2027</w:t>
      </w:r>
      <w:r w:rsidRPr="00F968B6">
        <w:rPr>
          <w:rFonts w:cstheme="minorHAnsi"/>
          <w:sz w:val="24"/>
          <w:szCs w:val="24"/>
          <w:lang w:val="sr-Latn-ME"/>
        </w:rPr>
        <w:t xml:space="preserve">, potencijal rasta crnogorske ekonomije se prema procjeni povećava na 3,1%, pri čemu se struktura proizvodnih faktora mijenja u korist </w:t>
      </w:r>
      <w:r>
        <w:rPr>
          <w:rFonts w:cstheme="minorHAnsi"/>
          <w:sz w:val="24"/>
          <w:szCs w:val="24"/>
          <w:lang w:val="sr-Latn-ME"/>
        </w:rPr>
        <w:t>većeg</w:t>
      </w:r>
      <w:r w:rsidRPr="00F968B6">
        <w:rPr>
          <w:rFonts w:cstheme="minorHAnsi"/>
          <w:sz w:val="24"/>
          <w:szCs w:val="24"/>
          <w:lang w:val="sr-Latn-ME"/>
        </w:rPr>
        <w:t xml:space="preserve"> doprinosa </w:t>
      </w:r>
      <w:r>
        <w:rPr>
          <w:rFonts w:cstheme="minorHAnsi"/>
          <w:sz w:val="24"/>
          <w:szCs w:val="24"/>
          <w:lang w:val="sr-Latn-ME"/>
        </w:rPr>
        <w:t>radne snage</w:t>
      </w:r>
      <w:r w:rsidRPr="00F968B6">
        <w:rPr>
          <w:rFonts w:cstheme="minorHAnsi"/>
          <w:sz w:val="24"/>
          <w:szCs w:val="24"/>
          <w:lang w:val="sr-Latn-ME"/>
        </w:rPr>
        <w:t xml:space="preserve"> ekonomskom rastu.</w:t>
      </w:r>
      <w:r>
        <w:rPr>
          <w:rFonts w:cstheme="minorHAnsi"/>
          <w:sz w:val="24"/>
          <w:szCs w:val="24"/>
          <w:lang w:val="sr-Latn-ME"/>
        </w:rPr>
        <w:t xml:space="preserve"> </w:t>
      </w:r>
    </w:p>
    <w:p w14:paraId="3E41C055" w14:textId="0AA8AAFB" w:rsidR="00E05341" w:rsidRPr="00F968B6" w:rsidRDefault="00E05341" w:rsidP="00E05341">
      <w:pPr>
        <w:spacing w:line="276" w:lineRule="auto"/>
        <w:jc w:val="both"/>
        <w:rPr>
          <w:rFonts w:cstheme="minorHAnsi"/>
          <w:sz w:val="24"/>
          <w:szCs w:val="24"/>
          <w:lang w:val="sr-Latn-ME"/>
        </w:rPr>
      </w:pPr>
      <w:r>
        <w:rPr>
          <w:rFonts w:cstheme="minorHAnsi"/>
          <w:sz w:val="24"/>
          <w:szCs w:val="24"/>
          <w:lang w:val="sr-Latn-ME"/>
        </w:rPr>
        <w:t>Usljed reformi poreske i fiskalne politike i povećanja raspoloživog dohotka kroz rast minimalne i prosječne zarade, crnogorska ekonomija će u narednom trogodišnjem periodu ostvarivati rast iznad potencijalnog, istovremeno ubrzavajući domaću potražnju kroz snažnu ličnu potrošnju i investicije.</w:t>
      </w:r>
      <w:r w:rsidRPr="00F968B6">
        <w:rPr>
          <w:rFonts w:cstheme="minorHAnsi"/>
          <w:sz w:val="24"/>
          <w:szCs w:val="24"/>
          <w:lang w:val="sr-Latn-ME"/>
        </w:rPr>
        <w:t xml:space="preserve"> Shodno modelskim projekcijama, predviđa </w:t>
      </w:r>
      <w:r>
        <w:rPr>
          <w:rFonts w:cstheme="minorHAnsi"/>
          <w:sz w:val="24"/>
          <w:szCs w:val="24"/>
          <w:lang w:val="sr-Latn-ME"/>
        </w:rPr>
        <w:t xml:space="preserve">se ostvarivanje pozitivnog jaza </w:t>
      </w:r>
      <w:r w:rsidRPr="00F968B6">
        <w:rPr>
          <w:rFonts w:cstheme="minorHAnsi"/>
          <w:sz w:val="24"/>
          <w:szCs w:val="24"/>
          <w:lang w:val="sr-Latn-ME"/>
        </w:rPr>
        <w:t>između potencijalnog i realno projektovanog BDP-a (</w:t>
      </w:r>
      <w:r>
        <w:rPr>
          <w:rFonts w:cstheme="minorHAnsi"/>
          <w:sz w:val="24"/>
          <w:szCs w:val="24"/>
          <w:lang w:val="sr-Latn-ME"/>
        </w:rPr>
        <w:t xml:space="preserve">takozvani pozitivni </w:t>
      </w:r>
      <w:r w:rsidRPr="00087269">
        <w:rPr>
          <w:rFonts w:cstheme="minorHAnsi"/>
          <w:i/>
          <w:sz w:val="24"/>
          <w:szCs w:val="24"/>
          <w:lang w:val="sr-Latn-ME"/>
        </w:rPr>
        <w:t>output gap</w:t>
      </w:r>
      <w:r>
        <w:rPr>
          <w:rFonts w:cstheme="minorHAnsi"/>
          <w:sz w:val="24"/>
          <w:szCs w:val="24"/>
          <w:lang w:val="sr-Latn-ME"/>
        </w:rPr>
        <w:t>) u</w:t>
      </w:r>
      <w:r w:rsidRPr="00F968B6">
        <w:rPr>
          <w:rFonts w:cstheme="minorHAnsi"/>
          <w:sz w:val="24"/>
          <w:szCs w:val="24"/>
          <w:lang w:val="sr-Latn-ME"/>
        </w:rPr>
        <w:t xml:space="preserve"> srednjoročnom periodu. Konvergenciju će</w:t>
      </w:r>
      <w:r>
        <w:rPr>
          <w:rFonts w:cstheme="minorHAnsi"/>
          <w:sz w:val="24"/>
          <w:szCs w:val="24"/>
          <w:lang w:val="sr-Latn-ME"/>
        </w:rPr>
        <w:t>, pored reformi u fiskalnoj politici,</w:t>
      </w:r>
      <w:r w:rsidRPr="00F968B6">
        <w:rPr>
          <w:rFonts w:cstheme="minorHAnsi"/>
          <w:sz w:val="24"/>
          <w:szCs w:val="24"/>
          <w:lang w:val="sr-Latn-ME"/>
        </w:rPr>
        <w:t xml:space="preserve"> voditi najavljene strukturne reforme, kojima se stvaraju regulatorne pretpostavke za održanje dinamičnog rasta ekonomije i rast konkurentnosti i produktivnosti.</w:t>
      </w:r>
    </w:p>
    <w:p w14:paraId="6AF26FB4" w14:textId="77777777" w:rsidR="00E05341" w:rsidRPr="00C46BCA" w:rsidRDefault="00E05341" w:rsidP="00E05341">
      <w:pPr>
        <w:rPr>
          <w:rFonts w:eastAsiaTheme="majorEastAsia" w:cstheme="minorHAnsi"/>
          <w:b/>
          <w:color w:val="2F5496" w:themeColor="accent1" w:themeShade="BF"/>
          <w:sz w:val="24"/>
          <w:szCs w:val="24"/>
          <w:lang w:val="sr-Latn-ME"/>
        </w:rPr>
      </w:pPr>
      <w:r w:rsidRPr="00C46BCA">
        <w:rPr>
          <w:rFonts w:eastAsiaTheme="majorEastAsia" w:cstheme="minorHAnsi"/>
          <w:b/>
          <w:color w:val="2F5496" w:themeColor="accent1" w:themeShade="BF"/>
          <w:sz w:val="24"/>
          <w:szCs w:val="24"/>
          <w:lang w:val="sr-Latn-ME"/>
        </w:rPr>
        <w:t>1.2.3. Eksterni sektor i njegova srednjoročna održivost</w:t>
      </w:r>
    </w:p>
    <w:p w14:paraId="71B44A7E" w14:textId="7C165B16" w:rsidR="00E05341" w:rsidRDefault="00E05341" w:rsidP="00E05341">
      <w:pPr>
        <w:spacing w:line="276" w:lineRule="auto"/>
        <w:jc w:val="both"/>
        <w:rPr>
          <w:rFonts w:cstheme="minorHAnsi"/>
          <w:sz w:val="24"/>
          <w:szCs w:val="24"/>
          <w:lang w:val="sr-Latn-ME"/>
        </w:rPr>
      </w:pPr>
      <w:r w:rsidRPr="00F96991">
        <w:rPr>
          <w:rFonts w:cstheme="minorHAnsi"/>
          <w:sz w:val="24"/>
          <w:szCs w:val="24"/>
          <w:lang w:val="sr-Latn-ME"/>
        </w:rPr>
        <w:t>Nedovoljna diversifikovanost crnogorske ekonomije</w:t>
      </w:r>
      <w:r>
        <w:rPr>
          <w:rFonts w:cstheme="minorHAnsi"/>
          <w:sz w:val="24"/>
          <w:szCs w:val="24"/>
          <w:lang w:val="sr-Latn-ME"/>
        </w:rPr>
        <w:t xml:space="preserve"> i velike fluktuacije u izvozu usljed visoke koncentracije i učešća sektora električne energije i metalske industrije, odnosno aluminijuma, uslovljavaju visoki spoljnotrgovinski deficit. Procjenjuje se da će negativni trgovinski bilans kao razlika između izvoza i uvoza roba, porasti sa 44% BDP-a u 2024. godini, na 45,9% BDP-a u 2027. godini. Ovim trendovima će u najvećoj mjeri doprinijeti planirana rekonstrukcija Termoelektrane Pljevlja, koja će usloviti privremenu obustavu rada ovog postrojenja i visoku potrebu uvoza električne energije u 2025. godini.</w:t>
      </w:r>
    </w:p>
    <w:p w14:paraId="2C9AB897" w14:textId="4F1210C4" w:rsidR="00E05341" w:rsidRDefault="00A474DE" w:rsidP="00E05341">
      <w:pPr>
        <w:spacing w:line="276" w:lineRule="auto"/>
        <w:jc w:val="both"/>
        <w:rPr>
          <w:rFonts w:cstheme="minorHAnsi"/>
          <w:sz w:val="24"/>
          <w:szCs w:val="24"/>
          <w:lang w:val="sr-Latn-ME"/>
        </w:rPr>
      </w:pPr>
      <w:r>
        <w:rPr>
          <w:noProof/>
          <w:lang w:val="en-GB" w:eastAsia="en-GB"/>
        </w:rPr>
        <mc:AlternateContent>
          <mc:Choice Requires="wps">
            <w:drawing>
              <wp:anchor distT="0" distB="0" distL="114300" distR="114300" simplePos="0" relativeHeight="251691008" behindDoc="0" locked="0" layoutInCell="1" allowOverlap="1" wp14:anchorId="31035287" wp14:editId="27CEF10D">
                <wp:simplePos x="0" y="0"/>
                <wp:positionH relativeFrom="margin">
                  <wp:posOffset>102359</wp:posOffset>
                </wp:positionH>
                <wp:positionV relativeFrom="paragraph">
                  <wp:posOffset>724857</wp:posOffset>
                </wp:positionV>
                <wp:extent cx="3114675" cy="171450"/>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3114675" cy="171450"/>
                        </a:xfrm>
                        <a:prstGeom prst="rect">
                          <a:avLst/>
                        </a:prstGeom>
                        <a:solidFill>
                          <a:prstClr val="white"/>
                        </a:solidFill>
                        <a:ln>
                          <a:noFill/>
                        </a:ln>
                        <a:effectLst/>
                      </wps:spPr>
                      <wps:txbx>
                        <w:txbxContent>
                          <w:p w14:paraId="66216383" w14:textId="77777777" w:rsidR="003D273E" w:rsidRPr="00E6081F" w:rsidRDefault="003D273E" w:rsidP="00E05341">
                            <w:pPr>
                              <w:pStyle w:val="Caption"/>
                              <w:rPr>
                                <w:noProof/>
                                <w:sz w:val="20"/>
                              </w:rPr>
                            </w:pPr>
                            <w:r w:rsidRPr="00E6081F">
                              <w:rPr>
                                <w:sz w:val="20"/>
                              </w:rPr>
                              <w:t>Grafik 1.2.3 Jedinični troškovi rada 2010-2027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35287" id="_x0000_t202" coordsize="21600,21600" o:spt="202" path="m,l,21600r21600,l21600,xe">
                <v:stroke joinstyle="miter"/>
                <v:path gradientshapeok="t" o:connecttype="rect"/>
              </v:shapetype>
              <v:shape id="Text Box 3" o:spid="_x0000_s1026" type="#_x0000_t202" style="position:absolute;left:0;text-align:left;margin-left:8.05pt;margin-top:57.1pt;width:245.25pt;height:1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JSNQIAAG4EAAAOAAAAZHJzL2Uyb0RvYy54bWysVEtv2zAMvg/YfxB0Xxw3fcGIU2QpMgwI&#10;2gLJ0LMiy7EASdQkJXb260fJdrp1Ow27yBRJ8fF9pOcPnVbkJJyXYEqaT6aUCMOhkuZQ0m+79ad7&#10;SnxgpmIKjCjpWXj6sPj4Yd7aQlxBA6oSjmAQ44vWlrQJwRZZ5nkjNPMTsMKgsQanWcCrO2SVYy1G&#10;1yq7mk5vsxZcZR1w4T1qH3sjXaT4dS14eK5rLwJRJcXaQjpdOvfxzBZzVhwcs43kQxnsH6rQTBpM&#10;egn1yAIjRyf/CKUld+ChDhMOOoO6llykHrCbfPqum23DrEi9IDjeXmDy/y8sfzq9OCKrks4oMUwj&#10;RTvRBfIZOjKL6LTWF+i0tegWOlQjy6PeozI23dVOxy+2Q9COOJ8v2MZgHJWzPL++vbuhhKMtv8uv&#10;bxL42dtr63z4IkCTKJTUIXcJUnba+ICVoOvoEpN5ULJaS6XiJRpWypETQ57bRgYRa8QXv3kpE30N&#10;xFe9udeINChDlthw31iUQrfvBhT2UJ0RBAf9EHnL1xLTbpgPL8zh1GDfuAnhGY9aQVtSGCRKGnA/&#10;/qaP/kgmWilpcQpL6r8fmROUqK8GaY4jOwpuFPajYI56BdhwjjtmeRLxgQtqFGsH+hUXZBmzoIkZ&#10;jrlKGkZxFfpdwAXjYrlMTjiYloWN2VoeQ4/w7rpX5uxATkBan2CcT1a846j37cFeHgPUMhEYAe1R&#10;RG7iBYc6sTQsYNyaX+/J6+03sfgJAAD//wMAUEsDBBQABgAIAAAAIQDLhOeX3wAAAAoBAAAPAAAA&#10;ZHJzL2Rvd25yZXYueG1sTI9BT8MwDIXvSPyHyEhcEEtbjQp1TSfY4AaHjWnnrPHaisapknTt/j3m&#10;BCfr2U/P3yvXs+3FBX3oHClIFwkIpNqZjhoFh6/3x2cQIWoyuneECq4YYF3d3pS6MG6iHV72sREc&#10;QqHQCtoYh0LKULdodVi4AYlvZ+etjix9I43XE4fbXmZJkkurO+IPrR5w02L9vR+tgnzrx2lHm4ft&#10;4e1Dfw5Ndny9HpW6v5tfViAizvHPDL/4jA4VM53cSCaInnWespNnusxAsOEpyXMQJ94s0wxkVcr/&#10;FaofAAAA//8DAFBLAQItABQABgAIAAAAIQC2gziS/gAAAOEBAAATAAAAAAAAAAAAAAAAAAAAAABb&#10;Q29udGVudF9UeXBlc10ueG1sUEsBAi0AFAAGAAgAAAAhADj9If/WAAAAlAEAAAsAAAAAAAAAAAAA&#10;AAAALwEAAF9yZWxzLy5yZWxzUEsBAi0AFAAGAAgAAAAhAAREElI1AgAAbgQAAA4AAAAAAAAAAAAA&#10;AAAALgIAAGRycy9lMm9Eb2MueG1sUEsBAi0AFAAGAAgAAAAhAMuE55ffAAAACgEAAA8AAAAAAAAA&#10;AAAAAAAAjwQAAGRycy9kb3ducmV2LnhtbFBLBQYAAAAABAAEAPMAAACbBQAAAAA=&#10;" stroked="f">
                <v:textbox inset="0,0,0,0">
                  <w:txbxContent>
                    <w:p w14:paraId="66216383" w14:textId="77777777" w:rsidR="003D273E" w:rsidRPr="00E6081F" w:rsidRDefault="003D273E" w:rsidP="00E05341">
                      <w:pPr>
                        <w:pStyle w:val="Caption"/>
                        <w:rPr>
                          <w:noProof/>
                          <w:sz w:val="20"/>
                        </w:rPr>
                      </w:pPr>
                      <w:r w:rsidRPr="00E6081F">
                        <w:rPr>
                          <w:sz w:val="20"/>
                        </w:rPr>
                        <w:t>Grafik 1.2.3 Jedinični troškovi rada 2010-2027</w:t>
                      </w:r>
                    </w:p>
                  </w:txbxContent>
                </v:textbox>
                <w10:wrap type="square" anchorx="margin"/>
              </v:shape>
            </w:pict>
          </mc:Fallback>
        </mc:AlternateContent>
      </w:r>
      <w:r w:rsidR="00E05341">
        <w:rPr>
          <w:rFonts w:cstheme="minorHAnsi"/>
          <w:sz w:val="24"/>
          <w:szCs w:val="24"/>
          <w:lang w:val="sr-Latn-ME"/>
        </w:rPr>
        <w:t xml:space="preserve">Iako će ove trendove djelimično ublažiti rast suficita na računima usluga, primarnog i sekundarnog dohotka, na kraju </w:t>
      </w:r>
      <w:r w:rsidR="00E05341">
        <w:rPr>
          <w:rFonts w:cstheme="minorHAnsi"/>
          <w:sz w:val="24"/>
          <w:szCs w:val="24"/>
          <w:lang w:val="sr-Latn-ME"/>
        </w:rPr>
        <w:lastRenderedPageBreak/>
        <w:t>srednjeg roka predviđen je dvocifreni deficit tekućeg računa platnog bilansa na oko 10,3% BDP-a, pri čemu će najveći dio deficita biti finansiran prilivom stranih direktnih investicija.</w:t>
      </w:r>
    </w:p>
    <w:p w14:paraId="46A83339" w14:textId="758162CD" w:rsidR="00E05341" w:rsidRDefault="00E05341" w:rsidP="00E05341">
      <w:pPr>
        <w:spacing w:line="276" w:lineRule="auto"/>
        <w:jc w:val="both"/>
        <w:rPr>
          <w:rFonts w:cstheme="minorHAnsi"/>
          <w:sz w:val="24"/>
          <w:szCs w:val="24"/>
          <w:lang w:val="sr-Latn-ME"/>
        </w:rPr>
      </w:pPr>
      <w:r>
        <w:rPr>
          <w:noProof/>
          <w:lang w:val="en-GB" w:eastAsia="en-GB"/>
        </w:rPr>
        <w:drawing>
          <wp:anchor distT="0" distB="0" distL="114300" distR="114300" simplePos="0" relativeHeight="251692032" behindDoc="0" locked="0" layoutInCell="1" allowOverlap="1" wp14:anchorId="78BE3EE5" wp14:editId="4FA833BB">
            <wp:simplePos x="0" y="0"/>
            <wp:positionH relativeFrom="margin">
              <wp:posOffset>-43180</wp:posOffset>
            </wp:positionH>
            <wp:positionV relativeFrom="margin">
              <wp:posOffset>1042670</wp:posOffset>
            </wp:positionV>
            <wp:extent cx="3157220" cy="2066925"/>
            <wp:effectExtent l="0" t="0" r="5080" b="9525"/>
            <wp:wrapSquare wrapText="bothSides"/>
            <wp:docPr id="5" name="Chart 5">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F96991">
        <w:rPr>
          <w:rFonts w:cstheme="minorHAnsi"/>
          <w:b/>
          <w:sz w:val="24"/>
          <w:szCs w:val="24"/>
          <w:lang w:val="sr-Latn-ME"/>
        </w:rPr>
        <w:t>Analiza konkurentnosti</w:t>
      </w:r>
      <w:r w:rsidRPr="00F96991">
        <w:rPr>
          <w:rFonts w:cstheme="minorHAnsi"/>
          <w:sz w:val="24"/>
          <w:szCs w:val="24"/>
          <w:lang w:val="sr-Latn-ME"/>
        </w:rPr>
        <w:t xml:space="preserve"> koja je urađena na osnovu </w:t>
      </w:r>
      <w:r w:rsidRPr="00F96991">
        <w:rPr>
          <w:rFonts w:cstheme="minorHAnsi"/>
          <w:b/>
          <w:sz w:val="24"/>
          <w:szCs w:val="24"/>
          <w:lang w:val="sr-Latn-ME"/>
        </w:rPr>
        <w:t>jedinične cijene rada</w:t>
      </w:r>
      <w:r w:rsidRPr="00F96991">
        <w:rPr>
          <w:rFonts w:cstheme="minorHAnsi"/>
          <w:sz w:val="24"/>
          <w:szCs w:val="24"/>
          <w:lang w:val="sr-Latn-ME"/>
        </w:rPr>
        <w:t xml:space="preserve"> (ULC), pokazuje da je cjenovna konkurentnost značajno rasla u periodu 2010-2019, kao posljedica dinamike rasta zarada, zaposlenosti i BDP-a. Cjenovn</w:t>
      </w:r>
      <w:r>
        <w:rPr>
          <w:rFonts w:cstheme="minorHAnsi"/>
          <w:sz w:val="24"/>
          <w:szCs w:val="24"/>
          <w:lang w:val="sr-Latn-ME"/>
        </w:rPr>
        <w:t>a konkurentnost rada je u 2020 smanjena</w:t>
      </w:r>
      <w:r w:rsidRPr="00F96991">
        <w:rPr>
          <w:rFonts w:cstheme="minorHAnsi"/>
          <w:sz w:val="24"/>
          <w:szCs w:val="24"/>
          <w:lang w:val="sr-Latn-ME"/>
        </w:rPr>
        <w:t>, dok je u 2021</w:t>
      </w:r>
      <w:r>
        <w:rPr>
          <w:rFonts w:cstheme="minorHAnsi"/>
          <w:sz w:val="24"/>
          <w:szCs w:val="24"/>
          <w:lang w:val="sr-Latn-ME"/>
        </w:rPr>
        <w:t xml:space="preserve">. poboljšana. </w:t>
      </w:r>
      <w:r w:rsidRPr="00F96991">
        <w:rPr>
          <w:rFonts w:cstheme="minorHAnsi"/>
          <w:sz w:val="24"/>
          <w:szCs w:val="24"/>
          <w:lang w:val="sr-Latn-ME"/>
        </w:rPr>
        <w:t xml:space="preserve">Trend pada konkurentnosti cijene rada je primjetan tokom </w:t>
      </w:r>
      <w:r>
        <w:rPr>
          <w:rFonts w:cstheme="minorHAnsi"/>
          <w:sz w:val="24"/>
          <w:szCs w:val="24"/>
          <w:lang w:val="sr-Latn-ME"/>
        </w:rPr>
        <w:t>proteklih nekoliko</w:t>
      </w:r>
      <w:r w:rsidRPr="00F96991">
        <w:rPr>
          <w:rFonts w:cstheme="minorHAnsi"/>
          <w:sz w:val="24"/>
          <w:szCs w:val="24"/>
          <w:lang w:val="sr-Latn-ME"/>
        </w:rPr>
        <w:t xml:space="preserve"> godin</w:t>
      </w:r>
      <w:r>
        <w:rPr>
          <w:rFonts w:cstheme="minorHAnsi"/>
          <w:sz w:val="24"/>
          <w:szCs w:val="24"/>
          <w:lang w:val="sr-Latn-ME"/>
        </w:rPr>
        <w:t>a</w:t>
      </w:r>
      <w:r w:rsidRPr="00F96991">
        <w:rPr>
          <w:rFonts w:cstheme="minorHAnsi"/>
          <w:sz w:val="24"/>
          <w:szCs w:val="24"/>
          <w:lang w:val="sr-Latn-ME"/>
        </w:rPr>
        <w:t>, usljed znatno bržeg rasta troškova fonda zarada u ekonomiji od porasta ekonomske aktivnosti. U periodu 202</w:t>
      </w:r>
      <w:r>
        <w:rPr>
          <w:rFonts w:cstheme="minorHAnsi"/>
          <w:sz w:val="24"/>
          <w:szCs w:val="24"/>
          <w:lang w:val="sr-Latn-ME"/>
        </w:rPr>
        <w:t>5-2027</w:t>
      </w:r>
      <w:r w:rsidRPr="00F96991">
        <w:rPr>
          <w:rFonts w:cstheme="minorHAnsi"/>
          <w:sz w:val="24"/>
          <w:szCs w:val="24"/>
          <w:lang w:val="sr-Latn-ME"/>
        </w:rPr>
        <w:t xml:space="preserve">, očekuje se </w:t>
      </w:r>
      <w:r>
        <w:rPr>
          <w:rFonts w:cstheme="minorHAnsi"/>
          <w:sz w:val="24"/>
          <w:szCs w:val="24"/>
          <w:lang w:val="sr-Latn-ME"/>
        </w:rPr>
        <w:t>poboljšanje</w:t>
      </w:r>
      <w:r w:rsidRPr="00F96991">
        <w:rPr>
          <w:rFonts w:cstheme="minorHAnsi"/>
          <w:sz w:val="24"/>
          <w:szCs w:val="24"/>
          <w:lang w:val="sr-Latn-ME"/>
        </w:rPr>
        <w:t xml:space="preserve"> cjenovne konkurentnosti rada u domaćoj ekonomiji, iako će nominalne zarade bilježiti nešto veći rast, realni fond zarada će usljed projektovanih stopa inflacije i rasta zaposlenosti, biti manji od povećanja BDP-a. </w:t>
      </w:r>
      <w:r>
        <w:rPr>
          <w:rFonts w:cstheme="minorHAnsi"/>
          <w:sz w:val="24"/>
          <w:szCs w:val="24"/>
          <w:lang w:val="sr-Latn-ME"/>
        </w:rPr>
        <w:t>Prosječni trošak zarada će u srednjem roku biti niži usljed reforme poreske politike i umanjenja stope doprinosa za penzijsko invalidsko osiguranje, sa 20,5% na 10%, pri čemu će poslodavci ostvariti bruto uštede na sve nivoe zarade iznad novog praga minimalne (600€, odnosno 800€).</w:t>
      </w:r>
    </w:p>
    <w:p w14:paraId="3DC1FEA7" w14:textId="7FB85080" w:rsidR="00E05341" w:rsidRDefault="00226383" w:rsidP="00E05341">
      <w:pPr>
        <w:spacing w:line="276" w:lineRule="auto"/>
        <w:jc w:val="both"/>
        <w:rPr>
          <w:rFonts w:cstheme="minorHAnsi"/>
          <w:sz w:val="24"/>
          <w:szCs w:val="24"/>
          <w:lang w:val="sr-Latn-ME"/>
        </w:rPr>
      </w:pPr>
      <w:r>
        <w:rPr>
          <w:noProof/>
          <w:lang w:val="en-GB" w:eastAsia="en-GB"/>
        </w:rPr>
        <mc:AlternateContent>
          <mc:Choice Requires="wps">
            <w:drawing>
              <wp:anchor distT="0" distB="0" distL="114300" distR="114300" simplePos="0" relativeHeight="251693056" behindDoc="0" locked="0" layoutInCell="1" allowOverlap="1" wp14:anchorId="0551859D" wp14:editId="3F13FAA1">
                <wp:simplePos x="0" y="0"/>
                <wp:positionH relativeFrom="column">
                  <wp:posOffset>32385</wp:posOffset>
                </wp:positionH>
                <wp:positionV relativeFrom="paragraph">
                  <wp:posOffset>271780</wp:posOffset>
                </wp:positionV>
                <wp:extent cx="3176270" cy="223520"/>
                <wp:effectExtent l="0" t="0" r="5080" b="5080"/>
                <wp:wrapSquare wrapText="bothSides"/>
                <wp:docPr id="7" name="Text Box 7"/>
                <wp:cNvGraphicFramePr/>
                <a:graphic xmlns:a="http://schemas.openxmlformats.org/drawingml/2006/main">
                  <a:graphicData uri="http://schemas.microsoft.com/office/word/2010/wordprocessingShape">
                    <wps:wsp>
                      <wps:cNvSpPr txBox="1"/>
                      <wps:spPr>
                        <a:xfrm>
                          <a:off x="0" y="0"/>
                          <a:ext cx="3176270" cy="223520"/>
                        </a:xfrm>
                        <a:prstGeom prst="rect">
                          <a:avLst/>
                        </a:prstGeom>
                        <a:solidFill>
                          <a:prstClr val="white"/>
                        </a:solidFill>
                        <a:ln>
                          <a:noFill/>
                        </a:ln>
                        <a:effectLst/>
                      </wps:spPr>
                      <wps:txbx>
                        <w:txbxContent>
                          <w:p w14:paraId="29F39679" w14:textId="77777777" w:rsidR="003D273E" w:rsidRPr="00E6081F" w:rsidRDefault="003D273E" w:rsidP="00E05341">
                            <w:pPr>
                              <w:spacing w:line="276" w:lineRule="auto"/>
                              <w:jc w:val="both"/>
                              <w:rPr>
                                <w:b/>
                                <w:bCs/>
                                <w:color w:val="4472C4" w:themeColor="accent1"/>
                                <w:sz w:val="20"/>
                                <w:szCs w:val="18"/>
                              </w:rPr>
                            </w:pPr>
                            <w:r w:rsidRPr="00E6081F">
                              <w:rPr>
                                <w:b/>
                                <w:bCs/>
                                <w:color w:val="4472C4" w:themeColor="accent1"/>
                                <w:sz w:val="20"/>
                                <w:szCs w:val="18"/>
                              </w:rPr>
                              <w:t>Grafik 1.2.4 Produktivnost, 2007-2027</w:t>
                            </w:r>
                          </w:p>
                          <w:p w14:paraId="00E0596E" w14:textId="77777777" w:rsidR="003D273E" w:rsidRPr="00BA45E3" w:rsidRDefault="003D273E" w:rsidP="00E05341">
                            <w:pPr>
                              <w:pStyle w:val="Caption"/>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1859D" id="_x0000_t202" coordsize="21600,21600" o:spt="202" path="m,l,21600r21600,l21600,xe">
                <v:stroke joinstyle="miter"/>
                <v:path gradientshapeok="t" o:connecttype="rect"/>
              </v:shapetype>
              <v:shape id="Text Box 7" o:spid="_x0000_s1027" type="#_x0000_t202" style="position:absolute;left:0;text-align:left;margin-left:2.55pt;margin-top:21.4pt;width:250.1pt;height:1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16NgIAAHUEAAAOAAAAZHJzL2Uyb0RvYy54bWysVE1v2zAMvQ/YfxB0X5y4WDMYcYosRYYB&#10;QVsgGXpWZCkWIImapMTufv0oOU63bqdhF5kiKX68R3px1xtNzsIHBbams8mUEmE5NMoea/ptv/nw&#10;iZIQmW2YBitq+iICvVu+f7foXCVKaEE3whMMYkPVuZq2MbqqKAJvhWFhAk5YNErwhkW8+mPReNZh&#10;dKOLcjq9LTrwjfPARQiovR+MdJnjSyl4fJQyiEh0TbG2mE+fz0M6i+WCVUfPXKv4pQz2D1UYpiwm&#10;vYa6Z5GRk1d/hDKKewgg44SDKUBKxUXuAbuZTd90s2uZE7kXBCe4K0zh/4XlD+cnT1RT0zkllhmk&#10;aC/6SD5DT+YJnc6FCp12Dt1ij2pkedQHVKame+lN+mI7BO2I88sV2xSMo/JmNr8t52jiaCvLm49l&#10;Br94fe18iF8EGJKEmnrkLkPKztsQsRJ0HV1SsgBaNRuldbokw1p7cmbIc9eqKFKN+OI3L22Tr4X0&#10;ajAPGpEH5ZIlNTw0lqTYH/oMz7XpAzQviIWHYZaC4xuF2bcsxCfmcXiwR1yI+IiH1NDVFC4SJS34&#10;H3/TJ3/kFK2UdDiMNQ3fT8wLSvRXi2ynyR0FPwqHUbAnswbse4ar5ngW8YGPehSlB/OMe7JKWdDE&#10;LMdcNY2juI7DSuCecbFaZSecT8fi1u4cT6FHlPf9M/PuwlFEdh9gHFNWvaFq8B0wX50iSJV5TLgO&#10;KCJF6YKzncm67GFanl/v2ev1b7H8CQAA//8DAFBLAwQUAAYACAAAACEAEOnTLN0AAAAHAQAADwAA&#10;AGRycy9kb3ducmV2LnhtbEyPwU7DMBBE70j8g7VIXBC1G0ipQjYVtHArh5aqZzdekoh4HcVOk/49&#10;5gTH0Yxm3uSrybbiTL1vHCPMZwoEcelMwxXC4fP9fgnCB81Gt44J4UIeVsX1Va4z40be0XkfKhFL&#10;2GcaoQ6hy6T0ZU1W+5nriKP35XqrQ5R9JU2vx1huW5kotZBWNxwXat3Ruqbyez9YhMWmH8Ydr+82&#10;h7et/uiq5Ph6OSLe3kwvzyACTeEvDL/4ER2KyHRyAxsvWoR0HoMIj0k8EO1UpQ8gTghPSwWyyOV/&#10;/uIHAAD//wMAUEsBAi0AFAAGAAgAAAAhALaDOJL+AAAA4QEAABMAAAAAAAAAAAAAAAAAAAAAAFtD&#10;b250ZW50X1R5cGVzXS54bWxQSwECLQAUAAYACAAAACEAOP0h/9YAAACUAQAACwAAAAAAAAAAAAAA&#10;AAAvAQAAX3JlbHMvLnJlbHNQSwECLQAUAAYACAAAACEA6BrtejYCAAB1BAAADgAAAAAAAAAAAAAA&#10;AAAuAgAAZHJzL2Uyb0RvYy54bWxQSwECLQAUAAYACAAAACEAEOnTLN0AAAAHAQAADwAAAAAAAAAA&#10;AAAAAACQBAAAZHJzL2Rvd25yZXYueG1sUEsFBgAAAAAEAAQA8wAAAJoFAAAAAA==&#10;" stroked="f">
                <v:textbox inset="0,0,0,0">
                  <w:txbxContent>
                    <w:p w14:paraId="29F39679" w14:textId="77777777" w:rsidR="003D273E" w:rsidRPr="00E6081F" w:rsidRDefault="003D273E" w:rsidP="00E05341">
                      <w:pPr>
                        <w:spacing w:line="276" w:lineRule="auto"/>
                        <w:jc w:val="both"/>
                        <w:rPr>
                          <w:b/>
                          <w:bCs/>
                          <w:color w:val="4472C4" w:themeColor="accent1"/>
                          <w:sz w:val="20"/>
                          <w:szCs w:val="18"/>
                        </w:rPr>
                      </w:pPr>
                      <w:r w:rsidRPr="00E6081F">
                        <w:rPr>
                          <w:b/>
                          <w:bCs/>
                          <w:color w:val="4472C4" w:themeColor="accent1"/>
                          <w:sz w:val="20"/>
                          <w:szCs w:val="18"/>
                        </w:rPr>
                        <w:t>Grafik 1.2.4 Produktivnost, 2007-2027</w:t>
                      </w:r>
                    </w:p>
                    <w:p w14:paraId="00E0596E" w14:textId="77777777" w:rsidR="003D273E" w:rsidRPr="00BA45E3" w:rsidRDefault="003D273E" w:rsidP="00E05341">
                      <w:pPr>
                        <w:pStyle w:val="Caption"/>
                        <w:rPr>
                          <w:noProof/>
                        </w:rPr>
                      </w:pPr>
                    </w:p>
                  </w:txbxContent>
                </v:textbox>
                <w10:wrap type="square"/>
              </v:shape>
            </w:pict>
          </mc:Fallback>
        </mc:AlternateContent>
      </w:r>
      <w:r w:rsidR="00E05341">
        <w:rPr>
          <w:noProof/>
          <w:lang w:val="en-GB" w:eastAsia="en-GB"/>
        </w:rPr>
        <w:drawing>
          <wp:anchor distT="0" distB="0" distL="114300" distR="114300" simplePos="0" relativeHeight="251694080" behindDoc="0" locked="0" layoutInCell="1" allowOverlap="1" wp14:anchorId="6F2091DF" wp14:editId="6A624AC4">
            <wp:simplePos x="0" y="0"/>
            <wp:positionH relativeFrom="margin">
              <wp:posOffset>0</wp:posOffset>
            </wp:positionH>
            <wp:positionV relativeFrom="margin">
              <wp:posOffset>4976495</wp:posOffset>
            </wp:positionV>
            <wp:extent cx="3176270" cy="1890395"/>
            <wp:effectExtent l="0" t="0" r="0" b="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E05341" w:rsidRPr="00F96991">
        <w:rPr>
          <w:rFonts w:cstheme="minorHAnsi"/>
          <w:sz w:val="24"/>
          <w:szCs w:val="24"/>
          <w:lang w:val="sr-Latn-ME"/>
        </w:rPr>
        <w:t xml:space="preserve">Procijenjena </w:t>
      </w:r>
      <w:r w:rsidR="00E05341" w:rsidRPr="00F96991">
        <w:rPr>
          <w:rFonts w:cstheme="minorHAnsi"/>
          <w:b/>
          <w:sz w:val="24"/>
          <w:szCs w:val="24"/>
          <w:lang w:val="sr-Latn-ME"/>
        </w:rPr>
        <w:t>produktivnost rada</w:t>
      </w:r>
      <w:r w:rsidR="00E05341" w:rsidRPr="00F96991">
        <w:rPr>
          <w:rFonts w:cstheme="minorHAnsi"/>
          <w:sz w:val="24"/>
          <w:szCs w:val="24"/>
          <w:lang w:val="sr-Latn-ME"/>
        </w:rPr>
        <w:t>, kao odnos realnog BDP-a i broja zaposlenih na nivou ekonomije, po</w:t>
      </w:r>
      <w:r w:rsidR="00E05341">
        <w:rPr>
          <w:rFonts w:cstheme="minorHAnsi"/>
          <w:sz w:val="24"/>
          <w:szCs w:val="24"/>
          <w:lang w:val="sr-Latn-ME"/>
        </w:rPr>
        <w:t>rasla je oko 1% u periodu 2008-</w:t>
      </w:r>
      <w:r w:rsidR="00E05341" w:rsidRPr="00F96991">
        <w:rPr>
          <w:rFonts w:cstheme="minorHAnsi"/>
          <w:sz w:val="24"/>
          <w:szCs w:val="24"/>
          <w:lang w:val="sr-Latn-ME"/>
        </w:rPr>
        <w:t>202</w:t>
      </w:r>
      <w:r w:rsidR="00E05341">
        <w:rPr>
          <w:rFonts w:cstheme="minorHAnsi"/>
          <w:sz w:val="24"/>
          <w:szCs w:val="24"/>
          <w:lang w:val="sr-Latn-ME"/>
        </w:rPr>
        <w:t xml:space="preserve">4. U periodu 2025-2027. godine, projektovan je porast produktivnosti rada od 1,7% prosječno godišnje, </w:t>
      </w:r>
      <w:r w:rsidR="00E05341" w:rsidRPr="00F96991">
        <w:rPr>
          <w:rFonts w:cstheme="minorHAnsi"/>
          <w:sz w:val="24"/>
          <w:szCs w:val="24"/>
          <w:lang w:val="sr-Latn-ME"/>
        </w:rPr>
        <w:t>usljed predviđenog bržeg rasta realnog BDP-a i novostvorene vrijednosti</w:t>
      </w:r>
      <w:r w:rsidR="00E05341">
        <w:rPr>
          <w:rFonts w:cstheme="minorHAnsi"/>
          <w:sz w:val="24"/>
          <w:szCs w:val="24"/>
          <w:lang w:val="sr-Latn-ME"/>
        </w:rPr>
        <w:t xml:space="preserve"> u ekonomiji</w:t>
      </w:r>
      <w:r w:rsidR="00E05341" w:rsidRPr="00F96991">
        <w:rPr>
          <w:rFonts w:cstheme="minorHAnsi"/>
          <w:sz w:val="24"/>
          <w:szCs w:val="24"/>
          <w:lang w:val="sr-Latn-ME"/>
        </w:rPr>
        <w:t xml:space="preserve"> od</w:t>
      </w:r>
      <w:r w:rsidR="00E05341">
        <w:rPr>
          <w:rFonts w:cstheme="minorHAnsi"/>
          <w:sz w:val="24"/>
          <w:szCs w:val="24"/>
          <w:lang w:val="sr-Latn-ME"/>
        </w:rPr>
        <w:t xml:space="preserve"> povećanja</w:t>
      </w:r>
      <w:r w:rsidR="00E05341" w:rsidRPr="00F96991">
        <w:rPr>
          <w:rFonts w:cstheme="minorHAnsi"/>
          <w:sz w:val="24"/>
          <w:szCs w:val="24"/>
          <w:lang w:val="sr-Latn-ME"/>
        </w:rPr>
        <w:t xml:space="preserve"> broja zaposlenih, imajući u vidu </w:t>
      </w:r>
      <w:r w:rsidR="00E05341">
        <w:rPr>
          <w:rFonts w:cstheme="minorHAnsi"/>
          <w:sz w:val="24"/>
          <w:szCs w:val="24"/>
          <w:lang w:val="sr-Latn-ME"/>
        </w:rPr>
        <w:t>reforme poreske i fiskalne politike na osnovu kojih je predviđen snažan porast potrošnje i investicija u srednjoročnom periodu.</w:t>
      </w:r>
    </w:p>
    <w:p w14:paraId="56532A8D" w14:textId="25CE1089" w:rsidR="00E05341" w:rsidRDefault="00E05341" w:rsidP="00E05341">
      <w:pPr>
        <w:spacing w:line="276" w:lineRule="auto"/>
        <w:jc w:val="both"/>
        <w:rPr>
          <w:rFonts w:cstheme="minorHAnsi"/>
          <w:sz w:val="24"/>
          <w:szCs w:val="24"/>
          <w:lang w:val="sr-Latn-ME"/>
        </w:rPr>
      </w:pPr>
    </w:p>
    <w:p w14:paraId="4F9453EA" w14:textId="54B1E543" w:rsidR="00E05341" w:rsidRDefault="00E05341" w:rsidP="00E05341">
      <w:pPr>
        <w:spacing w:line="276" w:lineRule="auto"/>
        <w:jc w:val="both"/>
        <w:rPr>
          <w:rFonts w:eastAsiaTheme="majorEastAsia" w:cstheme="minorHAnsi"/>
          <w:b/>
          <w:color w:val="2F5496" w:themeColor="accent1" w:themeShade="BF"/>
          <w:sz w:val="24"/>
          <w:szCs w:val="24"/>
          <w:lang w:val="sr-Latn-ME"/>
        </w:rPr>
      </w:pPr>
      <w:r w:rsidRPr="00C46BCA">
        <w:rPr>
          <w:rFonts w:eastAsiaTheme="majorEastAsia" w:cstheme="minorHAnsi"/>
          <w:b/>
          <w:color w:val="2F5496" w:themeColor="accent1" w:themeShade="BF"/>
          <w:sz w:val="24"/>
          <w:szCs w:val="24"/>
          <w:lang w:val="sr-Latn-ME"/>
        </w:rPr>
        <w:t>1.3. Alternativni scenario</w:t>
      </w:r>
    </w:p>
    <w:p w14:paraId="0864190B" w14:textId="3C68FB3D" w:rsidR="00E05341" w:rsidRDefault="00E05341" w:rsidP="00E05341">
      <w:pPr>
        <w:spacing w:line="276" w:lineRule="auto"/>
        <w:jc w:val="both"/>
        <w:rPr>
          <w:rFonts w:cstheme="minorHAnsi"/>
          <w:sz w:val="24"/>
          <w:szCs w:val="24"/>
          <w:lang w:val="sr-Latn-ME"/>
        </w:rPr>
      </w:pPr>
      <w:r w:rsidRPr="00D43B77">
        <w:rPr>
          <w:rFonts w:cstheme="minorHAnsi"/>
          <w:sz w:val="24"/>
          <w:szCs w:val="24"/>
          <w:lang w:val="sr-Latn-ME"/>
        </w:rPr>
        <w:lastRenderedPageBreak/>
        <w:t xml:space="preserve">Kako su makroekonomski izgledi u kratkom roku neizvjesni i podložni fluktuacijama, neophodno je izraditi dodatni scenario makroekonomskih kretanja, koji uzima u obzir eventualnu materijalizaciju potencijalnih rizika i izazova po srednjoročni rast. </w:t>
      </w:r>
      <w:r>
        <w:rPr>
          <w:rFonts w:cstheme="minorHAnsi"/>
          <w:sz w:val="24"/>
          <w:szCs w:val="24"/>
          <w:lang w:val="sr-Latn-ME"/>
        </w:rPr>
        <w:t>Identifikovani rizici se odnose na domaće i međunarodno okruženje, koje bi uslovilo niži privredni rast, pad potrošnje i slabiju investicionu aktivnost od inicijalno planirane.</w:t>
      </w:r>
    </w:p>
    <w:p w14:paraId="03217718" w14:textId="6C6819D7" w:rsidR="00E05341" w:rsidRDefault="00E05341" w:rsidP="00E05341">
      <w:pPr>
        <w:spacing w:line="276" w:lineRule="auto"/>
        <w:jc w:val="both"/>
        <w:rPr>
          <w:rFonts w:eastAsiaTheme="majorEastAsia" w:cstheme="minorHAnsi"/>
          <w:b/>
          <w:color w:val="2F5496" w:themeColor="accent1" w:themeShade="BF"/>
          <w:sz w:val="24"/>
          <w:szCs w:val="24"/>
          <w:lang w:val="sr-Latn-ME"/>
        </w:rPr>
      </w:pPr>
      <w:r>
        <w:rPr>
          <w:rFonts w:eastAsiaTheme="majorEastAsia" w:cstheme="minorHAnsi"/>
          <w:b/>
          <w:color w:val="2F5496" w:themeColor="accent1" w:themeShade="BF"/>
          <w:sz w:val="24"/>
          <w:szCs w:val="24"/>
          <w:lang w:val="sr-Latn-ME"/>
        </w:rPr>
        <w:t>1</w:t>
      </w:r>
      <w:r w:rsidRPr="00F968B6">
        <w:rPr>
          <w:rFonts w:eastAsiaTheme="majorEastAsia" w:cstheme="minorHAnsi"/>
          <w:b/>
          <w:color w:val="2F5496" w:themeColor="accent1" w:themeShade="BF"/>
          <w:sz w:val="24"/>
          <w:szCs w:val="24"/>
          <w:lang w:val="sr-Latn-ME"/>
        </w:rPr>
        <w:t xml:space="preserve">.3.1. Makroekonomski </w:t>
      </w:r>
      <w:r>
        <w:rPr>
          <w:rFonts w:eastAsiaTheme="majorEastAsia" w:cstheme="minorHAnsi"/>
          <w:b/>
          <w:color w:val="2F5496" w:themeColor="accent1" w:themeShade="BF"/>
          <w:sz w:val="24"/>
          <w:szCs w:val="24"/>
          <w:lang w:val="sr-Latn-ME"/>
        </w:rPr>
        <w:t xml:space="preserve">i fiskalni </w:t>
      </w:r>
      <w:r w:rsidRPr="00F968B6">
        <w:rPr>
          <w:rFonts w:eastAsiaTheme="majorEastAsia" w:cstheme="minorHAnsi"/>
          <w:b/>
          <w:color w:val="2F5496" w:themeColor="accent1" w:themeShade="BF"/>
          <w:sz w:val="24"/>
          <w:szCs w:val="24"/>
          <w:lang w:val="sr-Latn-ME"/>
        </w:rPr>
        <w:t>scenario nižeg rasta 2024-2026 (</w:t>
      </w:r>
      <w:r>
        <w:rPr>
          <w:rFonts w:eastAsiaTheme="majorEastAsia" w:cstheme="minorHAnsi"/>
          <w:b/>
          <w:color w:val="2F5496" w:themeColor="accent1" w:themeShade="BF"/>
          <w:sz w:val="24"/>
          <w:szCs w:val="24"/>
          <w:lang w:val="sr-Latn-ME"/>
        </w:rPr>
        <w:t>stres test scenario</w:t>
      </w:r>
      <w:r w:rsidRPr="00F968B6">
        <w:rPr>
          <w:rFonts w:eastAsiaTheme="majorEastAsia" w:cstheme="minorHAnsi"/>
          <w:b/>
          <w:color w:val="2F5496" w:themeColor="accent1" w:themeShade="BF"/>
          <w:sz w:val="24"/>
          <w:szCs w:val="24"/>
          <w:lang w:val="sr-Latn-ME"/>
        </w:rPr>
        <w:t>)</w:t>
      </w:r>
    </w:p>
    <w:p w14:paraId="35E27AC2" w14:textId="6052D43F" w:rsidR="00E05341" w:rsidRDefault="00E05341" w:rsidP="00E05341">
      <w:pPr>
        <w:jc w:val="both"/>
        <w:rPr>
          <w:rFonts w:cstheme="minorHAnsi"/>
          <w:sz w:val="24"/>
          <w:szCs w:val="24"/>
          <w:lang w:val="sr-Latn-ME"/>
        </w:rPr>
      </w:pPr>
      <w:r w:rsidRPr="00E31F78">
        <w:rPr>
          <w:rFonts w:cstheme="minorHAnsi"/>
          <w:sz w:val="24"/>
          <w:szCs w:val="24"/>
          <w:lang w:val="sr-Latn-ME"/>
        </w:rPr>
        <w:t>Ključne pretpostavke alternativnog scenarija uključuju</w:t>
      </w:r>
      <w:r>
        <w:rPr>
          <w:rFonts w:cstheme="minorHAnsi"/>
          <w:sz w:val="24"/>
          <w:szCs w:val="24"/>
          <w:lang w:val="sr-Latn-ME"/>
        </w:rPr>
        <w:t xml:space="preserve"> slabiju dinamiku povećanja privatne potrošnje i kapitalnih investicija, uz niži rast u turističkom sektoru usljed slabe avio dostupnosti i nepovoljnih izgleda za EU biznis ciklus. U ovom scenariju, umjereni pad potražnje, u kombinaciji sa geopolitičkim neizvjesnostima i </w:t>
      </w:r>
      <w:r w:rsidRPr="006E46B8">
        <w:rPr>
          <w:rFonts w:cstheme="minorHAnsi"/>
          <w:sz w:val="24"/>
          <w:szCs w:val="24"/>
          <w:lang w:val="sr-Latn-ME"/>
        </w:rPr>
        <w:t>visok</w:t>
      </w:r>
      <w:r>
        <w:rPr>
          <w:rFonts w:cstheme="minorHAnsi"/>
          <w:sz w:val="24"/>
          <w:szCs w:val="24"/>
          <w:lang w:val="sr-Latn-ME"/>
        </w:rPr>
        <w:t>im</w:t>
      </w:r>
      <w:r w:rsidRPr="006E46B8">
        <w:rPr>
          <w:rFonts w:cstheme="minorHAnsi"/>
          <w:sz w:val="24"/>
          <w:szCs w:val="24"/>
          <w:lang w:val="sr-Latn-ME"/>
        </w:rPr>
        <w:t xml:space="preserve"> referentn</w:t>
      </w:r>
      <w:r>
        <w:rPr>
          <w:rFonts w:cstheme="minorHAnsi"/>
          <w:sz w:val="24"/>
          <w:szCs w:val="24"/>
          <w:lang w:val="sr-Latn-ME"/>
        </w:rPr>
        <w:t>im</w:t>
      </w:r>
      <w:r w:rsidRPr="006E46B8">
        <w:rPr>
          <w:rFonts w:cstheme="minorHAnsi"/>
          <w:sz w:val="24"/>
          <w:szCs w:val="24"/>
          <w:lang w:val="sr-Latn-ME"/>
        </w:rPr>
        <w:t xml:space="preserve"> kamatn</w:t>
      </w:r>
      <w:r>
        <w:rPr>
          <w:rFonts w:cstheme="minorHAnsi"/>
          <w:sz w:val="24"/>
          <w:szCs w:val="24"/>
          <w:lang w:val="sr-Latn-ME"/>
        </w:rPr>
        <w:t>im</w:t>
      </w:r>
      <w:r w:rsidRPr="006E46B8">
        <w:rPr>
          <w:rFonts w:cstheme="minorHAnsi"/>
          <w:sz w:val="24"/>
          <w:szCs w:val="24"/>
          <w:lang w:val="sr-Latn-ME"/>
        </w:rPr>
        <w:t xml:space="preserve"> stop</w:t>
      </w:r>
      <w:r>
        <w:rPr>
          <w:rFonts w:cstheme="minorHAnsi"/>
          <w:sz w:val="24"/>
          <w:szCs w:val="24"/>
          <w:lang w:val="sr-Latn-ME"/>
        </w:rPr>
        <w:t>ama opredijelili bi usporavanje ulaganja investitora, nižu zaposlenost od inicijalno predviđene, dok bi inflacija i dalje bila povišena u narednoj godini. Svi ovi efekti bi posljedično uticali na planirani ekonomski rast.</w:t>
      </w:r>
    </w:p>
    <w:p w14:paraId="4C8C304E" w14:textId="77777777" w:rsidR="00E05341" w:rsidRDefault="00E05341" w:rsidP="00E05341">
      <w:pPr>
        <w:jc w:val="both"/>
        <w:rPr>
          <w:rFonts w:cstheme="minorHAnsi"/>
          <w:sz w:val="24"/>
          <w:szCs w:val="24"/>
          <w:lang w:val="sr-Latn-ME"/>
        </w:rPr>
      </w:pPr>
      <w:r w:rsidRPr="00E31F78">
        <w:rPr>
          <w:rFonts w:cstheme="minorHAnsi"/>
          <w:sz w:val="24"/>
          <w:szCs w:val="24"/>
          <w:lang w:val="sr-Latn-ME"/>
        </w:rPr>
        <w:t>Sumarno, kombinacijom ostvarivanja potencijalnih rizika po makrofinansijsku s</w:t>
      </w:r>
      <w:r>
        <w:rPr>
          <w:rFonts w:cstheme="minorHAnsi"/>
          <w:sz w:val="24"/>
          <w:szCs w:val="24"/>
          <w:lang w:val="sr-Latn-ME"/>
        </w:rPr>
        <w:t>tabilnost, ekonomski rast u srednjem roku bi iznosio prosječno 2,8%, odnosno oko 0,9 procentnih poena niže</w:t>
      </w:r>
      <w:r w:rsidRPr="00E31F78">
        <w:rPr>
          <w:rFonts w:cstheme="minorHAnsi"/>
          <w:sz w:val="24"/>
          <w:szCs w:val="24"/>
          <w:lang w:val="sr-Latn-ME"/>
        </w:rPr>
        <w:t xml:space="preserve"> u odnosu na osnovni scenario projekcija. </w:t>
      </w:r>
      <w:r>
        <w:rPr>
          <w:rFonts w:cstheme="minorHAnsi"/>
          <w:sz w:val="24"/>
          <w:szCs w:val="24"/>
          <w:lang w:val="sr-Latn-ME"/>
        </w:rPr>
        <w:t>Umjereniji rast</w:t>
      </w:r>
      <w:r w:rsidRPr="00E31F78">
        <w:rPr>
          <w:rFonts w:cstheme="minorHAnsi"/>
          <w:sz w:val="24"/>
          <w:szCs w:val="24"/>
          <w:lang w:val="sr-Latn-ME"/>
        </w:rPr>
        <w:t xml:space="preserve"> investicija, </w:t>
      </w:r>
      <w:r>
        <w:rPr>
          <w:rFonts w:cstheme="minorHAnsi"/>
          <w:sz w:val="24"/>
          <w:szCs w:val="24"/>
          <w:lang w:val="sr-Latn-ME"/>
        </w:rPr>
        <w:t>nešto slabiji</w:t>
      </w:r>
      <w:r w:rsidRPr="00E31F78">
        <w:rPr>
          <w:rFonts w:cstheme="minorHAnsi"/>
          <w:sz w:val="24"/>
          <w:szCs w:val="24"/>
          <w:lang w:val="sr-Latn-ME"/>
        </w:rPr>
        <w:t xml:space="preserve"> rast prihoda od turizma, bi u srednjem roku uticali na niži rast zaposlenosti</w:t>
      </w:r>
      <w:r>
        <w:rPr>
          <w:rFonts w:cstheme="minorHAnsi"/>
          <w:sz w:val="24"/>
          <w:szCs w:val="24"/>
          <w:lang w:val="sr-Latn-ME"/>
        </w:rPr>
        <w:t xml:space="preserve"> za oko 0,4 procentnih poena,</w:t>
      </w:r>
      <w:r w:rsidRPr="00E31F78">
        <w:rPr>
          <w:rFonts w:cstheme="minorHAnsi"/>
          <w:sz w:val="24"/>
          <w:szCs w:val="24"/>
          <w:lang w:val="sr-Latn-ME"/>
        </w:rPr>
        <w:t xml:space="preserve"> a samim tim i na manju potrošnju domaćinstava. Nepovoljne makroekonomske performanse bi se odrazile na sl</w:t>
      </w:r>
      <w:r>
        <w:rPr>
          <w:rFonts w:cstheme="minorHAnsi"/>
          <w:sz w:val="24"/>
          <w:szCs w:val="24"/>
          <w:lang w:val="sr-Latn-ME"/>
        </w:rPr>
        <w:t>abije punjenje prihoda budžeta</w:t>
      </w:r>
      <w:r w:rsidRPr="00E31F78">
        <w:rPr>
          <w:rFonts w:cstheme="minorHAnsi"/>
          <w:sz w:val="24"/>
          <w:szCs w:val="24"/>
          <w:lang w:val="sr-Latn-ME"/>
        </w:rPr>
        <w:t>.</w:t>
      </w:r>
      <w:r>
        <w:rPr>
          <w:rFonts w:cstheme="minorHAnsi"/>
          <w:sz w:val="24"/>
          <w:szCs w:val="24"/>
          <w:lang w:val="sr-Latn-ME"/>
        </w:rPr>
        <w:t xml:space="preserve"> Stopa nezaposlenosti bi porasla za oko 0,4 procentnih poena u odnosu na osnovni scenario. Sveukupno, makroekonomski izgledi bi bili pozitivni, ali bi odražavali kontekst izmijenjenog međunarodnog okruženja. Rast ekonomije bi ostao dinamičan u 2025. godini, usljed sveobuhvatnih reformi Vlade, budući da će prema očekivanjima povećanje zarada u ekonomiji i povoljniji investicioni ambijent sa snižavanjem troškova rada, opredjeljivati makroekonomska kretanja u srednjem roku.</w:t>
      </w:r>
    </w:p>
    <w:p w14:paraId="39260A49" w14:textId="77777777" w:rsidR="00E05341" w:rsidRPr="006E46B8" w:rsidRDefault="00E05341" w:rsidP="00640076">
      <w:pPr>
        <w:spacing w:after="120"/>
        <w:jc w:val="both"/>
        <w:rPr>
          <w:rFonts w:cstheme="minorHAnsi"/>
          <w:sz w:val="24"/>
          <w:szCs w:val="24"/>
          <w:lang w:val="sr-Latn-ME"/>
        </w:rPr>
      </w:pPr>
      <w:r w:rsidRPr="00E31F78">
        <w:rPr>
          <w:rFonts w:cstheme="minorHAnsi"/>
          <w:sz w:val="24"/>
          <w:szCs w:val="24"/>
          <w:lang w:val="sr-Latn-ME"/>
        </w:rPr>
        <w:t>Makroekonomske projekcije prema scenariju nižeg rasta date su u sljedećoj tabeli:</w:t>
      </w:r>
    </w:p>
    <w:p w14:paraId="03656638" w14:textId="77777777" w:rsidR="00E05341" w:rsidRPr="00EA4C40" w:rsidRDefault="00E05341" w:rsidP="00E05341">
      <w:pPr>
        <w:rPr>
          <w:b/>
          <w:color w:val="2F5496" w:themeColor="accent1" w:themeShade="BF"/>
          <w:lang w:val="sr-Latn-ME"/>
        </w:rPr>
      </w:pPr>
      <w:r w:rsidRPr="00EA4C40">
        <w:rPr>
          <w:b/>
          <w:color w:val="2F5496" w:themeColor="accent1" w:themeShade="BF"/>
          <w:lang w:val="sr-Latn-ME"/>
        </w:rPr>
        <w:t xml:space="preserve">Tabela </w:t>
      </w:r>
      <w:r>
        <w:rPr>
          <w:b/>
          <w:color w:val="2F5496" w:themeColor="accent1" w:themeShade="BF"/>
          <w:lang w:val="sr-Latn-ME"/>
        </w:rPr>
        <w:t>1.3.1</w:t>
      </w:r>
      <w:r w:rsidRPr="00EA4C40">
        <w:rPr>
          <w:b/>
          <w:color w:val="2F5496" w:themeColor="accent1" w:themeShade="BF"/>
          <w:lang w:val="sr-Latn-ME"/>
        </w:rPr>
        <w:t>: Crna Gora, makroekonomske projekcije, scenario nižeg rasta</w:t>
      </w:r>
    </w:p>
    <w:tbl>
      <w:tblPr>
        <w:tblStyle w:val="GridTable4-Accent1"/>
        <w:tblW w:w="9060" w:type="dxa"/>
        <w:tblLook w:val="04A0" w:firstRow="1" w:lastRow="0" w:firstColumn="1" w:lastColumn="0" w:noHBand="0" w:noVBand="1"/>
      </w:tblPr>
      <w:tblGrid>
        <w:gridCol w:w="4271"/>
        <w:gridCol w:w="1596"/>
        <w:gridCol w:w="1596"/>
        <w:gridCol w:w="1597"/>
      </w:tblGrid>
      <w:tr w:rsidR="00E05341" w:rsidRPr="004F4EBA" w14:paraId="338CA213" w14:textId="77777777" w:rsidTr="00E05341">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060" w:type="dxa"/>
            <w:gridSpan w:val="4"/>
            <w:noWrap/>
            <w:hideMark/>
          </w:tcPr>
          <w:p w14:paraId="640F21B2" w14:textId="77777777" w:rsidR="00E05341" w:rsidRPr="004F4EBA" w:rsidRDefault="00E05341" w:rsidP="00E05341">
            <w:pPr>
              <w:jc w:val="center"/>
              <w:rPr>
                <w:rFonts w:ascii="Calibri" w:eastAsia="Times New Roman" w:hAnsi="Calibri" w:cs="Calibri"/>
                <w:b w:val="0"/>
                <w:bCs w:val="0"/>
                <w:sz w:val="16"/>
                <w:szCs w:val="16"/>
                <w:lang w:val="sr-Latn-ME" w:eastAsia="sr-Latn-ME"/>
              </w:rPr>
            </w:pPr>
            <w:r w:rsidRPr="004F4EBA">
              <w:rPr>
                <w:rFonts w:ascii="Calibri" w:eastAsia="Times New Roman" w:hAnsi="Calibri" w:cs="Calibri"/>
                <w:sz w:val="16"/>
                <w:szCs w:val="16"/>
                <w:lang w:val="sr-Latn-ME" w:eastAsia="sr-Latn-ME"/>
              </w:rPr>
              <w:t>CG: Makroekonomske projekcije, 202</w:t>
            </w:r>
            <w:r>
              <w:rPr>
                <w:rFonts w:ascii="Calibri" w:eastAsia="Times New Roman" w:hAnsi="Calibri" w:cs="Calibri"/>
                <w:sz w:val="16"/>
                <w:szCs w:val="16"/>
                <w:lang w:val="sr-Latn-ME" w:eastAsia="sr-Latn-ME"/>
              </w:rPr>
              <w:t>5</w:t>
            </w:r>
            <w:r w:rsidRPr="004F4EBA">
              <w:rPr>
                <w:rFonts w:ascii="Calibri" w:eastAsia="Times New Roman" w:hAnsi="Calibri" w:cs="Calibri"/>
                <w:sz w:val="16"/>
                <w:szCs w:val="16"/>
                <w:lang w:val="sr-Latn-ME" w:eastAsia="sr-Latn-ME"/>
              </w:rPr>
              <w:t xml:space="preserve">-2027 </w:t>
            </w:r>
            <w:r>
              <w:rPr>
                <w:rFonts w:ascii="Calibri" w:eastAsia="Times New Roman" w:hAnsi="Calibri" w:cs="Calibri"/>
                <w:sz w:val="16"/>
                <w:szCs w:val="16"/>
                <w:lang w:val="sr-Latn-ME" w:eastAsia="sr-Latn-ME"/>
              </w:rPr>
              <w:t>–</w:t>
            </w:r>
            <w:r w:rsidRPr="004F4EBA">
              <w:rPr>
                <w:rFonts w:ascii="Calibri" w:eastAsia="Times New Roman" w:hAnsi="Calibri" w:cs="Calibri"/>
                <w:sz w:val="16"/>
                <w:szCs w:val="16"/>
                <w:lang w:val="sr-Latn-ME" w:eastAsia="sr-Latn-ME"/>
              </w:rPr>
              <w:t xml:space="preserve"> </w:t>
            </w:r>
            <w:r>
              <w:rPr>
                <w:rFonts w:ascii="Calibri" w:eastAsia="Times New Roman" w:hAnsi="Calibri" w:cs="Calibri"/>
                <w:sz w:val="16"/>
                <w:szCs w:val="16"/>
                <w:lang w:val="sr-Latn-ME" w:eastAsia="sr-Latn-ME"/>
              </w:rPr>
              <w:t>Scenario nižeg rasta</w:t>
            </w:r>
          </w:p>
        </w:tc>
      </w:tr>
      <w:tr w:rsidR="00E05341" w:rsidRPr="004F4EBA" w14:paraId="4CAD1142" w14:textId="77777777" w:rsidTr="00E05341">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271" w:type="dxa"/>
            <w:noWrap/>
            <w:hideMark/>
          </w:tcPr>
          <w:p w14:paraId="353288C5" w14:textId="77777777" w:rsidR="00E05341" w:rsidRPr="004F4EBA" w:rsidRDefault="00E05341" w:rsidP="00E05341">
            <w:pPr>
              <w:rPr>
                <w:rFonts w:ascii="Calibri" w:eastAsia="Times New Roman" w:hAnsi="Calibri" w:cs="Calibri"/>
                <w:b w:val="0"/>
                <w:bCs w:val="0"/>
                <w:sz w:val="16"/>
                <w:szCs w:val="16"/>
                <w:lang w:val="sr-Latn-ME" w:eastAsia="sr-Latn-ME"/>
              </w:rPr>
            </w:pPr>
            <w:r w:rsidRPr="004F4EBA">
              <w:rPr>
                <w:rFonts w:ascii="Calibri" w:eastAsia="Times New Roman" w:hAnsi="Calibri" w:cs="Calibri"/>
                <w:sz w:val="16"/>
                <w:szCs w:val="16"/>
                <w:lang w:val="sr-Latn-ME" w:eastAsia="sr-Latn-ME"/>
              </w:rPr>
              <w:t> </w:t>
            </w:r>
            <w:r>
              <w:rPr>
                <w:rFonts w:ascii="Calibri" w:eastAsia="Times New Roman" w:hAnsi="Calibri" w:cs="Calibri"/>
                <w:sz w:val="16"/>
                <w:szCs w:val="16"/>
                <w:lang w:val="sr-Latn-ME" w:eastAsia="sr-Latn-ME"/>
              </w:rPr>
              <w:t>Crna Gora: Scenario nižeg rasta</w:t>
            </w:r>
          </w:p>
        </w:tc>
        <w:tc>
          <w:tcPr>
            <w:tcW w:w="1596" w:type="dxa"/>
            <w:noWrap/>
            <w:hideMark/>
          </w:tcPr>
          <w:p w14:paraId="6EB5CD8C" w14:textId="77777777" w:rsidR="00E05341" w:rsidRPr="004F4EBA"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sr-Latn-ME" w:eastAsia="sr-Latn-ME"/>
              </w:rPr>
            </w:pPr>
            <w:r w:rsidRPr="004F4EBA">
              <w:rPr>
                <w:rFonts w:ascii="Calibri" w:eastAsia="Times New Roman" w:hAnsi="Calibri" w:cs="Calibri"/>
                <w:b/>
                <w:bCs/>
                <w:sz w:val="20"/>
                <w:szCs w:val="20"/>
                <w:lang w:val="sr-Latn-ME" w:eastAsia="sr-Latn-ME"/>
              </w:rPr>
              <w:t>2025</w:t>
            </w:r>
          </w:p>
        </w:tc>
        <w:tc>
          <w:tcPr>
            <w:tcW w:w="1596" w:type="dxa"/>
            <w:noWrap/>
            <w:hideMark/>
          </w:tcPr>
          <w:p w14:paraId="4F9B67D9" w14:textId="77777777" w:rsidR="00E05341" w:rsidRPr="004F4EBA"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sr-Latn-ME" w:eastAsia="sr-Latn-ME"/>
              </w:rPr>
            </w:pPr>
            <w:r w:rsidRPr="004F4EBA">
              <w:rPr>
                <w:rFonts w:ascii="Calibri" w:eastAsia="Times New Roman" w:hAnsi="Calibri" w:cs="Calibri"/>
                <w:b/>
                <w:bCs/>
                <w:sz w:val="20"/>
                <w:szCs w:val="20"/>
                <w:lang w:val="sr-Latn-ME" w:eastAsia="sr-Latn-ME"/>
              </w:rPr>
              <w:t>2026</w:t>
            </w:r>
          </w:p>
        </w:tc>
        <w:tc>
          <w:tcPr>
            <w:tcW w:w="1597" w:type="dxa"/>
            <w:noWrap/>
            <w:hideMark/>
          </w:tcPr>
          <w:p w14:paraId="17EBD091" w14:textId="77777777" w:rsidR="00E05341" w:rsidRPr="004F4EBA"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sr-Latn-ME" w:eastAsia="sr-Latn-ME"/>
              </w:rPr>
            </w:pPr>
            <w:r w:rsidRPr="004F4EBA">
              <w:rPr>
                <w:rFonts w:ascii="Calibri" w:eastAsia="Times New Roman" w:hAnsi="Calibri" w:cs="Calibri"/>
                <w:b/>
                <w:bCs/>
                <w:sz w:val="20"/>
                <w:szCs w:val="20"/>
                <w:lang w:val="sr-Latn-ME" w:eastAsia="sr-Latn-ME"/>
              </w:rPr>
              <w:t>2027</w:t>
            </w:r>
          </w:p>
        </w:tc>
      </w:tr>
      <w:tr w:rsidR="00E05341" w:rsidRPr="004F4EBA" w14:paraId="13458E12" w14:textId="77777777" w:rsidTr="00E05341">
        <w:trPr>
          <w:trHeight w:val="231"/>
        </w:trPr>
        <w:tc>
          <w:tcPr>
            <w:cnfStyle w:val="001000000000" w:firstRow="0" w:lastRow="0" w:firstColumn="1" w:lastColumn="0" w:oddVBand="0" w:evenVBand="0" w:oddHBand="0" w:evenHBand="0" w:firstRowFirstColumn="0" w:firstRowLastColumn="0" w:lastRowFirstColumn="0" w:lastRowLastColumn="0"/>
            <w:tcW w:w="4271" w:type="dxa"/>
            <w:noWrap/>
            <w:hideMark/>
          </w:tcPr>
          <w:p w14:paraId="267BEEDD" w14:textId="77777777" w:rsidR="00E05341" w:rsidRPr="004F4EBA" w:rsidRDefault="00E05341" w:rsidP="00E05341">
            <w:pPr>
              <w:rPr>
                <w:rFonts w:ascii="Calibri" w:eastAsia="Times New Roman" w:hAnsi="Calibri" w:cs="Calibri"/>
                <w:sz w:val="20"/>
                <w:szCs w:val="20"/>
                <w:lang w:val="sr-Latn-ME" w:eastAsia="sr-Latn-ME"/>
              </w:rPr>
            </w:pPr>
            <w:r w:rsidRPr="004F4EBA">
              <w:rPr>
                <w:rFonts w:ascii="Calibri" w:eastAsia="Times New Roman" w:hAnsi="Calibri" w:cs="Calibri"/>
                <w:sz w:val="20"/>
                <w:szCs w:val="20"/>
                <w:lang w:val="sr-Latn-ME" w:eastAsia="sr-Latn-ME"/>
              </w:rPr>
              <w:t> </w:t>
            </w:r>
          </w:p>
        </w:tc>
        <w:tc>
          <w:tcPr>
            <w:tcW w:w="4789" w:type="dxa"/>
            <w:gridSpan w:val="3"/>
            <w:noWrap/>
            <w:hideMark/>
          </w:tcPr>
          <w:p w14:paraId="7B875E9C" w14:textId="77777777" w:rsidR="00E05341" w:rsidRPr="004F4EBA" w:rsidRDefault="00E05341" w:rsidP="00E0534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u w:val="single"/>
                <w:lang w:val="sr-Latn-ME" w:eastAsia="sr-Latn-ME"/>
              </w:rPr>
            </w:pPr>
          </w:p>
        </w:tc>
      </w:tr>
      <w:tr w:rsidR="00E05341" w:rsidRPr="004F4EBA" w14:paraId="598D148C" w14:textId="77777777" w:rsidTr="00E05341">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271" w:type="dxa"/>
            <w:noWrap/>
            <w:hideMark/>
          </w:tcPr>
          <w:p w14:paraId="6E6804B4" w14:textId="77777777" w:rsidR="00E05341" w:rsidRPr="004F4EBA" w:rsidRDefault="00E05341" w:rsidP="00E05341">
            <w:pPr>
              <w:ind w:firstLineChars="100" w:firstLine="200"/>
              <w:rPr>
                <w:rFonts w:ascii="Calibri" w:eastAsia="Times New Roman" w:hAnsi="Calibri" w:cs="Calibri"/>
                <w:sz w:val="20"/>
                <w:szCs w:val="20"/>
                <w:lang w:val="sr-Latn-ME" w:eastAsia="sr-Latn-ME"/>
              </w:rPr>
            </w:pPr>
            <w:r w:rsidRPr="004F4EBA">
              <w:rPr>
                <w:rFonts w:ascii="Calibri" w:eastAsia="Times New Roman" w:hAnsi="Calibri" w:cs="Calibri"/>
                <w:sz w:val="20"/>
                <w:szCs w:val="20"/>
                <w:lang w:val="sr-Latn-ME" w:eastAsia="sr-Latn-ME"/>
              </w:rPr>
              <w:t>Nominalni BDP u mil.€</w:t>
            </w:r>
          </w:p>
        </w:tc>
        <w:tc>
          <w:tcPr>
            <w:tcW w:w="1596" w:type="dxa"/>
            <w:noWrap/>
            <w:hideMark/>
          </w:tcPr>
          <w:p w14:paraId="27896820" w14:textId="77777777" w:rsidR="00E05341" w:rsidRPr="001B0850"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7836.8</w:t>
            </w:r>
          </w:p>
        </w:tc>
        <w:tc>
          <w:tcPr>
            <w:tcW w:w="1596" w:type="dxa"/>
            <w:noWrap/>
            <w:hideMark/>
          </w:tcPr>
          <w:p w14:paraId="5D6C5B7B" w14:textId="77777777" w:rsidR="00E05341" w:rsidRPr="004F4EBA"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sr-Latn-ME" w:eastAsia="sr-Latn-ME"/>
              </w:rPr>
            </w:pPr>
            <w:r>
              <w:rPr>
                <w:rFonts w:ascii="Calibri" w:hAnsi="Calibri" w:cs="Calibri"/>
                <w:sz w:val="20"/>
                <w:szCs w:val="20"/>
              </w:rPr>
              <w:t>8154.4</w:t>
            </w:r>
          </w:p>
        </w:tc>
        <w:tc>
          <w:tcPr>
            <w:tcW w:w="1597" w:type="dxa"/>
            <w:noWrap/>
            <w:hideMark/>
          </w:tcPr>
          <w:p w14:paraId="20FE5EF1" w14:textId="77777777" w:rsidR="00E05341" w:rsidRPr="004F4EBA"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sr-Latn-ME" w:eastAsia="sr-Latn-ME"/>
              </w:rPr>
            </w:pPr>
            <w:r>
              <w:rPr>
                <w:rFonts w:ascii="Calibri" w:hAnsi="Calibri" w:cs="Calibri"/>
                <w:sz w:val="20"/>
                <w:szCs w:val="20"/>
              </w:rPr>
              <w:t>8466.7</w:t>
            </w:r>
          </w:p>
        </w:tc>
      </w:tr>
      <w:tr w:rsidR="00E05341" w:rsidRPr="004F4EBA" w14:paraId="656AC39F" w14:textId="77777777" w:rsidTr="00E05341">
        <w:trPr>
          <w:trHeight w:val="231"/>
        </w:trPr>
        <w:tc>
          <w:tcPr>
            <w:cnfStyle w:val="001000000000" w:firstRow="0" w:lastRow="0" w:firstColumn="1" w:lastColumn="0" w:oddVBand="0" w:evenVBand="0" w:oddHBand="0" w:evenHBand="0" w:firstRowFirstColumn="0" w:firstRowLastColumn="0" w:lastRowFirstColumn="0" w:lastRowLastColumn="0"/>
            <w:tcW w:w="4271" w:type="dxa"/>
            <w:noWrap/>
            <w:hideMark/>
          </w:tcPr>
          <w:p w14:paraId="145A2643" w14:textId="77777777" w:rsidR="00E05341" w:rsidRPr="004F4EBA" w:rsidRDefault="00E05341" w:rsidP="00E05341">
            <w:pPr>
              <w:ind w:firstLineChars="200" w:firstLine="400"/>
              <w:rPr>
                <w:rFonts w:ascii="Calibri" w:eastAsia="Times New Roman" w:hAnsi="Calibri" w:cs="Calibri"/>
                <w:sz w:val="20"/>
                <w:szCs w:val="20"/>
                <w:lang w:val="sr-Latn-ME" w:eastAsia="sr-Latn-ME"/>
              </w:rPr>
            </w:pPr>
            <w:r w:rsidRPr="004F4EBA">
              <w:rPr>
                <w:rFonts w:ascii="Calibri" w:eastAsia="Times New Roman" w:hAnsi="Calibri" w:cs="Calibri"/>
                <w:sz w:val="20"/>
                <w:szCs w:val="20"/>
                <w:lang w:val="sr-Latn-ME" w:eastAsia="sr-Latn-ME"/>
              </w:rPr>
              <w:t>Nominalni rast</w:t>
            </w:r>
          </w:p>
        </w:tc>
        <w:tc>
          <w:tcPr>
            <w:tcW w:w="1596" w:type="dxa"/>
            <w:noWrap/>
            <w:hideMark/>
          </w:tcPr>
          <w:p w14:paraId="617AA54A" w14:textId="77777777" w:rsidR="00E05341" w:rsidRPr="004F4EBA"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sr-Latn-ME" w:eastAsia="sr-Latn-ME"/>
              </w:rPr>
            </w:pPr>
            <w:r>
              <w:rPr>
                <w:rFonts w:ascii="Calibri" w:eastAsia="Times New Roman" w:hAnsi="Calibri" w:cs="Calibri"/>
                <w:sz w:val="20"/>
                <w:szCs w:val="20"/>
                <w:lang w:val="sr-Latn-ME" w:eastAsia="sr-Latn-ME"/>
              </w:rPr>
              <w:t>5.7</w:t>
            </w:r>
          </w:p>
        </w:tc>
        <w:tc>
          <w:tcPr>
            <w:tcW w:w="1596" w:type="dxa"/>
            <w:noWrap/>
            <w:hideMark/>
          </w:tcPr>
          <w:p w14:paraId="3923F6A1" w14:textId="77777777" w:rsidR="00E05341" w:rsidRPr="004F4EBA"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sr-Latn-ME" w:eastAsia="sr-Latn-ME"/>
              </w:rPr>
            </w:pPr>
            <w:r>
              <w:rPr>
                <w:rFonts w:ascii="Calibri" w:eastAsia="Times New Roman" w:hAnsi="Calibri" w:cs="Calibri"/>
                <w:sz w:val="20"/>
                <w:szCs w:val="20"/>
                <w:lang w:val="sr-Latn-ME" w:eastAsia="sr-Latn-ME"/>
              </w:rPr>
              <w:t>4.1</w:t>
            </w:r>
          </w:p>
        </w:tc>
        <w:tc>
          <w:tcPr>
            <w:tcW w:w="1597" w:type="dxa"/>
            <w:noWrap/>
            <w:hideMark/>
          </w:tcPr>
          <w:p w14:paraId="33B943CC" w14:textId="77777777" w:rsidR="00E05341" w:rsidRPr="004F4EBA"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sr-Latn-ME" w:eastAsia="sr-Latn-ME"/>
              </w:rPr>
            </w:pPr>
            <w:r w:rsidRPr="004F4EBA">
              <w:rPr>
                <w:rFonts w:ascii="Calibri" w:eastAsia="Times New Roman" w:hAnsi="Calibri" w:cs="Calibri"/>
                <w:sz w:val="20"/>
                <w:szCs w:val="20"/>
                <w:lang w:val="sr-Latn-ME" w:eastAsia="sr-Latn-ME"/>
              </w:rPr>
              <w:t>3.8</w:t>
            </w:r>
          </w:p>
        </w:tc>
      </w:tr>
      <w:tr w:rsidR="00E05341" w:rsidRPr="004F4EBA" w14:paraId="681F3E20" w14:textId="77777777" w:rsidTr="00E05341">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271" w:type="dxa"/>
            <w:noWrap/>
            <w:hideMark/>
          </w:tcPr>
          <w:p w14:paraId="4BDF94C9" w14:textId="77777777" w:rsidR="00E05341" w:rsidRPr="004F4EBA" w:rsidRDefault="00E05341" w:rsidP="00E05341">
            <w:pPr>
              <w:ind w:firstLineChars="200" w:firstLine="400"/>
              <w:rPr>
                <w:rFonts w:ascii="Calibri" w:eastAsia="Times New Roman" w:hAnsi="Calibri" w:cs="Calibri"/>
                <w:b w:val="0"/>
                <w:bCs w:val="0"/>
                <w:sz w:val="20"/>
                <w:szCs w:val="20"/>
                <w:lang w:val="sr-Latn-ME" w:eastAsia="sr-Latn-ME"/>
              </w:rPr>
            </w:pPr>
            <w:r w:rsidRPr="004F4EBA">
              <w:rPr>
                <w:rFonts w:ascii="Calibri" w:eastAsia="Times New Roman" w:hAnsi="Calibri" w:cs="Calibri"/>
                <w:sz w:val="20"/>
                <w:szCs w:val="20"/>
                <w:lang w:val="sr-Latn-ME" w:eastAsia="sr-Latn-ME"/>
              </w:rPr>
              <w:t>Realni rast</w:t>
            </w:r>
          </w:p>
        </w:tc>
        <w:tc>
          <w:tcPr>
            <w:tcW w:w="1596" w:type="dxa"/>
            <w:noWrap/>
            <w:hideMark/>
          </w:tcPr>
          <w:p w14:paraId="5B5BBDAE" w14:textId="77777777" w:rsidR="00E05341" w:rsidRPr="004F4EBA"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sr-Latn-ME" w:eastAsia="sr-Latn-ME"/>
              </w:rPr>
            </w:pPr>
            <w:r>
              <w:rPr>
                <w:rFonts w:ascii="Calibri" w:eastAsia="Times New Roman" w:hAnsi="Calibri" w:cs="Calibri"/>
                <w:b/>
                <w:bCs/>
                <w:sz w:val="20"/>
                <w:szCs w:val="20"/>
                <w:lang w:val="sr-Latn-ME" w:eastAsia="sr-Latn-ME"/>
              </w:rPr>
              <w:t>3.2</w:t>
            </w:r>
          </w:p>
        </w:tc>
        <w:tc>
          <w:tcPr>
            <w:tcW w:w="1596" w:type="dxa"/>
            <w:noWrap/>
            <w:hideMark/>
          </w:tcPr>
          <w:p w14:paraId="6988B42B" w14:textId="77777777" w:rsidR="00E05341" w:rsidRPr="004F4EBA"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sr-Latn-ME" w:eastAsia="sr-Latn-ME"/>
              </w:rPr>
            </w:pPr>
            <w:r>
              <w:rPr>
                <w:rFonts w:ascii="Calibri" w:eastAsia="Times New Roman" w:hAnsi="Calibri" w:cs="Calibri"/>
                <w:b/>
                <w:bCs/>
                <w:sz w:val="20"/>
                <w:szCs w:val="20"/>
                <w:lang w:val="sr-Latn-ME" w:eastAsia="sr-Latn-ME"/>
              </w:rPr>
              <w:t>2.4</w:t>
            </w:r>
          </w:p>
        </w:tc>
        <w:tc>
          <w:tcPr>
            <w:tcW w:w="1597" w:type="dxa"/>
            <w:noWrap/>
            <w:hideMark/>
          </w:tcPr>
          <w:p w14:paraId="3C74CE68" w14:textId="77777777" w:rsidR="00E05341" w:rsidRPr="004F4EBA"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val="sr-Latn-ME" w:eastAsia="sr-Latn-ME"/>
              </w:rPr>
            </w:pPr>
            <w:r>
              <w:rPr>
                <w:rFonts w:ascii="Calibri" w:eastAsia="Times New Roman" w:hAnsi="Calibri" w:cs="Calibri"/>
                <w:b/>
                <w:bCs/>
                <w:sz w:val="20"/>
                <w:szCs w:val="20"/>
                <w:lang w:val="sr-Latn-ME" w:eastAsia="sr-Latn-ME"/>
              </w:rPr>
              <w:t>2.7</w:t>
            </w:r>
          </w:p>
        </w:tc>
      </w:tr>
      <w:tr w:rsidR="00E05341" w:rsidRPr="004F4EBA" w14:paraId="22900A90" w14:textId="77777777" w:rsidTr="00E05341">
        <w:trPr>
          <w:trHeight w:val="231"/>
        </w:trPr>
        <w:tc>
          <w:tcPr>
            <w:cnfStyle w:val="001000000000" w:firstRow="0" w:lastRow="0" w:firstColumn="1" w:lastColumn="0" w:oddVBand="0" w:evenVBand="0" w:oddHBand="0" w:evenHBand="0" w:firstRowFirstColumn="0" w:firstRowLastColumn="0" w:lastRowFirstColumn="0" w:lastRowLastColumn="0"/>
            <w:tcW w:w="4271" w:type="dxa"/>
            <w:noWrap/>
            <w:hideMark/>
          </w:tcPr>
          <w:p w14:paraId="119F435F" w14:textId="77777777" w:rsidR="00E05341" w:rsidRPr="004F4EBA" w:rsidRDefault="00E05341" w:rsidP="00E05341">
            <w:pPr>
              <w:ind w:firstLineChars="200" w:firstLine="400"/>
              <w:rPr>
                <w:rFonts w:ascii="Calibri" w:eastAsia="Times New Roman" w:hAnsi="Calibri" w:cs="Calibri"/>
                <w:sz w:val="20"/>
                <w:szCs w:val="20"/>
                <w:lang w:val="sr-Latn-ME" w:eastAsia="sr-Latn-ME"/>
              </w:rPr>
            </w:pPr>
            <w:r w:rsidRPr="004F4EBA">
              <w:rPr>
                <w:rFonts w:ascii="Calibri" w:eastAsia="Times New Roman" w:hAnsi="Calibri" w:cs="Calibri"/>
                <w:sz w:val="20"/>
                <w:szCs w:val="20"/>
                <w:lang w:val="sr-Latn-ME" w:eastAsia="sr-Latn-ME"/>
              </w:rPr>
              <w:t>Inflacija (prosjek)</w:t>
            </w:r>
          </w:p>
        </w:tc>
        <w:tc>
          <w:tcPr>
            <w:tcW w:w="1596" w:type="dxa"/>
            <w:noWrap/>
            <w:hideMark/>
          </w:tcPr>
          <w:p w14:paraId="25E83CA6" w14:textId="77777777" w:rsidR="00E05341" w:rsidRPr="004F4EBA"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sr-Latn-ME" w:eastAsia="sr-Latn-ME"/>
              </w:rPr>
            </w:pPr>
            <w:r w:rsidRPr="004F4EBA">
              <w:rPr>
                <w:rFonts w:ascii="Calibri" w:eastAsia="Times New Roman" w:hAnsi="Calibri" w:cs="Calibri"/>
                <w:sz w:val="20"/>
                <w:szCs w:val="20"/>
                <w:lang w:val="sr-Latn-ME" w:eastAsia="sr-Latn-ME"/>
              </w:rPr>
              <w:t>3.4</w:t>
            </w:r>
          </w:p>
        </w:tc>
        <w:tc>
          <w:tcPr>
            <w:tcW w:w="1596" w:type="dxa"/>
            <w:noWrap/>
            <w:hideMark/>
          </w:tcPr>
          <w:p w14:paraId="596B7B6E" w14:textId="77777777" w:rsidR="00E05341" w:rsidRPr="004F4EBA"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sr-Latn-ME" w:eastAsia="sr-Latn-ME"/>
              </w:rPr>
            </w:pPr>
            <w:r w:rsidRPr="004F4EBA">
              <w:rPr>
                <w:rFonts w:ascii="Calibri" w:eastAsia="Times New Roman" w:hAnsi="Calibri" w:cs="Calibri"/>
                <w:sz w:val="20"/>
                <w:szCs w:val="20"/>
                <w:lang w:val="sr-Latn-ME" w:eastAsia="sr-Latn-ME"/>
              </w:rPr>
              <w:t>2.2</w:t>
            </w:r>
          </w:p>
        </w:tc>
        <w:tc>
          <w:tcPr>
            <w:tcW w:w="1597" w:type="dxa"/>
            <w:noWrap/>
            <w:hideMark/>
          </w:tcPr>
          <w:p w14:paraId="0B6AFD9C" w14:textId="77777777" w:rsidR="00E05341" w:rsidRPr="004F4EBA"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sr-Latn-ME" w:eastAsia="sr-Latn-ME"/>
              </w:rPr>
            </w:pPr>
            <w:r w:rsidRPr="004F4EBA">
              <w:rPr>
                <w:rFonts w:ascii="Calibri" w:eastAsia="Times New Roman" w:hAnsi="Calibri" w:cs="Calibri"/>
                <w:sz w:val="20"/>
                <w:szCs w:val="20"/>
                <w:lang w:val="sr-Latn-ME" w:eastAsia="sr-Latn-ME"/>
              </w:rPr>
              <w:t>2.0</w:t>
            </w:r>
          </w:p>
        </w:tc>
      </w:tr>
      <w:tr w:rsidR="00E05341" w:rsidRPr="004F4EBA" w14:paraId="6FE8E14E" w14:textId="77777777" w:rsidTr="00E05341">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271" w:type="dxa"/>
            <w:noWrap/>
          </w:tcPr>
          <w:p w14:paraId="0AF1F555" w14:textId="77777777" w:rsidR="00E05341" w:rsidRPr="004F4EBA" w:rsidRDefault="00E05341" w:rsidP="00E05341">
            <w:pPr>
              <w:ind w:firstLineChars="200" w:firstLine="400"/>
              <w:rPr>
                <w:rFonts w:ascii="Calibri" w:eastAsia="Times New Roman" w:hAnsi="Calibri" w:cs="Calibri"/>
                <w:sz w:val="20"/>
                <w:szCs w:val="20"/>
                <w:lang w:val="sr-Latn-ME" w:eastAsia="sr-Latn-ME"/>
              </w:rPr>
            </w:pPr>
            <w:r>
              <w:rPr>
                <w:rFonts w:ascii="Calibri" w:eastAsia="Times New Roman" w:hAnsi="Calibri" w:cs="Calibri"/>
                <w:sz w:val="20"/>
                <w:szCs w:val="20"/>
                <w:lang w:val="sr-Latn-ME" w:eastAsia="sr-Latn-ME"/>
              </w:rPr>
              <w:t>Privatna potrošnja, realni rast u %</w:t>
            </w:r>
          </w:p>
        </w:tc>
        <w:tc>
          <w:tcPr>
            <w:tcW w:w="1596" w:type="dxa"/>
            <w:noWrap/>
          </w:tcPr>
          <w:p w14:paraId="7F5D6823" w14:textId="77777777" w:rsidR="00E05341" w:rsidRPr="004F4EBA"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sr-Latn-ME" w:eastAsia="sr-Latn-ME"/>
              </w:rPr>
            </w:pPr>
            <w:r>
              <w:rPr>
                <w:rFonts w:ascii="Calibri" w:eastAsia="Times New Roman" w:hAnsi="Calibri" w:cs="Calibri"/>
                <w:sz w:val="20"/>
                <w:szCs w:val="20"/>
                <w:lang w:val="sr-Latn-ME" w:eastAsia="sr-Latn-ME"/>
              </w:rPr>
              <w:t>5.3</w:t>
            </w:r>
          </w:p>
        </w:tc>
        <w:tc>
          <w:tcPr>
            <w:tcW w:w="1596" w:type="dxa"/>
            <w:noWrap/>
          </w:tcPr>
          <w:p w14:paraId="3D70F1A3" w14:textId="77777777" w:rsidR="00E05341" w:rsidRPr="004F4EBA"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sr-Latn-ME" w:eastAsia="sr-Latn-ME"/>
              </w:rPr>
            </w:pPr>
            <w:r>
              <w:rPr>
                <w:rFonts w:ascii="Calibri" w:eastAsia="Times New Roman" w:hAnsi="Calibri" w:cs="Calibri"/>
                <w:sz w:val="20"/>
                <w:szCs w:val="20"/>
                <w:lang w:val="sr-Latn-ME" w:eastAsia="sr-Latn-ME"/>
              </w:rPr>
              <w:t>1.5</w:t>
            </w:r>
          </w:p>
        </w:tc>
        <w:tc>
          <w:tcPr>
            <w:tcW w:w="1597" w:type="dxa"/>
            <w:noWrap/>
          </w:tcPr>
          <w:p w14:paraId="30F2DBD9" w14:textId="77777777" w:rsidR="00E05341" w:rsidRPr="004F4EBA"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sr-Latn-ME" w:eastAsia="sr-Latn-ME"/>
              </w:rPr>
            </w:pPr>
            <w:r>
              <w:rPr>
                <w:rFonts w:ascii="Calibri" w:eastAsia="Times New Roman" w:hAnsi="Calibri" w:cs="Calibri"/>
                <w:sz w:val="20"/>
                <w:szCs w:val="20"/>
                <w:lang w:val="sr-Latn-ME" w:eastAsia="sr-Latn-ME"/>
              </w:rPr>
              <w:t>1.2</w:t>
            </w:r>
          </w:p>
        </w:tc>
      </w:tr>
      <w:tr w:rsidR="00E05341" w:rsidRPr="004F4EBA" w14:paraId="16D57DE2" w14:textId="77777777" w:rsidTr="00E05341">
        <w:trPr>
          <w:trHeight w:val="231"/>
        </w:trPr>
        <w:tc>
          <w:tcPr>
            <w:cnfStyle w:val="001000000000" w:firstRow="0" w:lastRow="0" w:firstColumn="1" w:lastColumn="0" w:oddVBand="0" w:evenVBand="0" w:oddHBand="0" w:evenHBand="0" w:firstRowFirstColumn="0" w:firstRowLastColumn="0" w:lastRowFirstColumn="0" w:lastRowLastColumn="0"/>
            <w:tcW w:w="4271" w:type="dxa"/>
            <w:noWrap/>
          </w:tcPr>
          <w:p w14:paraId="5418667E" w14:textId="77777777" w:rsidR="00E05341" w:rsidRPr="004F4EBA" w:rsidRDefault="00E05341" w:rsidP="00E05341">
            <w:pPr>
              <w:ind w:firstLineChars="200" w:firstLine="400"/>
              <w:rPr>
                <w:rFonts w:ascii="Calibri" w:eastAsia="Times New Roman" w:hAnsi="Calibri" w:cs="Calibri"/>
                <w:sz w:val="20"/>
                <w:szCs w:val="20"/>
                <w:lang w:val="sr-Latn-ME" w:eastAsia="sr-Latn-ME"/>
              </w:rPr>
            </w:pPr>
            <w:r>
              <w:rPr>
                <w:rFonts w:ascii="Calibri" w:eastAsia="Times New Roman" w:hAnsi="Calibri" w:cs="Calibri"/>
                <w:sz w:val="20"/>
                <w:szCs w:val="20"/>
                <w:lang w:val="sr-Latn-ME" w:eastAsia="sr-Latn-ME"/>
              </w:rPr>
              <w:t>Investicije, realni rast u %</w:t>
            </w:r>
          </w:p>
        </w:tc>
        <w:tc>
          <w:tcPr>
            <w:tcW w:w="1596" w:type="dxa"/>
            <w:noWrap/>
          </w:tcPr>
          <w:p w14:paraId="4720E509" w14:textId="77777777" w:rsidR="00E05341" w:rsidRPr="004F4EBA"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sr-Latn-ME" w:eastAsia="sr-Latn-ME"/>
              </w:rPr>
            </w:pPr>
            <w:r>
              <w:rPr>
                <w:rFonts w:ascii="Calibri" w:eastAsia="Times New Roman" w:hAnsi="Calibri" w:cs="Calibri"/>
                <w:sz w:val="20"/>
                <w:szCs w:val="20"/>
                <w:lang w:val="sr-Latn-ME" w:eastAsia="sr-Latn-ME"/>
              </w:rPr>
              <w:t>5.0</w:t>
            </w:r>
          </w:p>
        </w:tc>
        <w:tc>
          <w:tcPr>
            <w:tcW w:w="1596" w:type="dxa"/>
            <w:noWrap/>
          </w:tcPr>
          <w:p w14:paraId="53FF6E5F" w14:textId="77777777" w:rsidR="00E05341" w:rsidRPr="004F4EBA"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sr-Latn-ME" w:eastAsia="sr-Latn-ME"/>
              </w:rPr>
            </w:pPr>
            <w:r>
              <w:rPr>
                <w:rFonts w:ascii="Calibri" w:eastAsia="Times New Roman" w:hAnsi="Calibri" w:cs="Calibri"/>
                <w:sz w:val="20"/>
                <w:szCs w:val="20"/>
                <w:lang w:val="sr-Latn-ME" w:eastAsia="sr-Latn-ME"/>
              </w:rPr>
              <w:t>3.0</w:t>
            </w:r>
          </w:p>
        </w:tc>
        <w:tc>
          <w:tcPr>
            <w:tcW w:w="1597" w:type="dxa"/>
            <w:noWrap/>
          </w:tcPr>
          <w:p w14:paraId="093A2621" w14:textId="77777777" w:rsidR="00E05341" w:rsidRPr="004F4EBA"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sr-Latn-ME" w:eastAsia="sr-Latn-ME"/>
              </w:rPr>
            </w:pPr>
            <w:r>
              <w:rPr>
                <w:rFonts w:ascii="Calibri" w:eastAsia="Times New Roman" w:hAnsi="Calibri" w:cs="Calibri"/>
                <w:sz w:val="20"/>
                <w:szCs w:val="20"/>
                <w:lang w:val="sr-Latn-ME" w:eastAsia="sr-Latn-ME"/>
              </w:rPr>
              <w:t>3.0</w:t>
            </w:r>
          </w:p>
        </w:tc>
      </w:tr>
      <w:tr w:rsidR="00E05341" w:rsidRPr="004F4EBA" w14:paraId="432B922B" w14:textId="77777777" w:rsidTr="00E05341">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4271" w:type="dxa"/>
            <w:noWrap/>
          </w:tcPr>
          <w:p w14:paraId="174AFBEE" w14:textId="77777777" w:rsidR="00E05341" w:rsidRPr="004F4EBA" w:rsidRDefault="00E05341" w:rsidP="00E05341">
            <w:pPr>
              <w:ind w:firstLineChars="200" w:firstLine="400"/>
              <w:rPr>
                <w:rFonts w:ascii="Calibri" w:eastAsia="Times New Roman" w:hAnsi="Calibri" w:cs="Calibri"/>
                <w:sz w:val="20"/>
                <w:szCs w:val="20"/>
                <w:lang w:val="sr-Latn-ME" w:eastAsia="sr-Latn-ME"/>
              </w:rPr>
            </w:pPr>
            <w:r>
              <w:rPr>
                <w:rFonts w:ascii="Calibri" w:eastAsia="Times New Roman" w:hAnsi="Calibri" w:cs="Calibri"/>
                <w:sz w:val="20"/>
                <w:szCs w:val="20"/>
                <w:lang w:val="sr-Latn-ME" w:eastAsia="sr-Latn-ME"/>
              </w:rPr>
              <w:t>Zaposlenost, rast u %</w:t>
            </w:r>
          </w:p>
        </w:tc>
        <w:tc>
          <w:tcPr>
            <w:tcW w:w="1596" w:type="dxa"/>
            <w:noWrap/>
          </w:tcPr>
          <w:p w14:paraId="32AF8F1C" w14:textId="77777777" w:rsidR="00E05341" w:rsidRPr="004F4EBA"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sr-Latn-ME" w:eastAsia="sr-Latn-ME"/>
              </w:rPr>
            </w:pPr>
            <w:r>
              <w:rPr>
                <w:rFonts w:ascii="Calibri" w:eastAsia="Times New Roman" w:hAnsi="Calibri" w:cs="Calibri"/>
                <w:sz w:val="20"/>
                <w:szCs w:val="20"/>
                <w:lang w:val="sr-Latn-ME" w:eastAsia="sr-Latn-ME"/>
              </w:rPr>
              <w:t>1.4</w:t>
            </w:r>
          </w:p>
        </w:tc>
        <w:tc>
          <w:tcPr>
            <w:tcW w:w="1596" w:type="dxa"/>
            <w:noWrap/>
          </w:tcPr>
          <w:p w14:paraId="1412011D" w14:textId="77777777" w:rsidR="00E05341" w:rsidRPr="004F4EBA"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sr-Latn-ME" w:eastAsia="sr-Latn-ME"/>
              </w:rPr>
            </w:pPr>
            <w:r>
              <w:rPr>
                <w:rFonts w:ascii="Calibri" w:eastAsia="Times New Roman" w:hAnsi="Calibri" w:cs="Calibri"/>
                <w:sz w:val="20"/>
                <w:szCs w:val="20"/>
                <w:lang w:val="sr-Latn-ME" w:eastAsia="sr-Latn-ME"/>
              </w:rPr>
              <w:t>2.1</w:t>
            </w:r>
          </w:p>
        </w:tc>
        <w:tc>
          <w:tcPr>
            <w:tcW w:w="1597" w:type="dxa"/>
            <w:noWrap/>
          </w:tcPr>
          <w:p w14:paraId="11C16425" w14:textId="77777777" w:rsidR="00E05341" w:rsidRPr="004F4EBA" w:rsidRDefault="00E05341" w:rsidP="00E05341">
            <w:pPr>
              <w:ind w:firstLineChars="100" w:firstLine="200"/>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sr-Latn-ME" w:eastAsia="sr-Latn-ME"/>
              </w:rPr>
            </w:pPr>
            <w:r>
              <w:rPr>
                <w:rFonts w:ascii="Calibri" w:eastAsia="Times New Roman" w:hAnsi="Calibri" w:cs="Calibri"/>
                <w:sz w:val="20"/>
                <w:szCs w:val="20"/>
                <w:lang w:val="sr-Latn-ME" w:eastAsia="sr-Latn-ME"/>
              </w:rPr>
              <w:t>1.0</w:t>
            </w:r>
          </w:p>
        </w:tc>
      </w:tr>
      <w:tr w:rsidR="00E05341" w:rsidRPr="004F4EBA" w14:paraId="2D995964" w14:textId="77777777" w:rsidTr="00E05341">
        <w:trPr>
          <w:trHeight w:val="231"/>
        </w:trPr>
        <w:tc>
          <w:tcPr>
            <w:cnfStyle w:val="001000000000" w:firstRow="0" w:lastRow="0" w:firstColumn="1" w:lastColumn="0" w:oddVBand="0" w:evenVBand="0" w:oddHBand="0" w:evenHBand="0" w:firstRowFirstColumn="0" w:firstRowLastColumn="0" w:lastRowFirstColumn="0" w:lastRowLastColumn="0"/>
            <w:tcW w:w="4271" w:type="dxa"/>
            <w:noWrap/>
          </w:tcPr>
          <w:p w14:paraId="79935455" w14:textId="77777777" w:rsidR="00E05341" w:rsidRPr="004F4EBA" w:rsidRDefault="00E05341" w:rsidP="00E05341">
            <w:pPr>
              <w:ind w:firstLineChars="200" w:firstLine="400"/>
              <w:rPr>
                <w:rFonts w:ascii="Calibri" w:eastAsia="Times New Roman" w:hAnsi="Calibri" w:cs="Calibri"/>
                <w:sz w:val="20"/>
                <w:szCs w:val="20"/>
                <w:lang w:val="sr-Latn-ME" w:eastAsia="sr-Latn-ME"/>
              </w:rPr>
            </w:pPr>
            <w:r>
              <w:rPr>
                <w:rFonts w:ascii="Calibri" w:eastAsia="Times New Roman" w:hAnsi="Calibri" w:cs="Calibri"/>
                <w:sz w:val="20"/>
                <w:szCs w:val="20"/>
                <w:lang w:val="sr-Latn-ME" w:eastAsia="sr-Latn-ME"/>
              </w:rPr>
              <w:t>Stopa nezaposlenosti, u %</w:t>
            </w:r>
          </w:p>
        </w:tc>
        <w:tc>
          <w:tcPr>
            <w:tcW w:w="1596" w:type="dxa"/>
            <w:noWrap/>
          </w:tcPr>
          <w:p w14:paraId="2417437B" w14:textId="77777777" w:rsidR="00E05341" w:rsidRPr="004F4EBA"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sr-Latn-ME" w:eastAsia="sr-Latn-ME"/>
              </w:rPr>
            </w:pPr>
            <w:r>
              <w:rPr>
                <w:rFonts w:ascii="Calibri" w:eastAsia="Times New Roman" w:hAnsi="Calibri" w:cs="Calibri"/>
                <w:sz w:val="20"/>
                <w:szCs w:val="20"/>
                <w:lang w:val="sr-Latn-ME" w:eastAsia="sr-Latn-ME"/>
              </w:rPr>
              <w:t>11.0</w:t>
            </w:r>
          </w:p>
        </w:tc>
        <w:tc>
          <w:tcPr>
            <w:tcW w:w="1596" w:type="dxa"/>
            <w:noWrap/>
          </w:tcPr>
          <w:p w14:paraId="2B84903D" w14:textId="77777777" w:rsidR="00E05341" w:rsidRPr="004F4EBA"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sr-Latn-ME" w:eastAsia="sr-Latn-ME"/>
              </w:rPr>
            </w:pPr>
            <w:r>
              <w:rPr>
                <w:rFonts w:ascii="Calibri" w:eastAsia="Times New Roman" w:hAnsi="Calibri" w:cs="Calibri"/>
                <w:sz w:val="20"/>
                <w:szCs w:val="20"/>
                <w:lang w:val="sr-Latn-ME" w:eastAsia="sr-Latn-ME"/>
              </w:rPr>
              <w:t>10.2</w:t>
            </w:r>
          </w:p>
        </w:tc>
        <w:tc>
          <w:tcPr>
            <w:tcW w:w="1597" w:type="dxa"/>
            <w:noWrap/>
          </w:tcPr>
          <w:p w14:paraId="179E43BD" w14:textId="77777777" w:rsidR="00E05341" w:rsidRPr="004F4EBA" w:rsidRDefault="00E05341" w:rsidP="00E05341">
            <w:pPr>
              <w:ind w:firstLineChars="100" w:firstLine="20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sr-Latn-ME" w:eastAsia="sr-Latn-ME"/>
              </w:rPr>
            </w:pPr>
            <w:r>
              <w:rPr>
                <w:rFonts w:ascii="Calibri" w:eastAsia="Times New Roman" w:hAnsi="Calibri" w:cs="Calibri"/>
                <w:sz w:val="20"/>
                <w:szCs w:val="20"/>
                <w:lang w:val="sr-Latn-ME" w:eastAsia="sr-Latn-ME"/>
              </w:rPr>
              <w:t>9.6</w:t>
            </w:r>
          </w:p>
        </w:tc>
      </w:tr>
    </w:tbl>
    <w:p w14:paraId="6F071FDA" w14:textId="77777777" w:rsidR="00E05341" w:rsidRDefault="00E05341" w:rsidP="00E05341">
      <w:pPr>
        <w:rPr>
          <w:i/>
          <w:sz w:val="18"/>
          <w:lang w:val="sr-Latn-ME"/>
        </w:rPr>
      </w:pPr>
      <w:r w:rsidRPr="00200013">
        <w:rPr>
          <w:i/>
          <w:sz w:val="18"/>
          <w:lang w:val="sr-Latn-ME"/>
        </w:rPr>
        <w:t>Izvor: Projekcije Ministarstva finansija</w:t>
      </w:r>
    </w:p>
    <w:p w14:paraId="7F5DD5D1" w14:textId="77777777" w:rsidR="00E05341" w:rsidRDefault="00E05341" w:rsidP="00E05341">
      <w:pPr>
        <w:jc w:val="both"/>
        <w:rPr>
          <w:rFonts w:cstheme="minorHAnsi"/>
          <w:sz w:val="24"/>
          <w:szCs w:val="24"/>
          <w:lang w:val="sr-Latn-ME"/>
        </w:rPr>
      </w:pPr>
      <w:r>
        <w:rPr>
          <w:rFonts w:cstheme="minorHAnsi"/>
          <w:sz w:val="24"/>
          <w:szCs w:val="24"/>
          <w:lang w:val="sr-Latn-ME"/>
        </w:rPr>
        <w:lastRenderedPageBreak/>
        <w:t>Usporavanje stope rasta ekonomije bi se u srednjem roku odrazilo na punjenje prihoda budžeta i posljedično niže ostvarenje. Prema prognozama Ministarstva finansija, fiskalni efekti na prihodnoj strani bi podrazumijevali niže prihode od oko 1,4% u odnosu na osnovni scenario kretanja, odnosno u rasponu od 36-47 miliona eura godišnje. Ovo bi odgovaralo padu prihoda za oko 0,5% BDP-a, a dominantno bi bilo uslovljeno padom prihoda u 2025. godini, najviše po osnovu kategorije doprinosa, kao i nižeg ostvarenja prihoda od PDV-a i akciza kao kategorija indirektnih poreza čije ostvarenje je uslovljeno dinamikom potrošnje i investicija u ekonomiji. U alternativnom scenariju je predviđeno i niže ostvarenje kategorije donacija, za finansiranje prioritetnih reformi i projekata. Ukoliko bi ostvarenje ove kategorije bilo na nivou predviđenim Planom rasta EU u osnovnom scenariju, procijenjeni pad prihoda budžeta bi bio niži i iznosio bi oko 1% BDP-a ili oko 30 miliona eura godišnje.</w:t>
      </w:r>
    </w:p>
    <w:p w14:paraId="4DE0BB38" w14:textId="77777777" w:rsidR="00E05341" w:rsidRPr="006E46B8" w:rsidRDefault="00E05341" w:rsidP="00E05341">
      <w:pPr>
        <w:jc w:val="both"/>
        <w:rPr>
          <w:rFonts w:cstheme="minorHAnsi"/>
          <w:sz w:val="24"/>
          <w:szCs w:val="24"/>
          <w:lang w:val="sr-Latn-ME"/>
        </w:rPr>
      </w:pPr>
      <w:r>
        <w:rPr>
          <w:rFonts w:cstheme="minorHAnsi"/>
          <w:sz w:val="24"/>
          <w:szCs w:val="24"/>
          <w:lang w:val="sr-Latn-ME"/>
        </w:rPr>
        <w:t>Projekcije prihoda budžeta</w:t>
      </w:r>
      <w:r w:rsidRPr="00E31F78">
        <w:rPr>
          <w:rFonts w:cstheme="minorHAnsi"/>
          <w:sz w:val="24"/>
          <w:szCs w:val="24"/>
          <w:lang w:val="sr-Latn-ME"/>
        </w:rPr>
        <w:t xml:space="preserve"> prema scenariju nižeg rasta date su u sljedećoj tabeli:</w:t>
      </w:r>
    </w:p>
    <w:p w14:paraId="417B3CC5" w14:textId="77777777" w:rsidR="00E05341" w:rsidRPr="00EA4C40" w:rsidRDefault="00E05341" w:rsidP="00E05341">
      <w:pPr>
        <w:rPr>
          <w:b/>
          <w:color w:val="2F5496" w:themeColor="accent1" w:themeShade="BF"/>
          <w:lang w:val="sr-Latn-ME"/>
        </w:rPr>
      </w:pPr>
      <w:r w:rsidRPr="00EA4C40">
        <w:rPr>
          <w:b/>
          <w:color w:val="2F5496" w:themeColor="accent1" w:themeShade="BF"/>
          <w:lang w:val="sr-Latn-ME"/>
        </w:rPr>
        <w:t xml:space="preserve">Tabela </w:t>
      </w:r>
      <w:r>
        <w:rPr>
          <w:b/>
          <w:color w:val="2F5496" w:themeColor="accent1" w:themeShade="BF"/>
          <w:lang w:val="sr-Latn-ME"/>
        </w:rPr>
        <w:t>1.3.2</w:t>
      </w:r>
      <w:r w:rsidRPr="00EA4C40">
        <w:rPr>
          <w:b/>
          <w:color w:val="2F5496" w:themeColor="accent1" w:themeShade="BF"/>
          <w:lang w:val="sr-Latn-ME"/>
        </w:rPr>
        <w:t xml:space="preserve">: Crna Gora, </w:t>
      </w:r>
      <w:r>
        <w:rPr>
          <w:b/>
          <w:color w:val="2F5496" w:themeColor="accent1" w:themeShade="BF"/>
          <w:lang w:val="sr-Latn-ME"/>
        </w:rPr>
        <w:t>projekcije prihoda budžeta</w:t>
      </w:r>
      <w:r w:rsidRPr="00EA4C40">
        <w:rPr>
          <w:b/>
          <w:color w:val="2F5496" w:themeColor="accent1" w:themeShade="BF"/>
          <w:lang w:val="sr-Latn-ME"/>
        </w:rPr>
        <w:t>, scenario nižeg rasta</w:t>
      </w:r>
    </w:p>
    <w:tbl>
      <w:tblPr>
        <w:tblStyle w:val="GridTable4-Accent1"/>
        <w:tblW w:w="4991" w:type="pct"/>
        <w:tblLook w:val="04A0" w:firstRow="1" w:lastRow="0" w:firstColumn="1" w:lastColumn="0" w:noHBand="0" w:noVBand="1"/>
      </w:tblPr>
      <w:tblGrid>
        <w:gridCol w:w="222"/>
        <w:gridCol w:w="3618"/>
        <w:gridCol w:w="1051"/>
        <w:gridCol w:w="958"/>
        <w:gridCol w:w="721"/>
        <w:gridCol w:w="922"/>
        <w:gridCol w:w="754"/>
        <w:gridCol w:w="754"/>
      </w:tblGrid>
      <w:tr w:rsidR="00E05341" w:rsidRPr="00281366" w14:paraId="699BAA21" w14:textId="77777777" w:rsidTr="00E05341">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131" w:type="pct"/>
            <w:gridSpan w:val="2"/>
            <w:noWrap/>
            <w:hideMark/>
          </w:tcPr>
          <w:p w14:paraId="2FD71AD9" w14:textId="77777777" w:rsidR="00E05341" w:rsidRPr="00281366" w:rsidRDefault="00E05341" w:rsidP="00E05341">
            <w:pPr>
              <w:jc w:val="center"/>
              <w:rPr>
                <w:rFonts w:eastAsia="Times New Roman" w:cstheme="minorHAnsi"/>
                <w:color w:val="000000"/>
                <w:sz w:val="18"/>
                <w:szCs w:val="18"/>
                <w:lang w:val="sr-Latn-ME" w:eastAsia="sr-Latn-ME"/>
              </w:rPr>
            </w:pPr>
            <w:r w:rsidRPr="00281366">
              <w:rPr>
                <w:rFonts w:eastAsia="Times New Roman" w:cstheme="minorHAnsi"/>
                <w:color w:val="000000"/>
                <w:sz w:val="18"/>
                <w:szCs w:val="18"/>
                <w:lang w:val="sr-Latn-ME" w:eastAsia="sr-Latn-ME"/>
              </w:rPr>
              <w:t>BDP</w:t>
            </w:r>
            <w:r>
              <w:rPr>
                <w:rFonts w:eastAsia="Times New Roman" w:cstheme="minorHAnsi"/>
                <w:color w:val="000000"/>
                <w:sz w:val="18"/>
                <w:szCs w:val="18"/>
                <w:lang w:val="sr-Latn-ME" w:eastAsia="sr-Latn-ME"/>
              </w:rPr>
              <w:t xml:space="preserve"> u mil.€</w:t>
            </w:r>
          </w:p>
        </w:tc>
        <w:tc>
          <w:tcPr>
            <w:tcW w:w="1126" w:type="pct"/>
            <w:gridSpan w:val="2"/>
            <w:noWrap/>
            <w:hideMark/>
          </w:tcPr>
          <w:p w14:paraId="6A2DC308" w14:textId="77777777" w:rsidR="00E05341" w:rsidRPr="00281366" w:rsidRDefault="00E05341" w:rsidP="00E05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val="sr-Latn-ME" w:eastAsia="sr-Latn-ME"/>
              </w:rPr>
            </w:pPr>
            <w:r w:rsidRPr="00281366">
              <w:rPr>
                <w:rFonts w:eastAsia="Times New Roman" w:cstheme="minorHAnsi"/>
                <w:color w:val="000000"/>
                <w:sz w:val="18"/>
                <w:szCs w:val="18"/>
                <w:lang w:val="sr-Latn-ME" w:eastAsia="sr-Latn-ME"/>
              </w:rPr>
              <w:t>7836.80</w:t>
            </w:r>
          </w:p>
        </w:tc>
        <w:tc>
          <w:tcPr>
            <w:tcW w:w="894" w:type="pct"/>
            <w:gridSpan w:val="2"/>
            <w:noWrap/>
            <w:hideMark/>
          </w:tcPr>
          <w:p w14:paraId="789FFFB1" w14:textId="77777777" w:rsidR="00E05341" w:rsidRPr="00281366" w:rsidRDefault="00E05341" w:rsidP="00E05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val="sr-Latn-ME" w:eastAsia="sr-Latn-ME"/>
              </w:rPr>
            </w:pPr>
            <w:r w:rsidRPr="00281366">
              <w:rPr>
                <w:rFonts w:eastAsia="Times New Roman" w:cstheme="minorHAnsi"/>
                <w:color w:val="000000"/>
                <w:sz w:val="18"/>
                <w:szCs w:val="18"/>
                <w:lang w:val="sr-Latn-ME" w:eastAsia="sr-Latn-ME"/>
              </w:rPr>
              <w:t>8139.20</w:t>
            </w:r>
          </w:p>
        </w:tc>
        <w:tc>
          <w:tcPr>
            <w:tcW w:w="848" w:type="pct"/>
            <w:gridSpan w:val="2"/>
            <w:noWrap/>
            <w:hideMark/>
          </w:tcPr>
          <w:p w14:paraId="2D2117D2" w14:textId="77777777" w:rsidR="00E05341" w:rsidRPr="00281366" w:rsidRDefault="00E05341" w:rsidP="00E0534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18"/>
                <w:szCs w:val="18"/>
                <w:lang w:val="sr-Latn-ME" w:eastAsia="sr-Latn-ME"/>
              </w:rPr>
            </w:pPr>
            <w:r w:rsidRPr="00281366">
              <w:rPr>
                <w:rFonts w:eastAsia="Times New Roman" w:cstheme="minorHAnsi"/>
                <w:color w:val="000000"/>
                <w:sz w:val="18"/>
                <w:szCs w:val="18"/>
                <w:lang w:val="sr-Latn-ME" w:eastAsia="sr-Latn-ME"/>
              </w:rPr>
              <w:t>8450.90</w:t>
            </w:r>
          </w:p>
        </w:tc>
      </w:tr>
      <w:tr w:rsidR="00E05341" w:rsidRPr="00281366" w14:paraId="35C082C6" w14:textId="77777777" w:rsidTr="00E05341">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17" w:type="pct"/>
            <w:noWrap/>
          </w:tcPr>
          <w:p w14:paraId="13DAA1D6" w14:textId="77777777" w:rsidR="00E05341" w:rsidRPr="00281366" w:rsidRDefault="00E05341" w:rsidP="00E05341">
            <w:pPr>
              <w:rPr>
                <w:rFonts w:eastAsia="Times New Roman" w:cstheme="minorHAnsi"/>
                <w:color w:val="000000"/>
                <w:sz w:val="18"/>
                <w:szCs w:val="18"/>
                <w:lang w:val="sr-Latn-ME" w:eastAsia="sr-Latn-ME"/>
              </w:rPr>
            </w:pPr>
          </w:p>
        </w:tc>
        <w:tc>
          <w:tcPr>
            <w:tcW w:w="2015" w:type="pct"/>
            <w:noWrap/>
            <w:hideMark/>
          </w:tcPr>
          <w:p w14:paraId="457F4D28" w14:textId="77777777" w:rsidR="00E05341" w:rsidRPr="00281366" w:rsidRDefault="00E05341" w:rsidP="00E0534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sr-Latn-ME" w:eastAsia="sr-Latn-ME"/>
              </w:rPr>
            </w:pPr>
          </w:p>
        </w:tc>
        <w:tc>
          <w:tcPr>
            <w:tcW w:w="589" w:type="pct"/>
            <w:noWrap/>
            <w:hideMark/>
          </w:tcPr>
          <w:p w14:paraId="3FBFDD22" w14:textId="77777777" w:rsidR="00E05341" w:rsidRPr="00281366" w:rsidRDefault="00E05341" w:rsidP="00E0534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sr-Latn-ME" w:eastAsia="sr-Latn-ME"/>
              </w:rPr>
            </w:pPr>
          </w:p>
        </w:tc>
        <w:tc>
          <w:tcPr>
            <w:tcW w:w="537" w:type="pct"/>
            <w:noWrap/>
            <w:hideMark/>
          </w:tcPr>
          <w:p w14:paraId="3E9346E1" w14:textId="77777777" w:rsidR="00E05341" w:rsidRPr="00281366" w:rsidRDefault="00E05341" w:rsidP="00E0534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sr-Latn-ME" w:eastAsia="sr-Latn-ME"/>
              </w:rPr>
            </w:pPr>
          </w:p>
        </w:tc>
        <w:tc>
          <w:tcPr>
            <w:tcW w:w="377" w:type="pct"/>
            <w:noWrap/>
            <w:hideMark/>
          </w:tcPr>
          <w:p w14:paraId="3313044D" w14:textId="77777777" w:rsidR="00E05341" w:rsidRPr="00281366" w:rsidRDefault="00E05341" w:rsidP="00E0534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sr-Latn-ME" w:eastAsia="sr-Latn-ME"/>
              </w:rPr>
            </w:pPr>
          </w:p>
        </w:tc>
        <w:tc>
          <w:tcPr>
            <w:tcW w:w="517" w:type="pct"/>
            <w:noWrap/>
            <w:hideMark/>
          </w:tcPr>
          <w:p w14:paraId="7B98BA49" w14:textId="77777777" w:rsidR="00E05341" w:rsidRPr="00281366" w:rsidRDefault="00E05341" w:rsidP="00E0534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sr-Latn-ME" w:eastAsia="sr-Latn-ME"/>
              </w:rPr>
            </w:pPr>
          </w:p>
        </w:tc>
        <w:tc>
          <w:tcPr>
            <w:tcW w:w="424" w:type="pct"/>
            <w:noWrap/>
            <w:hideMark/>
          </w:tcPr>
          <w:p w14:paraId="2D2F8B31" w14:textId="77777777" w:rsidR="00E05341" w:rsidRPr="00281366" w:rsidRDefault="00E05341" w:rsidP="00E0534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sr-Latn-ME" w:eastAsia="sr-Latn-ME"/>
              </w:rPr>
            </w:pPr>
          </w:p>
        </w:tc>
        <w:tc>
          <w:tcPr>
            <w:tcW w:w="424" w:type="pct"/>
            <w:noWrap/>
            <w:hideMark/>
          </w:tcPr>
          <w:p w14:paraId="13FB9645" w14:textId="77777777" w:rsidR="00E05341" w:rsidRPr="00281366" w:rsidRDefault="00E05341" w:rsidP="00E05341">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sr-Latn-ME" w:eastAsia="sr-Latn-ME"/>
              </w:rPr>
            </w:pPr>
          </w:p>
        </w:tc>
      </w:tr>
      <w:tr w:rsidR="00E05341" w:rsidRPr="00281366" w14:paraId="098A81EE" w14:textId="77777777" w:rsidTr="00E05341">
        <w:trPr>
          <w:trHeight w:val="415"/>
        </w:trPr>
        <w:tc>
          <w:tcPr>
            <w:cnfStyle w:val="001000000000" w:firstRow="0" w:lastRow="0" w:firstColumn="1" w:lastColumn="0" w:oddVBand="0" w:evenVBand="0" w:oddHBand="0" w:evenHBand="0" w:firstRowFirstColumn="0" w:firstRowLastColumn="0" w:lastRowFirstColumn="0" w:lastRowLastColumn="0"/>
            <w:tcW w:w="117" w:type="pct"/>
            <w:vMerge w:val="restart"/>
          </w:tcPr>
          <w:p w14:paraId="3565B821" w14:textId="77777777" w:rsidR="00E05341" w:rsidRPr="00281366" w:rsidRDefault="00E05341" w:rsidP="00E05341">
            <w:pPr>
              <w:jc w:val="center"/>
              <w:rPr>
                <w:rFonts w:eastAsia="Times New Roman" w:cstheme="minorHAnsi"/>
                <w:sz w:val="18"/>
                <w:szCs w:val="18"/>
                <w:lang w:val="sr-Latn-ME" w:eastAsia="sr-Latn-ME"/>
              </w:rPr>
            </w:pPr>
          </w:p>
        </w:tc>
        <w:tc>
          <w:tcPr>
            <w:tcW w:w="2015" w:type="pct"/>
            <w:vMerge w:val="restart"/>
            <w:noWrap/>
            <w:hideMark/>
          </w:tcPr>
          <w:p w14:paraId="1A55876F" w14:textId="77777777" w:rsidR="00E05341" w:rsidRPr="00281366" w:rsidRDefault="00E05341" w:rsidP="00E05341">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szCs w:val="18"/>
                <w:lang w:val="sr-Latn-ME" w:eastAsia="sr-Latn-ME"/>
              </w:rPr>
            </w:pPr>
            <w:r w:rsidRPr="00281366">
              <w:rPr>
                <w:rFonts w:eastAsia="Times New Roman" w:cstheme="minorHAnsi"/>
                <w:b/>
                <w:bCs/>
                <w:sz w:val="18"/>
                <w:szCs w:val="18"/>
                <w:lang w:val="sr-Latn-ME" w:eastAsia="sr-Latn-ME"/>
              </w:rPr>
              <w:t xml:space="preserve">Naziv </w:t>
            </w:r>
          </w:p>
        </w:tc>
        <w:tc>
          <w:tcPr>
            <w:tcW w:w="1126" w:type="pct"/>
            <w:gridSpan w:val="2"/>
            <w:noWrap/>
            <w:hideMark/>
          </w:tcPr>
          <w:p w14:paraId="5E395EB3" w14:textId="77777777" w:rsidR="00E05341" w:rsidRPr="00281366" w:rsidRDefault="00E05341" w:rsidP="00E05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sr-Latn-ME" w:eastAsia="sr-Latn-ME"/>
              </w:rPr>
            </w:pPr>
            <w:r w:rsidRPr="00281366">
              <w:rPr>
                <w:rFonts w:eastAsia="Times New Roman" w:cstheme="minorHAnsi"/>
                <w:b/>
                <w:bCs/>
                <w:color w:val="000000"/>
                <w:sz w:val="18"/>
                <w:szCs w:val="18"/>
                <w:lang w:val="sr-Latn-ME" w:eastAsia="sr-Latn-ME"/>
              </w:rPr>
              <w:t>2025</w:t>
            </w:r>
          </w:p>
        </w:tc>
        <w:tc>
          <w:tcPr>
            <w:tcW w:w="894" w:type="pct"/>
            <w:gridSpan w:val="2"/>
            <w:noWrap/>
            <w:hideMark/>
          </w:tcPr>
          <w:p w14:paraId="59F2EDC4" w14:textId="77777777" w:rsidR="00E05341" w:rsidRPr="00281366" w:rsidRDefault="00E05341" w:rsidP="00E05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sr-Latn-ME" w:eastAsia="sr-Latn-ME"/>
              </w:rPr>
            </w:pPr>
            <w:r w:rsidRPr="00281366">
              <w:rPr>
                <w:rFonts w:eastAsia="Times New Roman" w:cstheme="minorHAnsi"/>
                <w:b/>
                <w:bCs/>
                <w:color w:val="000000"/>
                <w:sz w:val="18"/>
                <w:szCs w:val="18"/>
                <w:lang w:val="sr-Latn-ME" w:eastAsia="sr-Latn-ME"/>
              </w:rPr>
              <w:t>2026</w:t>
            </w:r>
          </w:p>
        </w:tc>
        <w:tc>
          <w:tcPr>
            <w:tcW w:w="848" w:type="pct"/>
            <w:gridSpan w:val="2"/>
            <w:noWrap/>
            <w:hideMark/>
          </w:tcPr>
          <w:p w14:paraId="579851E4" w14:textId="77777777" w:rsidR="00E05341" w:rsidRPr="00281366" w:rsidRDefault="00E05341" w:rsidP="00E05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sr-Latn-ME" w:eastAsia="sr-Latn-ME"/>
              </w:rPr>
            </w:pPr>
            <w:r w:rsidRPr="00281366">
              <w:rPr>
                <w:rFonts w:eastAsia="Times New Roman" w:cstheme="minorHAnsi"/>
                <w:b/>
                <w:bCs/>
                <w:color w:val="000000"/>
                <w:sz w:val="18"/>
                <w:szCs w:val="18"/>
                <w:lang w:val="sr-Latn-ME" w:eastAsia="sr-Latn-ME"/>
              </w:rPr>
              <w:t>2027</w:t>
            </w:r>
          </w:p>
        </w:tc>
      </w:tr>
      <w:tr w:rsidR="00E05341" w:rsidRPr="00281366" w14:paraId="251EB057" w14:textId="77777777" w:rsidTr="00E0534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7" w:type="pct"/>
            <w:vMerge/>
          </w:tcPr>
          <w:p w14:paraId="21A742BB" w14:textId="77777777" w:rsidR="00E05341" w:rsidRPr="00281366" w:rsidRDefault="00E05341" w:rsidP="00E05341">
            <w:pPr>
              <w:rPr>
                <w:rFonts w:eastAsia="Times New Roman" w:cstheme="minorHAnsi"/>
                <w:sz w:val="18"/>
                <w:szCs w:val="18"/>
                <w:lang w:val="sr-Latn-ME" w:eastAsia="sr-Latn-ME"/>
              </w:rPr>
            </w:pPr>
          </w:p>
        </w:tc>
        <w:tc>
          <w:tcPr>
            <w:tcW w:w="2015" w:type="pct"/>
            <w:vMerge/>
            <w:hideMark/>
          </w:tcPr>
          <w:p w14:paraId="28B7CD69" w14:textId="77777777" w:rsidR="00E05341" w:rsidRPr="00281366" w:rsidRDefault="00E05341" w:rsidP="00E0534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szCs w:val="18"/>
                <w:lang w:val="sr-Latn-ME" w:eastAsia="sr-Latn-ME"/>
              </w:rPr>
            </w:pPr>
          </w:p>
        </w:tc>
        <w:tc>
          <w:tcPr>
            <w:tcW w:w="589" w:type="pct"/>
            <w:noWrap/>
            <w:hideMark/>
          </w:tcPr>
          <w:p w14:paraId="2E5007F1" w14:textId="77777777" w:rsidR="00E05341" w:rsidRPr="00281366" w:rsidRDefault="00E05341" w:rsidP="00E05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sr-Latn-ME" w:eastAsia="sr-Latn-ME"/>
              </w:rPr>
            </w:pPr>
            <w:r w:rsidRPr="00281366">
              <w:rPr>
                <w:rFonts w:eastAsia="Times New Roman" w:cstheme="minorHAnsi"/>
                <w:color w:val="000000"/>
                <w:sz w:val="18"/>
                <w:szCs w:val="18"/>
                <w:lang w:val="sr-Latn-ME" w:eastAsia="sr-Latn-ME"/>
              </w:rPr>
              <w:t>mil.€</w:t>
            </w:r>
          </w:p>
        </w:tc>
        <w:tc>
          <w:tcPr>
            <w:tcW w:w="537" w:type="pct"/>
            <w:noWrap/>
            <w:hideMark/>
          </w:tcPr>
          <w:p w14:paraId="4F4D7760" w14:textId="77777777" w:rsidR="00E05341" w:rsidRPr="00281366" w:rsidRDefault="00E05341" w:rsidP="00E05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sr-Latn-ME" w:eastAsia="sr-Latn-ME"/>
              </w:rPr>
            </w:pPr>
            <w:r w:rsidRPr="00281366">
              <w:rPr>
                <w:rFonts w:eastAsia="Times New Roman" w:cstheme="minorHAnsi"/>
                <w:color w:val="000000"/>
                <w:sz w:val="18"/>
                <w:szCs w:val="18"/>
                <w:lang w:val="sr-Latn-ME" w:eastAsia="sr-Latn-ME"/>
              </w:rPr>
              <w:t>%BDP</w:t>
            </w:r>
          </w:p>
        </w:tc>
        <w:tc>
          <w:tcPr>
            <w:tcW w:w="377" w:type="pct"/>
            <w:noWrap/>
            <w:hideMark/>
          </w:tcPr>
          <w:p w14:paraId="69E97B02" w14:textId="77777777" w:rsidR="00E05341" w:rsidRPr="00281366" w:rsidRDefault="00E05341" w:rsidP="00E05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sr-Latn-ME" w:eastAsia="sr-Latn-ME"/>
              </w:rPr>
            </w:pPr>
            <w:r w:rsidRPr="00281366">
              <w:rPr>
                <w:rFonts w:eastAsia="Times New Roman" w:cstheme="minorHAnsi"/>
                <w:color w:val="000000"/>
                <w:sz w:val="18"/>
                <w:szCs w:val="18"/>
                <w:lang w:val="sr-Latn-ME" w:eastAsia="sr-Latn-ME"/>
              </w:rPr>
              <w:t>mil.€</w:t>
            </w:r>
          </w:p>
        </w:tc>
        <w:tc>
          <w:tcPr>
            <w:tcW w:w="517" w:type="pct"/>
            <w:noWrap/>
            <w:hideMark/>
          </w:tcPr>
          <w:p w14:paraId="3D20F376" w14:textId="77777777" w:rsidR="00E05341" w:rsidRPr="00281366" w:rsidRDefault="00E05341" w:rsidP="00E05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sr-Latn-ME" w:eastAsia="sr-Latn-ME"/>
              </w:rPr>
            </w:pPr>
            <w:r w:rsidRPr="00281366">
              <w:rPr>
                <w:rFonts w:eastAsia="Times New Roman" w:cstheme="minorHAnsi"/>
                <w:color w:val="000000"/>
                <w:sz w:val="18"/>
                <w:szCs w:val="18"/>
                <w:lang w:val="sr-Latn-ME" w:eastAsia="sr-Latn-ME"/>
              </w:rPr>
              <w:t> </w:t>
            </w:r>
          </w:p>
        </w:tc>
        <w:tc>
          <w:tcPr>
            <w:tcW w:w="424" w:type="pct"/>
            <w:noWrap/>
            <w:hideMark/>
          </w:tcPr>
          <w:p w14:paraId="3428D9BF" w14:textId="77777777" w:rsidR="00E05341" w:rsidRPr="00281366" w:rsidRDefault="00E05341" w:rsidP="00E05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sr-Latn-ME" w:eastAsia="sr-Latn-ME"/>
              </w:rPr>
            </w:pPr>
            <w:r w:rsidRPr="00281366">
              <w:rPr>
                <w:rFonts w:eastAsia="Times New Roman" w:cstheme="minorHAnsi"/>
                <w:color w:val="000000"/>
                <w:sz w:val="18"/>
                <w:szCs w:val="18"/>
                <w:lang w:val="sr-Latn-ME" w:eastAsia="sr-Latn-ME"/>
              </w:rPr>
              <w:t>mil.€</w:t>
            </w:r>
          </w:p>
        </w:tc>
        <w:tc>
          <w:tcPr>
            <w:tcW w:w="424" w:type="pct"/>
            <w:noWrap/>
            <w:hideMark/>
          </w:tcPr>
          <w:p w14:paraId="1E365319" w14:textId="77777777" w:rsidR="00E05341" w:rsidRPr="00281366" w:rsidRDefault="00E05341" w:rsidP="00E05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sr-Latn-ME" w:eastAsia="sr-Latn-ME"/>
              </w:rPr>
            </w:pPr>
            <w:r w:rsidRPr="00281366">
              <w:rPr>
                <w:rFonts w:eastAsia="Times New Roman" w:cstheme="minorHAnsi"/>
                <w:color w:val="000000"/>
                <w:sz w:val="18"/>
                <w:szCs w:val="18"/>
                <w:lang w:val="sr-Latn-ME" w:eastAsia="sr-Latn-ME"/>
              </w:rPr>
              <w:t> </w:t>
            </w:r>
          </w:p>
        </w:tc>
      </w:tr>
      <w:tr w:rsidR="00E05341" w:rsidRPr="00281366" w14:paraId="303CA86E" w14:textId="77777777" w:rsidTr="00E05341">
        <w:trPr>
          <w:trHeight w:val="247"/>
        </w:trPr>
        <w:tc>
          <w:tcPr>
            <w:cnfStyle w:val="001000000000" w:firstRow="0" w:lastRow="0" w:firstColumn="1" w:lastColumn="0" w:oddVBand="0" w:evenVBand="0" w:oddHBand="0" w:evenHBand="0" w:firstRowFirstColumn="0" w:firstRowLastColumn="0" w:lastRowFirstColumn="0" w:lastRowLastColumn="0"/>
            <w:tcW w:w="117" w:type="pct"/>
            <w:noWrap/>
          </w:tcPr>
          <w:p w14:paraId="255FAD4F" w14:textId="77777777" w:rsidR="00E05341" w:rsidRPr="00281366" w:rsidRDefault="00E05341" w:rsidP="00E05341">
            <w:pPr>
              <w:rPr>
                <w:rFonts w:eastAsia="Times New Roman" w:cstheme="minorHAnsi"/>
                <w:sz w:val="18"/>
                <w:szCs w:val="18"/>
                <w:lang w:val="sr-Latn-ME" w:eastAsia="sr-Latn-ME"/>
              </w:rPr>
            </w:pPr>
          </w:p>
        </w:tc>
        <w:tc>
          <w:tcPr>
            <w:tcW w:w="2015" w:type="pct"/>
            <w:noWrap/>
            <w:hideMark/>
          </w:tcPr>
          <w:p w14:paraId="62886FE9" w14:textId="77777777" w:rsidR="00E05341" w:rsidRPr="00281366" w:rsidRDefault="00E05341" w:rsidP="00E05341">
            <w:pP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18"/>
                <w:szCs w:val="18"/>
                <w:lang w:val="sr-Latn-ME" w:eastAsia="sr-Latn-ME"/>
              </w:rPr>
            </w:pPr>
            <w:r w:rsidRPr="00281366">
              <w:rPr>
                <w:rFonts w:eastAsia="Times New Roman" w:cstheme="minorHAnsi"/>
                <w:b/>
                <w:bCs/>
                <w:i/>
                <w:iCs/>
                <w:sz w:val="18"/>
                <w:szCs w:val="18"/>
                <w:lang w:val="sr-Latn-ME" w:eastAsia="sr-Latn-ME"/>
              </w:rPr>
              <w:t>Izvorni prihodi</w:t>
            </w:r>
          </w:p>
        </w:tc>
        <w:tc>
          <w:tcPr>
            <w:tcW w:w="589" w:type="pct"/>
            <w:noWrap/>
            <w:hideMark/>
          </w:tcPr>
          <w:p w14:paraId="273A3109" w14:textId="77777777" w:rsidR="00E05341" w:rsidRPr="00281366" w:rsidRDefault="00E05341" w:rsidP="00E05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sr-Latn-ME" w:eastAsia="sr-Latn-ME"/>
              </w:rPr>
            </w:pPr>
            <w:r w:rsidRPr="00281366">
              <w:rPr>
                <w:rFonts w:eastAsia="Times New Roman" w:cstheme="minorHAnsi"/>
                <w:b/>
                <w:bCs/>
                <w:color w:val="000000"/>
                <w:sz w:val="18"/>
                <w:szCs w:val="18"/>
                <w:lang w:val="sr-Latn-ME" w:eastAsia="sr-Latn-ME"/>
              </w:rPr>
              <w:t>2850.1</w:t>
            </w:r>
          </w:p>
        </w:tc>
        <w:tc>
          <w:tcPr>
            <w:tcW w:w="537" w:type="pct"/>
            <w:noWrap/>
            <w:hideMark/>
          </w:tcPr>
          <w:p w14:paraId="7E77F59D" w14:textId="77777777" w:rsidR="00E05341" w:rsidRPr="00281366" w:rsidRDefault="00E05341" w:rsidP="00E05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sr-Latn-ME" w:eastAsia="sr-Latn-ME"/>
              </w:rPr>
            </w:pPr>
            <w:r w:rsidRPr="00281366">
              <w:rPr>
                <w:rFonts w:eastAsia="Times New Roman" w:cstheme="minorHAnsi"/>
                <w:b/>
                <w:bCs/>
                <w:color w:val="000000"/>
                <w:sz w:val="18"/>
                <w:szCs w:val="18"/>
                <w:lang w:val="sr-Latn-ME" w:eastAsia="sr-Latn-ME"/>
              </w:rPr>
              <w:t>36.4%</w:t>
            </w:r>
          </w:p>
        </w:tc>
        <w:tc>
          <w:tcPr>
            <w:tcW w:w="377" w:type="pct"/>
            <w:noWrap/>
            <w:hideMark/>
          </w:tcPr>
          <w:p w14:paraId="5B1695F3" w14:textId="77777777" w:rsidR="00E05341" w:rsidRPr="00281366" w:rsidRDefault="00E05341" w:rsidP="00E05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sr-Latn-ME" w:eastAsia="sr-Latn-ME"/>
              </w:rPr>
            </w:pPr>
            <w:r w:rsidRPr="00281366">
              <w:rPr>
                <w:rFonts w:eastAsia="Times New Roman" w:cstheme="minorHAnsi"/>
                <w:b/>
                <w:bCs/>
                <w:color w:val="000000"/>
                <w:sz w:val="18"/>
                <w:szCs w:val="18"/>
                <w:lang w:val="sr-Latn-ME" w:eastAsia="sr-Latn-ME"/>
              </w:rPr>
              <w:t>2956.7</w:t>
            </w:r>
          </w:p>
        </w:tc>
        <w:tc>
          <w:tcPr>
            <w:tcW w:w="517" w:type="pct"/>
            <w:noWrap/>
            <w:hideMark/>
          </w:tcPr>
          <w:p w14:paraId="0C836652" w14:textId="77777777" w:rsidR="00E05341" w:rsidRPr="00281366" w:rsidRDefault="00E05341" w:rsidP="00E05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sr-Latn-ME" w:eastAsia="sr-Latn-ME"/>
              </w:rPr>
            </w:pPr>
            <w:r w:rsidRPr="00281366">
              <w:rPr>
                <w:rFonts w:eastAsia="Times New Roman" w:cstheme="minorHAnsi"/>
                <w:b/>
                <w:bCs/>
                <w:color w:val="000000"/>
                <w:sz w:val="18"/>
                <w:szCs w:val="18"/>
                <w:lang w:val="sr-Latn-ME" w:eastAsia="sr-Latn-ME"/>
              </w:rPr>
              <w:t>36.3%</w:t>
            </w:r>
          </w:p>
        </w:tc>
        <w:tc>
          <w:tcPr>
            <w:tcW w:w="424" w:type="pct"/>
            <w:noWrap/>
            <w:hideMark/>
          </w:tcPr>
          <w:p w14:paraId="27F8FF81" w14:textId="77777777" w:rsidR="00E05341" w:rsidRPr="00281366" w:rsidRDefault="00E05341" w:rsidP="00E05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sr-Latn-ME" w:eastAsia="sr-Latn-ME"/>
              </w:rPr>
            </w:pPr>
            <w:r w:rsidRPr="00281366">
              <w:rPr>
                <w:rFonts w:eastAsia="Times New Roman" w:cstheme="minorHAnsi"/>
                <w:b/>
                <w:bCs/>
                <w:color w:val="000000"/>
                <w:sz w:val="18"/>
                <w:szCs w:val="18"/>
                <w:lang w:val="sr-Latn-ME" w:eastAsia="sr-Latn-ME"/>
              </w:rPr>
              <w:t>3064.1</w:t>
            </w:r>
          </w:p>
        </w:tc>
        <w:tc>
          <w:tcPr>
            <w:tcW w:w="424" w:type="pct"/>
            <w:noWrap/>
            <w:hideMark/>
          </w:tcPr>
          <w:p w14:paraId="166EB5AF" w14:textId="77777777" w:rsidR="00E05341" w:rsidRPr="00281366" w:rsidRDefault="00E05341" w:rsidP="00E05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sr-Latn-ME" w:eastAsia="sr-Latn-ME"/>
              </w:rPr>
            </w:pPr>
            <w:r w:rsidRPr="00281366">
              <w:rPr>
                <w:rFonts w:eastAsia="Times New Roman" w:cstheme="minorHAnsi"/>
                <w:b/>
                <w:bCs/>
                <w:color w:val="000000"/>
                <w:sz w:val="18"/>
                <w:szCs w:val="18"/>
                <w:lang w:val="sr-Latn-ME" w:eastAsia="sr-Latn-ME"/>
              </w:rPr>
              <w:t>36.</w:t>
            </w:r>
            <w:r>
              <w:rPr>
                <w:rFonts w:eastAsia="Times New Roman" w:cstheme="minorHAnsi"/>
                <w:b/>
                <w:bCs/>
                <w:color w:val="000000"/>
                <w:sz w:val="18"/>
                <w:szCs w:val="18"/>
                <w:lang w:val="sr-Latn-ME" w:eastAsia="sr-Latn-ME"/>
              </w:rPr>
              <w:t>2</w:t>
            </w:r>
            <w:r w:rsidRPr="00281366">
              <w:rPr>
                <w:rFonts w:eastAsia="Times New Roman" w:cstheme="minorHAnsi"/>
                <w:b/>
                <w:bCs/>
                <w:color w:val="000000"/>
                <w:sz w:val="18"/>
                <w:szCs w:val="18"/>
                <w:lang w:val="sr-Latn-ME" w:eastAsia="sr-Latn-ME"/>
              </w:rPr>
              <w:t>%</w:t>
            </w:r>
          </w:p>
        </w:tc>
      </w:tr>
      <w:tr w:rsidR="00E05341" w:rsidRPr="00281366" w14:paraId="1C93DB77" w14:textId="77777777" w:rsidTr="00E05341">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17" w:type="pct"/>
            <w:noWrap/>
          </w:tcPr>
          <w:p w14:paraId="22166419" w14:textId="77777777" w:rsidR="00E05341" w:rsidRPr="00281366" w:rsidRDefault="00E05341" w:rsidP="00E05341">
            <w:pPr>
              <w:jc w:val="right"/>
              <w:rPr>
                <w:rFonts w:eastAsia="Times New Roman" w:cstheme="minorHAnsi"/>
                <w:sz w:val="18"/>
                <w:szCs w:val="18"/>
                <w:lang w:val="sr-Latn-ME" w:eastAsia="sr-Latn-ME"/>
              </w:rPr>
            </w:pPr>
          </w:p>
        </w:tc>
        <w:tc>
          <w:tcPr>
            <w:tcW w:w="2015" w:type="pct"/>
            <w:noWrap/>
            <w:hideMark/>
          </w:tcPr>
          <w:p w14:paraId="500AC848" w14:textId="77777777" w:rsidR="00E05341" w:rsidRPr="00281366" w:rsidRDefault="00E05341" w:rsidP="00E05341">
            <w:pP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8"/>
                <w:szCs w:val="18"/>
                <w:lang w:val="sr-Latn-ME" w:eastAsia="sr-Latn-ME"/>
              </w:rPr>
            </w:pPr>
            <w:r w:rsidRPr="00281366">
              <w:rPr>
                <w:rFonts w:eastAsia="Times New Roman" w:cstheme="minorHAnsi"/>
                <w:b/>
                <w:bCs/>
                <w:i/>
                <w:iCs/>
                <w:sz w:val="18"/>
                <w:szCs w:val="18"/>
                <w:lang w:val="sr-Latn-ME" w:eastAsia="sr-Latn-ME"/>
              </w:rPr>
              <w:t>Porezi</w:t>
            </w:r>
          </w:p>
        </w:tc>
        <w:tc>
          <w:tcPr>
            <w:tcW w:w="589" w:type="pct"/>
            <w:noWrap/>
            <w:hideMark/>
          </w:tcPr>
          <w:p w14:paraId="48B24AA5" w14:textId="77777777" w:rsidR="00E05341" w:rsidRPr="00281366" w:rsidRDefault="00E05341" w:rsidP="00E05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sr-Latn-ME" w:eastAsia="sr-Latn-ME"/>
              </w:rPr>
            </w:pPr>
            <w:r w:rsidRPr="00281366">
              <w:rPr>
                <w:rFonts w:eastAsia="Times New Roman" w:cstheme="minorHAnsi"/>
                <w:b/>
                <w:bCs/>
                <w:color w:val="000000"/>
                <w:sz w:val="18"/>
                <w:szCs w:val="18"/>
                <w:lang w:val="sr-Latn-ME" w:eastAsia="sr-Latn-ME"/>
              </w:rPr>
              <w:t>2170.6</w:t>
            </w:r>
          </w:p>
        </w:tc>
        <w:tc>
          <w:tcPr>
            <w:tcW w:w="537" w:type="pct"/>
            <w:noWrap/>
            <w:hideMark/>
          </w:tcPr>
          <w:p w14:paraId="7AE689A2" w14:textId="77777777" w:rsidR="00E05341" w:rsidRPr="00281366" w:rsidRDefault="00E05341" w:rsidP="00E05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sr-Latn-ME" w:eastAsia="sr-Latn-ME"/>
              </w:rPr>
            </w:pPr>
            <w:r w:rsidRPr="00281366">
              <w:rPr>
                <w:rFonts w:eastAsia="Times New Roman" w:cstheme="minorHAnsi"/>
                <w:color w:val="000000"/>
                <w:sz w:val="18"/>
                <w:szCs w:val="18"/>
                <w:lang w:val="sr-Latn-ME" w:eastAsia="sr-Latn-ME"/>
              </w:rPr>
              <w:t>27.7%</w:t>
            </w:r>
          </w:p>
        </w:tc>
        <w:tc>
          <w:tcPr>
            <w:tcW w:w="377" w:type="pct"/>
            <w:noWrap/>
            <w:hideMark/>
          </w:tcPr>
          <w:p w14:paraId="793B090E" w14:textId="77777777" w:rsidR="00E05341" w:rsidRPr="00281366" w:rsidRDefault="00E05341" w:rsidP="00E05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sr-Latn-ME" w:eastAsia="sr-Latn-ME"/>
              </w:rPr>
            </w:pPr>
            <w:r w:rsidRPr="00281366">
              <w:rPr>
                <w:rFonts w:eastAsia="Times New Roman" w:cstheme="minorHAnsi"/>
                <w:b/>
                <w:bCs/>
                <w:color w:val="000000"/>
                <w:sz w:val="18"/>
                <w:szCs w:val="18"/>
                <w:lang w:val="sr-Latn-ME" w:eastAsia="sr-Latn-ME"/>
              </w:rPr>
              <w:t>2260.2</w:t>
            </w:r>
          </w:p>
        </w:tc>
        <w:tc>
          <w:tcPr>
            <w:tcW w:w="517" w:type="pct"/>
            <w:noWrap/>
            <w:hideMark/>
          </w:tcPr>
          <w:p w14:paraId="68D74C01" w14:textId="77777777" w:rsidR="00E05341" w:rsidRPr="00281366" w:rsidRDefault="00E05341" w:rsidP="00E05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sr-Latn-ME" w:eastAsia="sr-Latn-ME"/>
              </w:rPr>
            </w:pPr>
            <w:r w:rsidRPr="00281366">
              <w:rPr>
                <w:rFonts w:eastAsia="Times New Roman" w:cstheme="minorHAnsi"/>
                <w:color w:val="000000"/>
                <w:sz w:val="18"/>
                <w:szCs w:val="18"/>
                <w:lang w:val="sr-Latn-ME" w:eastAsia="sr-Latn-ME"/>
              </w:rPr>
              <w:t>27.</w:t>
            </w:r>
            <w:r>
              <w:rPr>
                <w:rFonts w:eastAsia="Times New Roman" w:cstheme="minorHAnsi"/>
                <w:color w:val="000000"/>
                <w:sz w:val="18"/>
                <w:szCs w:val="18"/>
                <w:lang w:val="sr-Latn-ME" w:eastAsia="sr-Latn-ME"/>
              </w:rPr>
              <w:t>7</w:t>
            </w:r>
            <w:r w:rsidRPr="00281366">
              <w:rPr>
                <w:rFonts w:eastAsia="Times New Roman" w:cstheme="minorHAnsi"/>
                <w:color w:val="000000"/>
                <w:sz w:val="18"/>
                <w:szCs w:val="18"/>
                <w:lang w:val="sr-Latn-ME" w:eastAsia="sr-Latn-ME"/>
              </w:rPr>
              <w:t>%</w:t>
            </w:r>
          </w:p>
        </w:tc>
        <w:tc>
          <w:tcPr>
            <w:tcW w:w="424" w:type="pct"/>
            <w:noWrap/>
            <w:hideMark/>
          </w:tcPr>
          <w:p w14:paraId="268BAE30" w14:textId="77777777" w:rsidR="00E05341" w:rsidRPr="00281366" w:rsidRDefault="00E05341" w:rsidP="00E053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sr-Latn-ME" w:eastAsia="sr-Latn-ME"/>
              </w:rPr>
            </w:pPr>
            <w:r w:rsidRPr="00281366">
              <w:rPr>
                <w:rFonts w:eastAsia="Times New Roman" w:cstheme="minorHAnsi"/>
                <w:b/>
                <w:bCs/>
                <w:color w:val="000000"/>
                <w:sz w:val="18"/>
                <w:szCs w:val="18"/>
                <w:lang w:val="sr-Latn-ME" w:eastAsia="sr-Latn-ME"/>
              </w:rPr>
              <w:t>2342.4</w:t>
            </w:r>
          </w:p>
        </w:tc>
        <w:tc>
          <w:tcPr>
            <w:tcW w:w="424" w:type="pct"/>
            <w:noWrap/>
            <w:hideMark/>
          </w:tcPr>
          <w:p w14:paraId="57A62986" w14:textId="77777777" w:rsidR="00E05341" w:rsidRPr="00281366" w:rsidRDefault="00E05341" w:rsidP="00E0534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val="sr-Latn-ME" w:eastAsia="sr-Latn-ME"/>
              </w:rPr>
            </w:pPr>
            <w:r w:rsidRPr="00281366">
              <w:rPr>
                <w:rFonts w:eastAsia="Times New Roman" w:cstheme="minorHAnsi"/>
                <w:color w:val="000000"/>
                <w:sz w:val="18"/>
                <w:szCs w:val="18"/>
                <w:lang w:val="sr-Latn-ME" w:eastAsia="sr-Latn-ME"/>
              </w:rPr>
              <w:t>27.7%</w:t>
            </w:r>
          </w:p>
        </w:tc>
      </w:tr>
      <w:tr w:rsidR="00E05341" w:rsidRPr="00281366" w14:paraId="5BD84225" w14:textId="77777777" w:rsidTr="00E05341">
        <w:trPr>
          <w:trHeight w:val="228"/>
        </w:trPr>
        <w:tc>
          <w:tcPr>
            <w:cnfStyle w:val="001000000000" w:firstRow="0" w:lastRow="0" w:firstColumn="1" w:lastColumn="0" w:oddVBand="0" w:evenVBand="0" w:oddHBand="0" w:evenHBand="0" w:firstRowFirstColumn="0" w:firstRowLastColumn="0" w:lastRowFirstColumn="0" w:lastRowLastColumn="0"/>
            <w:tcW w:w="117" w:type="pct"/>
            <w:noWrap/>
          </w:tcPr>
          <w:p w14:paraId="6F571947" w14:textId="77777777" w:rsidR="00E05341" w:rsidRPr="00281366" w:rsidRDefault="00E05341" w:rsidP="00E05341">
            <w:pPr>
              <w:jc w:val="right"/>
              <w:rPr>
                <w:rFonts w:eastAsia="Times New Roman" w:cstheme="minorHAnsi"/>
                <w:sz w:val="18"/>
                <w:szCs w:val="18"/>
                <w:lang w:val="sr-Latn-ME" w:eastAsia="sr-Latn-ME"/>
              </w:rPr>
            </w:pPr>
          </w:p>
        </w:tc>
        <w:tc>
          <w:tcPr>
            <w:tcW w:w="2015" w:type="pct"/>
            <w:noWrap/>
            <w:hideMark/>
          </w:tcPr>
          <w:p w14:paraId="7B71A9B5" w14:textId="77777777" w:rsidR="00E05341" w:rsidRPr="00281366" w:rsidRDefault="00E05341" w:rsidP="00E05341">
            <w:pP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18"/>
                <w:szCs w:val="18"/>
                <w:lang w:val="sr-Latn-ME" w:eastAsia="sr-Latn-ME"/>
              </w:rPr>
            </w:pPr>
            <w:r w:rsidRPr="00281366">
              <w:rPr>
                <w:rFonts w:eastAsia="Times New Roman" w:cstheme="minorHAnsi"/>
                <w:b/>
                <w:bCs/>
                <w:i/>
                <w:iCs/>
                <w:sz w:val="18"/>
                <w:szCs w:val="18"/>
                <w:lang w:val="sr-Latn-ME" w:eastAsia="sr-Latn-ME"/>
              </w:rPr>
              <w:t>Doprinosi</w:t>
            </w:r>
          </w:p>
        </w:tc>
        <w:tc>
          <w:tcPr>
            <w:tcW w:w="589" w:type="pct"/>
            <w:noWrap/>
            <w:hideMark/>
          </w:tcPr>
          <w:p w14:paraId="52887AC4" w14:textId="77777777" w:rsidR="00E05341" w:rsidRPr="00281366" w:rsidRDefault="00E05341" w:rsidP="00E05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sr-Latn-ME" w:eastAsia="sr-Latn-ME"/>
              </w:rPr>
            </w:pPr>
            <w:r w:rsidRPr="00281366">
              <w:rPr>
                <w:rFonts w:eastAsia="Times New Roman" w:cstheme="minorHAnsi"/>
                <w:b/>
                <w:bCs/>
                <w:color w:val="000000"/>
                <w:sz w:val="18"/>
                <w:szCs w:val="18"/>
                <w:lang w:val="sr-Latn-ME" w:eastAsia="sr-Latn-ME"/>
              </w:rPr>
              <w:t>430.1</w:t>
            </w:r>
          </w:p>
        </w:tc>
        <w:tc>
          <w:tcPr>
            <w:tcW w:w="537" w:type="pct"/>
            <w:noWrap/>
            <w:hideMark/>
          </w:tcPr>
          <w:p w14:paraId="58DA8E56" w14:textId="77777777" w:rsidR="00E05341" w:rsidRPr="00281366" w:rsidRDefault="00E05341" w:rsidP="00E05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sr-Latn-ME" w:eastAsia="sr-Latn-ME"/>
              </w:rPr>
            </w:pPr>
            <w:r w:rsidRPr="00281366">
              <w:rPr>
                <w:rFonts w:eastAsia="Times New Roman" w:cstheme="minorHAnsi"/>
                <w:color w:val="000000"/>
                <w:sz w:val="18"/>
                <w:szCs w:val="18"/>
                <w:lang w:val="sr-Latn-ME" w:eastAsia="sr-Latn-ME"/>
              </w:rPr>
              <w:t>5.5%</w:t>
            </w:r>
          </w:p>
        </w:tc>
        <w:tc>
          <w:tcPr>
            <w:tcW w:w="377" w:type="pct"/>
            <w:noWrap/>
            <w:hideMark/>
          </w:tcPr>
          <w:p w14:paraId="539370FA" w14:textId="77777777" w:rsidR="00E05341" w:rsidRPr="00281366" w:rsidRDefault="00E05341" w:rsidP="00E05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sr-Latn-ME" w:eastAsia="sr-Latn-ME"/>
              </w:rPr>
            </w:pPr>
            <w:r w:rsidRPr="00281366">
              <w:rPr>
                <w:rFonts w:eastAsia="Times New Roman" w:cstheme="minorHAnsi"/>
                <w:b/>
                <w:bCs/>
                <w:color w:val="000000"/>
                <w:sz w:val="18"/>
                <w:szCs w:val="18"/>
                <w:lang w:val="sr-Latn-ME" w:eastAsia="sr-Latn-ME"/>
              </w:rPr>
              <w:t>461.6</w:t>
            </w:r>
          </w:p>
        </w:tc>
        <w:tc>
          <w:tcPr>
            <w:tcW w:w="517" w:type="pct"/>
            <w:noWrap/>
            <w:hideMark/>
          </w:tcPr>
          <w:p w14:paraId="5A620AB3" w14:textId="77777777" w:rsidR="00E05341" w:rsidRPr="00281366" w:rsidRDefault="00E05341" w:rsidP="00E05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sr-Latn-ME" w:eastAsia="sr-Latn-ME"/>
              </w:rPr>
            </w:pPr>
            <w:r w:rsidRPr="00281366">
              <w:rPr>
                <w:rFonts w:eastAsia="Times New Roman" w:cstheme="minorHAnsi"/>
                <w:color w:val="000000"/>
                <w:sz w:val="18"/>
                <w:szCs w:val="18"/>
                <w:lang w:val="sr-Latn-ME" w:eastAsia="sr-Latn-ME"/>
              </w:rPr>
              <w:t>5.7%</w:t>
            </w:r>
          </w:p>
        </w:tc>
        <w:tc>
          <w:tcPr>
            <w:tcW w:w="424" w:type="pct"/>
            <w:noWrap/>
            <w:hideMark/>
          </w:tcPr>
          <w:p w14:paraId="7E4153BC" w14:textId="77777777" w:rsidR="00E05341" w:rsidRPr="00281366" w:rsidRDefault="00E05341" w:rsidP="00E0534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8"/>
                <w:szCs w:val="18"/>
                <w:lang w:val="sr-Latn-ME" w:eastAsia="sr-Latn-ME"/>
              </w:rPr>
            </w:pPr>
            <w:r w:rsidRPr="00281366">
              <w:rPr>
                <w:rFonts w:eastAsia="Times New Roman" w:cstheme="minorHAnsi"/>
                <w:b/>
                <w:bCs/>
                <w:color w:val="000000"/>
                <w:sz w:val="18"/>
                <w:szCs w:val="18"/>
                <w:lang w:val="sr-Latn-ME" w:eastAsia="sr-Latn-ME"/>
              </w:rPr>
              <w:t>488.8</w:t>
            </w:r>
          </w:p>
        </w:tc>
        <w:tc>
          <w:tcPr>
            <w:tcW w:w="424" w:type="pct"/>
            <w:noWrap/>
            <w:hideMark/>
          </w:tcPr>
          <w:p w14:paraId="2B3643EA" w14:textId="77777777" w:rsidR="00E05341" w:rsidRPr="00281366" w:rsidRDefault="00E05341" w:rsidP="00E0534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8"/>
                <w:szCs w:val="18"/>
                <w:lang w:val="sr-Latn-ME" w:eastAsia="sr-Latn-ME"/>
              </w:rPr>
            </w:pPr>
            <w:r w:rsidRPr="00281366">
              <w:rPr>
                <w:rFonts w:eastAsia="Times New Roman" w:cstheme="minorHAnsi"/>
                <w:color w:val="000000"/>
                <w:sz w:val="18"/>
                <w:szCs w:val="18"/>
                <w:lang w:val="sr-Latn-ME" w:eastAsia="sr-Latn-ME"/>
              </w:rPr>
              <w:t>5.8%</w:t>
            </w:r>
          </w:p>
        </w:tc>
      </w:tr>
    </w:tbl>
    <w:p w14:paraId="126E72FD" w14:textId="77777777" w:rsidR="00E05341" w:rsidRDefault="00E05341" w:rsidP="00E05341">
      <w:pPr>
        <w:rPr>
          <w:i/>
          <w:sz w:val="18"/>
          <w:szCs w:val="18"/>
          <w:lang w:val="sr-Latn-ME"/>
        </w:rPr>
      </w:pPr>
      <w:r w:rsidRPr="00281366">
        <w:rPr>
          <w:i/>
          <w:sz w:val="18"/>
          <w:szCs w:val="18"/>
          <w:lang w:val="sr-Latn-ME"/>
        </w:rPr>
        <w:t>Izvor: Projekcije Ministarstva finansija</w:t>
      </w:r>
    </w:p>
    <w:p w14:paraId="323E1CD1" w14:textId="77777777" w:rsidR="00E05341" w:rsidRDefault="00E05341" w:rsidP="00E05341">
      <w:pPr>
        <w:rPr>
          <w:lang w:val="sr-Latn-ME"/>
        </w:rPr>
      </w:pPr>
    </w:p>
    <w:p w14:paraId="15060B8A" w14:textId="27C71AF1" w:rsidR="00E05341" w:rsidRPr="00553506" w:rsidRDefault="00E05341" w:rsidP="00E05341">
      <w:pPr>
        <w:pStyle w:val="Heading2"/>
        <w:shd w:val="clear" w:color="auto" w:fill="9CC2E5" w:themeFill="accent5" w:themeFillTint="99"/>
        <w:spacing w:after="240"/>
        <w:rPr>
          <w:rFonts w:cstheme="majorHAnsi"/>
          <w:b/>
          <w:color w:val="4472C4" w:themeColor="accent1"/>
          <w:lang w:val="sr-Latn-ME"/>
        </w:rPr>
      </w:pPr>
      <w:bookmarkStart w:id="36" w:name="_Toc184111643"/>
      <w:bookmarkStart w:id="37" w:name="_Toc88031653"/>
      <w:bookmarkStart w:id="38" w:name="_Toc121347495"/>
      <w:bookmarkStart w:id="39" w:name="_Toc160195634"/>
      <w:bookmarkStart w:id="40" w:name="_Toc176762137"/>
      <w:bookmarkStart w:id="41" w:name="_Toc168868596"/>
      <w:bookmarkStart w:id="42" w:name="_Toc174996135"/>
      <w:r>
        <w:rPr>
          <w:rFonts w:cstheme="majorHAnsi"/>
          <w:b/>
          <w:color w:val="4472C4" w:themeColor="accent1"/>
          <w:lang w:val="sr-Latn-ME"/>
        </w:rPr>
        <w:t>4</w:t>
      </w:r>
      <w:r w:rsidRPr="00553506">
        <w:rPr>
          <w:rFonts w:cstheme="majorHAnsi"/>
          <w:b/>
          <w:color w:val="4472C4" w:themeColor="accent1"/>
          <w:lang w:val="sr-Latn-ME"/>
        </w:rPr>
        <w:t xml:space="preserve">. </w:t>
      </w:r>
      <w:r>
        <w:rPr>
          <w:rFonts w:cstheme="majorHAnsi"/>
          <w:b/>
          <w:color w:val="4472C4" w:themeColor="accent1"/>
          <w:lang w:val="sr-Latn-ME"/>
        </w:rPr>
        <w:t>FISKALNI</w:t>
      </w:r>
      <w:r w:rsidRPr="00553506">
        <w:rPr>
          <w:rFonts w:cstheme="majorHAnsi"/>
          <w:b/>
          <w:color w:val="4472C4" w:themeColor="accent1"/>
          <w:lang w:val="sr-Latn-ME"/>
        </w:rPr>
        <w:t xml:space="preserve"> OKVIR</w:t>
      </w:r>
      <w:bookmarkEnd w:id="36"/>
    </w:p>
    <w:p w14:paraId="428E9ED5" w14:textId="2669CD1B" w:rsidR="00E05341" w:rsidRPr="00C76B7B" w:rsidRDefault="00E05341" w:rsidP="00E05341">
      <w:pPr>
        <w:pStyle w:val="Heading2"/>
        <w:rPr>
          <w:rFonts w:asciiTheme="minorHAnsi" w:hAnsiTheme="minorHAnsi" w:cstheme="minorHAnsi"/>
          <w:b/>
          <w:sz w:val="24"/>
          <w:szCs w:val="24"/>
          <w:lang w:val="sr-Latn-ME"/>
        </w:rPr>
      </w:pPr>
      <w:bookmarkStart w:id="43" w:name="_Toc184111644"/>
      <w:r w:rsidRPr="00C76B7B">
        <w:rPr>
          <w:rFonts w:asciiTheme="minorHAnsi" w:hAnsiTheme="minorHAnsi" w:cstheme="minorHAnsi"/>
          <w:b/>
          <w:sz w:val="24"/>
          <w:szCs w:val="24"/>
          <w:lang w:val="sr-Latn-ME"/>
        </w:rPr>
        <w:t>4.1</w:t>
      </w:r>
      <w:r w:rsidR="002E35FA">
        <w:rPr>
          <w:rFonts w:asciiTheme="minorHAnsi" w:hAnsiTheme="minorHAnsi" w:cstheme="minorHAnsi"/>
          <w:b/>
          <w:sz w:val="24"/>
          <w:szCs w:val="24"/>
          <w:lang w:val="sr-Latn-ME"/>
        </w:rPr>
        <w:t>.</w:t>
      </w:r>
      <w:r w:rsidRPr="00C76B7B">
        <w:rPr>
          <w:rFonts w:asciiTheme="minorHAnsi" w:hAnsiTheme="minorHAnsi" w:cstheme="minorHAnsi"/>
          <w:b/>
          <w:sz w:val="24"/>
          <w:szCs w:val="24"/>
          <w:lang w:val="sr-Latn-ME"/>
        </w:rPr>
        <w:t xml:space="preserve"> Strategija politike i srednjoročni ciljevi</w:t>
      </w:r>
      <w:bookmarkEnd w:id="37"/>
      <w:bookmarkEnd w:id="38"/>
      <w:bookmarkEnd w:id="43"/>
    </w:p>
    <w:p w14:paraId="747017CF" w14:textId="77777777" w:rsidR="00E05341" w:rsidRPr="00556791" w:rsidRDefault="00E05341" w:rsidP="00E05341">
      <w:pPr>
        <w:spacing w:line="120" w:lineRule="auto"/>
        <w:jc w:val="both"/>
        <w:rPr>
          <w:rFonts w:ascii="Garamond" w:hAnsi="Garamond" w:cstheme="minorHAnsi"/>
          <w:sz w:val="24"/>
          <w:szCs w:val="24"/>
          <w:lang w:val="sr-Latn-RS" w:eastAsia="x-none"/>
        </w:rPr>
      </w:pPr>
      <w:bookmarkStart w:id="44" w:name="_Toc500790265"/>
      <w:bookmarkStart w:id="45" w:name="_Toc531686970"/>
      <w:bookmarkStart w:id="46" w:name="_Toc535602606"/>
    </w:p>
    <w:p w14:paraId="69DEA2FD" w14:textId="77777777" w:rsidR="005D7CCB" w:rsidRPr="005E617A" w:rsidRDefault="005D7CCB" w:rsidP="005D7CCB">
      <w:pPr>
        <w:jc w:val="both"/>
        <w:rPr>
          <w:sz w:val="24"/>
          <w:szCs w:val="24"/>
        </w:rPr>
      </w:pPr>
      <w:bookmarkStart w:id="47" w:name="_Toc88031654"/>
      <w:bookmarkStart w:id="48" w:name="_Toc121347496"/>
      <w:bookmarkStart w:id="49" w:name="_Toc184111645"/>
      <w:bookmarkEnd w:id="44"/>
      <w:bookmarkEnd w:id="45"/>
      <w:bookmarkEnd w:id="46"/>
      <w:r w:rsidRPr="005E617A">
        <w:rPr>
          <w:sz w:val="24"/>
          <w:szCs w:val="24"/>
        </w:rPr>
        <w:t>Cilj fiskalne politike u periodu trajanja mandata 44. Vlade Crne Gore je: predvidiva i podsticajna fiskalna politika koja će doprinijeti povećanju atraktivnosti Crne Gore kao investicione destinacije i povoljnijem poslovnom ambijentu u cilju stvaranja novih izvora ekonomskog rasta, otvaranju novih radnih mjesta i ubrzavanju konvergencije</w:t>
      </w:r>
      <w:r>
        <w:rPr>
          <w:sz w:val="24"/>
          <w:szCs w:val="24"/>
        </w:rPr>
        <w:t xml:space="preserve"> dohotka i</w:t>
      </w:r>
      <w:r w:rsidRPr="005E617A">
        <w:rPr>
          <w:sz w:val="24"/>
          <w:szCs w:val="24"/>
        </w:rPr>
        <w:t xml:space="preserve"> BDP </w:t>
      </w:r>
      <w:r>
        <w:rPr>
          <w:sz w:val="24"/>
          <w:szCs w:val="24"/>
        </w:rPr>
        <w:t>po glavi stanovnika</w:t>
      </w:r>
      <w:r w:rsidRPr="005E617A">
        <w:rPr>
          <w:sz w:val="24"/>
          <w:szCs w:val="24"/>
        </w:rPr>
        <w:t xml:space="preserve"> ka prosjeku EU.</w:t>
      </w:r>
    </w:p>
    <w:p w14:paraId="1D1FBE32" w14:textId="77777777" w:rsidR="005D7CCB" w:rsidRDefault="005D7CCB" w:rsidP="005D7CCB">
      <w:pPr>
        <w:jc w:val="both"/>
        <w:rPr>
          <w:sz w:val="24"/>
          <w:szCs w:val="24"/>
        </w:rPr>
      </w:pPr>
      <w:r w:rsidRPr="005E617A">
        <w:rPr>
          <w:sz w:val="24"/>
          <w:szCs w:val="24"/>
        </w:rPr>
        <w:t>Sve planirane mjere fiskalne politike u srednjem roku usmjerene su na unapr</w:t>
      </w:r>
      <w:r>
        <w:rPr>
          <w:sz w:val="24"/>
          <w:szCs w:val="24"/>
        </w:rPr>
        <w:t>j</w:t>
      </w:r>
      <w:r w:rsidRPr="005E617A">
        <w:rPr>
          <w:sz w:val="24"/>
          <w:szCs w:val="24"/>
        </w:rPr>
        <w:t>eđenje poslovnog ambijenta i konkurentnosti privrede sa jedne i unapređenje standarda građana sa druge strane, uz očuvanje makroekonomske i fiskalne stabilnosti.</w:t>
      </w:r>
    </w:p>
    <w:p w14:paraId="65D0486C" w14:textId="77777777" w:rsidR="005D7CCB" w:rsidRDefault="005D7CCB" w:rsidP="005D7CCB">
      <w:pPr>
        <w:jc w:val="both"/>
        <w:rPr>
          <w:sz w:val="24"/>
          <w:szCs w:val="24"/>
        </w:rPr>
      </w:pPr>
      <w:r w:rsidRPr="00093385">
        <w:rPr>
          <w:b/>
          <w:sz w:val="24"/>
          <w:szCs w:val="24"/>
        </w:rPr>
        <w:t>Kako bi odgovorila na preporuke sa ekonomskog i finansijskog dijaloga sa Evropskom unijom iz maja 2024. godine, a u skladu sa zajedničkim zaključcima, Vlada je u skladu sa</w:t>
      </w:r>
      <w:r>
        <w:rPr>
          <w:b/>
          <w:sz w:val="24"/>
          <w:szCs w:val="24"/>
        </w:rPr>
        <w:t xml:space="preserve"> sistemskim</w:t>
      </w:r>
      <w:r w:rsidRPr="00093385">
        <w:rPr>
          <w:b/>
          <w:sz w:val="24"/>
          <w:szCs w:val="24"/>
        </w:rPr>
        <w:t xml:space="preserve"> Zakonom o budžetu i fiskalnoj odgovornosti, u septembru 2024. godine usvojila Predlog fiskalne strategije Crne Gore za period 2024-2027. godine, što je odgovor na preporuku 1 sa </w:t>
      </w:r>
      <w:r w:rsidRPr="00093385">
        <w:rPr>
          <w:b/>
          <w:sz w:val="24"/>
          <w:szCs w:val="24"/>
        </w:rPr>
        <w:lastRenderedPageBreak/>
        <w:t>ministarskog</w:t>
      </w:r>
      <w:r w:rsidRPr="004F6442">
        <w:rPr>
          <w:b/>
          <w:sz w:val="24"/>
          <w:szCs w:val="24"/>
        </w:rPr>
        <w:t xml:space="preserve"> dijaloga, u kojem se navodi da Crna Gora usvoji srednjoročnu fiskalnu strategiju</w:t>
      </w:r>
      <w:r w:rsidRPr="005E617A">
        <w:rPr>
          <w:sz w:val="24"/>
          <w:szCs w:val="24"/>
        </w:rPr>
        <w:t>. Na temelju ekonomske politike Crne Gore, strateških opred</w:t>
      </w:r>
      <w:r>
        <w:rPr>
          <w:sz w:val="24"/>
          <w:szCs w:val="24"/>
        </w:rPr>
        <w:t>j</w:t>
      </w:r>
      <w:r w:rsidRPr="005E617A">
        <w:rPr>
          <w:sz w:val="24"/>
          <w:szCs w:val="24"/>
        </w:rPr>
        <w:t>eljenja i kriterijuma fiskalne odgovornosti, Fiskalnom strategijom prezentovani su ciljevi fiskalne politike, mjere i aktivnosti za postizanje tih ciljeva i makroekonomske i fiskalne projekcije u periodu 2024 – 2027. godine.</w:t>
      </w:r>
    </w:p>
    <w:p w14:paraId="02774349" w14:textId="77777777" w:rsidR="005D7CCB" w:rsidRDefault="005D7CCB" w:rsidP="005D7CCB">
      <w:pPr>
        <w:jc w:val="both"/>
        <w:rPr>
          <w:sz w:val="24"/>
          <w:szCs w:val="24"/>
        </w:rPr>
      </w:pPr>
      <w:r w:rsidRPr="005E617A">
        <w:rPr>
          <w:sz w:val="24"/>
          <w:szCs w:val="24"/>
        </w:rPr>
        <w:t>Stabilne i održive javne finansije glavni su preduslov ukupne makroekonomske stabilnosti svake zemlje, te odgovorno upravljanje javnim finansijama</w:t>
      </w:r>
      <w:r>
        <w:rPr>
          <w:sz w:val="24"/>
          <w:szCs w:val="24"/>
        </w:rPr>
        <w:t>. P</w:t>
      </w:r>
      <w:r w:rsidRPr="005E617A">
        <w:rPr>
          <w:sz w:val="24"/>
          <w:szCs w:val="24"/>
        </w:rPr>
        <w:t>reduslovi makro-fiskalne stabilnosti su smanjenje deficita javnih finansija na kratak rok, zaduživanje isključivo za finansiranje kapitalnih projekata, odnosno ostvarenje suficita tekuće budžetske potrošnje, uz kontinuirani rast budžetskih prihoda i optimizaciju tekuće budžetske potrošnje.</w:t>
      </w:r>
    </w:p>
    <w:p w14:paraId="345CF826" w14:textId="77777777" w:rsidR="005D7CCB" w:rsidRDefault="005D7CCB" w:rsidP="005D7CCB">
      <w:pPr>
        <w:jc w:val="both"/>
        <w:rPr>
          <w:rFonts w:cstheme="minorHAnsi"/>
          <w:bCs/>
          <w:sz w:val="24"/>
          <w:szCs w:val="24"/>
        </w:rPr>
      </w:pPr>
      <w:r w:rsidRPr="008016D8">
        <w:rPr>
          <w:rFonts w:cstheme="minorHAnsi"/>
          <w:bCs/>
          <w:sz w:val="24"/>
          <w:szCs w:val="24"/>
        </w:rPr>
        <w:t>Fiskalna strategija predstavlja ključni razvojni dokument za vremenski okvir mandata Vlade, u kojem su definisane ključne mjere ekonomske i fiskalne politike, kao i druge reforme u oblasti poslovnog ambijenta. Upravo postojanje Fiskalne strategije omogućava predvidivost politika i vizije Vlade kako za privredu i investitore tako i za građane. Osnovni cilj u oblasti fiskalne politike je stvaranje preduslova za sveobuhvatnu reformu poreskog sistema u cilju proširenja poreske baze, a samim tim i stvaranja novih izvora prihoda, izmjena dalje regulative u skladu sa zakonodavstvom EU, kao i unaprijeđenje konkurentnosti putem smanjenja poreskog opterećenja na rad, koje će Crnu Goru svrstati među državama sa najnižim nametima na zarade zaposlenih u Evropi. U sinergiji sa brojnim drugim mjerama unaprjeđenja ambijenta poslovanja, cilj je stvaranje predvidivog okvira poreske politike, koji će biti okosnica održivog poslovanja i konkurentnosti crnogorske ekonomije u godinama koje dolaze.</w:t>
      </w:r>
    </w:p>
    <w:p w14:paraId="6DA89F39" w14:textId="77777777" w:rsidR="005D7CCB" w:rsidRDefault="005D7CCB" w:rsidP="005D7CCB">
      <w:pPr>
        <w:jc w:val="both"/>
        <w:rPr>
          <w:rFonts w:cstheme="minorHAnsi"/>
          <w:sz w:val="24"/>
          <w:szCs w:val="24"/>
          <w:lang w:val="sr-Latn-ME"/>
        </w:rPr>
      </w:pPr>
      <w:r>
        <w:rPr>
          <w:rFonts w:cstheme="minorHAnsi"/>
          <w:bCs/>
          <w:sz w:val="24"/>
          <w:szCs w:val="24"/>
        </w:rPr>
        <w:t xml:space="preserve">Dodatno, </w:t>
      </w:r>
      <w:r w:rsidRPr="004D22B2">
        <w:rPr>
          <w:rFonts w:cstheme="minorHAnsi"/>
          <w:b/>
          <w:bCs/>
          <w:sz w:val="24"/>
          <w:szCs w:val="24"/>
        </w:rPr>
        <w:t>kao</w:t>
      </w:r>
      <w:r>
        <w:rPr>
          <w:rFonts w:cstheme="minorHAnsi"/>
          <w:bCs/>
          <w:sz w:val="24"/>
          <w:szCs w:val="24"/>
        </w:rPr>
        <w:t xml:space="preserve"> </w:t>
      </w:r>
      <w:r w:rsidRPr="007A5778">
        <w:rPr>
          <w:rFonts w:cstheme="minorHAnsi"/>
          <w:b/>
          <w:bCs/>
          <w:sz w:val="24"/>
          <w:szCs w:val="24"/>
        </w:rPr>
        <w:t>odgovor na preporuku 2 sa Ekonomsko finansijskog dijaloga sa EU</w:t>
      </w:r>
      <w:r>
        <w:rPr>
          <w:rFonts w:cstheme="minorHAnsi"/>
          <w:bCs/>
          <w:sz w:val="24"/>
          <w:szCs w:val="24"/>
        </w:rPr>
        <w:t xml:space="preserve">, </w:t>
      </w:r>
      <w:r w:rsidRPr="004D22B2">
        <w:rPr>
          <w:rFonts w:cstheme="minorHAnsi"/>
          <w:b/>
          <w:bCs/>
          <w:sz w:val="24"/>
          <w:szCs w:val="24"/>
        </w:rPr>
        <w:t xml:space="preserve">Ministarstvo finansija je </w:t>
      </w:r>
      <w:r>
        <w:rPr>
          <w:rFonts w:cstheme="minorHAnsi"/>
          <w:b/>
          <w:bCs/>
          <w:sz w:val="24"/>
          <w:szCs w:val="24"/>
        </w:rPr>
        <w:t>pripremilo Izvještaj o</w:t>
      </w:r>
      <w:r w:rsidRPr="004D22B2">
        <w:rPr>
          <w:rFonts w:cstheme="minorHAnsi"/>
          <w:b/>
          <w:bCs/>
          <w:sz w:val="24"/>
          <w:szCs w:val="24"/>
        </w:rPr>
        <w:t xml:space="preserve"> poreski</w:t>
      </w:r>
      <w:r>
        <w:rPr>
          <w:rFonts w:cstheme="minorHAnsi"/>
          <w:b/>
          <w:bCs/>
          <w:sz w:val="24"/>
          <w:szCs w:val="24"/>
        </w:rPr>
        <w:t>m</w:t>
      </w:r>
      <w:r w:rsidRPr="004D22B2">
        <w:rPr>
          <w:rFonts w:cstheme="minorHAnsi"/>
          <w:b/>
          <w:bCs/>
          <w:sz w:val="24"/>
          <w:szCs w:val="24"/>
        </w:rPr>
        <w:t xml:space="preserve"> rashod</w:t>
      </w:r>
      <w:r>
        <w:rPr>
          <w:rFonts w:cstheme="minorHAnsi"/>
          <w:b/>
          <w:bCs/>
          <w:sz w:val="24"/>
          <w:szCs w:val="24"/>
        </w:rPr>
        <w:t>im</w:t>
      </w:r>
      <w:r w:rsidRPr="004D22B2">
        <w:rPr>
          <w:rFonts w:cstheme="minorHAnsi"/>
          <w:b/>
          <w:bCs/>
          <w:sz w:val="24"/>
          <w:szCs w:val="24"/>
        </w:rPr>
        <w:t>a</w:t>
      </w:r>
      <w:r>
        <w:rPr>
          <w:rFonts w:cstheme="minorHAnsi"/>
          <w:bCs/>
          <w:sz w:val="24"/>
          <w:szCs w:val="24"/>
        </w:rPr>
        <w:t>, koji će biti usvojen do kraja 2024. godine, u skladu sa Programom rada Vlade.</w:t>
      </w:r>
      <w:r w:rsidRPr="0098482B">
        <w:rPr>
          <w:sz w:val="24"/>
          <w:szCs w:val="24"/>
        </w:rPr>
        <w:t xml:space="preserve"> </w:t>
      </w:r>
      <w:r w:rsidRPr="00093385">
        <w:rPr>
          <w:sz w:val="24"/>
          <w:szCs w:val="24"/>
        </w:rPr>
        <w:t>Izvještaj o poreskim rashodima će predstavljati adekvatnu osnovu za analizu ekonomskog i fiskalnog uticaja poreskih rashoda, te pripremu budžetskih preporuka za smanjenje poreskih rashoda</w:t>
      </w:r>
      <w:r>
        <w:rPr>
          <w:sz w:val="24"/>
          <w:szCs w:val="24"/>
        </w:rPr>
        <w:t xml:space="preserve">. </w:t>
      </w:r>
      <w:r w:rsidRPr="0091439E">
        <w:rPr>
          <w:b/>
          <w:sz w:val="24"/>
          <w:szCs w:val="24"/>
        </w:rPr>
        <w:t>Navedena analiza predstavljaće i osnov za odlučivanje o mjerama fiskalne politike u srednjem i dugom roku, kao i o efektima već uvedenih mjera i reformi.</w:t>
      </w:r>
      <w:r w:rsidRPr="00A21E92">
        <w:rPr>
          <w:sz w:val="24"/>
          <w:szCs w:val="24"/>
        </w:rPr>
        <w:t xml:space="preserve"> </w:t>
      </w:r>
      <w:r w:rsidRPr="0091439E">
        <w:rPr>
          <w:sz w:val="24"/>
          <w:szCs w:val="24"/>
        </w:rPr>
        <w:t>Tokom 2024. godine, došlo je do izmjene konkretne zakonske regulative kojom je ukinut određeni broj poreskih izdataka, a navedeno će za rezultat imati i snažan fiskalni efekat. U pitanju su mjere i izmjene zakonske regulative sadržane u Fiskalnoj strategiji Crne Gore za period 202</w:t>
      </w:r>
      <w:r>
        <w:rPr>
          <w:sz w:val="24"/>
          <w:szCs w:val="24"/>
        </w:rPr>
        <w:t>4</w:t>
      </w:r>
      <w:r w:rsidRPr="0091439E">
        <w:rPr>
          <w:sz w:val="24"/>
          <w:szCs w:val="24"/>
        </w:rPr>
        <w:t xml:space="preserve">-2027. godine. </w:t>
      </w:r>
      <w:r>
        <w:rPr>
          <w:rFonts w:cstheme="minorHAnsi"/>
          <w:sz w:val="24"/>
          <w:szCs w:val="24"/>
          <w:lang w:val="sr-Latn-ME"/>
        </w:rPr>
        <w:t>Takođe će Ministarstvo finansija, shodno očekivanoj tehničkoj podršci MMF-a u 2025. godini, nastaviti sa detaljnijim procjenama poreskih izdataka po kategorijama prihoda, pa samim tim i unaprijediti kvalitativni i kvantitativni okvir analize.</w:t>
      </w:r>
    </w:p>
    <w:p w14:paraId="700450D2" w14:textId="3B53B00D" w:rsidR="00E05341" w:rsidRPr="00C76B7B" w:rsidRDefault="00E05341" w:rsidP="002141C1">
      <w:pPr>
        <w:pStyle w:val="Heading2"/>
        <w:spacing w:after="200"/>
        <w:rPr>
          <w:rFonts w:asciiTheme="minorHAnsi" w:hAnsiTheme="minorHAnsi" w:cstheme="minorHAnsi"/>
          <w:b/>
          <w:sz w:val="24"/>
          <w:szCs w:val="24"/>
          <w:lang w:val="sr-Latn-ME"/>
        </w:rPr>
      </w:pPr>
      <w:r w:rsidRPr="00C76B7B">
        <w:rPr>
          <w:rFonts w:asciiTheme="minorHAnsi" w:hAnsiTheme="minorHAnsi" w:cstheme="minorHAnsi"/>
          <w:b/>
          <w:sz w:val="24"/>
          <w:szCs w:val="24"/>
          <w:lang w:val="sr-Latn-ME"/>
        </w:rPr>
        <w:t>4.2</w:t>
      </w:r>
      <w:r w:rsidR="002E35FA">
        <w:rPr>
          <w:rFonts w:asciiTheme="minorHAnsi" w:hAnsiTheme="minorHAnsi" w:cstheme="minorHAnsi"/>
          <w:b/>
          <w:sz w:val="24"/>
          <w:szCs w:val="24"/>
          <w:lang w:val="sr-Latn-ME"/>
        </w:rPr>
        <w:t>.</w:t>
      </w:r>
      <w:r w:rsidRPr="00C76B7B">
        <w:rPr>
          <w:rFonts w:asciiTheme="minorHAnsi" w:hAnsiTheme="minorHAnsi" w:cstheme="minorHAnsi"/>
          <w:b/>
          <w:sz w:val="24"/>
          <w:szCs w:val="24"/>
          <w:lang w:val="sr-Latn-ME"/>
        </w:rPr>
        <w:t xml:space="preserve"> Izvršenje budžeta u 2024. godini</w:t>
      </w:r>
      <w:bookmarkEnd w:id="47"/>
      <w:bookmarkEnd w:id="48"/>
      <w:bookmarkEnd w:id="49"/>
    </w:p>
    <w:p w14:paraId="709D7528" w14:textId="77777777" w:rsidR="00E05341" w:rsidRPr="005E617A" w:rsidRDefault="00E05341" w:rsidP="00E05341">
      <w:pPr>
        <w:spacing w:after="240"/>
        <w:jc w:val="both"/>
        <w:rPr>
          <w:rFonts w:cstheme="minorHAnsi"/>
          <w:sz w:val="24"/>
          <w:szCs w:val="24"/>
          <w:lang w:val="sr-Latn-ME"/>
        </w:rPr>
      </w:pPr>
      <w:r w:rsidRPr="005E617A">
        <w:rPr>
          <w:rFonts w:cstheme="minorHAnsi"/>
          <w:b/>
          <w:sz w:val="24"/>
          <w:szCs w:val="24"/>
          <w:lang w:val="sr-Latn-ME"/>
        </w:rPr>
        <w:t>Izvorni prihodi u 2024. godini</w:t>
      </w:r>
      <w:r w:rsidRPr="005E617A">
        <w:rPr>
          <w:rFonts w:cstheme="minorHAnsi"/>
          <w:sz w:val="24"/>
          <w:szCs w:val="24"/>
          <w:lang w:val="sr-Latn-ME"/>
        </w:rPr>
        <w:t xml:space="preserve"> procijenjeni su u iznosu od 2.784,3 mil.€ ili 37,5% procijenjenog BDP-a (7.416,7 mil.€), što je u odnosu na plan po Rebalansu budžeta više za 11,7 mil.€ ili 0,4%. </w:t>
      </w:r>
      <w:r w:rsidRPr="005E617A">
        <w:rPr>
          <w:rFonts w:cstheme="minorHAnsi"/>
          <w:sz w:val="24"/>
          <w:szCs w:val="24"/>
          <w:lang w:val="sr-Latn-ME"/>
        </w:rPr>
        <w:lastRenderedPageBreak/>
        <w:t>Navedeno povećanje opredijeljeno je dominantno većom naplatom prihoda po osnovu poreza na dodatu vrijednost, kao rezultat rasta ekonomske aktivnosti i potrošnje domaćinstva.</w:t>
      </w:r>
    </w:p>
    <w:p w14:paraId="63A47CE2" w14:textId="77777777" w:rsidR="00E05341" w:rsidRPr="005E617A" w:rsidRDefault="00E05341" w:rsidP="00E05341">
      <w:pPr>
        <w:shd w:val="clear" w:color="auto" w:fill="FFFFFF"/>
        <w:jc w:val="both"/>
        <w:rPr>
          <w:rFonts w:cstheme="minorHAnsi"/>
          <w:sz w:val="24"/>
          <w:szCs w:val="24"/>
          <w:lang w:val="sr-Latn-ME"/>
        </w:rPr>
      </w:pPr>
      <w:r w:rsidRPr="005E617A">
        <w:rPr>
          <w:rFonts w:cstheme="minorHAnsi"/>
          <w:sz w:val="24"/>
          <w:szCs w:val="24"/>
          <w:lang w:val="sr-Latn-ME"/>
        </w:rPr>
        <w:t>Procijenjeni prihodi budžeta za 2024. godinu veći su za 217,9 mil.€ ili 8,5% u odnosu na 2023.</w:t>
      </w:r>
    </w:p>
    <w:p w14:paraId="3857E5F5" w14:textId="77777777" w:rsidR="00E05341" w:rsidRDefault="00E05341" w:rsidP="0096351B">
      <w:pPr>
        <w:shd w:val="clear" w:color="auto" w:fill="FFFFFF"/>
        <w:jc w:val="both"/>
        <w:rPr>
          <w:rFonts w:ascii="Calibri" w:hAnsi="Calibri" w:cs="Calibri"/>
          <w:sz w:val="24"/>
          <w:szCs w:val="24"/>
          <w:lang w:val="sr-Latn-ME"/>
        </w:rPr>
      </w:pPr>
      <w:bookmarkStart w:id="50" w:name="_Toc88031656"/>
      <w:bookmarkStart w:id="51" w:name="_Toc121347497"/>
      <w:r w:rsidRPr="00556791">
        <w:rPr>
          <w:rFonts w:ascii="Calibri" w:hAnsi="Calibri" w:cs="Calibri"/>
          <w:sz w:val="24"/>
          <w:szCs w:val="24"/>
          <w:lang w:val="sr-Latn-ME"/>
        </w:rPr>
        <w:t xml:space="preserve">U poređenju sa prethodnom godinom, a prema procjeni za 2024. godinu, najznačajniji rast bilježe sljedeće kategorije prihoda: </w:t>
      </w:r>
    </w:p>
    <w:p w14:paraId="1F1DCB83" w14:textId="77777777" w:rsidR="00E05341" w:rsidRDefault="00E05341" w:rsidP="0096351B">
      <w:pPr>
        <w:pStyle w:val="ListParagraph"/>
        <w:numPr>
          <w:ilvl w:val="0"/>
          <w:numId w:val="11"/>
        </w:numPr>
        <w:shd w:val="clear" w:color="auto" w:fill="FFFFFF"/>
        <w:jc w:val="both"/>
        <w:rPr>
          <w:rFonts w:ascii="Calibri" w:hAnsi="Calibri" w:cs="Calibri"/>
          <w:sz w:val="24"/>
          <w:szCs w:val="24"/>
          <w:lang w:val="sr-Latn-ME"/>
        </w:rPr>
      </w:pPr>
      <w:r w:rsidRPr="009B7052">
        <w:rPr>
          <w:rFonts w:ascii="Calibri" w:hAnsi="Calibri" w:cs="Calibri"/>
          <w:b/>
          <w:sz w:val="24"/>
          <w:szCs w:val="24"/>
          <w:lang w:val="sr-Latn-ME"/>
        </w:rPr>
        <w:t>porez na dodatu vrijednost</w:t>
      </w:r>
      <w:r>
        <w:rPr>
          <w:rFonts w:ascii="Calibri" w:hAnsi="Calibri" w:cs="Calibri"/>
          <w:b/>
          <w:sz w:val="24"/>
          <w:szCs w:val="24"/>
          <w:lang w:val="sr-Latn-ME"/>
        </w:rPr>
        <w:t xml:space="preserve"> </w:t>
      </w:r>
      <w:r w:rsidRPr="00356AC0">
        <w:rPr>
          <w:rFonts w:ascii="Calibri" w:hAnsi="Calibri" w:cs="Calibri"/>
          <w:sz w:val="24"/>
          <w:szCs w:val="24"/>
          <w:lang w:val="sr-Latn-ME"/>
        </w:rPr>
        <w:t xml:space="preserve">koji je procijenjen u iznosu od 1.204,4 </w:t>
      </w:r>
      <w:r>
        <w:rPr>
          <w:rFonts w:ascii="Calibri" w:hAnsi="Calibri" w:cs="Calibri"/>
          <w:sz w:val="24"/>
          <w:szCs w:val="24"/>
          <w:lang w:val="sr-Latn-ME"/>
        </w:rPr>
        <w:t>mil. €, što je</w:t>
      </w:r>
      <w:r w:rsidRPr="009B7052">
        <w:rPr>
          <w:rFonts w:ascii="Calibri" w:hAnsi="Calibri" w:cs="Calibri"/>
          <w:sz w:val="24"/>
          <w:szCs w:val="24"/>
          <w:lang w:val="sr-Latn-ME"/>
        </w:rPr>
        <w:t xml:space="preserve"> za 145,1 mil.€ ili 13,7% već</w:t>
      </w:r>
      <w:r>
        <w:rPr>
          <w:rFonts w:ascii="Calibri" w:hAnsi="Calibri" w:cs="Calibri"/>
          <w:sz w:val="24"/>
          <w:szCs w:val="24"/>
          <w:lang w:val="sr-Latn-ME"/>
        </w:rPr>
        <w:t>e</w:t>
      </w:r>
      <w:r w:rsidRPr="009B7052">
        <w:rPr>
          <w:rFonts w:ascii="Calibri" w:hAnsi="Calibri" w:cs="Calibri"/>
          <w:sz w:val="24"/>
          <w:szCs w:val="24"/>
          <w:lang w:val="sr-Latn-ME"/>
        </w:rPr>
        <w:t xml:space="preserve"> u odnosu na 2023. godinu; </w:t>
      </w:r>
    </w:p>
    <w:p w14:paraId="55151C75" w14:textId="77777777" w:rsidR="00E05341" w:rsidRDefault="00E05341" w:rsidP="0096351B">
      <w:pPr>
        <w:pStyle w:val="ListParagraph"/>
        <w:numPr>
          <w:ilvl w:val="0"/>
          <w:numId w:val="11"/>
        </w:numPr>
        <w:shd w:val="clear" w:color="auto" w:fill="FFFFFF"/>
        <w:jc w:val="both"/>
        <w:rPr>
          <w:rFonts w:ascii="Calibri" w:hAnsi="Calibri" w:cs="Calibri"/>
          <w:sz w:val="24"/>
          <w:szCs w:val="24"/>
          <w:lang w:val="sr-Latn-ME"/>
        </w:rPr>
      </w:pPr>
      <w:r w:rsidRPr="009B7052">
        <w:rPr>
          <w:rFonts w:ascii="Calibri" w:hAnsi="Calibri" w:cs="Calibri"/>
          <w:b/>
          <w:sz w:val="24"/>
          <w:szCs w:val="24"/>
          <w:lang w:val="sr-Latn-ME"/>
        </w:rPr>
        <w:t>porez na dobit pravnih lica</w:t>
      </w:r>
      <w:r w:rsidRPr="009B7052">
        <w:rPr>
          <w:rFonts w:ascii="Calibri" w:hAnsi="Calibri" w:cs="Calibri"/>
          <w:sz w:val="24"/>
          <w:szCs w:val="24"/>
          <w:lang w:val="sr-Latn-ME"/>
        </w:rPr>
        <w:t xml:space="preserve"> koji je</w:t>
      </w:r>
      <w:r>
        <w:rPr>
          <w:rFonts w:ascii="Calibri" w:hAnsi="Calibri" w:cs="Calibri"/>
          <w:sz w:val="24"/>
          <w:szCs w:val="24"/>
          <w:lang w:val="sr-Latn-ME"/>
        </w:rPr>
        <w:t xml:space="preserve"> procijenjen u iznosu od 205,7 mil. €, odnosno</w:t>
      </w:r>
      <w:r w:rsidRPr="009B7052">
        <w:rPr>
          <w:rFonts w:ascii="Calibri" w:hAnsi="Calibri" w:cs="Calibri"/>
          <w:sz w:val="24"/>
          <w:szCs w:val="24"/>
          <w:lang w:val="sr-Latn-ME"/>
        </w:rPr>
        <w:t xml:space="preserve"> za 54,4 mil.€ ili 35,9% </w:t>
      </w:r>
      <w:r>
        <w:rPr>
          <w:rFonts w:ascii="Calibri" w:hAnsi="Calibri" w:cs="Calibri"/>
          <w:sz w:val="24"/>
          <w:szCs w:val="24"/>
          <w:lang w:val="sr-Latn-ME"/>
        </w:rPr>
        <w:t>više</w:t>
      </w:r>
      <w:r w:rsidRPr="009B7052">
        <w:rPr>
          <w:rFonts w:ascii="Calibri" w:hAnsi="Calibri" w:cs="Calibri"/>
          <w:sz w:val="24"/>
          <w:szCs w:val="24"/>
          <w:lang w:val="sr-Latn-ME"/>
        </w:rPr>
        <w:t xml:space="preserve"> u odnosu na 2023. godinu;</w:t>
      </w:r>
    </w:p>
    <w:p w14:paraId="25F1935D" w14:textId="77777777" w:rsidR="00E05341" w:rsidRDefault="00E05341" w:rsidP="0096351B">
      <w:pPr>
        <w:pStyle w:val="ListParagraph"/>
        <w:numPr>
          <w:ilvl w:val="0"/>
          <w:numId w:val="11"/>
        </w:numPr>
        <w:shd w:val="clear" w:color="auto" w:fill="FFFFFF"/>
        <w:jc w:val="both"/>
        <w:rPr>
          <w:rFonts w:ascii="Calibri" w:hAnsi="Calibri" w:cs="Calibri"/>
          <w:sz w:val="24"/>
          <w:szCs w:val="24"/>
          <w:lang w:val="sr-Latn-ME"/>
        </w:rPr>
      </w:pPr>
      <w:r w:rsidRPr="009B7052">
        <w:rPr>
          <w:rFonts w:ascii="Calibri" w:hAnsi="Calibri" w:cs="Calibri"/>
          <w:b/>
          <w:sz w:val="24"/>
          <w:szCs w:val="24"/>
          <w:lang w:val="sr-Latn-ME"/>
        </w:rPr>
        <w:t>akcize</w:t>
      </w:r>
      <w:r>
        <w:rPr>
          <w:rFonts w:ascii="Calibri" w:hAnsi="Calibri" w:cs="Calibri"/>
          <w:b/>
          <w:sz w:val="24"/>
          <w:szCs w:val="24"/>
          <w:lang w:val="sr-Latn-ME"/>
        </w:rPr>
        <w:t xml:space="preserve"> </w:t>
      </w:r>
      <w:r w:rsidRPr="00047567">
        <w:rPr>
          <w:rFonts w:ascii="Calibri" w:hAnsi="Calibri" w:cs="Calibri"/>
          <w:sz w:val="24"/>
          <w:szCs w:val="24"/>
          <w:lang w:val="sr-Latn-ME"/>
        </w:rPr>
        <w:t>koje su procijenjene u iznosu od 365,8 mil. €</w:t>
      </w:r>
      <w:r>
        <w:rPr>
          <w:rFonts w:ascii="Calibri" w:hAnsi="Calibri" w:cs="Calibri"/>
          <w:sz w:val="24"/>
          <w:szCs w:val="24"/>
          <w:lang w:val="sr-Latn-ME"/>
        </w:rPr>
        <w:t xml:space="preserve"> i veće</w:t>
      </w:r>
      <w:r w:rsidRPr="009B7052">
        <w:rPr>
          <w:rFonts w:ascii="Calibri" w:hAnsi="Calibri" w:cs="Calibri"/>
          <w:sz w:val="24"/>
          <w:szCs w:val="24"/>
          <w:lang w:val="sr-Latn-ME"/>
        </w:rPr>
        <w:t xml:space="preserve"> su za 42,7 mil.€ ili 13,2% u odnosu na 2023. godinu</w:t>
      </w:r>
      <w:r>
        <w:rPr>
          <w:rFonts w:ascii="Calibri" w:hAnsi="Calibri" w:cs="Calibri"/>
          <w:sz w:val="24"/>
          <w:szCs w:val="24"/>
          <w:lang w:val="sr-Latn-ME"/>
        </w:rPr>
        <w:t>,</w:t>
      </w:r>
      <w:r w:rsidRPr="009B7052">
        <w:rPr>
          <w:rFonts w:ascii="Calibri" w:hAnsi="Calibri" w:cs="Calibri"/>
          <w:sz w:val="24"/>
          <w:szCs w:val="24"/>
          <w:lang w:val="sr-Latn-ME"/>
        </w:rPr>
        <w:t xml:space="preserve"> i </w:t>
      </w:r>
    </w:p>
    <w:p w14:paraId="3FAF2EFA" w14:textId="45F9D86A" w:rsidR="00E05341" w:rsidRDefault="00E05341" w:rsidP="0096351B">
      <w:pPr>
        <w:pStyle w:val="ListParagraph"/>
        <w:numPr>
          <w:ilvl w:val="0"/>
          <w:numId w:val="11"/>
        </w:numPr>
        <w:shd w:val="clear" w:color="auto" w:fill="FFFFFF"/>
        <w:jc w:val="both"/>
        <w:rPr>
          <w:rFonts w:ascii="Calibri" w:hAnsi="Calibri" w:cs="Calibri"/>
          <w:sz w:val="24"/>
          <w:szCs w:val="24"/>
          <w:lang w:val="sr-Latn-ME"/>
        </w:rPr>
      </w:pPr>
      <w:r w:rsidRPr="009B7052">
        <w:rPr>
          <w:rFonts w:ascii="Calibri" w:hAnsi="Calibri" w:cs="Calibri"/>
          <w:b/>
          <w:sz w:val="24"/>
          <w:szCs w:val="24"/>
          <w:lang w:val="sr-Latn-ME"/>
        </w:rPr>
        <w:t>porez na dohodak fizičkih lica</w:t>
      </w:r>
      <w:r w:rsidRPr="009B7052">
        <w:rPr>
          <w:rFonts w:ascii="Calibri" w:hAnsi="Calibri" w:cs="Calibri"/>
          <w:sz w:val="24"/>
          <w:szCs w:val="24"/>
          <w:lang w:val="sr-Latn-ME"/>
        </w:rPr>
        <w:t xml:space="preserve"> koji je</w:t>
      </w:r>
      <w:r>
        <w:rPr>
          <w:rFonts w:ascii="Calibri" w:hAnsi="Calibri" w:cs="Calibri"/>
          <w:sz w:val="24"/>
          <w:szCs w:val="24"/>
          <w:lang w:val="sr-Latn-ME"/>
        </w:rPr>
        <w:t xml:space="preserve"> procijenjen u iznosu od 87,6 mil. €</w:t>
      </w:r>
      <w:r w:rsidRPr="009B7052">
        <w:rPr>
          <w:rFonts w:ascii="Calibri" w:hAnsi="Calibri" w:cs="Calibri"/>
          <w:sz w:val="24"/>
          <w:szCs w:val="24"/>
          <w:lang w:val="sr-Latn-ME"/>
        </w:rPr>
        <w:t xml:space="preserve"> </w:t>
      </w:r>
      <w:r>
        <w:rPr>
          <w:rFonts w:ascii="Calibri" w:hAnsi="Calibri" w:cs="Calibri"/>
          <w:sz w:val="24"/>
          <w:szCs w:val="24"/>
          <w:lang w:val="sr-Latn-ME"/>
        </w:rPr>
        <w:t>što je za</w:t>
      </w:r>
      <w:r w:rsidRPr="009B7052">
        <w:rPr>
          <w:rFonts w:ascii="Calibri" w:hAnsi="Calibri" w:cs="Calibri"/>
          <w:sz w:val="24"/>
          <w:szCs w:val="24"/>
          <w:lang w:val="sr-Latn-ME"/>
        </w:rPr>
        <w:t xml:space="preserve"> 21,2 mil.€ ili 31,9% već</w:t>
      </w:r>
      <w:r>
        <w:rPr>
          <w:rFonts w:ascii="Calibri" w:hAnsi="Calibri" w:cs="Calibri"/>
          <w:sz w:val="24"/>
          <w:szCs w:val="24"/>
          <w:lang w:val="sr-Latn-ME"/>
        </w:rPr>
        <w:t xml:space="preserve">e </w:t>
      </w:r>
      <w:r w:rsidRPr="009B7052">
        <w:rPr>
          <w:rFonts w:ascii="Calibri" w:hAnsi="Calibri" w:cs="Calibri"/>
          <w:sz w:val="24"/>
          <w:szCs w:val="24"/>
          <w:lang w:val="sr-Latn-ME"/>
        </w:rPr>
        <w:t>u odnosu na 2023. godinu.</w:t>
      </w:r>
    </w:p>
    <w:p w14:paraId="23452528" w14:textId="4C8D0551" w:rsidR="002141C1" w:rsidRPr="00B36281" w:rsidRDefault="002141C1" w:rsidP="002141C1">
      <w:pPr>
        <w:shd w:val="clear" w:color="auto" w:fill="FFFFFF"/>
        <w:ind w:left="360"/>
        <w:jc w:val="both"/>
        <w:rPr>
          <w:rFonts w:ascii="Calibri" w:hAnsi="Calibri" w:cs="Calibri"/>
          <w:sz w:val="24"/>
          <w:szCs w:val="24"/>
          <w:lang w:val="sr-Latn-ME"/>
        </w:rPr>
      </w:pPr>
      <w:r w:rsidRPr="00B36281">
        <w:rPr>
          <w:rFonts w:ascii="Calibri" w:hAnsi="Calibri" w:cs="Calibri"/>
          <w:sz w:val="24"/>
          <w:szCs w:val="24"/>
          <w:lang w:val="sr-Latn-ME"/>
        </w:rPr>
        <w:t>Sa druge strane, Zakonom o izmjenama i dopunama zakona o budžetu za 202</w:t>
      </w:r>
      <w:r w:rsidR="00B1144F">
        <w:rPr>
          <w:rFonts w:ascii="Calibri" w:hAnsi="Calibri" w:cs="Calibri"/>
          <w:sz w:val="24"/>
          <w:szCs w:val="24"/>
          <w:lang w:val="sr-Latn-ME"/>
        </w:rPr>
        <w:t>4</w:t>
      </w:r>
      <w:r w:rsidRPr="00B36281">
        <w:rPr>
          <w:rFonts w:ascii="Calibri" w:hAnsi="Calibri" w:cs="Calibri"/>
          <w:sz w:val="24"/>
          <w:szCs w:val="24"/>
          <w:lang w:val="sr-Latn-ME"/>
        </w:rPr>
        <w:t>. godinu, izdaci budžeta utvrđeni su u iznosu od 3.009,6 mil € što predstavlja 40,6% procijenjenog BDP-a. Najveće odstupanje se odnosi na izdvajanja za isplatu prava iz oblasti penzijskog i invalidskog osiguranja dominantno zbog povećanja minimalne penzije, transfera institucijama javnog zdravlja, kao i rasta izdvajanja za bruto zarade (usvajanje granskih kolektivnih ugovora kojima su povećane zarade zaposlenih u javnom sektoru u 2024. godini).</w:t>
      </w:r>
    </w:p>
    <w:p w14:paraId="2EAF2F99" w14:textId="77777777" w:rsidR="002141C1" w:rsidRPr="00B36281" w:rsidRDefault="002141C1" w:rsidP="002141C1">
      <w:pPr>
        <w:spacing w:after="120"/>
        <w:ind w:left="360"/>
        <w:jc w:val="both"/>
        <w:rPr>
          <w:sz w:val="24"/>
          <w:szCs w:val="24"/>
          <w:lang w:val="sr-Latn-ME"/>
        </w:rPr>
      </w:pPr>
      <w:bookmarkStart w:id="52" w:name="_Hlk153126323"/>
      <w:r w:rsidRPr="00B36281">
        <w:rPr>
          <w:sz w:val="24"/>
          <w:szCs w:val="24"/>
          <w:lang w:val="sr-Latn-ME"/>
        </w:rPr>
        <w:t xml:space="preserve">Najznačajnije uvećanje u odnosu na 2023. godinu evidentirano je za izdvajanja za mandatornu potrošnju i infrastrukturne projekte i to u sljedećim oblastima: </w:t>
      </w:r>
      <w:r w:rsidRPr="00B36281">
        <w:rPr>
          <w:b/>
          <w:sz w:val="24"/>
          <w:szCs w:val="24"/>
          <w:lang w:val="sr-Latn-ME"/>
        </w:rPr>
        <w:t>Javne finansija</w:t>
      </w:r>
      <w:r w:rsidRPr="00B36281">
        <w:rPr>
          <w:sz w:val="24"/>
          <w:szCs w:val="24"/>
          <w:lang w:val="sr-Latn-ME"/>
        </w:rPr>
        <w:t xml:space="preserve"> 304 mil €, </w:t>
      </w:r>
      <w:r w:rsidRPr="00B36281">
        <w:rPr>
          <w:b/>
          <w:sz w:val="24"/>
          <w:szCs w:val="24"/>
          <w:lang w:val="sr-Latn-ME"/>
        </w:rPr>
        <w:t>Socijalno staranj</w:t>
      </w:r>
      <w:r w:rsidRPr="00B36281">
        <w:rPr>
          <w:sz w:val="24"/>
          <w:szCs w:val="24"/>
          <w:lang w:val="sr-Latn-ME"/>
        </w:rPr>
        <w:t xml:space="preserve">e 184 mil €, </w:t>
      </w:r>
      <w:r w:rsidRPr="00B36281">
        <w:rPr>
          <w:b/>
          <w:sz w:val="24"/>
          <w:szCs w:val="24"/>
          <w:lang w:val="sr-Latn-ME"/>
        </w:rPr>
        <w:t>Saobraćaj</w:t>
      </w:r>
      <w:r w:rsidRPr="00B36281">
        <w:rPr>
          <w:sz w:val="24"/>
          <w:szCs w:val="24"/>
          <w:lang w:val="sr-Latn-ME"/>
        </w:rPr>
        <w:t xml:space="preserve"> 43 mil €, </w:t>
      </w:r>
      <w:r w:rsidRPr="00B36281">
        <w:rPr>
          <w:b/>
          <w:sz w:val="24"/>
          <w:szCs w:val="24"/>
          <w:lang w:val="sr-Latn-ME"/>
        </w:rPr>
        <w:t>Zdravstvo</w:t>
      </w:r>
      <w:r w:rsidRPr="00B36281">
        <w:rPr>
          <w:sz w:val="24"/>
          <w:szCs w:val="24"/>
          <w:lang w:val="sr-Latn-ME"/>
        </w:rPr>
        <w:t xml:space="preserve"> 23 mil €,  </w:t>
      </w:r>
      <w:r w:rsidRPr="00B36281">
        <w:rPr>
          <w:b/>
          <w:sz w:val="24"/>
          <w:szCs w:val="24"/>
          <w:lang w:val="sr-Latn-ME"/>
        </w:rPr>
        <w:t>Javna bezbijednost i odbrana</w:t>
      </w:r>
      <w:r w:rsidRPr="00B36281">
        <w:rPr>
          <w:sz w:val="24"/>
          <w:szCs w:val="24"/>
          <w:lang w:val="sr-Latn-ME"/>
        </w:rPr>
        <w:t xml:space="preserve"> 26.7 mil €, </w:t>
      </w:r>
      <w:r w:rsidRPr="00B36281">
        <w:rPr>
          <w:b/>
          <w:sz w:val="24"/>
          <w:szCs w:val="24"/>
          <w:lang w:val="sr-Latn-ME"/>
        </w:rPr>
        <w:t>Poljoprivreda, šumarstvo i vodoprivreda</w:t>
      </w:r>
      <w:r w:rsidRPr="00B36281">
        <w:rPr>
          <w:sz w:val="24"/>
          <w:szCs w:val="24"/>
          <w:lang w:val="sr-Latn-ME"/>
        </w:rPr>
        <w:t xml:space="preserve"> 4 mil € i td.</w:t>
      </w:r>
    </w:p>
    <w:p w14:paraId="11C1BFAD" w14:textId="77777777" w:rsidR="002141C1" w:rsidRPr="00B36281" w:rsidRDefault="002141C1" w:rsidP="002141C1">
      <w:pPr>
        <w:ind w:left="360"/>
        <w:jc w:val="both"/>
        <w:rPr>
          <w:sz w:val="24"/>
          <w:szCs w:val="24"/>
          <w:lang w:val="sr-Latn-ME"/>
        </w:rPr>
      </w:pPr>
      <w:r w:rsidRPr="00B36281">
        <w:rPr>
          <w:sz w:val="24"/>
          <w:szCs w:val="24"/>
          <w:lang w:val="sr-Latn-ME"/>
        </w:rPr>
        <w:t xml:space="preserve">U okviru oblasti </w:t>
      </w:r>
      <w:r w:rsidRPr="00B36281">
        <w:rPr>
          <w:b/>
          <w:sz w:val="24"/>
          <w:szCs w:val="24"/>
          <w:lang w:val="sr-Latn-ME"/>
        </w:rPr>
        <w:t xml:space="preserve">JAVNIH FINANSIJA </w:t>
      </w:r>
      <w:r w:rsidRPr="00B36281">
        <w:rPr>
          <w:sz w:val="24"/>
          <w:szCs w:val="24"/>
          <w:lang w:val="sr-Latn-ME"/>
        </w:rPr>
        <w:t xml:space="preserve">planiran je iznos na nivou od </w:t>
      </w:r>
      <w:r w:rsidRPr="00B36281">
        <w:rPr>
          <w:b/>
          <w:sz w:val="24"/>
          <w:szCs w:val="24"/>
          <w:lang w:val="sr-Latn-ME"/>
        </w:rPr>
        <w:t>860 mil €</w:t>
      </w:r>
      <w:r w:rsidRPr="00B36281">
        <w:rPr>
          <w:sz w:val="24"/>
          <w:szCs w:val="24"/>
          <w:lang w:val="sr-Latn-ME"/>
        </w:rPr>
        <w:t xml:space="preserve">, što predstavlja </w:t>
      </w:r>
      <w:r w:rsidRPr="00B36281">
        <w:rPr>
          <w:b/>
          <w:sz w:val="24"/>
          <w:szCs w:val="24"/>
          <w:lang w:val="sr-Latn-ME"/>
        </w:rPr>
        <w:t>304 mil</w:t>
      </w:r>
      <w:r w:rsidRPr="00B36281">
        <w:rPr>
          <w:sz w:val="24"/>
          <w:szCs w:val="24"/>
          <w:lang w:val="sr-Latn-ME"/>
        </w:rPr>
        <w:t xml:space="preserve"> € više u odnosu na 2023. godinu, ili 31%</w:t>
      </w:r>
      <w:r w:rsidRPr="00B36281">
        <w:rPr>
          <w:b/>
          <w:sz w:val="24"/>
          <w:szCs w:val="24"/>
          <w:lang w:val="sr-Latn-ME"/>
        </w:rPr>
        <w:t xml:space="preserve"> </w:t>
      </w:r>
      <w:r w:rsidRPr="00B36281">
        <w:rPr>
          <w:sz w:val="24"/>
          <w:szCs w:val="24"/>
          <w:lang w:val="sr-Latn-ME"/>
        </w:rPr>
        <w:t>i uvećanje se dominantno odnosi na uvećanje mandoatornih troškova države za servisiranje javnog duga 676 mil €, odnosno 234 mil € više u odnosu na 2023. godinu.</w:t>
      </w:r>
    </w:p>
    <w:p w14:paraId="50E30113" w14:textId="77777777" w:rsidR="002141C1" w:rsidRPr="00B36281" w:rsidRDefault="002141C1" w:rsidP="002141C1">
      <w:pPr>
        <w:ind w:left="360"/>
        <w:jc w:val="both"/>
        <w:rPr>
          <w:sz w:val="24"/>
          <w:szCs w:val="24"/>
          <w:lang w:val="sr-Latn-ME"/>
        </w:rPr>
      </w:pPr>
      <w:r w:rsidRPr="00B36281">
        <w:rPr>
          <w:sz w:val="24"/>
          <w:szCs w:val="24"/>
          <w:lang w:val="sr-Latn-ME"/>
        </w:rPr>
        <w:t xml:space="preserve">U oblasti </w:t>
      </w:r>
      <w:bookmarkStart w:id="53" w:name="_Hlk153126524"/>
      <w:bookmarkEnd w:id="52"/>
      <w:r w:rsidRPr="00B36281">
        <w:rPr>
          <w:b/>
          <w:sz w:val="24"/>
          <w:szCs w:val="24"/>
          <w:lang w:val="sr-Latn-ME"/>
        </w:rPr>
        <w:t>SOCIJALNOG STARANJA</w:t>
      </w:r>
      <w:r w:rsidRPr="00B36281">
        <w:rPr>
          <w:sz w:val="24"/>
          <w:szCs w:val="24"/>
          <w:lang w:val="sr-Latn-ME"/>
        </w:rPr>
        <w:t xml:space="preserve"> planiran je iznos na nivou od </w:t>
      </w:r>
      <w:r w:rsidRPr="00B36281">
        <w:rPr>
          <w:b/>
          <w:sz w:val="24"/>
          <w:szCs w:val="24"/>
          <w:lang w:val="sr-Latn-ME"/>
        </w:rPr>
        <w:t>989 mi €</w:t>
      </w:r>
      <w:r w:rsidRPr="00B36281">
        <w:rPr>
          <w:sz w:val="24"/>
          <w:szCs w:val="24"/>
          <w:lang w:val="sr-Latn-ME"/>
        </w:rPr>
        <w:t xml:space="preserve">, odnosno </w:t>
      </w:r>
      <w:r w:rsidRPr="00B36281">
        <w:rPr>
          <w:b/>
          <w:sz w:val="24"/>
          <w:szCs w:val="24"/>
          <w:lang w:val="sr-Latn-ME"/>
        </w:rPr>
        <w:t>33 %</w:t>
      </w:r>
      <w:r w:rsidRPr="00B36281">
        <w:rPr>
          <w:sz w:val="24"/>
          <w:szCs w:val="24"/>
          <w:lang w:val="sr-Latn-ME"/>
        </w:rPr>
        <w:t xml:space="preserve"> ukupnih izdataka budžeta i čini najveći sektor u budžetu države u 2024. godini. U okviru ove oblasti, za potrebe </w:t>
      </w:r>
      <w:r w:rsidRPr="00B36281">
        <w:rPr>
          <w:rFonts w:eastAsia="Calibri" w:cs="Calibri"/>
          <w:b/>
          <w:bCs/>
          <w:sz w:val="24"/>
          <w:szCs w:val="24"/>
          <w:lang w:val="sr-Latn-ME"/>
        </w:rPr>
        <w:t xml:space="preserve">Prava iz oblasti socijalne zaštite </w:t>
      </w:r>
      <w:r w:rsidRPr="00B36281">
        <w:rPr>
          <w:rFonts w:eastAsia="Calibri" w:cs="Calibri"/>
          <w:sz w:val="24"/>
          <w:szCs w:val="24"/>
          <w:lang w:val="sr-Latn-ME"/>
        </w:rPr>
        <w:t xml:space="preserve">planirana su u ukupnom iznosu od </w:t>
      </w:r>
      <w:r w:rsidRPr="00B36281">
        <w:rPr>
          <w:rFonts w:eastAsia="Calibri" w:cs="Calibri"/>
          <w:b/>
          <w:sz w:val="24"/>
          <w:szCs w:val="24"/>
          <w:lang w:val="sr-Latn-ME"/>
        </w:rPr>
        <w:t>212 mil €,</w:t>
      </w:r>
      <w:r w:rsidRPr="00B36281">
        <w:rPr>
          <w:rFonts w:eastAsia="Calibri" w:cs="Calibri"/>
          <w:sz w:val="24"/>
          <w:szCs w:val="24"/>
          <w:lang w:val="sr-Latn-ME"/>
        </w:rPr>
        <w:t xml:space="preserve"> što predstavlja uvećanja u odnosu na 2023. godinu od cca </w:t>
      </w:r>
      <w:r w:rsidRPr="00B36281">
        <w:rPr>
          <w:rFonts w:eastAsia="Calibri" w:cs="Calibri"/>
          <w:b/>
          <w:sz w:val="24"/>
          <w:szCs w:val="24"/>
          <w:lang w:val="sr-Latn-ME"/>
        </w:rPr>
        <w:t>2,3 mil €,</w:t>
      </w:r>
      <w:r w:rsidRPr="00B36281">
        <w:rPr>
          <w:rFonts w:eastAsia="Calibri" w:cs="Calibri"/>
          <w:sz w:val="24"/>
          <w:szCs w:val="24"/>
          <w:lang w:val="sr-Latn-ME"/>
        </w:rPr>
        <w:t xml:space="preserve"> čime se obezbijeđuje redovno izmirivnaje obaveza po osnovu: Dječijih dodataka, porodiljskih odsustva, tuđe njege i pomoći, ishrana djece u predškolskim ustanovama, kao i ostalih prava iz oblasti socijalne zaštite. </w:t>
      </w:r>
      <w:r w:rsidRPr="00B36281">
        <w:rPr>
          <w:sz w:val="24"/>
          <w:szCs w:val="24"/>
          <w:lang w:val="sr-Latn-ME"/>
        </w:rPr>
        <w:t xml:space="preserve">Takođe, u okviru Socijalnog staranja, za potrebe </w:t>
      </w:r>
      <w:r w:rsidRPr="00B36281">
        <w:rPr>
          <w:b/>
          <w:sz w:val="24"/>
          <w:szCs w:val="24"/>
          <w:lang w:val="sr-Latn-ME"/>
        </w:rPr>
        <w:t>Prava iz oblasti penzijskog i invalidskog osiguranja</w:t>
      </w:r>
      <w:r w:rsidRPr="00B36281">
        <w:rPr>
          <w:sz w:val="24"/>
          <w:szCs w:val="24"/>
          <w:lang w:val="sr-Latn-ME"/>
        </w:rPr>
        <w:t xml:space="preserve"> planirana su u iznosu od 737 mil €, i uvećana </w:t>
      </w:r>
      <w:r w:rsidRPr="00B36281">
        <w:rPr>
          <w:sz w:val="24"/>
          <w:szCs w:val="24"/>
          <w:lang w:val="sr-Latn-ME"/>
        </w:rPr>
        <w:lastRenderedPageBreak/>
        <w:t>su za 183 mil €, čime je obuvaćeno uvećanje minimalne penzije na 450 mil € kao i 3 redovna usklađivanja u toku 2024. godine</w:t>
      </w:r>
      <w:bookmarkStart w:id="54" w:name="_Hlk153126549"/>
      <w:bookmarkEnd w:id="53"/>
    </w:p>
    <w:p w14:paraId="2FAD1CB5" w14:textId="77777777" w:rsidR="002141C1" w:rsidRPr="00B36281" w:rsidRDefault="002141C1" w:rsidP="002141C1">
      <w:pPr>
        <w:ind w:left="360"/>
        <w:jc w:val="both"/>
        <w:rPr>
          <w:sz w:val="24"/>
          <w:szCs w:val="24"/>
          <w:lang w:val="sr-Latn-ME"/>
        </w:rPr>
      </w:pPr>
      <w:bookmarkStart w:id="55" w:name="_Hlk153126565"/>
      <w:bookmarkEnd w:id="54"/>
      <w:r w:rsidRPr="00B36281">
        <w:rPr>
          <w:sz w:val="24"/>
          <w:szCs w:val="24"/>
          <w:lang w:val="sr-Latn-ME"/>
        </w:rPr>
        <w:t xml:space="preserve">Za potrebe oblasti </w:t>
      </w:r>
      <w:r w:rsidRPr="00B36281">
        <w:rPr>
          <w:b/>
          <w:sz w:val="24"/>
          <w:szCs w:val="24"/>
          <w:lang w:val="sr-Latn-ME"/>
        </w:rPr>
        <w:t>ZDRAVSTVA</w:t>
      </w:r>
      <w:r w:rsidRPr="00B36281">
        <w:rPr>
          <w:sz w:val="24"/>
          <w:szCs w:val="24"/>
          <w:lang w:val="sr-Latn-ME"/>
        </w:rPr>
        <w:t xml:space="preserve">, opredjeljena su sredstva u iznosu </w:t>
      </w:r>
      <w:r w:rsidRPr="00B36281">
        <w:rPr>
          <w:b/>
          <w:sz w:val="24"/>
          <w:szCs w:val="24"/>
          <w:lang w:val="sr-Latn-ME"/>
        </w:rPr>
        <w:t>442 mil €,</w:t>
      </w:r>
      <w:r w:rsidRPr="00B36281">
        <w:rPr>
          <w:sz w:val="24"/>
          <w:szCs w:val="24"/>
          <w:lang w:val="sr-Latn-ME"/>
        </w:rPr>
        <w:t xml:space="preserve"> što predstavlja uvećanje od </w:t>
      </w:r>
      <w:r w:rsidRPr="00B36281">
        <w:rPr>
          <w:b/>
          <w:sz w:val="24"/>
          <w:szCs w:val="24"/>
          <w:lang w:val="sr-Latn-ME"/>
        </w:rPr>
        <w:t>23 mil</w:t>
      </w:r>
      <w:r w:rsidRPr="00B36281">
        <w:rPr>
          <w:sz w:val="24"/>
          <w:szCs w:val="24"/>
          <w:lang w:val="sr-Latn-ME"/>
        </w:rPr>
        <w:t xml:space="preserve"> €, a u odnosu na 2023. godinu, a koje se dominantno odnosi na potrebe fonda zdravstva i finansiranja javnih zdravstvenih ustanova. </w:t>
      </w:r>
    </w:p>
    <w:p w14:paraId="1F330753" w14:textId="77777777" w:rsidR="002141C1" w:rsidRPr="00B36281" w:rsidRDefault="002141C1" w:rsidP="002141C1">
      <w:pPr>
        <w:spacing w:after="120"/>
        <w:ind w:left="360"/>
        <w:jc w:val="both"/>
        <w:rPr>
          <w:sz w:val="24"/>
          <w:szCs w:val="24"/>
          <w:lang w:val="sr-Latn-ME"/>
        </w:rPr>
      </w:pPr>
      <w:bookmarkStart w:id="56" w:name="_Hlk153126780"/>
      <w:bookmarkEnd w:id="55"/>
      <w:r w:rsidRPr="00B36281">
        <w:rPr>
          <w:sz w:val="24"/>
          <w:szCs w:val="24"/>
          <w:lang w:val="sr-Latn-ME"/>
        </w:rPr>
        <w:t xml:space="preserve">Za potrebe sektora </w:t>
      </w:r>
      <w:r w:rsidRPr="00B36281">
        <w:rPr>
          <w:b/>
          <w:sz w:val="24"/>
          <w:szCs w:val="24"/>
          <w:lang w:val="sr-Latn-ME"/>
        </w:rPr>
        <w:t>JAVNE BEZBIJEDNOSTI I ODBRANE</w:t>
      </w:r>
      <w:r w:rsidRPr="00B36281">
        <w:rPr>
          <w:sz w:val="24"/>
          <w:szCs w:val="24"/>
          <w:lang w:val="sr-Latn-ME"/>
        </w:rPr>
        <w:t xml:space="preserve">, opredjeljena su sredstva u iznosu od 227,7 mil €, a u odnosu na 2023. godinu dodatna sredstva iznose </w:t>
      </w:r>
      <w:r w:rsidRPr="00B36281">
        <w:rPr>
          <w:b/>
          <w:sz w:val="24"/>
          <w:szCs w:val="24"/>
          <w:lang w:val="sr-Latn-ME"/>
        </w:rPr>
        <w:t>26.7 mil €</w:t>
      </w:r>
      <w:r w:rsidRPr="00B36281">
        <w:rPr>
          <w:sz w:val="24"/>
          <w:szCs w:val="24"/>
          <w:lang w:val="sr-Latn-ME"/>
        </w:rPr>
        <w:t xml:space="preserve"> i čime se obezbijeđuje izdvajanje za oblast odbrane u izsnou od 2% BDP-a, u skladu sa NATO obavezama.</w:t>
      </w:r>
    </w:p>
    <w:p w14:paraId="03ACBE24" w14:textId="77777777" w:rsidR="002141C1" w:rsidRPr="00B36281" w:rsidRDefault="002141C1" w:rsidP="002141C1">
      <w:pPr>
        <w:spacing w:after="120"/>
        <w:ind w:left="360"/>
        <w:jc w:val="both"/>
        <w:rPr>
          <w:rFonts w:eastAsia="Calibri"/>
          <w:color w:val="000000"/>
          <w:sz w:val="24"/>
          <w:szCs w:val="24"/>
          <w:lang w:val="sr-Latn-ME"/>
        </w:rPr>
      </w:pPr>
      <w:r w:rsidRPr="00B36281">
        <w:rPr>
          <w:sz w:val="24"/>
          <w:szCs w:val="24"/>
          <w:lang w:val="sr-Latn-ME"/>
        </w:rPr>
        <w:t xml:space="preserve">Sektoru </w:t>
      </w:r>
      <w:r w:rsidRPr="00B36281">
        <w:rPr>
          <w:b/>
          <w:sz w:val="24"/>
          <w:szCs w:val="24"/>
          <w:lang w:val="sr-Latn-ME"/>
        </w:rPr>
        <w:t>POLJOPRIVREDE, ŠUMARSTVA I VODOPRIVREDE</w:t>
      </w:r>
      <w:r w:rsidRPr="00B36281">
        <w:rPr>
          <w:sz w:val="24"/>
          <w:szCs w:val="24"/>
          <w:lang w:val="sr-Latn-ME"/>
        </w:rPr>
        <w:t xml:space="preserve"> opredjeljena su ukupna sredstva u izsnosu od </w:t>
      </w:r>
      <w:r w:rsidRPr="00B36281">
        <w:rPr>
          <w:b/>
          <w:sz w:val="24"/>
          <w:szCs w:val="24"/>
          <w:lang w:val="sr-Latn-ME"/>
        </w:rPr>
        <w:t>73 mil</w:t>
      </w:r>
      <w:r w:rsidRPr="00B36281">
        <w:rPr>
          <w:sz w:val="24"/>
          <w:szCs w:val="24"/>
          <w:lang w:val="sr-Latn-ME"/>
        </w:rPr>
        <w:t xml:space="preserve"> €, što predstavlja uvećanje za </w:t>
      </w:r>
      <w:r w:rsidRPr="00B36281">
        <w:rPr>
          <w:b/>
          <w:sz w:val="24"/>
          <w:szCs w:val="24"/>
          <w:lang w:val="sr-Latn-ME"/>
        </w:rPr>
        <w:t>4.2 mil</w:t>
      </w:r>
      <w:r w:rsidRPr="00B36281">
        <w:rPr>
          <w:sz w:val="24"/>
          <w:szCs w:val="24"/>
          <w:lang w:val="sr-Latn-ME"/>
        </w:rPr>
        <w:t xml:space="preserve"> € u odnosu na 2023. godinu, čie se predviđa dodatno izdvajanje za mjere podsticaja za razvoj pojoprivredne proizvodnje kao i doatna sredstva kako bi se redovno izmirivale uvećane staračke naknade</w:t>
      </w:r>
      <w:r w:rsidRPr="00B36281">
        <w:rPr>
          <w:rFonts w:eastAsia="Calibri"/>
          <w:color w:val="000000"/>
          <w:sz w:val="24"/>
          <w:szCs w:val="24"/>
          <w:u w:val="single"/>
          <w:lang w:val="sr-Latn-ME"/>
        </w:rPr>
        <w:t xml:space="preserve"> </w:t>
      </w:r>
      <w:r w:rsidRPr="00B36281">
        <w:rPr>
          <w:rFonts w:eastAsia="Calibri"/>
          <w:color w:val="000000"/>
          <w:sz w:val="24"/>
          <w:szCs w:val="24"/>
          <w:lang w:val="sr-Latn-ME"/>
        </w:rPr>
        <w:t xml:space="preserve">Pored navedenog, u okviru Tekuće budžetske rezerve, raspoloživa su dodatna sredstva za ovaj sektor, u iznosu od </w:t>
      </w:r>
      <w:r w:rsidRPr="00B36281">
        <w:rPr>
          <w:rFonts w:eastAsia="Calibri"/>
          <w:b/>
          <w:color w:val="000000"/>
          <w:sz w:val="24"/>
          <w:szCs w:val="24"/>
          <w:lang w:val="sr-Latn-ME"/>
        </w:rPr>
        <w:t>3 mil €,</w:t>
      </w:r>
      <w:r w:rsidRPr="00B36281">
        <w:rPr>
          <w:rFonts w:eastAsia="Calibri"/>
          <w:color w:val="000000"/>
          <w:sz w:val="24"/>
          <w:szCs w:val="24"/>
          <w:lang w:val="sr-Latn-ME"/>
        </w:rPr>
        <w:t xml:space="preserve"> za potrebe uvođenja novih poljoprivrednih površina u registre (LPIS – Land and Parcel Identification System)</w:t>
      </w:r>
    </w:p>
    <w:bookmarkEnd w:id="56"/>
    <w:p w14:paraId="15072D65" w14:textId="77777777" w:rsidR="002141C1" w:rsidRPr="00B36281" w:rsidRDefault="002141C1" w:rsidP="002141C1">
      <w:pPr>
        <w:spacing w:after="120" w:line="276" w:lineRule="auto"/>
        <w:ind w:left="360"/>
        <w:jc w:val="both"/>
        <w:rPr>
          <w:sz w:val="24"/>
          <w:szCs w:val="24"/>
          <w:lang w:val="sr-Latn-ME"/>
        </w:rPr>
      </w:pPr>
      <w:r w:rsidRPr="00B36281">
        <w:rPr>
          <w:b/>
          <w:sz w:val="24"/>
          <w:szCs w:val="24"/>
          <w:lang w:val="sr-Latn-ME"/>
        </w:rPr>
        <w:t>KAPITANI BUDŽET</w:t>
      </w:r>
      <w:r w:rsidRPr="00B36281">
        <w:rPr>
          <w:sz w:val="24"/>
          <w:szCs w:val="24"/>
          <w:lang w:val="sr-Latn-ME"/>
        </w:rPr>
        <w:t xml:space="preserve">, kao razvojna komponenta, u 2024 godini planiran je na nivou i </w:t>
      </w:r>
      <w:r w:rsidRPr="00B36281">
        <w:rPr>
          <w:b/>
          <w:sz w:val="24"/>
          <w:szCs w:val="24"/>
          <w:lang w:val="sr-Latn-ME"/>
        </w:rPr>
        <w:t xml:space="preserve">237 mil €, što predstavlja uvećanja za 48 mil € u odnosu na 2023. godinu. </w:t>
      </w:r>
      <w:r w:rsidRPr="00B36281">
        <w:rPr>
          <w:sz w:val="24"/>
          <w:szCs w:val="24"/>
          <w:lang w:val="sr-Latn-ME"/>
        </w:rPr>
        <w:t xml:space="preserve">Planirana sredsva su opredjeljena za realizaciju kapitalnih projekta kod </w:t>
      </w:r>
      <w:r w:rsidRPr="00B36281">
        <w:rPr>
          <w:b/>
          <w:sz w:val="24"/>
          <w:szCs w:val="24"/>
          <w:lang w:val="sr-Latn-ME"/>
        </w:rPr>
        <w:t>Uprave za saobraćaj</w:t>
      </w:r>
      <w:r w:rsidRPr="00B36281">
        <w:rPr>
          <w:sz w:val="24"/>
          <w:szCs w:val="24"/>
          <w:lang w:val="sr-Latn-ME"/>
        </w:rPr>
        <w:t xml:space="preserve"> u iznosu od 115,7 mil € i kod </w:t>
      </w:r>
      <w:r w:rsidRPr="00B36281">
        <w:rPr>
          <w:b/>
          <w:sz w:val="24"/>
          <w:szCs w:val="24"/>
          <w:lang w:val="sr-Latn-ME"/>
        </w:rPr>
        <w:t>Uprave za kapitalne projekte</w:t>
      </w:r>
      <w:r w:rsidRPr="00B36281">
        <w:rPr>
          <w:sz w:val="24"/>
          <w:szCs w:val="24"/>
          <w:lang w:val="sr-Latn-ME"/>
        </w:rPr>
        <w:t xml:space="preserve"> u iznosu od 121,3 mil €.</w:t>
      </w:r>
    </w:p>
    <w:p w14:paraId="4F6525A7" w14:textId="6D822319" w:rsidR="002141C1" w:rsidRPr="00B36281" w:rsidRDefault="002141C1" w:rsidP="002141C1">
      <w:pPr>
        <w:ind w:left="360"/>
        <w:jc w:val="both"/>
        <w:rPr>
          <w:sz w:val="24"/>
          <w:szCs w:val="24"/>
          <w:lang w:val="sr-Latn-ME"/>
        </w:rPr>
      </w:pPr>
      <w:r w:rsidRPr="00B36281">
        <w:rPr>
          <w:sz w:val="24"/>
          <w:szCs w:val="24"/>
          <w:u w:val="single"/>
          <w:lang w:val="sr-Latn-ME"/>
        </w:rPr>
        <w:t>Shodno proc</w:t>
      </w:r>
      <w:r w:rsidR="00502B2C">
        <w:rPr>
          <w:sz w:val="24"/>
          <w:szCs w:val="24"/>
          <w:u w:val="single"/>
          <w:lang w:val="sr-Latn-ME"/>
        </w:rPr>
        <w:t>i</w:t>
      </w:r>
      <w:r w:rsidRPr="00B36281">
        <w:rPr>
          <w:sz w:val="24"/>
          <w:szCs w:val="24"/>
          <w:u w:val="single"/>
          <w:lang w:val="sr-Latn-ME"/>
        </w:rPr>
        <w:t>jenjenim nivoima prihoda i planiranim nivoima rashoda budžeta u 2024. godini, deficit budžeta države je planiran na nivou od 3% BDP-a. Međutim, imajući pozitivne trendove izvršenja budžeta u perodu od 10 mjeseci 2024. godine tokom kojih je ostvaren suficit budžetske potrošnje na nivou od 1% BDP-a, iako se očekuje inteziviranje potrošnje do kraja 2024. godine u skladu sa očekivanom dinamikom saldiranja obaveza za tekuću godinu, ipak se očekuje da će finalni budžetski bilans biti značajno bolji od planiranog.</w:t>
      </w:r>
    </w:p>
    <w:p w14:paraId="1CF035FF" w14:textId="77777777" w:rsidR="0096351B" w:rsidRPr="0096351B" w:rsidRDefault="0096351B" w:rsidP="0096351B">
      <w:pPr>
        <w:shd w:val="clear" w:color="auto" w:fill="FFFFFF"/>
        <w:jc w:val="both"/>
        <w:rPr>
          <w:rFonts w:ascii="Calibri" w:hAnsi="Calibri" w:cs="Calibri"/>
          <w:sz w:val="24"/>
          <w:szCs w:val="24"/>
          <w:lang w:val="sr-Latn-ME"/>
        </w:rPr>
      </w:pPr>
    </w:p>
    <w:p w14:paraId="3EA9FEA4" w14:textId="2722A0FA" w:rsidR="00E05341" w:rsidRPr="00C76B7B" w:rsidRDefault="00E05341" w:rsidP="00E05341">
      <w:pPr>
        <w:pStyle w:val="Heading2"/>
        <w:spacing w:after="200"/>
        <w:rPr>
          <w:rFonts w:asciiTheme="minorHAnsi" w:hAnsiTheme="minorHAnsi" w:cstheme="minorHAnsi"/>
          <w:b/>
          <w:sz w:val="24"/>
          <w:szCs w:val="24"/>
          <w:lang w:val="sr-Latn-ME"/>
        </w:rPr>
      </w:pPr>
      <w:bookmarkStart w:id="57" w:name="_Toc184111646"/>
      <w:r w:rsidRPr="00C76B7B">
        <w:rPr>
          <w:rFonts w:asciiTheme="minorHAnsi" w:hAnsiTheme="minorHAnsi" w:cstheme="minorHAnsi"/>
          <w:b/>
          <w:sz w:val="24"/>
          <w:szCs w:val="24"/>
          <w:lang w:val="sr-Latn-ME"/>
        </w:rPr>
        <w:t>4.3</w:t>
      </w:r>
      <w:r w:rsidR="002E35FA">
        <w:rPr>
          <w:rFonts w:asciiTheme="minorHAnsi" w:hAnsiTheme="minorHAnsi" w:cstheme="minorHAnsi"/>
          <w:b/>
          <w:sz w:val="24"/>
          <w:szCs w:val="24"/>
          <w:lang w:val="sr-Latn-ME"/>
        </w:rPr>
        <w:t>.</w:t>
      </w:r>
      <w:r w:rsidRPr="00C76B7B">
        <w:rPr>
          <w:rFonts w:asciiTheme="minorHAnsi" w:hAnsiTheme="minorHAnsi" w:cstheme="minorHAnsi"/>
          <w:b/>
          <w:sz w:val="24"/>
          <w:szCs w:val="24"/>
          <w:lang w:val="sr-Latn-ME"/>
        </w:rPr>
        <w:t xml:space="preserve"> Budžetski planovi za 2025. godinu</w:t>
      </w:r>
      <w:bookmarkEnd w:id="50"/>
      <w:bookmarkEnd w:id="51"/>
      <w:bookmarkEnd w:id="57"/>
      <w:r w:rsidRPr="00C76B7B">
        <w:rPr>
          <w:rFonts w:asciiTheme="minorHAnsi" w:hAnsiTheme="minorHAnsi" w:cstheme="minorHAnsi"/>
          <w:b/>
          <w:sz w:val="24"/>
          <w:szCs w:val="24"/>
          <w:lang w:val="sr-Latn-ME"/>
        </w:rPr>
        <w:t xml:space="preserve"> </w:t>
      </w:r>
    </w:p>
    <w:p w14:paraId="1A9AC0E8" w14:textId="77777777" w:rsidR="00E05341" w:rsidRPr="005E617A" w:rsidRDefault="00E05341" w:rsidP="00E05341">
      <w:pPr>
        <w:spacing w:after="0"/>
        <w:jc w:val="both"/>
        <w:rPr>
          <w:rFonts w:cstheme="minorHAnsi"/>
          <w:sz w:val="24"/>
          <w:szCs w:val="24"/>
          <w:lang w:val="sr-Latn-ME"/>
        </w:rPr>
      </w:pPr>
      <w:r w:rsidRPr="005E617A">
        <w:rPr>
          <w:rFonts w:cstheme="minorHAnsi"/>
          <w:sz w:val="24"/>
          <w:szCs w:val="24"/>
          <w:lang w:val="sr-Latn-ME"/>
        </w:rPr>
        <w:t>Projekcija prihoda budžeta u periodu 2025 – 2027. godine bazira se na:</w:t>
      </w:r>
    </w:p>
    <w:p w14:paraId="3DE74A44" w14:textId="77777777" w:rsidR="00E05341" w:rsidRPr="005E617A" w:rsidRDefault="00E05341" w:rsidP="00E05341">
      <w:pPr>
        <w:spacing w:after="0"/>
        <w:jc w:val="both"/>
        <w:rPr>
          <w:rFonts w:cstheme="minorHAnsi"/>
          <w:sz w:val="24"/>
          <w:szCs w:val="24"/>
          <w:lang w:val="sr-Latn-ME"/>
        </w:rPr>
      </w:pPr>
    </w:p>
    <w:p w14:paraId="6D18DF34" w14:textId="77777777" w:rsidR="00E05341" w:rsidRPr="005E617A" w:rsidRDefault="00E05341" w:rsidP="00E05341">
      <w:pPr>
        <w:pStyle w:val="ListParagraph"/>
        <w:numPr>
          <w:ilvl w:val="0"/>
          <w:numId w:val="9"/>
        </w:numPr>
        <w:spacing w:after="0" w:line="240" w:lineRule="auto"/>
        <w:jc w:val="both"/>
        <w:rPr>
          <w:rFonts w:cstheme="minorHAnsi"/>
          <w:sz w:val="24"/>
          <w:szCs w:val="24"/>
          <w:lang w:val="sr-Latn-ME"/>
        </w:rPr>
      </w:pPr>
      <w:r w:rsidRPr="005E617A">
        <w:rPr>
          <w:rFonts w:cstheme="minorHAnsi"/>
          <w:sz w:val="24"/>
          <w:szCs w:val="24"/>
          <w:lang w:val="sr-Latn-ME"/>
        </w:rPr>
        <w:t>projekciji makroekonomskih indikatora koji utiču na kretanje prihoda budžeta, shodno osnovnom makroekonomskom scenariju;</w:t>
      </w:r>
    </w:p>
    <w:p w14:paraId="6E37B92F" w14:textId="77777777" w:rsidR="00E05341" w:rsidRPr="005E617A" w:rsidRDefault="00E05341" w:rsidP="00E05341">
      <w:pPr>
        <w:pStyle w:val="ListParagraph"/>
        <w:numPr>
          <w:ilvl w:val="0"/>
          <w:numId w:val="9"/>
        </w:numPr>
        <w:spacing w:after="0" w:line="240" w:lineRule="auto"/>
        <w:jc w:val="both"/>
        <w:rPr>
          <w:rFonts w:cstheme="minorHAnsi"/>
          <w:sz w:val="24"/>
          <w:szCs w:val="24"/>
          <w:lang w:val="sr-Latn-ME"/>
        </w:rPr>
      </w:pPr>
      <w:r w:rsidRPr="005E617A">
        <w:rPr>
          <w:rFonts w:cstheme="minorHAnsi"/>
          <w:sz w:val="24"/>
          <w:szCs w:val="24"/>
          <w:lang w:val="sr-Latn-ME"/>
        </w:rPr>
        <w:t>postojećoj zakonskoj regulativi;</w:t>
      </w:r>
    </w:p>
    <w:p w14:paraId="6AC84478" w14:textId="77777777" w:rsidR="00E05341" w:rsidRPr="005E617A" w:rsidRDefault="00E05341" w:rsidP="00E05341">
      <w:pPr>
        <w:pStyle w:val="ListParagraph"/>
        <w:numPr>
          <w:ilvl w:val="0"/>
          <w:numId w:val="9"/>
        </w:numPr>
        <w:spacing w:after="0" w:line="240" w:lineRule="auto"/>
        <w:jc w:val="both"/>
        <w:rPr>
          <w:rFonts w:cstheme="minorHAnsi"/>
          <w:sz w:val="24"/>
          <w:szCs w:val="24"/>
          <w:lang w:val="sr-Latn-ME"/>
        </w:rPr>
      </w:pPr>
      <w:r w:rsidRPr="005E617A">
        <w:rPr>
          <w:rFonts w:cstheme="minorHAnsi"/>
          <w:sz w:val="24"/>
          <w:szCs w:val="24"/>
          <w:lang w:val="sr-Latn-ME"/>
        </w:rPr>
        <w:t>mjerama poreske politike u srednjem roku.</w:t>
      </w:r>
    </w:p>
    <w:p w14:paraId="1FF7AE4D" w14:textId="77777777" w:rsidR="00E05341" w:rsidRPr="005E617A" w:rsidRDefault="00E05341" w:rsidP="00E05341">
      <w:pPr>
        <w:spacing w:after="0"/>
        <w:jc w:val="both"/>
        <w:rPr>
          <w:rFonts w:cstheme="minorHAnsi"/>
          <w:sz w:val="24"/>
          <w:szCs w:val="24"/>
          <w:lang w:val="sr-Latn-ME"/>
        </w:rPr>
      </w:pPr>
    </w:p>
    <w:p w14:paraId="7BE67970" w14:textId="77777777" w:rsidR="00E05341" w:rsidRPr="005E617A" w:rsidRDefault="00E05341" w:rsidP="00E05341">
      <w:pPr>
        <w:spacing w:after="240" w:line="276" w:lineRule="auto"/>
        <w:jc w:val="both"/>
        <w:rPr>
          <w:rFonts w:eastAsia="Calibri" w:cstheme="minorHAnsi"/>
          <w:sz w:val="24"/>
          <w:szCs w:val="24"/>
          <w:lang w:val="sr-Latn-ME"/>
        </w:rPr>
      </w:pPr>
      <w:r w:rsidRPr="007A098C">
        <w:rPr>
          <w:rFonts w:ascii="Calibri" w:eastAsia="Calibri" w:hAnsi="Calibri" w:cs="Calibri"/>
          <w:sz w:val="24"/>
          <w:szCs w:val="24"/>
          <w:lang w:val="sr-Latn-ME"/>
        </w:rPr>
        <w:lastRenderedPageBreak/>
        <w:t xml:space="preserve">Polazeći od navedenog, </w:t>
      </w:r>
      <w:r w:rsidRPr="007A098C">
        <w:rPr>
          <w:rFonts w:ascii="Calibri" w:eastAsia="Calibri" w:hAnsi="Calibri" w:cs="Calibri"/>
          <w:b/>
          <w:sz w:val="24"/>
          <w:szCs w:val="24"/>
          <w:lang w:val="sr-Latn-ME"/>
        </w:rPr>
        <w:t>izvorni prihodi budžeta u periodu 2025-2027. godine</w:t>
      </w:r>
      <w:r w:rsidRPr="007A098C">
        <w:rPr>
          <w:rFonts w:ascii="Calibri" w:eastAsia="Calibri" w:hAnsi="Calibri" w:cs="Calibri"/>
          <w:sz w:val="24"/>
          <w:szCs w:val="24"/>
          <w:lang w:val="sr-Latn-ME"/>
        </w:rPr>
        <w:t>, kretaće se u rasponu od 2.</w:t>
      </w:r>
      <w:r>
        <w:rPr>
          <w:rFonts w:ascii="Calibri" w:eastAsia="Calibri" w:hAnsi="Calibri" w:cs="Calibri"/>
          <w:sz w:val="24"/>
          <w:szCs w:val="24"/>
          <w:lang w:val="sr-Latn-ME"/>
        </w:rPr>
        <w:t xml:space="preserve">886,1 </w:t>
      </w:r>
      <w:r w:rsidRPr="007A098C">
        <w:rPr>
          <w:rFonts w:ascii="Calibri" w:eastAsia="Calibri" w:hAnsi="Calibri" w:cs="Calibri"/>
          <w:sz w:val="24"/>
          <w:szCs w:val="24"/>
          <w:lang w:val="sr-Latn-ME"/>
        </w:rPr>
        <w:t>mil.€ ili 36,2</w:t>
      </w:r>
      <w:r>
        <w:rPr>
          <w:rFonts w:ascii="Calibri" w:eastAsia="Calibri" w:hAnsi="Calibri" w:cs="Calibri"/>
          <w:sz w:val="24"/>
          <w:szCs w:val="24"/>
          <w:lang w:val="sr-Latn-ME"/>
        </w:rPr>
        <w:t>% BDP-a u 2025, do 3.111,3 mil.</w:t>
      </w:r>
      <w:r w:rsidRPr="007A098C">
        <w:rPr>
          <w:rFonts w:ascii="Calibri" w:eastAsia="Calibri" w:hAnsi="Calibri" w:cs="Calibri"/>
          <w:sz w:val="24"/>
          <w:szCs w:val="24"/>
          <w:lang w:val="sr-Latn-ME"/>
        </w:rPr>
        <w:t>€ ili 35,</w:t>
      </w:r>
      <w:r>
        <w:rPr>
          <w:rFonts w:ascii="Calibri" w:eastAsia="Calibri" w:hAnsi="Calibri" w:cs="Calibri"/>
          <w:sz w:val="24"/>
          <w:szCs w:val="24"/>
          <w:lang w:val="sr-Latn-ME"/>
        </w:rPr>
        <w:t>5</w:t>
      </w:r>
      <w:r w:rsidRPr="007A098C">
        <w:rPr>
          <w:rFonts w:ascii="Calibri" w:eastAsia="Calibri" w:hAnsi="Calibri" w:cs="Calibri"/>
          <w:sz w:val="24"/>
          <w:szCs w:val="24"/>
          <w:lang w:val="sr-Latn-ME"/>
        </w:rPr>
        <w:t>% BDP-a u 2027. godini.</w:t>
      </w:r>
      <w:r w:rsidRPr="005E617A">
        <w:rPr>
          <w:rFonts w:cstheme="minorHAnsi"/>
          <w:sz w:val="24"/>
          <w:szCs w:val="24"/>
        </w:rPr>
        <w:t xml:space="preserve"> </w:t>
      </w:r>
      <w:r w:rsidRPr="005E617A">
        <w:rPr>
          <w:rFonts w:eastAsia="Calibri" w:cstheme="minorHAnsi"/>
          <w:sz w:val="24"/>
          <w:szCs w:val="24"/>
          <w:lang w:val="sr-Latn-ME"/>
        </w:rPr>
        <w:t xml:space="preserve">Izvorni prihodi budžeta u 2025. godini planirani su u iznosu od 2.886,1 mil.€ ili 36,2% procijenjenog BDP-a (7.965,4 mil.€), što je u odnosu na procjenu za 2024. godinu veće za 101,8 mil.€ ili 3,7%. </w:t>
      </w:r>
    </w:p>
    <w:p w14:paraId="53CDCA1A" w14:textId="77777777" w:rsidR="00E05341" w:rsidRPr="005E617A" w:rsidRDefault="00E05341" w:rsidP="00E05341">
      <w:pPr>
        <w:spacing w:after="240" w:line="276" w:lineRule="auto"/>
        <w:jc w:val="both"/>
        <w:rPr>
          <w:rFonts w:eastAsia="Calibri" w:cstheme="minorHAnsi"/>
          <w:sz w:val="24"/>
          <w:szCs w:val="24"/>
          <w:lang w:val="sr-Latn-ME"/>
        </w:rPr>
      </w:pPr>
      <w:r w:rsidRPr="005E617A">
        <w:rPr>
          <w:rFonts w:eastAsia="Calibri" w:cstheme="minorHAnsi"/>
          <w:sz w:val="24"/>
          <w:szCs w:val="24"/>
          <w:lang w:val="sr-Latn-ME"/>
        </w:rPr>
        <w:t>I pored smanjenja poreskog opterećenja na zarade, tj. smanjenja stope doprinosa za penzijsko i invalidsko osiguranje</w:t>
      </w:r>
      <w:r>
        <w:rPr>
          <w:rFonts w:eastAsia="Calibri" w:cstheme="minorHAnsi"/>
          <w:sz w:val="24"/>
          <w:szCs w:val="24"/>
          <w:lang w:val="sr-Latn-ME"/>
        </w:rPr>
        <w:t xml:space="preserve"> sa ukupno 20,5% na 10%</w:t>
      </w:r>
      <w:r w:rsidRPr="005E617A">
        <w:rPr>
          <w:rFonts w:eastAsia="Calibri" w:cstheme="minorHAnsi"/>
          <w:sz w:val="24"/>
          <w:szCs w:val="24"/>
          <w:lang w:val="sr-Latn-ME"/>
        </w:rPr>
        <w:t>, ostvaruje se rast prihoda</w:t>
      </w:r>
      <w:r>
        <w:rPr>
          <w:rFonts w:eastAsia="Calibri" w:cstheme="minorHAnsi"/>
          <w:sz w:val="24"/>
          <w:szCs w:val="24"/>
          <w:lang w:val="sr-Latn-ME"/>
        </w:rPr>
        <w:t xml:space="preserve"> budžeta</w:t>
      </w:r>
      <w:r w:rsidRPr="005E617A">
        <w:rPr>
          <w:rFonts w:eastAsia="Calibri" w:cstheme="minorHAnsi"/>
          <w:sz w:val="24"/>
          <w:szCs w:val="24"/>
          <w:lang w:val="sr-Latn-ME"/>
        </w:rPr>
        <w:t xml:space="preserve"> uslijed rasta naplate poreza na dodatu vrijednost, akciza, poreza na dohodak i poreza na dobit, naknada za priređivanje igara na sreću, kao i donacija. Projektovani rast prihoda ostvaruje se po osnovu:</w:t>
      </w:r>
    </w:p>
    <w:p w14:paraId="18CF3093" w14:textId="77777777" w:rsidR="00E05341" w:rsidRPr="005E617A" w:rsidRDefault="00E05341" w:rsidP="00E05341">
      <w:pPr>
        <w:spacing w:after="0"/>
        <w:jc w:val="both"/>
        <w:rPr>
          <w:rFonts w:eastAsia="Calibri" w:cstheme="minorHAnsi"/>
          <w:sz w:val="24"/>
          <w:szCs w:val="24"/>
          <w:lang w:val="sr-Latn-ME"/>
        </w:rPr>
      </w:pPr>
      <w:r w:rsidRPr="005E617A">
        <w:rPr>
          <w:rFonts w:eastAsia="Calibri" w:cstheme="minorHAnsi"/>
          <w:sz w:val="24"/>
          <w:szCs w:val="24"/>
          <w:lang w:val="sr-Latn-ME"/>
        </w:rPr>
        <w:t>-</w:t>
      </w:r>
      <w:r w:rsidRPr="005E617A">
        <w:rPr>
          <w:rFonts w:eastAsia="Calibri" w:cstheme="minorHAnsi"/>
          <w:sz w:val="24"/>
          <w:szCs w:val="24"/>
          <w:lang w:val="sr-Latn-ME"/>
        </w:rPr>
        <w:tab/>
        <w:t>povećanja lične potrošnje usljed rasta minimalne i prosječne zarade;</w:t>
      </w:r>
    </w:p>
    <w:p w14:paraId="5F8724CF" w14:textId="77777777" w:rsidR="00E05341" w:rsidRPr="005E617A" w:rsidRDefault="00E05341" w:rsidP="00E05341">
      <w:pPr>
        <w:spacing w:after="0"/>
        <w:jc w:val="both"/>
        <w:rPr>
          <w:rFonts w:eastAsia="Calibri" w:cstheme="minorHAnsi"/>
          <w:sz w:val="24"/>
          <w:szCs w:val="24"/>
          <w:lang w:val="sr-Latn-ME"/>
        </w:rPr>
      </w:pPr>
      <w:r w:rsidRPr="005E617A">
        <w:rPr>
          <w:rFonts w:eastAsia="Calibri" w:cstheme="minorHAnsi"/>
          <w:sz w:val="24"/>
          <w:szCs w:val="24"/>
          <w:lang w:val="sr-Latn-ME"/>
        </w:rPr>
        <w:t>-</w:t>
      </w:r>
      <w:r w:rsidRPr="005E617A">
        <w:rPr>
          <w:rFonts w:eastAsia="Calibri" w:cstheme="minorHAnsi"/>
          <w:sz w:val="24"/>
          <w:szCs w:val="24"/>
          <w:lang w:val="sr-Latn-ME"/>
        </w:rPr>
        <w:tab/>
        <w:t>rasta ekonomske aktivnosti (shodno osnovnom makroekonomskom scenariju);</w:t>
      </w:r>
    </w:p>
    <w:p w14:paraId="5E9BF5E2" w14:textId="77777777" w:rsidR="00E05341" w:rsidRPr="005E617A" w:rsidRDefault="00E05341" w:rsidP="00E05341">
      <w:pPr>
        <w:spacing w:after="0"/>
        <w:jc w:val="both"/>
        <w:rPr>
          <w:rFonts w:eastAsia="Calibri" w:cstheme="minorHAnsi"/>
          <w:sz w:val="24"/>
          <w:szCs w:val="24"/>
          <w:lang w:val="sr-Latn-ME"/>
        </w:rPr>
      </w:pPr>
      <w:r w:rsidRPr="005E617A">
        <w:rPr>
          <w:rFonts w:eastAsia="Calibri" w:cstheme="minorHAnsi"/>
          <w:sz w:val="24"/>
          <w:szCs w:val="24"/>
          <w:lang w:val="sr-Latn-ME"/>
        </w:rPr>
        <w:t>-</w:t>
      </w:r>
      <w:r w:rsidRPr="005E617A">
        <w:rPr>
          <w:rFonts w:eastAsia="Calibri" w:cstheme="minorHAnsi"/>
          <w:sz w:val="24"/>
          <w:szCs w:val="24"/>
          <w:lang w:val="sr-Latn-ME"/>
        </w:rPr>
        <w:tab/>
        <w:t>veće osnovice za obračun novih stopa doprinosa (povećanje minimalne i prosječne zarade) i očekivanog smanjenja „sive ekonomije“ na tržištu rada, uz stope rasta zaposlenosti i zarada u srednjem roku;</w:t>
      </w:r>
    </w:p>
    <w:p w14:paraId="2034D364" w14:textId="77777777" w:rsidR="00E05341" w:rsidRPr="005E617A" w:rsidRDefault="00E05341" w:rsidP="00E05341">
      <w:pPr>
        <w:spacing w:after="0"/>
        <w:jc w:val="both"/>
        <w:rPr>
          <w:rFonts w:eastAsia="Calibri" w:cstheme="minorHAnsi"/>
          <w:sz w:val="24"/>
          <w:szCs w:val="24"/>
          <w:lang w:val="sr-Latn-ME"/>
        </w:rPr>
      </w:pPr>
      <w:r w:rsidRPr="005E617A">
        <w:rPr>
          <w:rFonts w:eastAsia="Calibri" w:cstheme="minorHAnsi"/>
          <w:sz w:val="24"/>
          <w:szCs w:val="24"/>
          <w:lang w:val="sr-Latn-ME"/>
        </w:rPr>
        <w:t>-</w:t>
      </w:r>
      <w:r w:rsidRPr="005E617A">
        <w:rPr>
          <w:rFonts w:eastAsia="Calibri" w:cstheme="minorHAnsi"/>
          <w:sz w:val="24"/>
          <w:szCs w:val="24"/>
          <w:lang w:val="sr-Latn-ME"/>
        </w:rPr>
        <w:tab/>
        <w:t>uvođenja treće stope PDV-a od 15%;</w:t>
      </w:r>
    </w:p>
    <w:p w14:paraId="259E7993" w14:textId="77777777" w:rsidR="00E05341" w:rsidRPr="005E617A" w:rsidRDefault="00E05341" w:rsidP="00E05341">
      <w:pPr>
        <w:spacing w:after="0"/>
        <w:jc w:val="both"/>
        <w:rPr>
          <w:rFonts w:eastAsia="Calibri" w:cstheme="minorHAnsi"/>
          <w:sz w:val="24"/>
          <w:szCs w:val="24"/>
          <w:lang w:val="sr-Latn-ME"/>
        </w:rPr>
      </w:pPr>
      <w:r w:rsidRPr="005E617A">
        <w:rPr>
          <w:rFonts w:eastAsia="Calibri" w:cstheme="minorHAnsi"/>
          <w:sz w:val="24"/>
          <w:szCs w:val="24"/>
          <w:lang w:val="sr-Latn-ME"/>
        </w:rPr>
        <w:t>-</w:t>
      </w:r>
      <w:r w:rsidRPr="005E617A">
        <w:rPr>
          <w:rFonts w:eastAsia="Calibri" w:cstheme="minorHAnsi"/>
          <w:sz w:val="24"/>
          <w:szCs w:val="24"/>
          <w:lang w:val="sr-Latn-ME"/>
        </w:rPr>
        <w:tab/>
        <w:t>proširenja poreskog obuhvata proizvoda u dijelu negaziranih pića sa dodatkom šećera, uvođenja akcize na „mirna“ vina, „markiranja goriva“;</w:t>
      </w:r>
    </w:p>
    <w:p w14:paraId="4BAAB280" w14:textId="77777777" w:rsidR="00E05341" w:rsidRPr="005E617A" w:rsidRDefault="00E05341" w:rsidP="00E05341">
      <w:pPr>
        <w:spacing w:after="0"/>
        <w:jc w:val="both"/>
        <w:rPr>
          <w:rFonts w:eastAsia="Calibri" w:cstheme="minorHAnsi"/>
          <w:sz w:val="24"/>
          <w:szCs w:val="24"/>
          <w:lang w:val="sr-Latn-ME"/>
        </w:rPr>
      </w:pPr>
      <w:r w:rsidRPr="005E617A">
        <w:rPr>
          <w:rFonts w:eastAsia="Calibri" w:cstheme="minorHAnsi"/>
          <w:sz w:val="24"/>
          <w:szCs w:val="24"/>
          <w:lang w:val="sr-Latn-ME"/>
        </w:rPr>
        <w:t>-</w:t>
      </w:r>
      <w:r w:rsidRPr="005E617A">
        <w:rPr>
          <w:rFonts w:eastAsia="Calibri" w:cstheme="minorHAnsi"/>
          <w:sz w:val="24"/>
          <w:szCs w:val="24"/>
          <w:lang w:val="sr-Latn-ME"/>
        </w:rPr>
        <w:tab/>
        <w:t>oporezivanje dobitaka od igara na sreću i implementacije novog zakonskog rešenja u dijelu priređivanja igara na sreću;</w:t>
      </w:r>
    </w:p>
    <w:p w14:paraId="6E8EB7E2" w14:textId="77777777" w:rsidR="00E05341" w:rsidRPr="005E617A" w:rsidRDefault="00E05341" w:rsidP="00E05341">
      <w:pPr>
        <w:spacing w:after="0"/>
        <w:jc w:val="both"/>
        <w:rPr>
          <w:rFonts w:eastAsia="Calibri" w:cstheme="minorHAnsi"/>
          <w:sz w:val="24"/>
          <w:szCs w:val="24"/>
          <w:lang w:val="sr-Latn-ME"/>
        </w:rPr>
      </w:pPr>
      <w:r w:rsidRPr="005E617A">
        <w:rPr>
          <w:rFonts w:eastAsia="Calibri" w:cstheme="minorHAnsi"/>
          <w:sz w:val="24"/>
          <w:szCs w:val="24"/>
          <w:lang w:val="sr-Latn-ME"/>
        </w:rPr>
        <w:t>-</w:t>
      </w:r>
      <w:r w:rsidRPr="005E617A">
        <w:rPr>
          <w:rFonts w:eastAsia="Calibri" w:cstheme="minorHAnsi"/>
          <w:sz w:val="24"/>
          <w:szCs w:val="24"/>
          <w:lang w:val="sr-Latn-ME"/>
        </w:rPr>
        <w:tab/>
        <w:t>naplate poreskog duga kroz novo zakonsko rešenje u dijelu otpisa kamate u slučaju uplate glavnice duga;</w:t>
      </w:r>
    </w:p>
    <w:p w14:paraId="74313BB4" w14:textId="77777777" w:rsidR="00E05341" w:rsidRPr="005E617A" w:rsidRDefault="00E05341" w:rsidP="00E05341">
      <w:pPr>
        <w:spacing w:after="0"/>
        <w:jc w:val="both"/>
        <w:rPr>
          <w:rFonts w:eastAsia="Calibri" w:cstheme="minorHAnsi"/>
          <w:sz w:val="24"/>
          <w:szCs w:val="24"/>
          <w:lang w:val="sr-Latn-ME"/>
        </w:rPr>
      </w:pPr>
      <w:r w:rsidRPr="005E617A">
        <w:rPr>
          <w:rFonts w:eastAsia="Calibri" w:cstheme="minorHAnsi"/>
          <w:sz w:val="24"/>
          <w:szCs w:val="24"/>
          <w:lang w:val="sr-Latn-ME"/>
        </w:rPr>
        <w:t>-</w:t>
      </w:r>
      <w:r w:rsidRPr="005E617A">
        <w:rPr>
          <w:rFonts w:eastAsia="Calibri" w:cstheme="minorHAnsi"/>
          <w:sz w:val="24"/>
          <w:szCs w:val="24"/>
          <w:lang w:val="sr-Latn-ME"/>
        </w:rPr>
        <w:tab/>
        <w:t>smanjenja „sive“ ekonomije kroz implementaciju Programa za suzbijanje sive ekonomije.</w:t>
      </w:r>
    </w:p>
    <w:p w14:paraId="1FCC6A18" w14:textId="77777777" w:rsidR="00E05341" w:rsidRPr="005E617A" w:rsidRDefault="00E05341" w:rsidP="00E05341">
      <w:pPr>
        <w:spacing w:after="0"/>
        <w:jc w:val="both"/>
        <w:rPr>
          <w:rFonts w:eastAsia="Calibri" w:cstheme="minorHAnsi"/>
          <w:sz w:val="24"/>
          <w:szCs w:val="24"/>
          <w:lang w:val="sr-Latn-ME"/>
        </w:rPr>
      </w:pPr>
    </w:p>
    <w:p w14:paraId="000EDE62" w14:textId="77777777" w:rsidR="00E05341" w:rsidRPr="005E617A" w:rsidRDefault="00E05341" w:rsidP="00E05341">
      <w:pPr>
        <w:rPr>
          <w:rFonts w:cstheme="minorHAnsi"/>
          <w:b/>
          <w:bCs/>
          <w:sz w:val="24"/>
          <w:szCs w:val="24"/>
          <w:u w:val="single"/>
          <w:lang w:val="sr-Latn-ME"/>
        </w:rPr>
      </w:pPr>
      <w:r w:rsidRPr="005E617A">
        <w:rPr>
          <w:rFonts w:cstheme="minorHAnsi"/>
          <w:b/>
          <w:bCs/>
          <w:sz w:val="24"/>
          <w:szCs w:val="24"/>
          <w:u w:val="single"/>
          <w:lang w:val="sr-Latn-ME"/>
        </w:rPr>
        <w:t>Objašnjenje po glavnim kategorijama javnih prihoda</w:t>
      </w:r>
    </w:p>
    <w:p w14:paraId="557609E7" w14:textId="77777777" w:rsidR="00E05341" w:rsidRPr="005E617A" w:rsidRDefault="00E05341" w:rsidP="00E05341">
      <w:pPr>
        <w:rPr>
          <w:rFonts w:cstheme="minorHAnsi"/>
          <w:bCs/>
          <w:sz w:val="24"/>
          <w:szCs w:val="24"/>
          <w:lang w:val="sr-Latn-ME"/>
        </w:rPr>
      </w:pPr>
      <w:r w:rsidRPr="005E617A">
        <w:rPr>
          <w:rFonts w:cstheme="minorHAnsi"/>
          <w:bCs/>
          <w:sz w:val="24"/>
          <w:szCs w:val="24"/>
          <w:lang w:val="sr-Latn-ME"/>
        </w:rPr>
        <w:t>Ukupni javni prihodi u 2025. godini planirani su u iznosu od 3.283,0 mil. € ili 41,2% BDP-a.</w:t>
      </w:r>
    </w:p>
    <w:p w14:paraId="2C66B485" w14:textId="77777777" w:rsidR="00E05341" w:rsidRPr="005E617A" w:rsidRDefault="00E05341" w:rsidP="00E05341">
      <w:pPr>
        <w:spacing w:after="240"/>
        <w:jc w:val="both"/>
        <w:rPr>
          <w:rFonts w:eastAsia="Calibri" w:cstheme="minorHAnsi"/>
          <w:sz w:val="24"/>
          <w:szCs w:val="24"/>
          <w:lang w:val="sr-Latn-ME"/>
        </w:rPr>
      </w:pPr>
      <w:r w:rsidRPr="005E617A">
        <w:rPr>
          <w:rFonts w:eastAsia="Calibri" w:cstheme="minorHAnsi"/>
          <w:b/>
          <w:i/>
          <w:sz w:val="24"/>
          <w:szCs w:val="24"/>
          <w:lang w:val="sr-Latn-ME"/>
        </w:rPr>
        <w:t xml:space="preserve">Porez na dohodak </w:t>
      </w:r>
      <w:r w:rsidRPr="005E617A">
        <w:rPr>
          <w:rFonts w:eastAsia="Calibri" w:cstheme="minorHAnsi"/>
          <w:sz w:val="24"/>
          <w:szCs w:val="24"/>
          <w:lang w:val="sr-Latn-ME"/>
        </w:rPr>
        <w:t>u 2025. godini planiran je u ukupnom iznosu od 198,4 mil.€ ili 2,5% projektovanog BDP-a. Na rast ove kategorije prihoda u srednjem roku utiču: projektovani rast zaposlenosti i zarada; očekivani rast naplate uslijed rasta minimalne i prosječne zarade, kroz veću osnovicu za obračun ovog poreza; oporezivanje dobitaka od igara na sreću kao i oporezivanje djelatnosti koje se obavljaju preko interneta i prihoda koje fizičko lice ostvari od drugog fizičkog lica</w:t>
      </w:r>
      <w:r>
        <w:rPr>
          <w:rFonts w:eastAsia="Calibri" w:cstheme="minorHAnsi"/>
          <w:sz w:val="24"/>
          <w:szCs w:val="24"/>
          <w:lang w:val="sr-Latn-ME"/>
        </w:rPr>
        <w:t>, shodno novim zakonskim rješenjima</w:t>
      </w:r>
      <w:r w:rsidRPr="005E617A">
        <w:rPr>
          <w:rFonts w:eastAsia="Calibri" w:cstheme="minorHAnsi"/>
          <w:sz w:val="24"/>
          <w:szCs w:val="24"/>
          <w:lang w:val="sr-Latn-ME"/>
        </w:rPr>
        <w:t>.</w:t>
      </w:r>
    </w:p>
    <w:p w14:paraId="7B280C02" w14:textId="77777777" w:rsidR="00E05341" w:rsidRPr="005E617A" w:rsidRDefault="00E05341" w:rsidP="00E05341">
      <w:pPr>
        <w:spacing w:after="240"/>
        <w:jc w:val="both"/>
        <w:rPr>
          <w:rFonts w:eastAsia="Calibri" w:cstheme="minorHAnsi"/>
          <w:sz w:val="24"/>
          <w:szCs w:val="24"/>
          <w:lang w:val="sr-Latn-ME"/>
        </w:rPr>
      </w:pPr>
      <w:r w:rsidRPr="005E617A">
        <w:rPr>
          <w:rFonts w:eastAsia="Calibri" w:cstheme="minorHAnsi"/>
          <w:b/>
          <w:i/>
          <w:sz w:val="24"/>
          <w:szCs w:val="24"/>
          <w:lang w:val="sr-Latn-ME"/>
        </w:rPr>
        <w:t xml:space="preserve">Doprinosi </w:t>
      </w:r>
      <w:r w:rsidRPr="005E617A">
        <w:rPr>
          <w:rFonts w:eastAsia="Calibri" w:cstheme="minorHAnsi"/>
          <w:sz w:val="24"/>
          <w:szCs w:val="24"/>
          <w:lang w:val="sr-Latn-ME"/>
        </w:rPr>
        <w:t>u 2025. godini planirani su u ukupnom iznosu od 449,1 mil.€ ili 5,6% projektovanog BDP-a. Ova kategorija prihoda u srednjem roku opredijeljena je smanjenjem stope doprinosa za penzijsko i invalidsko osiguranje na teret zaposlenog sa 15% na 10% i na teret poslodavca sa 5,5% na 0%</w:t>
      </w:r>
      <w:r>
        <w:rPr>
          <w:rFonts w:eastAsia="Calibri" w:cstheme="minorHAnsi"/>
          <w:sz w:val="24"/>
          <w:szCs w:val="24"/>
          <w:lang w:val="sr-Latn-ME"/>
        </w:rPr>
        <w:t xml:space="preserve">, odnosno </w:t>
      </w:r>
      <w:r w:rsidRPr="005E617A">
        <w:rPr>
          <w:rFonts w:cstheme="minorHAnsi"/>
          <w:sz w:val="24"/>
          <w:szCs w:val="24"/>
          <w:lang w:val="sr-Latn-ME"/>
        </w:rPr>
        <w:t>ukupno sa 20,5% na 10%. Ovom mjerom će doći do uvećanja neto zarada zaposlenih, uz istovremeno niži bruto trošak isplata fonda zarada za poslodavce</w:t>
      </w:r>
      <w:r w:rsidRPr="005E617A">
        <w:rPr>
          <w:rFonts w:eastAsia="Calibri" w:cstheme="minorHAnsi"/>
          <w:sz w:val="24"/>
          <w:szCs w:val="24"/>
          <w:lang w:val="sr-Latn-ME"/>
        </w:rPr>
        <w:t xml:space="preserve">. </w:t>
      </w:r>
    </w:p>
    <w:p w14:paraId="4A61A3AF" w14:textId="77777777" w:rsidR="00E05341" w:rsidRPr="005E617A" w:rsidRDefault="00E05341" w:rsidP="00E05341">
      <w:pPr>
        <w:spacing w:after="240"/>
        <w:jc w:val="both"/>
        <w:rPr>
          <w:rFonts w:eastAsia="Calibri" w:cstheme="minorHAnsi"/>
          <w:sz w:val="24"/>
          <w:szCs w:val="24"/>
          <w:lang w:val="sr-Latn-ME"/>
        </w:rPr>
      </w:pPr>
      <w:r w:rsidRPr="005E617A">
        <w:rPr>
          <w:rFonts w:eastAsia="Calibri" w:cstheme="minorHAnsi"/>
          <w:sz w:val="24"/>
          <w:szCs w:val="24"/>
          <w:lang w:val="sr-Latn-ME"/>
        </w:rPr>
        <w:lastRenderedPageBreak/>
        <w:t>Pored uticaja navedene reforme, kroz smanjenje prihoda po ovom osnovu, doprinosi ostvaruju rast pod uticajem projektovanog rasta zaposlenosti i zarada, očekivanog smanjenja neformalnog zapošljavanja i implementacije Zakona o reprogramu poreskog potraživanja, shodno planu otplate ove kategorije prihoda.</w:t>
      </w:r>
    </w:p>
    <w:p w14:paraId="1ED14D43" w14:textId="77777777" w:rsidR="00E05341" w:rsidRPr="005E617A" w:rsidRDefault="00E05341" w:rsidP="00E05341">
      <w:pPr>
        <w:spacing w:after="240"/>
        <w:jc w:val="both"/>
        <w:rPr>
          <w:rFonts w:eastAsia="Calibri" w:cstheme="minorHAnsi"/>
          <w:sz w:val="24"/>
          <w:szCs w:val="24"/>
          <w:lang w:val="sr-Latn-ME"/>
        </w:rPr>
      </w:pPr>
      <w:r w:rsidRPr="005E617A">
        <w:rPr>
          <w:rFonts w:eastAsia="Calibri" w:cstheme="minorHAnsi"/>
          <w:b/>
          <w:i/>
          <w:sz w:val="24"/>
          <w:szCs w:val="24"/>
          <w:lang w:val="sr-Latn-ME"/>
        </w:rPr>
        <w:t>Porez na dobit pravnih lica</w:t>
      </w:r>
      <w:r w:rsidRPr="005E617A">
        <w:rPr>
          <w:rFonts w:eastAsia="Calibri" w:cstheme="minorHAnsi"/>
          <w:sz w:val="24"/>
          <w:szCs w:val="24"/>
          <w:lang w:val="sr-Latn-ME"/>
        </w:rPr>
        <w:t xml:space="preserve"> u 2025. godini planiran je u iznosu od 219,9 mil.€ ili 2,8% BDP-a što je rezultat izrazito dobre naplate ove kategorije prihoda budžeta, koja je već u aprilu 2024. godine premašila godišnji plan uslijed rasta ekonomske aktivnosti u 2023. godini.</w:t>
      </w:r>
    </w:p>
    <w:p w14:paraId="5E8DD144" w14:textId="77777777" w:rsidR="00E05341" w:rsidRPr="005E617A" w:rsidRDefault="00E05341" w:rsidP="00E05341">
      <w:pPr>
        <w:jc w:val="both"/>
        <w:rPr>
          <w:rFonts w:eastAsia="Calibri" w:cstheme="minorHAnsi"/>
          <w:sz w:val="24"/>
          <w:szCs w:val="24"/>
          <w:lang w:val="sr-Latn-ME"/>
        </w:rPr>
      </w:pPr>
      <w:r w:rsidRPr="005E617A">
        <w:rPr>
          <w:rFonts w:eastAsia="Calibri" w:cstheme="minorHAnsi"/>
          <w:b/>
          <w:i/>
          <w:sz w:val="24"/>
          <w:szCs w:val="24"/>
          <w:lang w:val="sr-Latn-ME"/>
        </w:rPr>
        <w:t xml:space="preserve">Porez na dodatu vrijednost </w:t>
      </w:r>
      <w:r w:rsidRPr="005E617A">
        <w:rPr>
          <w:rFonts w:eastAsia="Calibri" w:cstheme="minorHAnsi"/>
          <w:sz w:val="24"/>
          <w:szCs w:val="24"/>
          <w:lang w:val="sr-Latn-ME"/>
        </w:rPr>
        <w:t>u 2025. godini projektovan je u iznosu od 1.372,6 mil.€ ili 17,2% BDP-a. Prihodi od poreza na dodatu vrijednost planirani su na osnovu projekcija rasta potrošnje domaćinstava i uvoza, shodno makroekonomskom scenariju koji uključuje rast zarada i potrošnje po osnovu reforme poreske politike. Pored navedenog, rast ove kategorije prihoda ostvaruje se po osnovu uvođenja treće stope PDV-a od 15%, pri čemu se najveći efekat odnosi na izjednačavanje stope za smještaj u hotelima i usluživanje hrane i pića u ugostiteljskim objektima i hotelskim restoranima.</w:t>
      </w:r>
    </w:p>
    <w:p w14:paraId="01A1F3F3" w14:textId="77777777" w:rsidR="00E05341" w:rsidRPr="005E617A" w:rsidRDefault="00E05341" w:rsidP="00E05341">
      <w:pPr>
        <w:spacing w:after="240"/>
        <w:jc w:val="both"/>
        <w:rPr>
          <w:rFonts w:eastAsia="Calibri" w:cstheme="minorHAnsi"/>
          <w:sz w:val="24"/>
          <w:szCs w:val="24"/>
          <w:lang w:val="sr-Latn-ME"/>
        </w:rPr>
      </w:pPr>
      <w:r w:rsidRPr="005E617A">
        <w:rPr>
          <w:rFonts w:eastAsia="Calibri" w:cstheme="minorHAnsi"/>
          <w:b/>
          <w:i/>
          <w:sz w:val="24"/>
          <w:szCs w:val="24"/>
          <w:lang w:val="sr-Latn-ME"/>
        </w:rPr>
        <w:t>Prihodi od akciza</w:t>
      </w:r>
      <w:r w:rsidRPr="005E617A">
        <w:rPr>
          <w:rFonts w:eastAsia="Calibri" w:cstheme="minorHAnsi"/>
          <w:sz w:val="24"/>
          <w:szCs w:val="24"/>
          <w:lang w:val="sr-Latn-ME"/>
        </w:rPr>
        <w:t xml:space="preserve"> u 2025. godini planirani su u iznosu od 403,5 mil.€ ili 5,1% BDP-a. Rast naplate akciza planiran je prevashodno kao rezultat projektovanog rasta ekonomske aktivnosti i potrošnje domaćinstava, proširivanja obuhvata akciznih proizvoda i nastavka implementacije suzbijanja nelegalnog prometa duvana i duvanskih proizvoda.</w:t>
      </w:r>
    </w:p>
    <w:p w14:paraId="3D186760" w14:textId="77777777" w:rsidR="00E05341" w:rsidRPr="005E617A" w:rsidRDefault="00E05341" w:rsidP="00CF227C">
      <w:pPr>
        <w:spacing w:after="240"/>
        <w:jc w:val="both"/>
        <w:rPr>
          <w:rFonts w:eastAsia="Calibri" w:cstheme="minorHAnsi"/>
          <w:sz w:val="24"/>
          <w:szCs w:val="24"/>
          <w:lang w:val="sr-Latn-ME"/>
        </w:rPr>
      </w:pPr>
      <w:r w:rsidRPr="005E617A">
        <w:rPr>
          <w:rFonts w:eastAsia="Calibri" w:cstheme="minorHAnsi"/>
          <w:sz w:val="24"/>
          <w:szCs w:val="24"/>
          <w:lang w:val="sr-Latn-ME"/>
        </w:rPr>
        <w:t xml:space="preserve">U 2025. godini, prihodi po osnovu </w:t>
      </w:r>
      <w:r w:rsidRPr="005E617A">
        <w:rPr>
          <w:rFonts w:eastAsia="Calibri" w:cstheme="minorHAnsi"/>
          <w:b/>
          <w:i/>
          <w:sz w:val="24"/>
          <w:szCs w:val="24"/>
          <w:lang w:val="sr-Latn-ME"/>
        </w:rPr>
        <w:t>naknada</w:t>
      </w:r>
      <w:r w:rsidRPr="005E617A">
        <w:rPr>
          <w:rFonts w:eastAsia="Calibri" w:cstheme="minorHAnsi"/>
          <w:sz w:val="24"/>
          <w:szCs w:val="24"/>
          <w:lang w:val="sr-Latn-ME"/>
        </w:rPr>
        <w:t xml:space="preserve"> planirani su u iznosu od 157,2 mil.€ ili 2</w:t>
      </w:r>
      <w:r>
        <w:rPr>
          <w:rFonts w:eastAsia="Calibri" w:cstheme="minorHAnsi"/>
          <w:sz w:val="24"/>
          <w:szCs w:val="24"/>
          <w:lang w:val="sr-Latn-ME"/>
        </w:rPr>
        <w:t>,0</w:t>
      </w:r>
      <w:r w:rsidRPr="005E617A">
        <w:rPr>
          <w:rFonts w:eastAsia="Calibri" w:cstheme="minorHAnsi"/>
          <w:sz w:val="24"/>
          <w:szCs w:val="24"/>
          <w:lang w:val="sr-Latn-ME"/>
        </w:rPr>
        <w:t>% BDP-a, dominantno kao rezutat očekivane implementacije novog zakonskog rešenja u dijelu priređivanja igara na sreću.</w:t>
      </w:r>
    </w:p>
    <w:p w14:paraId="6C42AD42" w14:textId="77777777" w:rsidR="00E05341" w:rsidRPr="005E617A" w:rsidRDefault="00E05341" w:rsidP="00CF227C">
      <w:pPr>
        <w:spacing w:after="240"/>
        <w:jc w:val="both"/>
        <w:rPr>
          <w:rFonts w:eastAsia="Calibri" w:cstheme="minorHAnsi"/>
          <w:sz w:val="24"/>
          <w:szCs w:val="24"/>
          <w:lang w:val="sr-Latn-ME"/>
        </w:rPr>
      </w:pPr>
      <w:r w:rsidRPr="005E617A">
        <w:rPr>
          <w:rFonts w:eastAsia="Calibri" w:cstheme="minorHAnsi"/>
          <w:b/>
          <w:i/>
          <w:sz w:val="24"/>
          <w:szCs w:val="24"/>
          <w:lang w:val="sr-Latn-ME"/>
        </w:rPr>
        <w:t>Ostali prihodi</w:t>
      </w:r>
      <w:r w:rsidRPr="005E617A">
        <w:rPr>
          <w:rFonts w:eastAsia="Calibri" w:cstheme="minorHAnsi"/>
          <w:b/>
          <w:sz w:val="24"/>
          <w:szCs w:val="24"/>
          <w:lang w:val="sr-Latn-ME"/>
        </w:rPr>
        <w:t xml:space="preserve"> </w:t>
      </w:r>
      <w:r w:rsidRPr="005E617A">
        <w:rPr>
          <w:rFonts w:eastAsia="Calibri" w:cstheme="minorHAnsi"/>
          <w:sz w:val="24"/>
          <w:szCs w:val="24"/>
          <w:lang w:val="sr-Latn-ME"/>
        </w:rPr>
        <w:t>u 2025. godini planirani su u iznosu od 72,0 mil.€ ili 0,9% BDP-a kao rezultat završetka implementacije projekta „Ekonomskog državljanstva“.</w:t>
      </w:r>
    </w:p>
    <w:p w14:paraId="54FDAB0C" w14:textId="1A5EE8E4" w:rsidR="00E05341" w:rsidRDefault="00E05341" w:rsidP="00CF227C">
      <w:pPr>
        <w:spacing w:after="240"/>
        <w:jc w:val="both"/>
        <w:rPr>
          <w:rFonts w:eastAsia="Calibri" w:cstheme="minorHAnsi"/>
          <w:sz w:val="24"/>
          <w:szCs w:val="24"/>
          <w:lang w:val="sr-Latn-ME"/>
        </w:rPr>
      </w:pPr>
      <w:r w:rsidRPr="005E617A">
        <w:rPr>
          <w:rFonts w:eastAsia="Calibri" w:cstheme="minorHAnsi"/>
          <w:sz w:val="24"/>
          <w:szCs w:val="24"/>
          <w:lang w:val="sr-Latn-ME"/>
        </w:rPr>
        <w:t xml:space="preserve">Prihodi od </w:t>
      </w:r>
      <w:r w:rsidRPr="005E617A">
        <w:rPr>
          <w:rFonts w:eastAsia="Calibri" w:cstheme="minorHAnsi"/>
          <w:b/>
          <w:i/>
          <w:sz w:val="24"/>
          <w:szCs w:val="24"/>
          <w:lang w:val="sr-Latn-ME"/>
        </w:rPr>
        <w:t xml:space="preserve">donacija </w:t>
      </w:r>
      <w:r w:rsidRPr="005E617A">
        <w:rPr>
          <w:rFonts w:eastAsia="Calibri" w:cstheme="minorHAnsi"/>
          <w:sz w:val="24"/>
          <w:szCs w:val="24"/>
          <w:lang w:val="sr-Latn-ME"/>
        </w:rPr>
        <w:t>u periodu 2025-2027. godine kretaće se u intervalu od 161,0 mil.€ ili 2</w:t>
      </w:r>
      <w:r>
        <w:rPr>
          <w:rFonts w:eastAsia="Calibri" w:cstheme="minorHAnsi"/>
          <w:sz w:val="24"/>
          <w:szCs w:val="24"/>
          <w:lang w:val="sr-Latn-ME"/>
        </w:rPr>
        <w:t>,0</w:t>
      </w:r>
      <w:r w:rsidRPr="005E617A">
        <w:rPr>
          <w:rFonts w:eastAsia="Calibri" w:cstheme="minorHAnsi"/>
          <w:sz w:val="24"/>
          <w:szCs w:val="24"/>
          <w:lang w:val="sr-Latn-ME"/>
        </w:rPr>
        <w:t>% BDP-a u 2025, do 151,4 mil.€ ili 1,7% BDP-a u 2027. godini, prevashodno kao rezultat povlačenja sredstava u okviru Plana rasta za Zapadni Balkan, a u skladu sa reformama i aktivnostima planiranim u okviru Reformske agende Crne Gore za period 2024-2027. godine.</w:t>
      </w:r>
    </w:p>
    <w:p w14:paraId="6E382C7B" w14:textId="77777777" w:rsidR="00CF227C" w:rsidRPr="0038367C" w:rsidRDefault="00CF227C" w:rsidP="00CF227C">
      <w:pPr>
        <w:jc w:val="both"/>
        <w:rPr>
          <w:rFonts w:cstheme="minorHAnsi"/>
          <w:sz w:val="24"/>
          <w:szCs w:val="24"/>
          <w:lang w:val="sr-Latn-ME"/>
        </w:rPr>
      </w:pPr>
      <w:bookmarkStart w:id="58" w:name="_Toc88031657"/>
      <w:bookmarkStart w:id="59" w:name="_Toc121347498"/>
      <w:bookmarkStart w:id="60" w:name="_Toc184111647"/>
      <w:r w:rsidRPr="0038367C">
        <w:rPr>
          <w:rFonts w:cstheme="minorHAnsi"/>
          <w:b/>
          <w:sz w:val="24"/>
          <w:szCs w:val="24"/>
          <w:lang w:val="sr-Latn-ME"/>
        </w:rPr>
        <w:t>Javna potrošnja</w:t>
      </w:r>
      <w:r w:rsidRPr="0038367C">
        <w:rPr>
          <w:rStyle w:val="FootnoteReference"/>
          <w:rFonts w:cstheme="minorHAnsi"/>
          <w:b/>
          <w:sz w:val="24"/>
          <w:szCs w:val="24"/>
          <w:lang w:val="sr-Latn-ME"/>
        </w:rPr>
        <w:footnoteReference w:id="7"/>
      </w:r>
      <w:r w:rsidRPr="0038367C">
        <w:rPr>
          <w:rFonts w:cstheme="minorHAnsi"/>
          <w:sz w:val="24"/>
          <w:szCs w:val="24"/>
          <w:lang w:val="sr-Latn-ME"/>
        </w:rPr>
        <w:t xml:space="preserve"> u 2025. godini projektovana je na nivou od 3.561,7 mil. € ili 44,7% procijenjenog BDP-a i u odnosu na 2024. godinu veća je za 160,5 mil. € ili 4,72%. Ukupan rast izdataka u 2025. godini prevashodno je rezultat rasta tekuće budžetske potrošnje od čega se najveći dio odnosi na mandatorne rashode čiju visinu opredjeljuju postojeća zakonska rješenja. </w:t>
      </w:r>
    </w:p>
    <w:p w14:paraId="7C0F6BC8" w14:textId="77777777" w:rsidR="00CF227C" w:rsidRPr="0038367C" w:rsidRDefault="00CF227C" w:rsidP="00CF227C">
      <w:pPr>
        <w:jc w:val="both"/>
        <w:rPr>
          <w:sz w:val="24"/>
          <w:lang w:val="sr-Latn-ME"/>
        </w:rPr>
      </w:pPr>
      <w:bookmarkStart w:id="61" w:name="_Hlk153125990"/>
      <w:r w:rsidRPr="0038367C">
        <w:rPr>
          <w:sz w:val="24"/>
          <w:lang w:val="sr-Latn-ME"/>
        </w:rPr>
        <w:lastRenderedPageBreak/>
        <w:t xml:space="preserve">Izdaci budžeta države planirani su u iznosu od </w:t>
      </w:r>
      <w:r w:rsidRPr="0038367C">
        <w:rPr>
          <w:b/>
          <w:sz w:val="24"/>
          <w:lang w:val="sr-Latn-ME"/>
        </w:rPr>
        <w:t xml:space="preserve">4,03 </w:t>
      </w:r>
      <w:r w:rsidRPr="0038367C">
        <w:rPr>
          <w:sz w:val="24"/>
          <w:lang w:val="sr-Latn-ME"/>
        </w:rPr>
        <w:t xml:space="preserve">milijardi eura i veći su u odnosu na budžet za 2024 godinu </w:t>
      </w:r>
      <w:r w:rsidRPr="0038367C">
        <w:rPr>
          <w:b/>
          <w:sz w:val="24"/>
          <w:lang w:val="sr-Latn-ME"/>
        </w:rPr>
        <w:t xml:space="preserve">za 505,5 milona eura. </w:t>
      </w:r>
      <w:r w:rsidRPr="0038367C">
        <w:rPr>
          <w:sz w:val="24"/>
          <w:lang w:val="sr-Latn-ME"/>
        </w:rPr>
        <w:t>Dodatna potrošnja iskazana je u okviru potreba većeg izdvajnja troškova mandatornog karaktera.</w:t>
      </w:r>
    </w:p>
    <w:p w14:paraId="76A6D6A8" w14:textId="77777777" w:rsidR="00CF227C" w:rsidRPr="0038367C" w:rsidRDefault="00CF227C" w:rsidP="00CF227C">
      <w:pPr>
        <w:jc w:val="both"/>
        <w:rPr>
          <w:sz w:val="24"/>
          <w:lang w:val="sr-Latn-ME"/>
        </w:rPr>
      </w:pPr>
      <w:r w:rsidRPr="0038367C">
        <w:rPr>
          <w:rFonts w:eastAsia="Calibri"/>
          <w:sz w:val="24"/>
          <w:lang w:val="sr-Latn-ME"/>
        </w:rPr>
        <w:t xml:space="preserve">Naime, </w:t>
      </w:r>
      <w:r w:rsidRPr="0038367C">
        <w:rPr>
          <w:sz w:val="24"/>
          <w:lang w:val="sr-Latn-ME"/>
        </w:rPr>
        <w:t>ukupan iznos budžeta države se raspodjeljuju po sljedećoj strukturi:</w:t>
      </w:r>
    </w:p>
    <w:tbl>
      <w:tblPr>
        <w:tblStyle w:val="LightShading-Accent1"/>
        <w:tblW w:w="6520" w:type="dxa"/>
        <w:jc w:val="center"/>
        <w:tblLook w:val="04A0" w:firstRow="1" w:lastRow="0" w:firstColumn="1" w:lastColumn="0" w:noHBand="0" w:noVBand="1"/>
      </w:tblPr>
      <w:tblGrid>
        <w:gridCol w:w="4400"/>
        <w:gridCol w:w="2120"/>
      </w:tblGrid>
      <w:tr w:rsidR="00CF227C" w:rsidRPr="00CA30DF" w14:paraId="73EB997C" w14:textId="77777777" w:rsidTr="00CF227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00" w:type="dxa"/>
            <w:noWrap/>
            <w:vAlign w:val="center"/>
            <w:hideMark/>
          </w:tcPr>
          <w:p w14:paraId="7985E6BC" w14:textId="77777777" w:rsidR="00CF227C" w:rsidRPr="00CA30DF" w:rsidRDefault="00CF227C" w:rsidP="00CF227C">
            <w:pPr>
              <w:jc w:val="both"/>
              <w:rPr>
                <w:b w:val="0"/>
                <w:color w:val="000000"/>
                <w:sz w:val="18"/>
                <w:szCs w:val="18"/>
                <w:lang w:val="sr-Latn-ME"/>
              </w:rPr>
            </w:pPr>
            <w:r w:rsidRPr="00CA30DF">
              <w:rPr>
                <w:b w:val="0"/>
                <w:color w:val="000000"/>
                <w:sz w:val="18"/>
                <w:szCs w:val="18"/>
                <w:lang w:val="sr-Latn-ME"/>
              </w:rPr>
              <w:t>Struktura Budžeta za 2025. godinu</w:t>
            </w:r>
          </w:p>
        </w:tc>
        <w:tc>
          <w:tcPr>
            <w:tcW w:w="2120" w:type="dxa"/>
            <w:noWrap/>
            <w:vAlign w:val="center"/>
            <w:hideMark/>
          </w:tcPr>
          <w:p w14:paraId="20F1B64E" w14:textId="77777777" w:rsidR="00CF227C" w:rsidRPr="00CA30DF" w:rsidRDefault="00CF227C" w:rsidP="00CF227C">
            <w:pPr>
              <w:jc w:val="both"/>
              <w:cnfStyle w:val="100000000000" w:firstRow="1" w:lastRow="0" w:firstColumn="0" w:lastColumn="0" w:oddVBand="0" w:evenVBand="0" w:oddHBand="0" w:evenHBand="0" w:firstRowFirstColumn="0" w:firstRowLastColumn="0" w:lastRowFirstColumn="0" w:lastRowLastColumn="0"/>
              <w:rPr>
                <w:b w:val="0"/>
                <w:color w:val="000000"/>
                <w:sz w:val="18"/>
                <w:szCs w:val="18"/>
                <w:lang w:val="sr-Latn-ME"/>
              </w:rPr>
            </w:pPr>
            <w:r w:rsidRPr="00CA30DF">
              <w:rPr>
                <w:b w:val="0"/>
                <w:color w:val="000000"/>
                <w:sz w:val="18"/>
                <w:szCs w:val="18"/>
                <w:lang w:val="sr-Latn-ME"/>
              </w:rPr>
              <w:t>€</w:t>
            </w:r>
          </w:p>
        </w:tc>
      </w:tr>
      <w:tr w:rsidR="00CF227C" w:rsidRPr="00CA30DF" w14:paraId="67DA047A" w14:textId="77777777" w:rsidTr="00CF227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00" w:type="dxa"/>
            <w:noWrap/>
            <w:vAlign w:val="center"/>
            <w:hideMark/>
          </w:tcPr>
          <w:p w14:paraId="306C315E" w14:textId="77777777" w:rsidR="00CF227C" w:rsidRPr="00CA30DF" w:rsidRDefault="00CF227C" w:rsidP="00CF227C">
            <w:pPr>
              <w:jc w:val="both"/>
              <w:rPr>
                <w:b w:val="0"/>
                <w:color w:val="000000"/>
                <w:sz w:val="18"/>
                <w:szCs w:val="18"/>
                <w:lang w:val="sr-Latn-ME"/>
              </w:rPr>
            </w:pPr>
            <w:r w:rsidRPr="00CA30DF">
              <w:rPr>
                <w:b w:val="0"/>
                <w:color w:val="000000"/>
                <w:sz w:val="18"/>
                <w:szCs w:val="18"/>
                <w:lang w:val="sr-Latn-ME"/>
              </w:rPr>
              <w:t>Tekući budžet</w:t>
            </w:r>
          </w:p>
        </w:tc>
        <w:tc>
          <w:tcPr>
            <w:tcW w:w="2120" w:type="dxa"/>
            <w:noWrap/>
            <w:tcMar>
              <w:left w:w="255" w:type="dxa"/>
            </w:tcMar>
            <w:vAlign w:val="center"/>
            <w:hideMark/>
          </w:tcPr>
          <w:p w14:paraId="41AEBEC9" w14:textId="77777777" w:rsidR="00CF227C" w:rsidRPr="00CA30DF" w:rsidRDefault="00CF227C" w:rsidP="00CF227C">
            <w:pPr>
              <w:jc w:val="both"/>
              <w:cnfStyle w:val="000000100000" w:firstRow="0" w:lastRow="0" w:firstColumn="0" w:lastColumn="0" w:oddVBand="0" w:evenVBand="0" w:oddHBand="1" w:evenHBand="0" w:firstRowFirstColumn="0" w:firstRowLastColumn="0" w:lastRowFirstColumn="0" w:lastRowLastColumn="0"/>
              <w:rPr>
                <w:rFonts w:cs="Calibri"/>
                <w:color w:val="000000"/>
                <w:sz w:val="18"/>
                <w:szCs w:val="18"/>
                <w:lang w:val="sr-Latn-ME"/>
              </w:rPr>
            </w:pPr>
            <w:r w:rsidRPr="00CA30DF">
              <w:rPr>
                <w:rFonts w:cs="Calibri"/>
                <w:color w:val="000000"/>
                <w:sz w:val="18"/>
                <w:szCs w:val="18"/>
                <w:lang w:val="sr-Latn-ME"/>
              </w:rPr>
              <w:t xml:space="preserve">1,505,713,226.92 </w:t>
            </w:r>
          </w:p>
        </w:tc>
      </w:tr>
      <w:tr w:rsidR="00CF227C" w:rsidRPr="00CA30DF" w14:paraId="033A951C" w14:textId="77777777" w:rsidTr="00CF227C">
        <w:trPr>
          <w:trHeight w:val="300"/>
          <w:jc w:val="center"/>
        </w:trPr>
        <w:tc>
          <w:tcPr>
            <w:cnfStyle w:val="001000000000" w:firstRow="0" w:lastRow="0" w:firstColumn="1" w:lastColumn="0" w:oddVBand="0" w:evenVBand="0" w:oddHBand="0" w:evenHBand="0" w:firstRowFirstColumn="0" w:firstRowLastColumn="0" w:lastRowFirstColumn="0" w:lastRowLastColumn="0"/>
            <w:tcW w:w="4400" w:type="dxa"/>
            <w:noWrap/>
            <w:vAlign w:val="center"/>
            <w:hideMark/>
          </w:tcPr>
          <w:p w14:paraId="31EAA5E5" w14:textId="77777777" w:rsidR="00CF227C" w:rsidRPr="00CA30DF" w:rsidRDefault="00CF227C" w:rsidP="00CF227C">
            <w:pPr>
              <w:jc w:val="both"/>
              <w:rPr>
                <w:b w:val="0"/>
                <w:color w:val="000000"/>
                <w:sz w:val="18"/>
                <w:szCs w:val="18"/>
                <w:lang w:val="sr-Latn-ME"/>
              </w:rPr>
            </w:pPr>
            <w:r w:rsidRPr="00CA30DF">
              <w:rPr>
                <w:b w:val="0"/>
                <w:color w:val="000000"/>
                <w:sz w:val="18"/>
                <w:szCs w:val="18"/>
                <w:lang w:val="sr-Latn-ME"/>
              </w:rPr>
              <w:t>Budžet državnih fondova</w:t>
            </w:r>
          </w:p>
        </w:tc>
        <w:tc>
          <w:tcPr>
            <w:tcW w:w="2120" w:type="dxa"/>
            <w:noWrap/>
            <w:tcMar>
              <w:left w:w="255" w:type="dxa"/>
            </w:tcMar>
            <w:vAlign w:val="center"/>
            <w:hideMark/>
          </w:tcPr>
          <w:p w14:paraId="11EB1969" w14:textId="77777777" w:rsidR="00CF227C" w:rsidRPr="00CA30DF" w:rsidRDefault="00CF227C" w:rsidP="00CF227C">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lang w:val="sr-Latn-ME"/>
              </w:rPr>
            </w:pPr>
            <w:r w:rsidRPr="00CA30DF">
              <w:rPr>
                <w:rFonts w:cs="Calibri"/>
                <w:color w:val="000000"/>
                <w:sz w:val="18"/>
                <w:szCs w:val="18"/>
                <w:lang w:val="sr-Latn-ME"/>
              </w:rPr>
              <w:t xml:space="preserve">1,304,949,635.05 </w:t>
            </w:r>
          </w:p>
        </w:tc>
      </w:tr>
      <w:tr w:rsidR="00CF227C" w:rsidRPr="00CA30DF" w14:paraId="36900E51" w14:textId="77777777" w:rsidTr="00CF227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00" w:type="dxa"/>
            <w:noWrap/>
            <w:vAlign w:val="center"/>
            <w:hideMark/>
          </w:tcPr>
          <w:p w14:paraId="7976FCFB" w14:textId="77777777" w:rsidR="00CF227C" w:rsidRPr="00CA30DF" w:rsidRDefault="00CF227C" w:rsidP="00CF227C">
            <w:pPr>
              <w:jc w:val="both"/>
              <w:rPr>
                <w:b w:val="0"/>
                <w:color w:val="000000"/>
                <w:sz w:val="18"/>
                <w:szCs w:val="18"/>
                <w:lang w:val="sr-Latn-ME"/>
              </w:rPr>
            </w:pPr>
            <w:r w:rsidRPr="00CA30DF">
              <w:rPr>
                <w:b w:val="0"/>
                <w:color w:val="000000"/>
                <w:sz w:val="18"/>
                <w:szCs w:val="18"/>
                <w:lang w:val="sr-Latn-ME"/>
              </w:rPr>
              <w:t>Kapitalni budžet</w:t>
            </w:r>
          </w:p>
        </w:tc>
        <w:tc>
          <w:tcPr>
            <w:tcW w:w="2120" w:type="dxa"/>
            <w:noWrap/>
            <w:tcMar>
              <w:left w:w="255" w:type="dxa"/>
            </w:tcMar>
            <w:vAlign w:val="center"/>
            <w:hideMark/>
          </w:tcPr>
          <w:p w14:paraId="64D410A9" w14:textId="77777777" w:rsidR="00CF227C" w:rsidRPr="00CA30DF" w:rsidRDefault="00CF227C" w:rsidP="00CF227C">
            <w:pPr>
              <w:jc w:val="both"/>
              <w:cnfStyle w:val="000000100000" w:firstRow="0" w:lastRow="0" w:firstColumn="0" w:lastColumn="0" w:oddVBand="0" w:evenVBand="0" w:oddHBand="1" w:evenHBand="0" w:firstRowFirstColumn="0" w:firstRowLastColumn="0" w:lastRowFirstColumn="0" w:lastRowLastColumn="0"/>
              <w:rPr>
                <w:rFonts w:cs="Calibri"/>
                <w:color w:val="000000"/>
                <w:sz w:val="18"/>
                <w:szCs w:val="18"/>
                <w:lang w:val="sr-Latn-ME"/>
              </w:rPr>
            </w:pPr>
            <w:r w:rsidRPr="00CA30DF">
              <w:rPr>
                <w:rFonts w:cs="Calibri"/>
                <w:color w:val="000000"/>
                <w:sz w:val="18"/>
                <w:szCs w:val="18"/>
                <w:lang w:val="sr-Latn-ME"/>
              </w:rPr>
              <w:t xml:space="preserve">280,000,013.00 </w:t>
            </w:r>
          </w:p>
        </w:tc>
      </w:tr>
      <w:tr w:rsidR="00CF227C" w:rsidRPr="00CA30DF" w14:paraId="5D3F7C00" w14:textId="77777777" w:rsidTr="00CF227C">
        <w:trPr>
          <w:trHeight w:val="300"/>
          <w:jc w:val="center"/>
        </w:trPr>
        <w:tc>
          <w:tcPr>
            <w:cnfStyle w:val="001000000000" w:firstRow="0" w:lastRow="0" w:firstColumn="1" w:lastColumn="0" w:oddVBand="0" w:evenVBand="0" w:oddHBand="0" w:evenHBand="0" w:firstRowFirstColumn="0" w:firstRowLastColumn="0" w:lastRowFirstColumn="0" w:lastRowLastColumn="0"/>
            <w:tcW w:w="4400" w:type="dxa"/>
            <w:noWrap/>
            <w:vAlign w:val="center"/>
            <w:hideMark/>
          </w:tcPr>
          <w:p w14:paraId="4F821AFB" w14:textId="77777777" w:rsidR="00CF227C" w:rsidRPr="00CA30DF" w:rsidRDefault="00CF227C" w:rsidP="00CF227C">
            <w:pPr>
              <w:jc w:val="both"/>
              <w:rPr>
                <w:b w:val="0"/>
                <w:color w:val="000000"/>
                <w:sz w:val="18"/>
                <w:szCs w:val="18"/>
                <w:lang w:val="sr-Latn-ME"/>
              </w:rPr>
            </w:pPr>
            <w:r w:rsidRPr="00CA30DF">
              <w:rPr>
                <w:b w:val="0"/>
                <w:color w:val="000000"/>
                <w:sz w:val="18"/>
                <w:szCs w:val="18"/>
                <w:lang w:val="sr-Latn-ME"/>
              </w:rPr>
              <w:t>Transakcije finansiranja</w:t>
            </w:r>
          </w:p>
        </w:tc>
        <w:tc>
          <w:tcPr>
            <w:tcW w:w="2120" w:type="dxa"/>
            <w:noWrap/>
            <w:tcMar>
              <w:left w:w="255" w:type="dxa"/>
            </w:tcMar>
            <w:vAlign w:val="center"/>
            <w:hideMark/>
          </w:tcPr>
          <w:p w14:paraId="4D51FC0E" w14:textId="77777777" w:rsidR="00CF227C" w:rsidRPr="00CA30DF" w:rsidRDefault="00CF227C" w:rsidP="00CF227C">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lang w:val="sr-Latn-ME"/>
              </w:rPr>
            </w:pPr>
            <w:r w:rsidRPr="00CA30DF">
              <w:rPr>
                <w:rFonts w:cs="Calibri"/>
                <w:color w:val="000000"/>
                <w:sz w:val="18"/>
                <w:szCs w:val="18"/>
                <w:lang w:val="sr-Latn-ME"/>
              </w:rPr>
              <w:t xml:space="preserve">886,172,147.70 </w:t>
            </w:r>
          </w:p>
        </w:tc>
      </w:tr>
      <w:tr w:rsidR="00CF227C" w:rsidRPr="00CA30DF" w14:paraId="7C4AA651" w14:textId="77777777" w:rsidTr="00CF227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400" w:type="dxa"/>
            <w:tcBorders>
              <w:bottom w:val="single" w:sz="24" w:space="0" w:color="4472C4" w:themeColor="accent1"/>
            </w:tcBorders>
            <w:noWrap/>
            <w:vAlign w:val="center"/>
            <w:hideMark/>
          </w:tcPr>
          <w:p w14:paraId="678500D0" w14:textId="77777777" w:rsidR="00CF227C" w:rsidRPr="00CA30DF" w:rsidRDefault="00CF227C" w:rsidP="00CF227C">
            <w:pPr>
              <w:jc w:val="both"/>
              <w:rPr>
                <w:b w:val="0"/>
                <w:color w:val="000000"/>
                <w:sz w:val="18"/>
                <w:szCs w:val="18"/>
                <w:lang w:val="sr-Latn-ME"/>
              </w:rPr>
            </w:pPr>
            <w:r w:rsidRPr="00CA30DF">
              <w:rPr>
                <w:b w:val="0"/>
                <w:color w:val="000000"/>
                <w:sz w:val="18"/>
                <w:szCs w:val="18"/>
                <w:lang w:val="sr-Latn-ME"/>
              </w:rPr>
              <w:t>Rezerve</w:t>
            </w:r>
          </w:p>
        </w:tc>
        <w:tc>
          <w:tcPr>
            <w:tcW w:w="2120" w:type="dxa"/>
            <w:tcBorders>
              <w:bottom w:val="single" w:sz="24" w:space="0" w:color="4472C4" w:themeColor="accent1"/>
            </w:tcBorders>
            <w:noWrap/>
            <w:tcMar>
              <w:left w:w="255" w:type="dxa"/>
            </w:tcMar>
            <w:vAlign w:val="center"/>
            <w:hideMark/>
          </w:tcPr>
          <w:p w14:paraId="747D0C38" w14:textId="77777777" w:rsidR="00CF227C" w:rsidRPr="00CA30DF" w:rsidRDefault="00CF227C" w:rsidP="00CF227C">
            <w:pPr>
              <w:jc w:val="both"/>
              <w:cnfStyle w:val="000000100000" w:firstRow="0" w:lastRow="0" w:firstColumn="0" w:lastColumn="0" w:oddVBand="0" w:evenVBand="0" w:oddHBand="1" w:evenHBand="0" w:firstRowFirstColumn="0" w:firstRowLastColumn="0" w:lastRowFirstColumn="0" w:lastRowLastColumn="0"/>
              <w:rPr>
                <w:rFonts w:cs="Calibri"/>
                <w:color w:val="000000"/>
                <w:sz w:val="18"/>
                <w:szCs w:val="18"/>
                <w:lang w:val="sr-Latn-ME"/>
              </w:rPr>
            </w:pPr>
            <w:r w:rsidRPr="00CA30DF">
              <w:rPr>
                <w:rFonts w:cs="Calibri"/>
                <w:color w:val="000000"/>
                <w:sz w:val="18"/>
                <w:szCs w:val="18"/>
                <w:lang w:val="sr-Latn-ME"/>
              </w:rPr>
              <w:t xml:space="preserve">50,000,000.00 </w:t>
            </w:r>
          </w:p>
        </w:tc>
      </w:tr>
      <w:tr w:rsidR="00CF227C" w:rsidRPr="00CA30DF" w14:paraId="59680120" w14:textId="77777777" w:rsidTr="00CF227C">
        <w:trPr>
          <w:trHeight w:val="300"/>
          <w:jc w:val="center"/>
        </w:trPr>
        <w:tc>
          <w:tcPr>
            <w:cnfStyle w:val="001000000000" w:firstRow="0" w:lastRow="0" w:firstColumn="1" w:lastColumn="0" w:oddVBand="0" w:evenVBand="0" w:oddHBand="0" w:evenHBand="0" w:firstRowFirstColumn="0" w:firstRowLastColumn="0" w:lastRowFirstColumn="0" w:lastRowLastColumn="0"/>
            <w:tcW w:w="4400" w:type="dxa"/>
            <w:tcBorders>
              <w:top w:val="single" w:sz="24" w:space="0" w:color="4472C4" w:themeColor="accent1"/>
              <w:left w:val="single" w:sz="24" w:space="0" w:color="4472C4" w:themeColor="accent1"/>
              <w:bottom w:val="single" w:sz="24" w:space="0" w:color="4472C4" w:themeColor="accent1"/>
            </w:tcBorders>
            <w:noWrap/>
            <w:vAlign w:val="center"/>
            <w:hideMark/>
          </w:tcPr>
          <w:p w14:paraId="56DB79DE" w14:textId="77777777" w:rsidR="00CF227C" w:rsidRPr="00CA30DF" w:rsidRDefault="00CF227C" w:rsidP="00CF227C">
            <w:pPr>
              <w:jc w:val="both"/>
              <w:rPr>
                <w:b w:val="0"/>
                <w:bCs w:val="0"/>
                <w:color w:val="000000"/>
                <w:sz w:val="18"/>
                <w:szCs w:val="18"/>
                <w:lang w:val="sr-Latn-ME"/>
              </w:rPr>
            </w:pPr>
            <w:r w:rsidRPr="00CA30DF">
              <w:rPr>
                <w:b w:val="0"/>
                <w:color w:val="000000"/>
                <w:sz w:val="18"/>
                <w:szCs w:val="18"/>
                <w:lang w:val="sr-Latn-ME"/>
              </w:rPr>
              <w:t>Ukupno</w:t>
            </w:r>
          </w:p>
        </w:tc>
        <w:tc>
          <w:tcPr>
            <w:tcW w:w="2120" w:type="dxa"/>
            <w:tcBorders>
              <w:top w:val="single" w:sz="24" w:space="0" w:color="4472C4" w:themeColor="accent1"/>
              <w:bottom w:val="single" w:sz="24" w:space="0" w:color="4472C4" w:themeColor="accent1"/>
              <w:right w:val="single" w:sz="24" w:space="0" w:color="4472C4" w:themeColor="accent1"/>
            </w:tcBorders>
            <w:noWrap/>
            <w:tcMar>
              <w:left w:w="255" w:type="dxa"/>
            </w:tcMar>
            <w:vAlign w:val="center"/>
            <w:hideMark/>
          </w:tcPr>
          <w:p w14:paraId="3CDF3102" w14:textId="77777777" w:rsidR="00CF227C" w:rsidRPr="00CA30DF" w:rsidRDefault="00CF227C" w:rsidP="00CF227C">
            <w:pPr>
              <w:jc w:val="both"/>
              <w:cnfStyle w:val="000000000000" w:firstRow="0" w:lastRow="0" w:firstColumn="0" w:lastColumn="0" w:oddVBand="0" w:evenVBand="0" w:oddHBand="0" w:evenHBand="0" w:firstRowFirstColumn="0" w:firstRowLastColumn="0" w:lastRowFirstColumn="0" w:lastRowLastColumn="0"/>
              <w:rPr>
                <w:rFonts w:cs="Calibri"/>
                <w:color w:val="000000"/>
                <w:sz w:val="18"/>
                <w:szCs w:val="18"/>
                <w:lang w:val="sr-Latn-ME"/>
              </w:rPr>
            </w:pPr>
            <w:r w:rsidRPr="00CA30DF">
              <w:rPr>
                <w:rFonts w:cs="Calibri"/>
                <w:color w:val="000000"/>
                <w:sz w:val="18"/>
                <w:szCs w:val="18"/>
                <w:lang w:val="sr-Latn-ME"/>
              </w:rPr>
              <w:t xml:space="preserve">4,026,835,022.67 </w:t>
            </w:r>
          </w:p>
        </w:tc>
      </w:tr>
      <w:bookmarkEnd w:id="61"/>
    </w:tbl>
    <w:p w14:paraId="04B0EE0B" w14:textId="77777777" w:rsidR="00437131" w:rsidRPr="0038367C" w:rsidRDefault="00437131" w:rsidP="00CF227C">
      <w:pPr>
        <w:jc w:val="both"/>
        <w:rPr>
          <w:sz w:val="24"/>
          <w:szCs w:val="20"/>
          <w:lang w:val="sr-Latn-ME"/>
        </w:rPr>
      </w:pPr>
    </w:p>
    <w:p w14:paraId="2CF5FA22" w14:textId="5B025CDA" w:rsidR="00CF227C" w:rsidRPr="0038367C" w:rsidRDefault="00CF227C" w:rsidP="00CF227C">
      <w:pPr>
        <w:jc w:val="both"/>
        <w:rPr>
          <w:sz w:val="24"/>
          <w:highlight w:val="yellow"/>
          <w:lang w:val="sr-Latn-ME"/>
        </w:rPr>
      </w:pPr>
      <w:r w:rsidRPr="0038367C">
        <w:rPr>
          <w:sz w:val="24"/>
          <w:szCs w:val="20"/>
          <w:lang w:val="sr-Latn-ME"/>
        </w:rPr>
        <w:t xml:space="preserve">Najznačajnije uvećanje prije svega odnosi se na dodatna izdvajanja u oblastima: </w:t>
      </w:r>
      <w:r w:rsidRPr="0038367C">
        <w:rPr>
          <w:b/>
          <w:sz w:val="24"/>
          <w:szCs w:val="20"/>
          <w:lang w:val="sr-Latn-ME"/>
        </w:rPr>
        <w:t>Javnih finansija</w:t>
      </w:r>
      <w:r w:rsidRPr="0038367C">
        <w:rPr>
          <w:sz w:val="24"/>
          <w:szCs w:val="20"/>
          <w:lang w:val="sr-Latn-ME"/>
        </w:rPr>
        <w:t xml:space="preserve">, 347,7 mil €, </w:t>
      </w:r>
      <w:r w:rsidRPr="0038367C">
        <w:rPr>
          <w:b/>
          <w:sz w:val="24"/>
          <w:szCs w:val="20"/>
          <w:lang w:val="sr-Latn-ME"/>
        </w:rPr>
        <w:t>Socijalnog staranja</w:t>
      </w:r>
      <w:r w:rsidRPr="0038367C">
        <w:rPr>
          <w:sz w:val="24"/>
          <w:szCs w:val="20"/>
          <w:lang w:val="sr-Latn-ME"/>
        </w:rPr>
        <w:t xml:space="preserve"> 51,48 mil €, </w:t>
      </w:r>
      <w:r w:rsidRPr="0038367C">
        <w:rPr>
          <w:b/>
          <w:sz w:val="24"/>
          <w:szCs w:val="20"/>
          <w:lang w:val="sr-Latn-ME"/>
        </w:rPr>
        <w:t>Saobraćaja</w:t>
      </w:r>
      <w:r w:rsidRPr="0038367C">
        <w:rPr>
          <w:sz w:val="24"/>
          <w:szCs w:val="20"/>
          <w:lang w:val="sr-Latn-ME"/>
        </w:rPr>
        <w:t xml:space="preserve"> 743,2 mil €, </w:t>
      </w:r>
      <w:r w:rsidRPr="0038367C">
        <w:rPr>
          <w:b/>
          <w:sz w:val="24"/>
          <w:szCs w:val="20"/>
          <w:lang w:val="sr-Latn-ME"/>
        </w:rPr>
        <w:t>Zdravstva</w:t>
      </w:r>
      <w:r w:rsidRPr="0038367C">
        <w:rPr>
          <w:sz w:val="24"/>
          <w:szCs w:val="20"/>
          <w:lang w:val="sr-Latn-ME"/>
        </w:rPr>
        <w:t xml:space="preserve"> 32,1mil €, </w:t>
      </w:r>
      <w:r w:rsidRPr="0038367C">
        <w:rPr>
          <w:b/>
          <w:sz w:val="24"/>
          <w:szCs w:val="20"/>
          <w:lang w:val="sr-Latn-ME"/>
        </w:rPr>
        <w:t>Obrazovanje nauka i sport</w:t>
      </w:r>
      <w:r w:rsidRPr="0038367C">
        <w:rPr>
          <w:sz w:val="24"/>
          <w:szCs w:val="20"/>
          <w:lang w:val="sr-Latn-ME"/>
        </w:rPr>
        <w:t xml:space="preserve"> 17,6 mil €, te </w:t>
      </w:r>
      <w:r w:rsidRPr="0038367C">
        <w:rPr>
          <w:b/>
          <w:sz w:val="24"/>
          <w:szCs w:val="20"/>
          <w:lang w:val="sr-Latn-ME"/>
        </w:rPr>
        <w:t>Prostorno planiranje i zaštita zivotne sredine</w:t>
      </w:r>
      <w:r w:rsidRPr="0038367C">
        <w:rPr>
          <w:sz w:val="24"/>
          <w:szCs w:val="20"/>
          <w:lang w:val="sr-Latn-ME"/>
        </w:rPr>
        <w:t xml:space="preserve"> 13,4 mil €, </w:t>
      </w:r>
      <w:r w:rsidRPr="0038367C">
        <w:rPr>
          <w:b/>
          <w:sz w:val="24"/>
          <w:szCs w:val="20"/>
          <w:lang w:val="sr-Latn-ME"/>
        </w:rPr>
        <w:t>Javna bezbijednost i odbrane</w:t>
      </w:r>
      <w:r w:rsidRPr="0038367C">
        <w:rPr>
          <w:sz w:val="24"/>
          <w:szCs w:val="20"/>
          <w:lang w:val="sr-Latn-ME"/>
        </w:rPr>
        <w:t xml:space="preserve"> 6,1 mil € i sl.</w:t>
      </w:r>
    </w:p>
    <w:p w14:paraId="7389C4DD" w14:textId="77777777" w:rsidR="00CF227C" w:rsidRPr="0038367C" w:rsidRDefault="00CF227C" w:rsidP="00CF227C">
      <w:pPr>
        <w:jc w:val="both"/>
        <w:rPr>
          <w:rFonts w:cstheme="minorHAnsi"/>
          <w:b/>
          <w:sz w:val="24"/>
          <w:szCs w:val="24"/>
          <w:lang w:val="sr-Latn-ME"/>
        </w:rPr>
      </w:pPr>
      <w:r w:rsidRPr="0038367C">
        <w:rPr>
          <w:rFonts w:cstheme="minorHAnsi"/>
          <w:b/>
          <w:sz w:val="24"/>
          <w:szCs w:val="24"/>
          <w:lang w:val="sr-Latn-ME"/>
        </w:rPr>
        <w:t xml:space="preserve">Na osnovu projektovanih prihoda i rashoda opšteg nivoa države (budžet države i lokalnih samouprava), projektuje se deficit javne potrošnje u u 2025. godini u iznosu od 278,7 mil. eur, odnosno 3,5% procijenjenog BDP-a. </w:t>
      </w:r>
    </w:p>
    <w:p w14:paraId="2297BEC2" w14:textId="77777777" w:rsidR="00E05341" w:rsidRPr="00C76B7B" w:rsidRDefault="00E05341" w:rsidP="00E05341">
      <w:pPr>
        <w:pStyle w:val="Heading2"/>
        <w:spacing w:after="200"/>
        <w:rPr>
          <w:rFonts w:asciiTheme="minorHAnsi" w:hAnsiTheme="minorHAnsi" w:cstheme="minorHAnsi"/>
          <w:b/>
          <w:sz w:val="24"/>
          <w:szCs w:val="24"/>
          <w:lang w:val="sr-Latn-ME"/>
        </w:rPr>
      </w:pPr>
      <w:r w:rsidRPr="00C76B7B">
        <w:rPr>
          <w:rFonts w:asciiTheme="minorHAnsi" w:hAnsiTheme="minorHAnsi" w:cstheme="minorHAnsi"/>
          <w:b/>
          <w:sz w:val="24"/>
          <w:szCs w:val="24"/>
          <w:lang w:val="sr-Latn-ME"/>
        </w:rPr>
        <w:t>4.4. Srednjoročni budžetski izgledi</w:t>
      </w:r>
      <w:bookmarkEnd w:id="58"/>
      <w:bookmarkEnd w:id="59"/>
      <w:r w:rsidRPr="00C76B7B">
        <w:rPr>
          <w:rFonts w:asciiTheme="minorHAnsi" w:hAnsiTheme="minorHAnsi" w:cstheme="minorHAnsi"/>
          <w:b/>
          <w:sz w:val="24"/>
          <w:szCs w:val="24"/>
          <w:lang w:val="sr-Latn-ME"/>
        </w:rPr>
        <w:t xml:space="preserve"> </w:t>
      </w:r>
      <w:bookmarkStart w:id="62" w:name="_Toc500763420"/>
      <w:r w:rsidRPr="00C76B7B">
        <w:rPr>
          <w:rFonts w:asciiTheme="minorHAnsi" w:hAnsiTheme="minorHAnsi" w:cstheme="minorHAnsi"/>
          <w:b/>
          <w:sz w:val="24"/>
          <w:szCs w:val="24"/>
          <w:lang w:val="sr-Latn-ME"/>
        </w:rPr>
        <w:t>i politike podrške</w:t>
      </w:r>
      <w:bookmarkEnd w:id="60"/>
    </w:p>
    <w:p w14:paraId="327DD253" w14:textId="77777777" w:rsidR="00E05341" w:rsidRPr="005E617A" w:rsidRDefault="00E05341" w:rsidP="00E05341">
      <w:pPr>
        <w:jc w:val="both"/>
        <w:rPr>
          <w:rFonts w:cstheme="minorHAnsi"/>
          <w:sz w:val="24"/>
          <w:szCs w:val="24"/>
        </w:rPr>
      </w:pPr>
      <w:r w:rsidRPr="005E617A">
        <w:rPr>
          <w:rFonts w:cstheme="minorHAnsi"/>
          <w:sz w:val="24"/>
          <w:szCs w:val="24"/>
        </w:rPr>
        <w:t>U svim godinama pojekcija</w:t>
      </w:r>
      <w:r>
        <w:rPr>
          <w:rFonts w:cstheme="minorHAnsi"/>
          <w:sz w:val="24"/>
          <w:szCs w:val="24"/>
        </w:rPr>
        <w:t>,</w:t>
      </w:r>
      <w:r w:rsidRPr="005E617A">
        <w:rPr>
          <w:rFonts w:cstheme="minorHAnsi"/>
          <w:sz w:val="24"/>
          <w:szCs w:val="24"/>
        </w:rPr>
        <w:t xml:space="preserve"> ostvaruje </w:t>
      </w:r>
      <w:r>
        <w:rPr>
          <w:rFonts w:cstheme="minorHAnsi"/>
          <w:sz w:val="24"/>
          <w:szCs w:val="24"/>
        </w:rPr>
        <w:t xml:space="preserve">se </w:t>
      </w:r>
      <w:r w:rsidRPr="005E617A">
        <w:rPr>
          <w:rFonts w:cstheme="minorHAnsi"/>
          <w:sz w:val="24"/>
          <w:szCs w:val="24"/>
        </w:rPr>
        <w:t>suficit tekuće budžetske potrošnje, što govori u prilog tome da država sve svoje tekuće obaveze finansira iz tekućih prihoda, odnosno da se zaduživanje vrši isključivo za potrebe realizacije kapitalnih projekata kojima se daje podrška projektovanom ekonomskom rastu.</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842"/>
        <w:gridCol w:w="1028"/>
        <w:gridCol w:w="1187"/>
        <w:gridCol w:w="629"/>
        <w:gridCol w:w="629"/>
        <w:gridCol w:w="629"/>
        <w:gridCol w:w="628"/>
        <w:gridCol w:w="628"/>
        <w:gridCol w:w="628"/>
      </w:tblGrid>
      <w:tr w:rsidR="00CF227C" w:rsidRPr="00CA30DF" w14:paraId="470841C0" w14:textId="77777777" w:rsidTr="00CF227C">
        <w:trPr>
          <w:trHeight w:val="366"/>
          <w:jc w:val="center"/>
        </w:trPr>
        <w:tc>
          <w:tcPr>
            <w:tcW w:w="1779" w:type="pct"/>
            <w:gridSpan w:val="2"/>
            <w:vMerge w:val="restart"/>
            <w:shd w:val="clear" w:color="auto" w:fill="auto"/>
            <w:vAlign w:val="center"/>
            <w:hideMark/>
          </w:tcPr>
          <w:p w14:paraId="3A21D551" w14:textId="77777777" w:rsidR="00CF227C" w:rsidRPr="00CA30DF" w:rsidRDefault="00CF227C" w:rsidP="00CF227C">
            <w:pPr>
              <w:spacing w:after="0"/>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Fiskalni okvir (u % BDP-a)</w:t>
            </w:r>
          </w:p>
        </w:tc>
        <w:tc>
          <w:tcPr>
            <w:tcW w:w="567" w:type="pct"/>
            <w:shd w:val="clear" w:color="auto" w:fill="auto"/>
            <w:noWrap/>
            <w:vAlign w:val="center"/>
            <w:hideMark/>
          </w:tcPr>
          <w:p w14:paraId="3F014B15"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Ostvarenje</w:t>
            </w:r>
          </w:p>
        </w:tc>
        <w:tc>
          <w:tcPr>
            <w:tcW w:w="652" w:type="pct"/>
            <w:shd w:val="clear" w:color="auto" w:fill="auto"/>
            <w:noWrap/>
            <w:vAlign w:val="center"/>
            <w:hideMark/>
          </w:tcPr>
          <w:p w14:paraId="2FAA497C"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Preliminarno</w:t>
            </w:r>
          </w:p>
        </w:tc>
        <w:tc>
          <w:tcPr>
            <w:tcW w:w="1047" w:type="pct"/>
            <w:gridSpan w:val="3"/>
            <w:shd w:val="clear" w:color="auto" w:fill="auto"/>
            <w:noWrap/>
            <w:vAlign w:val="center"/>
            <w:hideMark/>
          </w:tcPr>
          <w:p w14:paraId="32D1E041"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Osnovni scenario</w:t>
            </w:r>
          </w:p>
        </w:tc>
        <w:tc>
          <w:tcPr>
            <w:tcW w:w="955" w:type="pct"/>
            <w:gridSpan w:val="3"/>
            <w:shd w:val="clear" w:color="auto" w:fill="auto"/>
            <w:noWrap/>
            <w:vAlign w:val="center"/>
            <w:hideMark/>
          </w:tcPr>
          <w:p w14:paraId="3894FF05"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Scenario nižeg rasta</w:t>
            </w:r>
          </w:p>
        </w:tc>
      </w:tr>
      <w:tr w:rsidR="00CF227C" w:rsidRPr="00CA30DF" w14:paraId="55FB484F" w14:textId="77777777" w:rsidTr="00CF227C">
        <w:trPr>
          <w:trHeight w:val="366"/>
          <w:jc w:val="center"/>
        </w:trPr>
        <w:tc>
          <w:tcPr>
            <w:tcW w:w="1779" w:type="pct"/>
            <w:gridSpan w:val="2"/>
            <w:vMerge/>
            <w:shd w:val="clear" w:color="auto" w:fill="auto"/>
            <w:vAlign w:val="center"/>
            <w:hideMark/>
          </w:tcPr>
          <w:p w14:paraId="22CF41E9" w14:textId="77777777" w:rsidR="00CF227C" w:rsidRPr="00CA30DF" w:rsidRDefault="00CF227C" w:rsidP="00CF227C">
            <w:pPr>
              <w:spacing w:after="0"/>
              <w:rPr>
                <w:rFonts w:eastAsia="Times New Roman" w:cstheme="minorHAnsi"/>
                <w:b/>
                <w:bCs/>
                <w:sz w:val="18"/>
                <w:szCs w:val="18"/>
                <w:lang w:val="sr-Latn-ME" w:eastAsia="sr-Latn-ME"/>
              </w:rPr>
            </w:pPr>
          </w:p>
        </w:tc>
        <w:tc>
          <w:tcPr>
            <w:tcW w:w="567" w:type="pct"/>
            <w:shd w:val="clear" w:color="auto" w:fill="auto"/>
            <w:noWrap/>
            <w:vAlign w:val="center"/>
            <w:hideMark/>
          </w:tcPr>
          <w:p w14:paraId="04205559"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2023</w:t>
            </w:r>
          </w:p>
        </w:tc>
        <w:tc>
          <w:tcPr>
            <w:tcW w:w="652" w:type="pct"/>
            <w:shd w:val="clear" w:color="auto" w:fill="auto"/>
            <w:noWrap/>
            <w:vAlign w:val="center"/>
            <w:hideMark/>
          </w:tcPr>
          <w:p w14:paraId="6776F8AB"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2024</w:t>
            </w:r>
          </w:p>
        </w:tc>
        <w:tc>
          <w:tcPr>
            <w:tcW w:w="366" w:type="pct"/>
            <w:shd w:val="clear" w:color="auto" w:fill="auto"/>
            <w:vAlign w:val="center"/>
            <w:hideMark/>
          </w:tcPr>
          <w:p w14:paraId="5A2EA0F2"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2025</w:t>
            </w:r>
          </w:p>
        </w:tc>
        <w:tc>
          <w:tcPr>
            <w:tcW w:w="363" w:type="pct"/>
            <w:shd w:val="clear" w:color="auto" w:fill="auto"/>
            <w:vAlign w:val="center"/>
            <w:hideMark/>
          </w:tcPr>
          <w:p w14:paraId="49E1422C"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2026</w:t>
            </w:r>
          </w:p>
        </w:tc>
        <w:tc>
          <w:tcPr>
            <w:tcW w:w="318" w:type="pct"/>
            <w:shd w:val="clear" w:color="auto" w:fill="auto"/>
            <w:vAlign w:val="center"/>
            <w:hideMark/>
          </w:tcPr>
          <w:p w14:paraId="61B47F27"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2027</w:t>
            </w:r>
          </w:p>
        </w:tc>
        <w:tc>
          <w:tcPr>
            <w:tcW w:w="318" w:type="pct"/>
            <w:shd w:val="clear" w:color="auto" w:fill="auto"/>
            <w:vAlign w:val="center"/>
            <w:hideMark/>
          </w:tcPr>
          <w:p w14:paraId="647EEDF5"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2025</w:t>
            </w:r>
          </w:p>
        </w:tc>
        <w:tc>
          <w:tcPr>
            <w:tcW w:w="318" w:type="pct"/>
            <w:shd w:val="clear" w:color="auto" w:fill="auto"/>
            <w:vAlign w:val="center"/>
            <w:hideMark/>
          </w:tcPr>
          <w:p w14:paraId="747BB454"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2026</w:t>
            </w:r>
          </w:p>
        </w:tc>
        <w:tc>
          <w:tcPr>
            <w:tcW w:w="318" w:type="pct"/>
            <w:shd w:val="clear" w:color="auto" w:fill="auto"/>
            <w:vAlign w:val="center"/>
            <w:hideMark/>
          </w:tcPr>
          <w:p w14:paraId="48C20309"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2027</w:t>
            </w:r>
          </w:p>
        </w:tc>
      </w:tr>
      <w:tr w:rsidR="00CF227C" w:rsidRPr="00CA30DF" w14:paraId="5471FDF0" w14:textId="77777777" w:rsidTr="00CF227C">
        <w:trPr>
          <w:trHeight w:val="366"/>
          <w:jc w:val="center"/>
        </w:trPr>
        <w:tc>
          <w:tcPr>
            <w:tcW w:w="766" w:type="pct"/>
            <w:vMerge w:val="restart"/>
            <w:shd w:val="clear" w:color="auto" w:fill="auto"/>
            <w:vAlign w:val="center"/>
            <w:hideMark/>
          </w:tcPr>
          <w:p w14:paraId="2411E8F3"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Fiskalni pokazatelji</w:t>
            </w:r>
          </w:p>
        </w:tc>
        <w:tc>
          <w:tcPr>
            <w:tcW w:w="1013" w:type="pct"/>
            <w:shd w:val="clear" w:color="auto" w:fill="auto"/>
            <w:noWrap/>
            <w:vAlign w:val="center"/>
            <w:hideMark/>
          </w:tcPr>
          <w:p w14:paraId="5E227B7B" w14:textId="77777777" w:rsidR="00CF227C" w:rsidRPr="00CA30DF" w:rsidRDefault="00CF227C" w:rsidP="00CF227C">
            <w:pPr>
              <w:spacing w:after="0"/>
              <w:jc w:val="center"/>
              <w:rPr>
                <w:rFonts w:eastAsia="Times New Roman" w:cstheme="minorHAnsi"/>
                <w:sz w:val="18"/>
                <w:szCs w:val="18"/>
                <w:lang w:val="sr-Latn-ME" w:eastAsia="sr-Latn-ME"/>
              </w:rPr>
            </w:pPr>
            <w:r w:rsidRPr="00CA30DF">
              <w:rPr>
                <w:rFonts w:eastAsia="Times New Roman" w:cstheme="minorHAnsi"/>
                <w:sz w:val="18"/>
                <w:szCs w:val="18"/>
                <w:lang w:val="sr-Latn-ME" w:eastAsia="sr-Latn-ME"/>
              </w:rPr>
              <w:t>Izvorni javni prihodi</w:t>
            </w:r>
          </w:p>
        </w:tc>
        <w:tc>
          <w:tcPr>
            <w:tcW w:w="567" w:type="pct"/>
            <w:shd w:val="clear" w:color="auto" w:fill="auto"/>
            <w:vAlign w:val="center"/>
          </w:tcPr>
          <w:p w14:paraId="6BE80947" w14:textId="77777777" w:rsidR="00CF227C" w:rsidRPr="00CA30DF" w:rsidRDefault="00CF227C" w:rsidP="00CF227C">
            <w:pPr>
              <w:spacing w:after="0"/>
              <w:jc w:val="center"/>
              <w:rPr>
                <w:rFonts w:eastAsia="Times New Roman" w:cstheme="minorHAnsi"/>
                <w:sz w:val="18"/>
                <w:szCs w:val="18"/>
                <w:lang w:val="sr-Latn-ME" w:eastAsia="sr-Latn-ME"/>
              </w:rPr>
            </w:pPr>
            <w:r w:rsidRPr="00CA30DF">
              <w:rPr>
                <w:rFonts w:eastAsia="Times New Roman" w:cstheme="minorHAnsi"/>
                <w:sz w:val="18"/>
                <w:szCs w:val="18"/>
                <w:lang w:val="sr-Latn-ME" w:eastAsia="sr-Latn-ME"/>
              </w:rPr>
              <w:t>43.0</w:t>
            </w:r>
          </w:p>
        </w:tc>
        <w:tc>
          <w:tcPr>
            <w:tcW w:w="652" w:type="pct"/>
            <w:shd w:val="clear" w:color="auto" w:fill="auto"/>
            <w:vAlign w:val="center"/>
          </w:tcPr>
          <w:p w14:paraId="3FB8E2B4" w14:textId="77777777" w:rsidR="00CF227C" w:rsidRPr="00CA30DF" w:rsidRDefault="00CF227C" w:rsidP="00CF227C">
            <w:pPr>
              <w:spacing w:after="0"/>
              <w:jc w:val="center"/>
              <w:rPr>
                <w:rFonts w:eastAsia="Times New Roman" w:cstheme="minorHAnsi"/>
                <w:sz w:val="18"/>
                <w:szCs w:val="18"/>
                <w:lang w:val="sr-Latn-ME" w:eastAsia="sr-Latn-ME"/>
              </w:rPr>
            </w:pPr>
            <w:r w:rsidRPr="00CA30DF">
              <w:rPr>
                <w:rFonts w:eastAsia="Times New Roman" w:cstheme="minorHAnsi"/>
                <w:sz w:val="18"/>
                <w:szCs w:val="18"/>
                <w:lang w:val="sr-Latn-ME" w:eastAsia="sr-Latn-ME"/>
              </w:rPr>
              <w:t>42.8</w:t>
            </w:r>
          </w:p>
        </w:tc>
        <w:tc>
          <w:tcPr>
            <w:tcW w:w="366" w:type="pct"/>
            <w:shd w:val="clear" w:color="auto" w:fill="auto"/>
            <w:vAlign w:val="center"/>
          </w:tcPr>
          <w:p w14:paraId="32DDDB3F"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41.2</w:t>
            </w:r>
          </w:p>
        </w:tc>
        <w:tc>
          <w:tcPr>
            <w:tcW w:w="363" w:type="pct"/>
            <w:shd w:val="clear" w:color="auto" w:fill="auto"/>
            <w:vAlign w:val="center"/>
          </w:tcPr>
          <w:p w14:paraId="0430E126"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40.7</w:t>
            </w:r>
          </w:p>
        </w:tc>
        <w:tc>
          <w:tcPr>
            <w:tcW w:w="318" w:type="pct"/>
            <w:shd w:val="clear" w:color="auto" w:fill="auto"/>
            <w:vAlign w:val="center"/>
          </w:tcPr>
          <w:p w14:paraId="623A1970"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40.3</w:t>
            </w:r>
          </w:p>
        </w:tc>
        <w:tc>
          <w:tcPr>
            <w:tcW w:w="318" w:type="pct"/>
            <w:shd w:val="clear" w:color="auto" w:fill="auto"/>
            <w:vAlign w:val="center"/>
          </w:tcPr>
          <w:p w14:paraId="69EEC516" w14:textId="77777777" w:rsidR="00CF227C" w:rsidRPr="00CA30DF" w:rsidRDefault="00CF227C" w:rsidP="00CF227C">
            <w:pPr>
              <w:spacing w:after="0"/>
              <w:jc w:val="center"/>
              <w:rPr>
                <w:rFonts w:eastAsia="Times New Roman" w:cstheme="minorHAnsi"/>
                <w:b/>
                <w:sz w:val="18"/>
                <w:szCs w:val="18"/>
                <w:lang w:val="sr-Latn-ME" w:eastAsia="sr-Latn-ME"/>
              </w:rPr>
            </w:pPr>
            <w:r w:rsidRPr="00CA30DF">
              <w:rPr>
                <w:rFonts w:eastAsia="Times New Roman" w:cstheme="minorHAnsi"/>
                <w:b/>
                <w:sz w:val="18"/>
                <w:szCs w:val="18"/>
                <w:lang w:val="sr-Latn-ME" w:eastAsia="sr-Latn-ME"/>
              </w:rPr>
              <w:t>41.4</w:t>
            </w:r>
          </w:p>
        </w:tc>
        <w:tc>
          <w:tcPr>
            <w:tcW w:w="318" w:type="pct"/>
            <w:shd w:val="clear" w:color="auto" w:fill="auto"/>
            <w:vAlign w:val="center"/>
          </w:tcPr>
          <w:p w14:paraId="080BD050" w14:textId="77777777" w:rsidR="00CF227C" w:rsidRPr="00CA30DF" w:rsidRDefault="00CF227C" w:rsidP="00CF227C">
            <w:pPr>
              <w:spacing w:after="0"/>
              <w:jc w:val="center"/>
              <w:rPr>
                <w:rFonts w:eastAsia="Times New Roman" w:cstheme="minorHAnsi"/>
                <w:b/>
                <w:sz w:val="18"/>
                <w:szCs w:val="18"/>
                <w:lang w:val="sr-Latn-ME" w:eastAsia="sr-Latn-ME"/>
              </w:rPr>
            </w:pPr>
            <w:r w:rsidRPr="00CA30DF">
              <w:rPr>
                <w:rFonts w:eastAsia="Times New Roman" w:cstheme="minorHAnsi"/>
                <w:b/>
                <w:sz w:val="18"/>
                <w:szCs w:val="18"/>
                <w:lang w:val="sr-Latn-ME" w:eastAsia="sr-Latn-ME"/>
              </w:rPr>
              <w:t>41.2</w:t>
            </w:r>
          </w:p>
        </w:tc>
        <w:tc>
          <w:tcPr>
            <w:tcW w:w="318" w:type="pct"/>
            <w:shd w:val="clear" w:color="auto" w:fill="auto"/>
            <w:vAlign w:val="center"/>
          </w:tcPr>
          <w:p w14:paraId="48432F14" w14:textId="77777777" w:rsidR="00CF227C" w:rsidRPr="00CA30DF" w:rsidRDefault="00CF227C" w:rsidP="00CF227C">
            <w:pPr>
              <w:spacing w:after="0"/>
              <w:jc w:val="center"/>
              <w:rPr>
                <w:rFonts w:eastAsia="Times New Roman" w:cstheme="minorHAnsi"/>
                <w:b/>
                <w:sz w:val="18"/>
                <w:szCs w:val="18"/>
                <w:lang w:val="sr-Latn-ME" w:eastAsia="sr-Latn-ME"/>
              </w:rPr>
            </w:pPr>
            <w:r w:rsidRPr="00CA30DF">
              <w:rPr>
                <w:rFonts w:eastAsia="Times New Roman" w:cstheme="minorHAnsi"/>
                <w:b/>
                <w:sz w:val="18"/>
                <w:szCs w:val="18"/>
                <w:lang w:val="sr-Latn-ME" w:eastAsia="sr-Latn-ME"/>
              </w:rPr>
              <w:t>41.1</w:t>
            </w:r>
          </w:p>
        </w:tc>
      </w:tr>
      <w:tr w:rsidR="00CF227C" w:rsidRPr="00CA30DF" w14:paraId="60F9C7F7" w14:textId="77777777" w:rsidTr="00CF227C">
        <w:trPr>
          <w:trHeight w:val="366"/>
          <w:jc w:val="center"/>
        </w:trPr>
        <w:tc>
          <w:tcPr>
            <w:tcW w:w="766" w:type="pct"/>
            <w:vMerge/>
            <w:shd w:val="clear" w:color="auto" w:fill="auto"/>
            <w:vAlign w:val="center"/>
            <w:hideMark/>
          </w:tcPr>
          <w:p w14:paraId="3427BAB4" w14:textId="77777777" w:rsidR="00CF227C" w:rsidRPr="00CA30DF" w:rsidRDefault="00CF227C" w:rsidP="00CF227C">
            <w:pPr>
              <w:spacing w:after="0"/>
              <w:rPr>
                <w:rFonts w:eastAsia="Times New Roman" w:cstheme="minorHAnsi"/>
                <w:b/>
                <w:bCs/>
                <w:sz w:val="18"/>
                <w:szCs w:val="18"/>
                <w:u w:val="single"/>
                <w:lang w:val="sr-Latn-ME" w:eastAsia="sr-Latn-ME"/>
              </w:rPr>
            </w:pPr>
          </w:p>
        </w:tc>
        <w:tc>
          <w:tcPr>
            <w:tcW w:w="1013" w:type="pct"/>
            <w:shd w:val="clear" w:color="auto" w:fill="auto"/>
            <w:noWrap/>
            <w:vAlign w:val="center"/>
            <w:hideMark/>
          </w:tcPr>
          <w:p w14:paraId="73324F0C" w14:textId="77777777" w:rsidR="00CF227C" w:rsidRPr="00CA30DF" w:rsidRDefault="00CF227C" w:rsidP="00CF227C">
            <w:pPr>
              <w:spacing w:after="0"/>
              <w:jc w:val="center"/>
              <w:rPr>
                <w:rFonts w:eastAsia="Times New Roman" w:cstheme="minorHAnsi"/>
                <w:sz w:val="18"/>
                <w:szCs w:val="18"/>
                <w:lang w:val="sr-Latn-ME" w:eastAsia="sr-Latn-ME"/>
              </w:rPr>
            </w:pPr>
            <w:r w:rsidRPr="00CA30DF">
              <w:rPr>
                <w:rFonts w:eastAsia="Times New Roman" w:cstheme="minorHAnsi"/>
                <w:sz w:val="18"/>
                <w:szCs w:val="18"/>
                <w:lang w:val="sr-Latn-ME" w:eastAsia="sr-Latn-ME"/>
              </w:rPr>
              <w:t>Javna potrošnja</w:t>
            </w:r>
          </w:p>
        </w:tc>
        <w:tc>
          <w:tcPr>
            <w:tcW w:w="567" w:type="pct"/>
            <w:shd w:val="clear" w:color="auto" w:fill="auto"/>
            <w:vAlign w:val="center"/>
          </w:tcPr>
          <w:p w14:paraId="6C0F8062" w14:textId="77777777" w:rsidR="00CF227C" w:rsidRPr="00CA30DF" w:rsidRDefault="00CF227C" w:rsidP="00CF227C">
            <w:pPr>
              <w:spacing w:after="0"/>
              <w:jc w:val="center"/>
              <w:rPr>
                <w:rFonts w:eastAsia="Times New Roman" w:cstheme="minorHAnsi"/>
                <w:sz w:val="18"/>
                <w:szCs w:val="18"/>
                <w:lang w:val="sr-Latn-ME" w:eastAsia="sr-Latn-ME"/>
              </w:rPr>
            </w:pPr>
            <w:r w:rsidRPr="00CA30DF">
              <w:rPr>
                <w:rFonts w:eastAsia="Times New Roman" w:cstheme="minorHAnsi"/>
                <w:sz w:val="18"/>
                <w:szCs w:val="18"/>
                <w:lang w:val="sr-Latn-ME" w:eastAsia="sr-Latn-ME"/>
              </w:rPr>
              <w:t>42.3</w:t>
            </w:r>
          </w:p>
        </w:tc>
        <w:tc>
          <w:tcPr>
            <w:tcW w:w="652" w:type="pct"/>
            <w:shd w:val="clear" w:color="auto" w:fill="auto"/>
            <w:vAlign w:val="center"/>
          </w:tcPr>
          <w:p w14:paraId="29BD27B7" w14:textId="77777777" w:rsidR="00CF227C" w:rsidRPr="00CA30DF" w:rsidRDefault="00CF227C" w:rsidP="00CF227C">
            <w:pPr>
              <w:spacing w:after="0"/>
              <w:jc w:val="center"/>
              <w:rPr>
                <w:rFonts w:eastAsia="Times New Roman" w:cstheme="minorHAnsi"/>
                <w:sz w:val="18"/>
                <w:szCs w:val="18"/>
                <w:lang w:val="sr-Latn-ME" w:eastAsia="sr-Latn-ME"/>
              </w:rPr>
            </w:pPr>
            <w:r w:rsidRPr="00CA30DF">
              <w:rPr>
                <w:rFonts w:eastAsia="Times New Roman" w:cstheme="minorHAnsi"/>
                <w:sz w:val="18"/>
                <w:szCs w:val="18"/>
                <w:lang w:val="sr-Latn-ME" w:eastAsia="sr-Latn-ME"/>
              </w:rPr>
              <w:t>45.9</w:t>
            </w:r>
          </w:p>
        </w:tc>
        <w:tc>
          <w:tcPr>
            <w:tcW w:w="366" w:type="pct"/>
            <w:shd w:val="clear" w:color="auto" w:fill="auto"/>
            <w:vAlign w:val="center"/>
          </w:tcPr>
          <w:p w14:paraId="58A9518C"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44.7</w:t>
            </w:r>
          </w:p>
        </w:tc>
        <w:tc>
          <w:tcPr>
            <w:tcW w:w="363" w:type="pct"/>
            <w:shd w:val="clear" w:color="auto" w:fill="auto"/>
            <w:vAlign w:val="center"/>
          </w:tcPr>
          <w:p w14:paraId="72AA5F4B"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43.8</w:t>
            </w:r>
          </w:p>
        </w:tc>
        <w:tc>
          <w:tcPr>
            <w:tcW w:w="318" w:type="pct"/>
            <w:shd w:val="clear" w:color="auto" w:fill="auto"/>
            <w:vAlign w:val="center"/>
          </w:tcPr>
          <w:p w14:paraId="0D16AE9E"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43.3</w:t>
            </w:r>
          </w:p>
        </w:tc>
        <w:tc>
          <w:tcPr>
            <w:tcW w:w="318" w:type="pct"/>
            <w:shd w:val="clear" w:color="auto" w:fill="auto"/>
            <w:vAlign w:val="center"/>
          </w:tcPr>
          <w:p w14:paraId="3A35AC4E"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45,4</w:t>
            </w:r>
          </w:p>
        </w:tc>
        <w:tc>
          <w:tcPr>
            <w:tcW w:w="318" w:type="pct"/>
            <w:shd w:val="clear" w:color="auto" w:fill="auto"/>
            <w:vAlign w:val="center"/>
          </w:tcPr>
          <w:p w14:paraId="381FFC0F"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45,1</w:t>
            </w:r>
          </w:p>
        </w:tc>
        <w:tc>
          <w:tcPr>
            <w:tcW w:w="318" w:type="pct"/>
            <w:shd w:val="clear" w:color="auto" w:fill="auto"/>
            <w:vAlign w:val="center"/>
          </w:tcPr>
          <w:p w14:paraId="3E15AF7B"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44,9</w:t>
            </w:r>
          </w:p>
        </w:tc>
      </w:tr>
      <w:tr w:rsidR="00CF227C" w:rsidRPr="00CA30DF" w14:paraId="4DC307DB" w14:textId="77777777" w:rsidTr="00CF227C">
        <w:trPr>
          <w:trHeight w:val="366"/>
          <w:jc w:val="center"/>
        </w:trPr>
        <w:tc>
          <w:tcPr>
            <w:tcW w:w="766" w:type="pct"/>
            <w:vMerge/>
            <w:shd w:val="clear" w:color="auto" w:fill="auto"/>
            <w:vAlign w:val="center"/>
            <w:hideMark/>
          </w:tcPr>
          <w:p w14:paraId="6979371A" w14:textId="77777777" w:rsidR="00CF227C" w:rsidRPr="00CA30DF" w:rsidRDefault="00CF227C" w:rsidP="00CF227C">
            <w:pPr>
              <w:spacing w:after="0"/>
              <w:rPr>
                <w:rFonts w:eastAsia="Times New Roman" w:cstheme="minorHAnsi"/>
                <w:b/>
                <w:bCs/>
                <w:sz w:val="18"/>
                <w:szCs w:val="18"/>
                <w:u w:val="single"/>
                <w:lang w:val="sr-Latn-ME" w:eastAsia="sr-Latn-ME"/>
              </w:rPr>
            </w:pPr>
          </w:p>
        </w:tc>
        <w:tc>
          <w:tcPr>
            <w:tcW w:w="1013" w:type="pct"/>
            <w:shd w:val="clear" w:color="auto" w:fill="auto"/>
            <w:noWrap/>
            <w:vAlign w:val="center"/>
            <w:hideMark/>
          </w:tcPr>
          <w:p w14:paraId="6A43E19F" w14:textId="77777777" w:rsidR="00CF227C" w:rsidRPr="00CA30DF" w:rsidRDefault="00CF227C" w:rsidP="00CF227C">
            <w:pPr>
              <w:spacing w:after="0"/>
              <w:jc w:val="center"/>
              <w:rPr>
                <w:rFonts w:eastAsia="Times New Roman" w:cstheme="minorHAnsi"/>
                <w:sz w:val="18"/>
                <w:szCs w:val="18"/>
                <w:lang w:val="sr-Latn-ME" w:eastAsia="sr-Latn-ME"/>
              </w:rPr>
            </w:pPr>
            <w:r w:rsidRPr="00CA30DF">
              <w:rPr>
                <w:rFonts w:eastAsia="Times New Roman" w:cstheme="minorHAnsi"/>
                <w:sz w:val="18"/>
                <w:szCs w:val="18"/>
                <w:lang w:val="sr-Latn-ME" w:eastAsia="sr-Latn-ME"/>
              </w:rPr>
              <w:t>Deficit/Suficit</w:t>
            </w:r>
          </w:p>
        </w:tc>
        <w:tc>
          <w:tcPr>
            <w:tcW w:w="567" w:type="pct"/>
            <w:shd w:val="clear" w:color="auto" w:fill="auto"/>
            <w:vAlign w:val="center"/>
          </w:tcPr>
          <w:p w14:paraId="4933704C" w14:textId="77777777" w:rsidR="00CF227C" w:rsidRPr="00CA30DF" w:rsidRDefault="00CF227C" w:rsidP="00CF227C">
            <w:pPr>
              <w:spacing w:after="0"/>
              <w:jc w:val="center"/>
              <w:rPr>
                <w:rFonts w:eastAsia="Times New Roman" w:cstheme="minorHAnsi"/>
                <w:sz w:val="18"/>
                <w:szCs w:val="18"/>
                <w:lang w:val="sr-Latn-ME" w:eastAsia="sr-Latn-ME"/>
              </w:rPr>
            </w:pPr>
            <w:r w:rsidRPr="00CA30DF">
              <w:rPr>
                <w:rFonts w:eastAsia="Times New Roman" w:cstheme="minorHAnsi"/>
                <w:sz w:val="18"/>
                <w:szCs w:val="18"/>
                <w:lang w:val="sr-Latn-ME" w:eastAsia="sr-Latn-ME"/>
              </w:rPr>
              <w:t>0.6</w:t>
            </w:r>
          </w:p>
        </w:tc>
        <w:tc>
          <w:tcPr>
            <w:tcW w:w="652" w:type="pct"/>
            <w:shd w:val="clear" w:color="auto" w:fill="auto"/>
            <w:vAlign w:val="center"/>
          </w:tcPr>
          <w:p w14:paraId="5567DDCA" w14:textId="77777777" w:rsidR="00CF227C" w:rsidRPr="00CA30DF" w:rsidRDefault="00CF227C" w:rsidP="00CF227C">
            <w:pPr>
              <w:spacing w:after="0"/>
              <w:jc w:val="center"/>
              <w:rPr>
                <w:rFonts w:eastAsia="Times New Roman" w:cstheme="minorHAnsi"/>
                <w:sz w:val="18"/>
                <w:szCs w:val="18"/>
                <w:lang w:val="sr-Latn-ME" w:eastAsia="sr-Latn-ME"/>
              </w:rPr>
            </w:pPr>
            <w:r w:rsidRPr="00CA30DF">
              <w:rPr>
                <w:rFonts w:eastAsia="Times New Roman" w:cstheme="minorHAnsi"/>
                <w:sz w:val="18"/>
                <w:szCs w:val="18"/>
                <w:lang w:val="sr-Latn-ME" w:eastAsia="sr-Latn-ME"/>
              </w:rPr>
              <w:t>-3.1</w:t>
            </w:r>
          </w:p>
        </w:tc>
        <w:tc>
          <w:tcPr>
            <w:tcW w:w="366" w:type="pct"/>
            <w:shd w:val="clear" w:color="auto" w:fill="auto"/>
            <w:vAlign w:val="center"/>
          </w:tcPr>
          <w:p w14:paraId="0CB4617B"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-3.5</w:t>
            </w:r>
          </w:p>
        </w:tc>
        <w:tc>
          <w:tcPr>
            <w:tcW w:w="363" w:type="pct"/>
            <w:shd w:val="clear" w:color="auto" w:fill="auto"/>
            <w:vAlign w:val="center"/>
          </w:tcPr>
          <w:p w14:paraId="7F0C7004"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-3.1</w:t>
            </w:r>
          </w:p>
        </w:tc>
        <w:tc>
          <w:tcPr>
            <w:tcW w:w="318" w:type="pct"/>
            <w:shd w:val="clear" w:color="auto" w:fill="auto"/>
            <w:vAlign w:val="center"/>
          </w:tcPr>
          <w:p w14:paraId="1B323C78"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-3.0</w:t>
            </w:r>
          </w:p>
        </w:tc>
        <w:tc>
          <w:tcPr>
            <w:tcW w:w="318" w:type="pct"/>
            <w:shd w:val="clear" w:color="auto" w:fill="auto"/>
            <w:vAlign w:val="center"/>
          </w:tcPr>
          <w:p w14:paraId="71469A89"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-4,0</w:t>
            </w:r>
          </w:p>
        </w:tc>
        <w:tc>
          <w:tcPr>
            <w:tcW w:w="318" w:type="pct"/>
            <w:shd w:val="clear" w:color="auto" w:fill="auto"/>
            <w:vAlign w:val="center"/>
          </w:tcPr>
          <w:p w14:paraId="3CA37CE5"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-3,9</w:t>
            </w:r>
          </w:p>
        </w:tc>
        <w:tc>
          <w:tcPr>
            <w:tcW w:w="318" w:type="pct"/>
            <w:shd w:val="clear" w:color="auto" w:fill="auto"/>
            <w:vAlign w:val="center"/>
          </w:tcPr>
          <w:p w14:paraId="66FB323C"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-3,8</w:t>
            </w:r>
          </w:p>
        </w:tc>
      </w:tr>
      <w:tr w:rsidR="00CF227C" w:rsidRPr="00CA30DF" w14:paraId="36DB163E" w14:textId="77777777" w:rsidTr="00CF227C">
        <w:trPr>
          <w:trHeight w:val="366"/>
          <w:jc w:val="center"/>
        </w:trPr>
        <w:tc>
          <w:tcPr>
            <w:tcW w:w="766" w:type="pct"/>
            <w:vMerge/>
            <w:shd w:val="clear" w:color="auto" w:fill="auto"/>
            <w:vAlign w:val="center"/>
            <w:hideMark/>
          </w:tcPr>
          <w:p w14:paraId="4E113127" w14:textId="77777777" w:rsidR="00CF227C" w:rsidRPr="00CA30DF" w:rsidRDefault="00CF227C" w:rsidP="00CF227C">
            <w:pPr>
              <w:spacing w:after="0"/>
              <w:rPr>
                <w:rFonts w:eastAsia="Times New Roman" w:cstheme="minorHAnsi"/>
                <w:b/>
                <w:bCs/>
                <w:sz w:val="18"/>
                <w:szCs w:val="18"/>
                <w:u w:val="single"/>
                <w:lang w:val="sr-Latn-ME" w:eastAsia="sr-Latn-ME"/>
              </w:rPr>
            </w:pPr>
          </w:p>
        </w:tc>
        <w:tc>
          <w:tcPr>
            <w:tcW w:w="1013" w:type="pct"/>
            <w:shd w:val="clear" w:color="auto" w:fill="auto"/>
            <w:noWrap/>
            <w:vAlign w:val="center"/>
            <w:hideMark/>
          </w:tcPr>
          <w:p w14:paraId="049781C9" w14:textId="77777777" w:rsidR="00CF227C" w:rsidRPr="00CA30DF" w:rsidRDefault="00CF227C" w:rsidP="00CF227C">
            <w:pPr>
              <w:spacing w:after="0"/>
              <w:jc w:val="center"/>
              <w:rPr>
                <w:rFonts w:eastAsia="Times New Roman" w:cstheme="minorHAnsi"/>
                <w:sz w:val="18"/>
                <w:szCs w:val="18"/>
                <w:lang w:val="sr-Latn-ME" w:eastAsia="sr-Latn-ME"/>
              </w:rPr>
            </w:pPr>
            <w:r w:rsidRPr="00CA30DF">
              <w:rPr>
                <w:rFonts w:eastAsia="Times New Roman" w:cstheme="minorHAnsi"/>
                <w:sz w:val="18"/>
                <w:szCs w:val="18"/>
                <w:lang w:val="sr-Latn-ME" w:eastAsia="sr-Latn-ME"/>
              </w:rPr>
              <w:t>Kamate</w:t>
            </w:r>
          </w:p>
        </w:tc>
        <w:tc>
          <w:tcPr>
            <w:tcW w:w="567" w:type="pct"/>
            <w:shd w:val="clear" w:color="auto" w:fill="auto"/>
            <w:vAlign w:val="center"/>
          </w:tcPr>
          <w:p w14:paraId="435A9C9D" w14:textId="77777777" w:rsidR="00CF227C" w:rsidRPr="00CA30DF" w:rsidRDefault="00CF227C" w:rsidP="00CF227C">
            <w:pPr>
              <w:spacing w:after="0"/>
              <w:jc w:val="center"/>
              <w:rPr>
                <w:rFonts w:eastAsia="Times New Roman" w:cstheme="minorHAnsi"/>
                <w:sz w:val="18"/>
                <w:szCs w:val="18"/>
                <w:lang w:val="sr-Latn-ME" w:eastAsia="sr-Latn-ME"/>
              </w:rPr>
            </w:pPr>
            <w:r w:rsidRPr="00CA30DF">
              <w:rPr>
                <w:rFonts w:eastAsia="Times New Roman" w:cstheme="minorHAnsi"/>
                <w:sz w:val="18"/>
                <w:szCs w:val="18"/>
                <w:lang w:val="sr-Latn-ME" w:eastAsia="sr-Latn-ME"/>
              </w:rPr>
              <w:t>1.9</w:t>
            </w:r>
          </w:p>
        </w:tc>
        <w:tc>
          <w:tcPr>
            <w:tcW w:w="652" w:type="pct"/>
            <w:shd w:val="clear" w:color="auto" w:fill="auto"/>
            <w:vAlign w:val="center"/>
          </w:tcPr>
          <w:p w14:paraId="06370D67" w14:textId="77777777" w:rsidR="00CF227C" w:rsidRPr="00CA30DF" w:rsidRDefault="00CF227C" w:rsidP="00CF227C">
            <w:pPr>
              <w:spacing w:after="0"/>
              <w:jc w:val="center"/>
              <w:rPr>
                <w:rFonts w:eastAsia="Times New Roman" w:cstheme="minorHAnsi"/>
                <w:sz w:val="18"/>
                <w:szCs w:val="18"/>
                <w:lang w:val="sr-Latn-ME" w:eastAsia="sr-Latn-ME"/>
              </w:rPr>
            </w:pPr>
            <w:r w:rsidRPr="00CA30DF">
              <w:rPr>
                <w:rFonts w:eastAsia="Times New Roman" w:cstheme="minorHAnsi"/>
                <w:sz w:val="18"/>
                <w:szCs w:val="18"/>
                <w:lang w:val="sr-Latn-ME" w:eastAsia="sr-Latn-ME"/>
              </w:rPr>
              <w:t>2</w:t>
            </w:r>
          </w:p>
        </w:tc>
        <w:tc>
          <w:tcPr>
            <w:tcW w:w="366" w:type="pct"/>
            <w:shd w:val="clear" w:color="auto" w:fill="auto"/>
            <w:vAlign w:val="center"/>
          </w:tcPr>
          <w:p w14:paraId="0909DE25" w14:textId="3D7FAA35"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2</w:t>
            </w:r>
            <w:r w:rsidR="00C53F1B">
              <w:rPr>
                <w:rFonts w:eastAsia="Times New Roman" w:cstheme="minorHAnsi"/>
                <w:b/>
                <w:bCs/>
                <w:sz w:val="18"/>
                <w:szCs w:val="18"/>
                <w:lang w:val="sr-Latn-ME" w:eastAsia="sr-Latn-ME"/>
              </w:rPr>
              <w:t>.0</w:t>
            </w:r>
          </w:p>
        </w:tc>
        <w:tc>
          <w:tcPr>
            <w:tcW w:w="363" w:type="pct"/>
            <w:shd w:val="clear" w:color="auto" w:fill="auto"/>
            <w:vAlign w:val="center"/>
          </w:tcPr>
          <w:p w14:paraId="5A9BEDFB"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2.3</w:t>
            </w:r>
          </w:p>
        </w:tc>
        <w:tc>
          <w:tcPr>
            <w:tcW w:w="318" w:type="pct"/>
            <w:shd w:val="clear" w:color="auto" w:fill="auto"/>
            <w:vAlign w:val="center"/>
          </w:tcPr>
          <w:p w14:paraId="2B05AD65"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2.5</w:t>
            </w:r>
          </w:p>
        </w:tc>
        <w:tc>
          <w:tcPr>
            <w:tcW w:w="318" w:type="pct"/>
            <w:shd w:val="clear" w:color="auto" w:fill="auto"/>
            <w:vAlign w:val="center"/>
          </w:tcPr>
          <w:p w14:paraId="13D9D529"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2,1</w:t>
            </w:r>
          </w:p>
        </w:tc>
        <w:tc>
          <w:tcPr>
            <w:tcW w:w="318" w:type="pct"/>
            <w:shd w:val="clear" w:color="auto" w:fill="auto"/>
            <w:vAlign w:val="center"/>
          </w:tcPr>
          <w:p w14:paraId="26D334BA"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2,4</w:t>
            </w:r>
          </w:p>
        </w:tc>
        <w:tc>
          <w:tcPr>
            <w:tcW w:w="318" w:type="pct"/>
            <w:shd w:val="clear" w:color="auto" w:fill="auto"/>
            <w:vAlign w:val="center"/>
          </w:tcPr>
          <w:p w14:paraId="0F9A8B34"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2,6</w:t>
            </w:r>
          </w:p>
        </w:tc>
      </w:tr>
      <w:tr w:rsidR="00CF227C" w:rsidRPr="00CA30DF" w14:paraId="5F70548C" w14:textId="77777777" w:rsidTr="00CF227C">
        <w:trPr>
          <w:trHeight w:val="366"/>
          <w:jc w:val="center"/>
        </w:trPr>
        <w:tc>
          <w:tcPr>
            <w:tcW w:w="766" w:type="pct"/>
            <w:vMerge/>
            <w:shd w:val="clear" w:color="auto" w:fill="auto"/>
            <w:vAlign w:val="center"/>
            <w:hideMark/>
          </w:tcPr>
          <w:p w14:paraId="0DF125E3" w14:textId="77777777" w:rsidR="00CF227C" w:rsidRPr="00CA30DF" w:rsidRDefault="00CF227C" w:rsidP="00CF227C">
            <w:pPr>
              <w:spacing w:after="0"/>
              <w:rPr>
                <w:rFonts w:eastAsia="Times New Roman" w:cstheme="minorHAnsi"/>
                <w:b/>
                <w:bCs/>
                <w:sz w:val="18"/>
                <w:szCs w:val="18"/>
                <w:u w:val="single"/>
                <w:lang w:val="sr-Latn-ME" w:eastAsia="sr-Latn-ME"/>
              </w:rPr>
            </w:pPr>
          </w:p>
        </w:tc>
        <w:tc>
          <w:tcPr>
            <w:tcW w:w="1013" w:type="pct"/>
            <w:shd w:val="clear" w:color="auto" w:fill="auto"/>
            <w:noWrap/>
            <w:vAlign w:val="center"/>
            <w:hideMark/>
          </w:tcPr>
          <w:p w14:paraId="77473560" w14:textId="77777777" w:rsidR="00CF227C" w:rsidRPr="00CA30DF" w:rsidRDefault="00CF227C" w:rsidP="00CF227C">
            <w:pPr>
              <w:spacing w:after="0"/>
              <w:jc w:val="center"/>
              <w:rPr>
                <w:rFonts w:eastAsia="Times New Roman" w:cstheme="minorHAnsi"/>
                <w:sz w:val="18"/>
                <w:szCs w:val="18"/>
                <w:lang w:val="sr-Latn-ME" w:eastAsia="sr-Latn-ME"/>
              </w:rPr>
            </w:pPr>
            <w:r w:rsidRPr="00CA30DF">
              <w:rPr>
                <w:rFonts w:eastAsia="Times New Roman" w:cstheme="minorHAnsi"/>
                <w:sz w:val="18"/>
                <w:szCs w:val="18"/>
                <w:lang w:val="sr-Latn-ME" w:eastAsia="sr-Latn-ME"/>
              </w:rPr>
              <w:t>Primarni deficit/suficit</w:t>
            </w:r>
          </w:p>
        </w:tc>
        <w:tc>
          <w:tcPr>
            <w:tcW w:w="567" w:type="pct"/>
            <w:shd w:val="clear" w:color="auto" w:fill="auto"/>
            <w:vAlign w:val="center"/>
          </w:tcPr>
          <w:p w14:paraId="01D7A1C2" w14:textId="77777777" w:rsidR="00CF227C" w:rsidRPr="00CA30DF" w:rsidRDefault="00CF227C" w:rsidP="00CF227C">
            <w:pPr>
              <w:spacing w:after="0"/>
              <w:jc w:val="center"/>
              <w:rPr>
                <w:rFonts w:eastAsia="Times New Roman" w:cstheme="minorHAnsi"/>
                <w:sz w:val="18"/>
                <w:szCs w:val="18"/>
                <w:lang w:val="sr-Latn-ME" w:eastAsia="sr-Latn-ME"/>
              </w:rPr>
            </w:pPr>
            <w:r w:rsidRPr="00CA30DF">
              <w:rPr>
                <w:rFonts w:eastAsia="Times New Roman" w:cstheme="minorHAnsi"/>
                <w:sz w:val="18"/>
                <w:szCs w:val="18"/>
                <w:lang w:val="sr-Latn-ME" w:eastAsia="sr-Latn-ME"/>
              </w:rPr>
              <w:t>2.5</w:t>
            </w:r>
          </w:p>
        </w:tc>
        <w:tc>
          <w:tcPr>
            <w:tcW w:w="652" w:type="pct"/>
            <w:shd w:val="clear" w:color="auto" w:fill="auto"/>
            <w:vAlign w:val="center"/>
          </w:tcPr>
          <w:p w14:paraId="486548F2" w14:textId="77777777" w:rsidR="00CF227C" w:rsidRPr="00CA30DF" w:rsidRDefault="00CF227C" w:rsidP="00CF227C">
            <w:pPr>
              <w:spacing w:after="0"/>
              <w:jc w:val="center"/>
              <w:rPr>
                <w:rFonts w:eastAsia="Times New Roman" w:cstheme="minorHAnsi"/>
                <w:sz w:val="18"/>
                <w:szCs w:val="18"/>
                <w:lang w:val="sr-Latn-ME" w:eastAsia="sr-Latn-ME"/>
              </w:rPr>
            </w:pPr>
            <w:r w:rsidRPr="00CA30DF">
              <w:rPr>
                <w:rFonts w:eastAsia="Times New Roman" w:cstheme="minorHAnsi"/>
                <w:sz w:val="18"/>
                <w:szCs w:val="18"/>
                <w:lang w:val="sr-Latn-ME" w:eastAsia="sr-Latn-ME"/>
              </w:rPr>
              <w:t>-1</w:t>
            </w:r>
          </w:p>
        </w:tc>
        <w:tc>
          <w:tcPr>
            <w:tcW w:w="366" w:type="pct"/>
            <w:shd w:val="clear" w:color="auto" w:fill="auto"/>
            <w:vAlign w:val="center"/>
          </w:tcPr>
          <w:p w14:paraId="70AC51F7"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-1.4</w:t>
            </w:r>
          </w:p>
        </w:tc>
        <w:tc>
          <w:tcPr>
            <w:tcW w:w="363" w:type="pct"/>
            <w:shd w:val="clear" w:color="auto" w:fill="auto"/>
            <w:vAlign w:val="center"/>
          </w:tcPr>
          <w:p w14:paraId="1DD170B6" w14:textId="77777777" w:rsidR="00CF227C" w:rsidRPr="00CA30DF" w:rsidRDefault="00CF227C" w:rsidP="00CF227C">
            <w:pPr>
              <w:spacing w:after="0"/>
              <w:jc w:val="center"/>
              <w:rPr>
                <w:rFonts w:eastAsia="Times New Roman" w:cstheme="minorHAnsi"/>
                <w:b/>
                <w:bCs/>
                <w:sz w:val="18"/>
                <w:szCs w:val="18"/>
                <w:lang w:val="sr-Latn-ME" w:eastAsia="sr-Latn-ME"/>
              </w:rPr>
            </w:pPr>
            <w:r w:rsidRPr="00CA30DF">
              <w:rPr>
                <w:rFonts w:eastAsia="Times New Roman" w:cstheme="minorHAnsi"/>
                <w:b/>
                <w:bCs/>
                <w:sz w:val="18"/>
                <w:szCs w:val="18"/>
                <w:lang w:val="sr-Latn-ME" w:eastAsia="sr-Latn-ME"/>
              </w:rPr>
              <w:t>-0.8</w:t>
            </w:r>
          </w:p>
        </w:tc>
        <w:tc>
          <w:tcPr>
            <w:tcW w:w="318" w:type="pct"/>
            <w:shd w:val="clear" w:color="auto" w:fill="auto"/>
            <w:vAlign w:val="center"/>
          </w:tcPr>
          <w:p w14:paraId="06DDB2E3" w14:textId="77777777" w:rsidR="00CF227C" w:rsidRPr="0073052D" w:rsidRDefault="00CF227C" w:rsidP="00CF227C">
            <w:pPr>
              <w:spacing w:after="0"/>
              <w:jc w:val="center"/>
              <w:rPr>
                <w:rFonts w:eastAsia="Times New Roman" w:cstheme="minorHAnsi"/>
                <w:b/>
                <w:bCs/>
                <w:sz w:val="18"/>
                <w:szCs w:val="18"/>
                <w:lang w:val="sr-Latn-ME" w:eastAsia="sr-Latn-ME"/>
              </w:rPr>
            </w:pPr>
            <w:r w:rsidRPr="0073052D">
              <w:rPr>
                <w:rFonts w:eastAsia="Times New Roman" w:cstheme="minorHAnsi"/>
                <w:b/>
                <w:bCs/>
                <w:sz w:val="18"/>
                <w:szCs w:val="18"/>
                <w:lang w:val="sr-Latn-ME" w:eastAsia="sr-Latn-ME"/>
              </w:rPr>
              <w:t>-0.5</w:t>
            </w:r>
          </w:p>
        </w:tc>
        <w:tc>
          <w:tcPr>
            <w:tcW w:w="318" w:type="pct"/>
            <w:shd w:val="clear" w:color="auto" w:fill="auto"/>
            <w:vAlign w:val="center"/>
          </w:tcPr>
          <w:p w14:paraId="02246DDC" w14:textId="77777777" w:rsidR="00CF227C" w:rsidRPr="0073052D" w:rsidRDefault="00CF227C" w:rsidP="00CF227C">
            <w:pPr>
              <w:spacing w:after="0"/>
              <w:jc w:val="center"/>
              <w:rPr>
                <w:rFonts w:eastAsia="Times New Roman" w:cstheme="minorHAnsi"/>
                <w:b/>
                <w:bCs/>
                <w:sz w:val="18"/>
                <w:szCs w:val="18"/>
                <w:lang w:val="sr-Latn-ME" w:eastAsia="sr-Latn-ME"/>
              </w:rPr>
            </w:pPr>
            <w:r w:rsidRPr="0073052D">
              <w:rPr>
                <w:rFonts w:eastAsia="Times New Roman" w:cstheme="minorHAnsi"/>
                <w:b/>
                <w:bCs/>
                <w:sz w:val="18"/>
                <w:szCs w:val="18"/>
                <w:lang w:val="sr-Latn-ME" w:eastAsia="sr-Latn-ME"/>
              </w:rPr>
              <w:t>-1,9</w:t>
            </w:r>
          </w:p>
        </w:tc>
        <w:tc>
          <w:tcPr>
            <w:tcW w:w="318" w:type="pct"/>
            <w:shd w:val="clear" w:color="auto" w:fill="auto"/>
            <w:vAlign w:val="center"/>
          </w:tcPr>
          <w:p w14:paraId="4A9737A9" w14:textId="77777777" w:rsidR="00CF227C" w:rsidRPr="0073052D" w:rsidRDefault="00CF227C" w:rsidP="00CF227C">
            <w:pPr>
              <w:spacing w:after="0"/>
              <w:jc w:val="center"/>
              <w:rPr>
                <w:rFonts w:eastAsia="Times New Roman" w:cstheme="minorHAnsi"/>
                <w:b/>
                <w:bCs/>
                <w:sz w:val="18"/>
                <w:szCs w:val="18"/>
                <w:lang w:val="sr-Latn-ME" w:eastAsia="sr-Latn-ME"/>
              </w:rPr>
            </w:pPr>
            <w:r w:rsidRPr="0073052D">
              <w:rPr>
                <w:rFonts w:eastAsia="Times New Roman" w:cstheme="minorHAnsi"/>
                <w:b/>
                <w:bCs/>
                <w:sz w:val="18"/>
                <w:szCs w:val="18"/>
                <w:lang w:val="sr-Latn-ME" w:eastAsia="sr-Latn-ME"/>
              </w:rPr>
              <w:t>-1,5</w:t>
            </w:r>
          </w:p>
        </w:tc>
        <w:tc>
          <w:tcPr>
            <w:tcW w:w="318" w:type="pct"/>
            <w:shd w:val="clear" w:color="auto" w:fill="auto"/>
            <w:vAlign w:val="center"/>
          </w:tcPr>
          <w:p w14:paraId="263F24B7" w14:textId="77777777" w:rsidR="00CF227C" w:rsidRPr="0073052D" w:rsidRDefault="00CF227C" w:rsidP="00CF227C">
            <w:pPr>
              <w:spacing w:after="0"/>
              <w:jc w:val="center"/>
              <w:rPr>
                <w:rFonts w:eastAsia="Times New Roman" w:cstheme="minorHAnsi"/>
                <w:b/>
                <w:bCs/>
                <w:sz w:val="18"/>
                <w:szCs w:val="18"/>
                <w:lang w:val="sr-Latn-ME" w:eastAsia="sr-Latn-ME"/>
              </w:rPr>
            </w:pPr>
            <w:r w:rsidRPr="0073052D">
              <w:rPr>
                <w:rFonts w:eastAsia="Times New Roman" w:cstheme="minorHAnsi"/>
                <w:b/>
                <w:bCs/>
                <w:sz w:val="18"/>
                <w:szCs w:val="18"/>
                <w:lang w:val="sr-Latn-ME" w:eastAsia="sr-Latn-ME"/>
              </w:rPr>
              <w:t>-1,2</w:t>
            </w:r>
          </w:p>
        </w:tc>
      </w:tr>
      <w:tr w:rsidR="00CF227C" w:rsidRPr="00CA30DF" w14:paraId="262621C6" w14:textId="77777777" w:rsidTr="00CF227C">
        <w:trPr>
          <w:trHeight w:val="366"/>
          <w:jc w:val="center"/>
        </w:trPr>
        <w:tc>
          <w:tcPr>
            <w:tcW w:w="766" w:type="pct"/>
            <w:vMerge/>
            <w:shd w:val="clear" w:color="auto" w:fill="auto"/>
            <w:vAlign w:val="center"/>
            <w:hideMark/>
          </w:tcPr>
          <w:p w14:paraId="7368776B" w14:textId="77777777" w:rsidR="00CF227C" w:rsidRPr="00CA30DF" w:rsidRDefault="00CF227C" w:rsidP="00CF227C">
            <w:pPr>
              <w:spacing w:after="0"/>
              <w:rPr>
                <w:rFonts w:eastAsia="Times New Roman" w:cstheme="minorHAnsi"/>
                <w:b/>
                <w:bCs/>
                <w:sz w:val="18"/>
                <w:szCs w:val="18"/>
                <w:u w:val="single"/>
                <w:lang w:val="sr-Latn-ME" w:eastAsia="sr-Latn-ME"/>
              </w:rPr>
            </w:pPr>
          </w:p>
        </w:tc>
        <w:tc>
          <w:tcPr>
            <w:tcW w:w="1013" w:type="pct"/>
            <w:shd w:val="clear" w:color="auto" w:fill="auto"/>
            <w:noWrap/>
            <w:vAlign w:val="center"/>
            <w:hideMark/>
          </w:tcPr>
          <w:p w14:paraId="09BA27AE" w14:textId="77777777" w:rsidR="00CF227C" w:rsidRPr="00CA30DF" w:rsidRDefault="00CF227C" w:rsidP="00CF227C">
            <w:pPr>
              <w:spacing w:after="0"/>
              <w:jc w:val="center"/>
              <w:rPr>
                <w:rFonts w:eastAsia="Times New Roman" w:cstheme="minorHAnsi"/>
                <w:sz w:val="18"/>
                <w:szCs w:val="18"/>
                <w:lang w:val="sr-Latn-ME" w:eastAsia="sr-Latn-ME"/>
              </w:rPr>
            </w:pPr>
            <w:r w:rsidRPr="00CA30DF">
              <w:rPr>
                <w:rFonts w:eastAsia="Times New Roman" w:cstheme="minorHAnsi"/>
                <w:sz w:val="18"/>
                <w:szCs w:val="18"/>
                <w:lang w:val="sr-Latn-ME" w:eastAsia="sr-Latn-ME"/>
              </w:rPr>
              <w:t>Javni dug (% BDP)</w:t>
            </w:r>
          </w:p>
        </w:tc>
        <w:tc>
          <w:tcPr>
            <w:tcW w:w="567" w:type="pct"/>
            <w:shd w:val="clear" w:color="auto" w:fill="auto"/>
            <w:noWrap/>
            <w:vAlign w:val="center"/>
          </w:tcPr>
          <w:p w14:paraId="4590EF97" w14:textId="77777777" w:rsidR="00CF227C" w:rsidRPr="00CA30DF" w:rsidRDefault="00CF227C" w:rsidP="00CF227C">
            <w:pPr>
              <w:spacing w:after="0"/>
              <w:jc w:val="center"/>
              <w:rPr>
                <w:rFonts w:eastAsia="Times New Roman" w:cstheme="minorHAnsi"/>
                <w:sz w:val="18"/>
                <w:szCs w:val="18"/>
                <w:highlight w:val="yellow"/>
                <w:lang w:val="sr-Latn-ME" w:eastAsia="sr-Latn-ME"/>
              </w:rPr>
            </w:pPr>
            <w:r w:rsidRPr="0073052D">
              <w:rPr>
                <w:rFonts w:eastAsia="Times New Roman" w:cstheme="minorHAnsi"/>
                <w:sz w:val="18"/>
                <w:szCs w:val="18"/>
                <w:lang w:val="sr-Latn-ME" w:eastAsia="sr-Latn-ME"/>
              </w:rPr>
              <w:t>59.26</w:t>
            </w:r>
          </w:p>
        </w:tc>
        <w:tc>
          <w:tcPr>
            <w:tcW w:w="652" w:type="pct"/>
            <w:shd w:val="clear" w:color="auto" w:fill="auto"/>
            <w:noWrap/>
            <w:vAlign w:val="center"/>
          </w:tcPr>
          <w:p w14:paraId="6444423B" w14:textId="77777777" w:rsidR="00CF227C" w:rsidRPr="00CA30DF" w:rsidRDefault="00CF227C" w:rsidP="00CF227C">
            <w:pPr>
              <w:spacing w:after="0"/>
              <w:jc w:val="center"/>
              <w:rPr>
                <w:rFonts w:eastAsia="Times New Roman" w:cstheme="minorHAnsi"/>
                <w:sz w:val="18"/>
                <w:szCs w:val="18"/>
                <w:lang w:val="sr-Latn-ME" w:eastAsia="sr-Latn-ME"/>
              </w:rPr>
            </w:pPr>
            <w:r>
              <w:rPr>
                <w:rFonts w:eastAsia="Times New Roman" w:cstheme="minorHAnsi"/>
                <w:sz w:val="18"/>
                <w:szCs w:val="18"/>
                <w:lang w:val="sr-Latn-ME" w:eastAsia="sr-Latn-ME"/>
              </w:rPr>
              <w:t>62.11</w:t>
            </w:r>
          </w:p>
        </w:tc>
        <w:tc>
          <w:tcPr>
            <w:tcW w:w="366" w:type="pct"/>
            <w:shd w:val="clear" w:color="auto" w:fill="auto"/>
            <w:noWrap/>
            <w:vAlign w:val="center"/>
          </w:tcPr>
          <w:p w14:paraId="29ADAB20" w14:textId="77777777" w:rsidR="00CF227C" w:rsidRPr="00CA30DF" w:rsidRDefault="00CF227C" w:rsidP="00CF227C">
            <w:pPr>
              <w:spacing w:after="0"/>
              <w:jc w:val="center"/>
              <w:rPr>
                <w:rFonts w:eastAsia="Times New Roman" w:cstheme="minorHAnsi"/>
                <w:b/>
                <w:bCs/>
                <w:sz w:val="18"/>
                <w:szCs w:val="18"/>
                <w:lang w:val="sr-Latn-ME" w:eastAsia="sr-Latn-ME"/>
              </w:rPr>
            </w:pPr>
            <w:r>
              <w:rPr>
                <w:rFonts w:eastAsia="Times New Roman" w:cstheme="minorHAnsi"/>
                <w:b/>
                <w:bCs/>
                <w:sz w:val="18"/>
                <w:szCs w:val="18"/>
                <w:lang w:val="sr-Latn-ME" w:eastAsia="sr-Latn-ME"/>
              </w:rPr>
              <w:t>60.71</w:t>
            </w:r>
          </w:p>
        </w:tc>
        <w:tc>
          <w:tcPr>
            <w:tcW w:w="363" w:type="pct"/>
            <w:shd w:val="clear" w:color="auto" w:fill="auto"/>
            <w:vAlign w:val="center"/>
          </w:tcPr>
          <w:p w14:paraId="068AAE5D" w14:textId="77777777" w:rsidR="00CF227C" w:rsidRPr="00CA30DF" w:rsidRDefault="00CF227C" w:rsidP="00CF227C">
            <w:pPr>
              <w:spacing w:after="0"/>
              <w:jc w:val="center"/>
              <w:rPr>
                <w:rFonts w:eastAsia="Times New Roman" w:cstheme="minorHAnsi"/>
                <w:b/>
                <w:bCs/>
                <w:sz w:val="18"/>
                <w:szCs w:val="18"/>
                <w:lang w:val="sr-Latn-ME" w:eastAsia="sr-Latn-ME"/>
              </w:rPr>
            </w:pPr>
            <w:r>
              <w:rPr>
                <w:rFonts w:eastAsia="Times New Roman" w:cstheme="minorHAnsi"/>
                <w:b/>
                <w:bCs/>
                <w:sz w:val="18"/>
                <w:szCs w:val="18"/>
                <w:lang w:val="sr-Latn-ME" w:eastAsia="sr-Latn-ME"/>
              </w:rPr>
              <w:t>63.91</w:t>
            </w:r>
          </w:p>
        </w:tc>
        <w:tc>
          <w:tcPr>
            <w:tcW w:w="318" w:type="pct"/>
            <w:shd w:val="clear" w:color="auto" w:fill="auto"/>
            <w:vAlign w:val="center"/>
          </w:tcPr>
          <w:p w14:paraId="114FE10E" w14:textId="77777777" w:rsidR="00CF227C" w:rsidRPr="0073052D" w:rsidRDefault="00CF227C" w:rsidP="00CF227C">
            <w:pPr>
              <w:spacing w:after="0"/>
              <w:jc w:val="center"/>
              <w:rPr>
                <w:rFonts w:eastAsia="Times New Roman" w:cstheme="minorHAnsi"/>
                <w:b/>
                <w:bCs/>
                <w:sz w:val="18"/>
                <w:szCs w:val="18"/>
                <w:lang w:val="sr-Latn-ME" w:eastAsia="sr-Latn-ME"/>
              </w:rPr>
            </w:pPr>
            <w:r w:rsidRPr="0073052D">
              <w:rPr>
                <w:rFonts w:eastAsia="Times New Roman" w:cstheme="minorHAnsi"/>
                <w:b/>
                <w:bCs/>
                <w:sz w:val="18"/>
                <w:szCs w:val="18"/>
                <w:lang w:val="sr-Latn-ME" w:eastAsia="sr-Latn-ME"/>
              </w:rPr>
              <w:t>64.07</w:t>
            </w:r>
          </w:p>
        </w:tc>
        <w:tc>
          <w:tcPr>
            <w:tcW w:w="318" w:type="pct"/>
            <w:shd w:val="clear" w:color="auto" w:fill="auto"/>
            <w:noWrap/>
            <w:vAlign w:val="center"/>
          </w:tcPr>
          <w:p w14:paraId="4079A390" w14:textId="77777777" w:rsidR="00CF227C" w:rsidRPr="0073052D" w:rsidRDefault="00CF227C" w:rsidP="00CF227C">
            <w:pPr>
              <w:spacing w:after="0"/>
              <w:jc w:val="center"/>
              <w:rPr>
                <w:rFonts w:eastAsia="Times New Roman" w:cstheme="minorHAnsi"/>
                <w:b/>
                <w:sz w:val="18"/>
                <w:szCs w:val="18"/>
                <w:lang w:val="sr-Latn-ME" w:eastAsia="sr-Latn-ME"/>
              </w:rPr>
            </w:pPr>
            <w:r w:rsidRPr="0073052D">
              <w:rPr>
                <w:rFonts w:eastAsia="Times New Roman" w:cstheme="minorHAnsi"/>
                <w:b/>
                <w:sz w:val="18"/>
                <w:szCs w:val="18"/>
                <w:lang w:val="sr-Latn-ME" w:eastAsia="sr-Latn-ME"/>
              </w:rPr>
              <w:t>62,34</w:t>
            </w:r>
          </w:p>
        </w:tc>
        <w:tc>
          <w:tcPr>
            <w:tcW w:w="318" w:type="pct"/>
            <w:shd w:val="clear" w:color="auto" w:fill="auto"/>
            <w:noWrap/>
            <w:vAlign w:val="center"/>
          </w:tcPr>
          <w:p w14:paraId="15849E1C" w14:textId="77777777" w:rsidR="00CF227C" w:rsidRPr="0073052D" w:rsidRDefault="00CF227C" w:rsidP="00CF227C">
            <w:pPr>
              <w:spacing w:after="0"/>
              <w:jc w:val="center"/>
              <w:rPr>
                <w:rFonts w:eastAsia="Times New Roman" w:cstheme="minorHAnsi"/>
                <w:b/>
                <w:sz w:val="18"/>
                <w:szCs w:val="18"/>
                <w:lang w:val="sr-Latn-ME" w:eastAsia="sr-Latn-ME"/>
              </w:rPr>
            </w:pPr>
            <w:r w:rsidRPr="0073052D">
              <w:rPr>
                <w:rFonts w:eastAsia="Times New Roman" w:cstheme="minorHAnsi"/>
                <w:b/>
                <w:sz w:val="18"/>
                <w:szCs w:val="18"/>
                <w:lang w:val="sr-Latn-ME" w:eastAsia="sr-Latn-ME"/>
              </w:rPr>
              <w:t>66,23</w:t>
            </w:r>
          </w:p>
        </w:tc>
        <w:tc>
          <w:tcPr>
            <w:tcW w:w="318" w:type="pct"/>
            <w:shd w:val="clear" w:color="auto" w:fill="auto"/>
            <w:noWrap/>
            <w:vAlign w:val="center"/>
          </w:tcPr>
          <w:p w14:paraId="1BB26700" w14:textId="77777777" w:rsidR="00CF227C" w:rsidRPr="0073052D" w:rsidRDefault="00CF227C" w:rsidP="00CF227C">
            <w:pPr>
              <w:spacing w:after="0"/>
              <w:jc w:val="center"/>
              <w:rPr>
                <w:rFonts w:eastAsia="Times New Roman" w:cstheme="minorHAnsi"/>
                <w:b/>
                <w:sz w:val="18"/>
                <w:szCs w:val="18"/>
                <w:lang w:val="sr-Latn-ME" w:eastAsia="sr-Latn-ME"/>
              </w:rPr>
            </w:pPr>
            <w:r w:rsidRPr="0073052D">
              <w:rPr>
                <w:rFonts w:eastAsia="Times New Roman" w:cstheme="minorHAnsi"/>
                <w:b/>
                <w:sz w:val="18"/>
                <w:szCs w:val="18"/>
                <w:lang w:val="sr-Latn-ME" w:eastAsia="sr-Latn-ME"/>
              </w:rPr>
              <w:t>68,75</w:t>
            </w:r>
          </w:p>
        </w:tc>
      </w:tr>
    </w:tbl>
    <w:p w14:paraId="3E1D72B1" w14:textId="77777777" w:rsidR="00E05341" w:rsidRPr="00556791" w:rsidRDefault="00E05341" w:rsidP="00E05341"/>
    <w:p w14:paraId="0AC5B89C" w14:textId="77777777" w:rsidR="00E05341" w:rsidRDefault="00E05341" w:rsidP="00E05341">
      <w:pPr>
        <w:jc w:val="both"/>
        <w:rPr>
          <w:sz w:val="24"/>
          <w:szCs w:val="24"/>
        </w:rPr>
      </w:pPr>
      <w:r w:rsidRPr="00C073B6">
        <w:rPr>
          <w:b/>
          <w:sz w:val="24"/>
          <w:szCs w:val="24"/>
        </w:rPr>
        <w:t>Javni prihodi</w:t>
      </w:r>
      <w:r w:rsidRPr="00556791">
        <w:rPr>
          <w:sz w:val="24"/>
          <w:szCs w:val="24"/>
        </w:rPr>
        <w:t xml:space="preserve"> u periodu 2025 – 2027. godine nastavljaju pozitivan trend i kreću se u rasponu od 3</w:t>
      </w:r>
      <w:r>
        <w:rPr>
          <w:sz w:val="24"/>
          <w:szCs w:val="24"/>
        </w:rPr>
        <w:t>.</w:t>
      </w:r>
      <w:r w:rsidRPr="00556791">
        <w:rPr>
          <w:sz w:val="24"/>
          <w:szCs w:val="24"/>
        </w:rPr>
        <w:t>283,0 mil. € ili 41,2% BDP-a do 3,527.2 mil. € ili 40,3% BDP-a.</w:t>
      </w:r>
      <w:bookmarkStart w:id="63" w:name="_Toc88031659"/>
      <w:bookmarkEnd w:id="62"/>
    </w:p>
    <w:p w14:paraId="5E47F703" w14:textId="77777777" w:rsidR="00E05341" w:rsidRDefault="00E05341" w:rsidP="00E05341">
      <w:pPr>
        <w:spacing w:after="240"/>
        <w:jc w:val="both"/>
        <w:rPr>
          <w:rFonts w:eastAsia="Calibri" w:cstheme="minorHAnsi"/>
          <w:sz w:val="24"/>
          <w:szCs w:val="24"/>
          <w:lang w:val="sr-Latn-ME"/>
        </w:rPr>
      </w:pPr>
      <w:r w:rsidRPr="005B375B">
        <w:rPr>
          <w:rFonts w:ascii="Calibri" w:eastAsia="Calibri" w:hAnsi="Calibri" w:cs="Calibri"/>
          <w:i/>
          <w:sz w:val="24"/>
          <w:szCs w:val="24"/>
          <w:lang w:val="sr-Latn-ME"/>
        </w:rPr>
        <w:lastRenderedPageBreak/>
        <w:t>Prihodi od</w:t>
      </w:r>
      <w:r>
        <w:rPr>
          <w:rFonts w:ascii="Calibri" w:eastAsia="Calibri" w:hAnsi="Calibri" w:cs="Calibri"/>
          <w:b/>
          <w:i/>
          <w:sz w:val="24"/>
          <w:szCs w:val="24"/>
          <w:lang w:val="sr-Latn-ME"/>
        </w:rPr>
        <w:t xml:space="preserve"> p</w:t>
      </w:r>
      <w:r w:rsidRPr="007A098C">
        <w:rPr>
          <w:rFonts w:ascii="Calibri" w:eastAsia="Calibri" w:hAnsi="Calibri" w:cs="Calibri"/>
          <w:b/>
          <w:i/>
          <w:sz w:val="24"/>
          <w:szCs w:val="24"/>
          <w:lang w:val="sr-Latn-ME"/>
        </w:rPr>
        <w:t>orez</w:t>
      </w:r>
      <w:r>
        <w:rPr>
          <w:rFonts w:ascii="Calibri" w:eastAsia="Calibri" w:hAnsi="Calibri" w:cs="Calibri"/>
          <w:b/>
          <w:i/>
          <w:sz w:val="24"/>
          <w:szCs w:val="24"/>
          <w:lang w:val="sr-Latn-ME"/>
        </w:rPr>
        <w:t>a</w:t>
      </w:r>
      <w:r w:rsidRPr="007A098C">
        <w:rPr>
          <w:rFonts w:ascii="Calibri" w:eastAsia="Calibri" w:hAnsi="Calibri" w:cs="Calibri"/>
          <w:b/>
          <w:i/>
          <w:sz w:val="24"/>
          <w:szCs w:val="24"/>
          <w:lang w:val="sr-Latn-ME"/>
        </w:rPr>
        <w:t xml:space="preserve"> na dobit pravnih lica</w:t>
      </w:r>
      <w:r w:rsidRPr="007A098C">
        <w:rPr>
          <w:rFonts w:ascii="Calibri" w:eastAsia="Calibri" w:hAnsi="Calibri" w:cs="Calibri"/>
          <w:sz w:val="24"/>
          <w:szCs w:val="24"/>
          <w:lang w:val="sr-Latn-ME"/>
        </w:rPr>
        <w:t xml:space="preserve"> </w:t>
      </w:r>
      <w:r>
        <w:rPr>
          <w:rFonts w:ascii="Calibri" w:eastAsia="Calibri" w:hAnsi="Calibri" w:cs="Calibri"/>
          <w:sz w:val="24"/>
          <w:szCs w:val="24"/>
          <w:lang w:val="sr-Latn-ME"/>
        </w:rPr>
        <w:t xml:space="preserve">u </w:t>
      </w:r>
      <w:r w:rsidRPr="007A098C">
        <w:rPr>
          <w:rFonts w:ascii="Calibri" w:eastAsia="Calibri" w:hAnsi="Calibri" w:cs="Calibri"/>
          <w:sz w:val="24"/>
          <w:szCs w:val="24"/>
          <w:lang w:val="sr-Latn-ME"/>
        </w:rPr>
        <w:t>srednjem roku procijenjen</w:t>
      </w:r>
      <w:r>
        <w:rPr>
          <w:rFonts w:ascii="Calibri" w:eastAsia="Calibri" w:hAnsi="Calibri" w:cs="Calibri"/>
          <w:sz w:val="24"/>
          <w:szCs w:val="24"/>
          <w:lang w:val="sr-Latn-ME"/>
        </w:rPr>
        <w:t>i su</w:t>
      </w:r>
      <w:r w:rsidRPr="007A098C">
        <w:rPr>
          <w:rFonts w:ascii="Calibri" w:eastAsia="Calibri" w:hAnsi="Calibri" w:cs="Calibri"/>
          <w:sz w:val="24"/>
          <w:szCs w:val="24"/>
          <w:lang w:val="sr-Latn-ME"/>
        </w:rPr>
        <w:t xml:space="preserve"> na osnovu projektovanog nominalnog rasta BDP-a u periodu 2025-2027. godina, očekivanih efekata naplate obaveza reprogramiranih po ovom osnovu, iz prethodnog perioda, u skladu sa Zakonom o reprogramu poreskog potraživanja, kao i ostalih mjera poreske politike. U periodu 2025-2027. godine</w:t>
      </w:r>
      <w:r>
        <w:rPr>
          <w:rFonts w:ascii="Calibri" w:eastAsia="Calibri" w:hAnsi="Calibri" w:cs="Calibri"/>
          <w:sz w:val="24"/>
          <w:szCs w:val="24"/>
          <w:lang w:val="sr-Latn-ME"/>
        </w:rPr>
        <w:t>,</w:t>
      </w:r>
      <w:r w:rsidRPr="007A098C">
        <w:rPr>
          <w:rFonts w:ascii="Calibri" w:eastAsia="Calibri" w:hAnsi="Calibri" w:cs="Calibri"/>
          <w:sz w:val="24"/>
          <w:szCs w:val="24"/>
          <w:lang w:val="sr-Latn-ME"/>
        </w:rPr>
        <w:t xml:space="preserve"> ova kategorija prihoda zabilježiće prosječnu godišnju stopu rasta od oko 5,9%.</w:t>
      </w:r>
      <w:r w:rsidRPr="004042AB">
        <w:rPr>
          <w:rFonts w:eastAsia="Calibri" w:cstheme="minorHAnsi"/>
          <w:sz w:val="24"/>
          <w:szCs w:val="24"/>
          <w:lang w:val="sr-Latn-ME"/>
        </w:rPr>
        <w:t xml:space="preserve"> </w:t>
      </w:r>
    </w:p>
    <w:p w14:paraId="09DC0CBA" w14:textId="77777777" w:rsidR="00E05341" w:rsidRPr="007A098C" w:rsidRDefault="00E05341" w:rsidP="00E05341">
      <w:pPr>
        <w:jc w:val="both"/>
        <w:rPr>
          <w:rFonts w:ascii="Calibri" w:eastAsia="Calibri" w:hAnsi="Calibri" w:cs="Calibri"/>
          <w:sz w:val="24"/>
          <w:szCs w:val="24"/>
          <w:lang w:val="sr-Latn-ME"/>
        </w:rPr>
      </w:pPr>
      <w:r w:rsidRPr="007A098C">
        <w:rPr>
          <w:rFonts w:ascii="Calibri" w:eastAsia="Calibri" w:hAnsi="Calibri" w:cs="Calibri"/>
          <w:sz w:val="24"/>
          <w:szCs w:val="24"/>
          <w:lang w:val="sr-Latn-ME"/>
        </w:rPr>
        <w:t xml:space="preserve">Prihodi od </w:t>
      </w:r>
      <w:r w:rsidRPr="005B375B">
        <w:rPr>
          <w:rFonts w:ascii="Calibri" w:eastAsia="Calibri" w:hAnsi="Calibri" w:cs="Calibri"/>
          <w:b/>
          <w:sz w:val="24"/>
          <w:szCs w:val="24"/>
          <w:lang w:val="sr-Latn-ME"/>
        </w:rPr>
        <w:t>poreza na dodatu vrijednost</w:t>
      </w:r>
      <w:r w:rsidRPr="007A098C">
        <w:rPr>
          <w:rFonts w:ascii="Calibri" w:eastAsia="Calibri" w:hAnsi="Calibri" w:cs="Calibri"/>
          <w:sz w:val="24"/>
          <w:szCs w:val="24"/>
          <w:lang w:val="sr-Latn-ME"/>
        </w:rPr>
        <w:t xml:space="preserve"> planirani su na osnovu projekcija rasta potrošnje domaćinstava i uvoza, shodno makroekonomskom scenariju koji uključuje rast zarada i potrošnje po osnovu reforme poreske politike. Pored navedenog, rast ove kategorije prihoda ostvaruje se po osnovu uvođenja treće stope PDV-a od 15%</w:t>
      </w:r>
      <w:r>
        <w:rPr>
          <w:rFonts w:ascii="Calibri" w:eastAsia="Calibri" w:hAnsi="Calibri" w:cs="Calibri"/>
          <w:sz w:val="24"/>
          <w:szCs w:val="24"/>
          <w:lang w:val="sr-Latn-ME"/>
        </w:rPr>
        <w:t>,</w:t>
      </w:r>
      <w:r w:rsidRPr="007A098C">
        <w:rPr>
          <w:rFonts w:ascii="Calibri" w:eastAsia="Calibri" w:hAnsi="Calibri" w:cs="Calibri"/>
          <w:sz w:val="24"/>
          <w:szCs w:val="24"/>
          <w:lang w:val="sr-Latn-ME"/>
        </w:rPr>
        <w:t xml:space="preserve"> pri čemu se najveći efekat odnosi na izjednačavanje stope za smještaj u hotelima i usluživanje hrane i pića u ugostiteljskim objektima i hotelskim restoranima.</w:t>
      </w:r>
    </w:p>
    <w:p w14:paraId="59E0FEDB" w14:textId="77777777" w:rsidR="00E05341" w:rsidRPr="007A098C" w:rsidRDefault="00E05341" w:rsidP="00E05341">
      <w:pPr>
        <w:spacing w:after="240"/>
        <w:jc w:val="both"/>
        <w:rPr>
          <w:rFonts w:ascii="Calibri" w:eastAsia="Calibri" w:hAnsi="Calibri" w:cs="Calibri"/>
          <w:sz w:val="24"/>
          <w:szCs w:val="24"/>
          <w:lang w:val="sr-Latn-ME"/>
        </w:rPr>
      </w:pPr>
      <w:r w:rsidRPr="007A098C">
        <w:rPr>
          <w:rFonts w:ascii="Calibri" w:eastAsia="Calibri" w:hAnsi="Calibri" w:cs="Calibri"/>
          <w:sz w:val="24"/>
          <w:szCs w:val="24"/>
          <w:lang w:val="sr-Latn-ME"/>
        </w:rPr>
        <w:t>U periodu 2025-2027. godine, kao rezultat projektovanog rasta ekonomske aktivnosti, prihodi po ovom osnovu će prosječno godišnje rasti po stopi od oko 6,8%, uz učešće u procentu BDP-a od oko 17,0%. U navedenom periodu</w:t>
      </w:r>
      <w:r>
        <w:rPr>
          <w:rFonts w:ascii="Calibri" w:eastAsia="Calibri" w:hAnsi="Calibri" w:cs="Calibri"/>
          <w:sz w:val="24"/>
          <w:szCs w:val="24"/>
          <w:lang w:val="sr-Latn-ME"/>
        </w:rPr>
        <w:t>,</w:t>
      </w:r>
      <w:r w:rsidRPr="007A098C">
        <w:rPr>
          <w:rFonts w:ascii="Calibri" w:eastAsia="Calibri" w:hAnsi="Calibri" w:cs="Calibri"/>
          <w:sz w:val="24"/>
          <w:szCs w:val="24"/>
          <w:lang w:val="sr-Latn-ME"/>
        </w:rPr>
        <w:t xml:space="preserve"> prihodi od poreza na dodatu vrijednost ostvariće rast i po osnovu implementacije konkretnih mjera poreske politike.</w:t>
      </w:r>
    </w:p>
    <w:p w14:paraId="279DF5BF" w14:textId="77777777" w:rsidR="00E05341" w:rsidRPr="007A098C" w:rsidRDefault="00E05341" w:rsidP="00E05341">
      <w:pPr>
        <w:spacing w:after="240"/>
        <w:jc w:val="both"/>
        <w:rPr>
          <w:rFonts w:ascii="Calibri" w:eastAsia="Calibri" w:hAnsi="Calibri" w:cs="Calibri"/>
          <w:sz w:val="24"/>
          <w:szCs w:val="24"/>
          <w:lang w:val="sr-Latn-ME"/>
        </w:rPr>
      </w:pPr>
      <w:r w:rsidRPr="007A098C">
        <w:rPr>
          <w:rFonts w:ascii="Calibri" w:eastAsia="Calibri" w:hAnsi="Calibri" w:cs="Calibri"/>
          <w:b/>
          <w:i/>
          <w:sz w:val="24"/>
          <w:szCs w:val="24"/>
          <w:lang w:val="sr-Latn-ME"/>
        </w:rPr>
        <w:t>Prihodi od akciza</w:t>
      </w:r>
      <w:r w:rsidRPr="007A098C">
        <w:rPr>
          <w:rFonts w:ascii="Calibri" w:eastAsia="Calibri" w:hAnsi="Calibri" w:cs="Calibri"/>
          <w:sz w:val="24"/>
          <w:szCs w:val="24"/>
          <w:lang w:val="sr-Latn-ME"/>
        </w:rPr>
        <w:t xml:space="preserve"> u 2025. godini planirani su u iznosu od 403,5 mil.€ ili 5,1% BDP-a. Rast naplate akciza planiran je prevashodno kao rezultat projektovanog rasta ekonomske aktivnosti i potrošnje domaćinstava, proširivanja obuhvata akciznih proizvoda i nastavk</w:t>
      </w:r>
      <w:r>
        <w:rPr>
          <w:rFonts w:ascii="Calibri" w:eastAsia="Calibri" w:hAnsi="Calibri" w:cs="Calibri"/>
          <w:sz w:val="24"/>
          <w:szCs w:val="24"/>
          <w:lang w:val="sr-Latn-ME"/>
        </w:rPr>
        <w:t>a</w:t>
      </w:r>
      <w:r w:rsidRPr="007A098C">
        <w:rPr>
          <w:rFonts w:ascii="Calibri" w:eastAsia="Calibri" w:hAnsi="Calibri" w:cs="Calibri"/>
          <w:sz w:val="24"/>
          <w:szCs w:val="24"/>
          <w:lang w:val="sr-Latn-ME"/>
        </w:rPr>
        <w:t xml:space="preserve"> implementacije suzbijanja nelegalnog prometa duvana i duvanskih proizvoda.</w:t>
      </w:r>
    </w:p>
    <w:p w14:paraId="71E96039" w14:textId="77777777" w:rsidR="00E05341" w:rsidRDefault="00E05341" w:rsidP="00E05341">
      <w:pPr>
        <w:spacing w:after="240"/>
        <w:jc w:val="both"/>
        <w:rPr>
          <w:rFonts w:ascii="Calibri" w:eastAsia="Calibri" w:hAnsi="Calibri" w:cs="Calibri"/>
          <w:sz w:val="24"/>
          <w:szCs w:val="24"/>
          <w:lang w:val="sr-Latn-ME"/>
        </w:rPr>
      </w:pPr>
      <w:r w:rsidRPr="007A098C">
        <w:rPr>
          <w:rFonts w:ascii="Calibri" w:eastAsia="Calibri" w:hAnsi="Calibri" w:cs="Calibri"/>
          <w:sz w:val="24"/>
          <w:szCs w:val="24"/>
          <w:lang w:val="sr-Latn-ME"/>
        </w:rPr>
        <w:t xml:space="preserve">U periodu 2025-2027. godine, kao rezultat projektovanog rasta </w:t>
      </w:r>
      <w:r>
        <w:rPr>
          <w:rFonts w:ascii="Calibri" w:eastAsia="Calibri" w:hAnsi="Calibri" w:cs="Calibri"/>
          <w:sz w:val="24"/>
          <w:szCs w:val="24"/>
          <w:lang w:val="sr-Latn-ME"/>
        </w:rPr>
        <w:t>privredne</w:t>
      </w:r>
      <w:r w:rsidRPr="007A098C">
        <w:rPr>
          <w:rFonts w:ascii="Calibri" w:eastAsia="Calibri" w:hAnsi="Calibri" w:cs="Calibri"/>
          <w:sz w:val="24"/>
          <w:szCs w:val="24"/>
          <w:lang w:val="sr-Latn-ME"/>
        </w:rPr>
        <w:t xml:space="preserve"> aktivnosti, prihodi</w:t>
      </w:r>
      <w:r>
        <w:rPr>
          <w:rFonts w:ascii="Calibri" w:eastAsia="Calibri" w:hAnsi="Calibri" w:cs="Calibri"/>
          <w:sz w:val="24"/>
          <w:szCs w:val="24"/>
          <w:lang w:val="sr-Latn-ME"/>
        </w:rPr>
        <w:t xml:space="preserve"> od </w:t>
      </w:r>
      <w:r w:rsidRPr="00DB3D39">
        <w:rPr>
          <w:rFonts w:ascii="Calibri" w:eastAsia="Calibri" w:hAnsi="Calibri" w:cs="Calibri"/>
          <w:sz w:val="24"/>
          <w:szCs w:val="24"/>
          <w:lang w:val="sr-Latn-ME"/>
        </w:rPr>
        <w:t>akciza</w:t>
      </w:r>
      <w:r w:rsidRPr="007A098C">
        <w:rPr>
          <w:rFonts w:ascii="Calibri" w:eastAsia="Calibri" w:hAnsi="Calibri" w:cs="Calibri"/>
          <w:sz w:val="24"/>
          <w:szCs w:val="24"/>
          <w:lang w:val="sr-Latn-ME"/>
        </w:rPr>
        <w:t xml:space="preserve"> po osnovu</w:t>
      </w:r>
      <w:r>
        <w:rPr>
          <w:rFonts w:ascii="Calibri" w:eastAsia="Calibri" w:hAnsi="Calibri" w:cs="Calibri"/>
          <w:sz w:val="24"/>
          <w:szCs w:val="24"/>
          <w:lang w:val="sr-Latn-ME"/>
        </w:rPr>
        <w:t xml:space="preserve"> </w:t>
      </w:r>
      <w:r w:rsidRPr="007A098C">
        <w:rPr>
          <w:rFonts w:ascii="Calibri" w:eastAsia="Calibri" w:hAnsi="Calibri" w:cs="Calibri"/>
          <w:sz w:val="24"/>
          <w:szCs w:val="24"/>
          <w:lang w:val="sr-Latn-ME"/>
        </w:rPr>
        <w:t>proširivanja obuhvata akciznih proizvoda i nastavk</w:t>
      </w:r>
      <w:r>
        <w:rPr>
          <w:rFonts w:ascii="Calibri" w:eastAsia="Calibri" w:hAnsi="Calibri" w:cs="Calibri"/>
          <w:sz w:val="24"/>
          <w:szCs w:val="24"/>
          <w:lang w:val="sr-Latn-ME"/>
        </w:rPr>
        <w:t>a</w:t>
      </w:r>
      <w:r w:rsidRPr="007A098C">
        <w:rPr>
          <w:rFonts w:ascii="Calibri" w:eastAsia="Calibri" w:hAnsi="Calibri" w:cs="Calibri"/>
          <w:sz w:val="24"/>
          <w:szCs w:val="24"/>
          <w:lang w:val="sr-Latn-ME"/>
        </w:rPr>
        <w:t xml:space="preserve"> implementacije suzbijanja nelegalnog prometa duvana i duvanskih proizvoda će prosječno godišnje rasti po stopi od oko 6,3%, uz učešće u procentu BDP-a od oko 5,0%. Prihodi od akciza u srednjem roku će bilježiti rast naplate po osnovu izmjena zakonske regulative i povećanja poreskog obuhvata.</w:t>
      </w:r>
    </w:p>
    <w:p w14:paraId="211D619F" w14:textId="77777777" w:rsidR="00E05341" w:rsidRDefault="00E05341" w:rsidP="00E05341">
      <w:pPr>
        <w:spacing w:after="240"/>
        <w:jc w:val="both"/>
        <w:rPr>
          <w:rFonts w:ascii="Calibri" w:eastAsia="Calibri" w:hAnsi="Calibri" w:cs="Calibri"/>
          <w:sz w:val="24"/>
          <w:szCs w:val="24"/>
          <w:lang w:val="sr-Latn-ME"/>
        </w:rPr>
      </w:pPr>
      <w:r w:rsidRPr="007A098C">
        <w:rPr>
          <w:rFonts w:ascii="Calibri" w:eastAsia="Calibri" w:hAnsi="Calibri" w:cs="Calibri"/>
          <w:sz w:val="24"/>
          <w:szCs w:val="24"/>
          <w:lang w:val="sr-Latn-ME"/>
        </w:rPr>
        <w:t xml:space="preserve">Prihodi od </w:t>
      </w:r>
      <w:r w:rsidRPr="007A098C">
        <w:rPr>
          <w:rFonts w:ascii="Calibri" w:eastAsia="Calibri" w:hAnsi="Calibri" w:cs="Calibri"/>
          <w:b/>
          <w:i/>
          <w:sz w:val="24"/>
          <w:szCs w:val="24"/>
          <w:lang w:val="sr-Latn-ME"/>
        </w:rPr>
        <w:t xml:space="preserve">donacija </w:t>
      </w:r>
      <w:r w:rsidRPr="007A098C">
        <w:rPr>
          <w:rFonts w:ascii="Calibri" w:eastAsia="Calibri" w:hAnsi="Calibri" w:cs="Calibri"/>
          <w:sz w:val="24"/>
          <w:szCs w:val="24"/>
          <w:lang w:val="sr-Latn-ME"/>
        </w:rPr>
        <w:t>u periodu 2025-2027. godi</w:t>
      </w:r>
      <w:r>
        <w:rPr>
          <w:rFonts w:ascii="Calibri" w:eastAsia="Calibri" w:hAnsi="Calibri" w:cs="Calibri"/>
          <w:sz w:val="24"/>
          <w:szCs w:val="24"/>
          <w:lang w:val="sr-Latn-ME"/>
        </w:rPr>
        <w:t>ne kretaće se u intervalu od 109</w:t>
      </w:r>
      <w:r w:rsidRPr="007A098C">
        <w:rPr>
          <w:rFonts w:ascii="Calibri" w:eastAsia="Calibri" w:hAnsi="Calibri" w:cs="Calibri"/>
          <w:sz w:val="24"/>
          <w:szCs w:val="24"/>
          <w:lang w:val="sr-Latn-ME"/>
        </w:rPr>
        <w:t>,2 mil.€ ili 1,</w:t>
      </w:r>
      <w:r>
        <w:rPr>
          <w:rFonts w:ascii="Calibri" w:eastAsia="Calibri" w:hAnsi="Calibri" w:cs="Calibri"/>
          <w:sz w:val="24"/>
          <w:szCs w:val="24"/>
          <w:lang w:val="sr-Latn-ME"/>
        </w:rPr>
        <w:t>4</w:t>
      </w:r>
      <w:r w:rsidRPr="007A098C">
        <w:rPr>
          <w:rFonts w:ascii="Calibri" w:eastAsia="Calibri" w:hAnsi="Calibri" w:cs="Calibri"/>
          <w:sz w:val="24"/>
          <w:szCs w:val="24"/>
          <w:lang w:val="sr-Latn-ME"/>
        </w:rPr>
        <w:t xml:space="preserve">% BDP-a u 2025, do </w:t>
      </w:r>
      <w:r>
        <w:rPr>
          <w:rFonts w:ascii="Calibri" w:eastAsia="Calibri" w:hAnsi="Calibri" w:cs="Calibri"/>
          <w:sz w:val="24"/>
          <w:szCs w:val="24"/>
          <w:lang w:val="sr-Latn-ME"/>
        </w:rPr>
        <w:t>100</w:t>
      </w:r>
      <w:r w:rsidRPr="007A098C">
        <w:rPr>
          <w:rFonts w:ascii="Calibri" w:eastAsia="Calibri" w:hAnsi="Calibri" w:cs="Calibri"/>
          <w:sz w:val="24"/>
          <w:szCs w:val="24"/>
          <w:lang w:val="sr-Latn-ME"/>
        </w:rPr>
        <w:t xml:space="preserve"> mil.€ ili </w:t>
      </w:r>
      <w:r>
        <w:rPr>
          <w:rFonts w:ascii="Calibri" w:eastAsia="Calibri" w:hAnsi="Calibri" w:cs="Calibri"/>
          <w:sz w:val="24"/>
          <w:szCs w:val="24"/>
          <w:lang w:val="sr-Latn-ME"/>
        </w:rPr>
        <w:t>1,1</w:t>
      </w:r>
      <w:r w:rsidRPr="007A098C">
        <w:rPr>
          <w:rFonts w:ascii="Calibri" w:eastAsia="Calibri" w:hAnsi="Calibri" w:cs="Calibri"/>
          <w:sz w:val="24"/>
          <w:szCs w:val="24"/>
          <w:lang w:val="sr-Latn-ME"/>
        </w:rPr>
        <w:t>% BDP-a u 2027. godini,</w:t>
      </w:r>
      <w:r>
        <w:rPr>
          <w:rFonts w:ascii="Calibri" w:eastAsia="Calibri" w:hAnsi="Calibri" w:cs="Calibri"/>
          <w:sz w:val="24"/>
          <w:szCs w:val="24"/>
          <w:lang w:val="sr-Latn-ME"/>
        </w:rPr>
        <w:t xml:space="preserve"> dominantno</w:t>
      </w:r>
      <w:r w:rsidRPr="007A098C">
        <w:rPr>
          <w:rFonts w:ascii="Calibri" w:eastAsia="Calibri" w:hAnsi="Calibri" w:cs="Calibri"/>
          <w:sz w:val="24"/>
          <w:szCs w:val="24"/>
          <w:lang w:val="sr-Latn-ME"/>
        </w:rPr>
        <w:t xml:space="preserve"> kao rezultat povlačenja</w:t>
      </w:r>
      <w:r>
        <w:rPr>
          <w:rFonts w:ascii="Calibri" w:eastAsia="Calibri" w:hAnsi="Calibri" w:cs="Calibri"/>
          <w:sz w:val="24"/>
          <w:szCs w:val="24"/>
          <w:lang w:val="sr-Latn-ME"/>
        </w:rPr>
        <w:t xml:space="preserve"> sredstava grantova i donacija za izgradnju druge dionice autoputa Bar-Boljare, kao i</w:t>
      </w:r>
      <w:r w:rsidRPr="007A098C">
        <w:rPr>
          <w:rFonts w:ascii="Calibri" w:eastAsia="Calibri" w:hAnsi="Calibri" w:cs="Calibri"/>
          <w:sz w:val="24"/>
          <w:szCs w:val="24"/>
          <w:lang w:val="sr-Latn-ME"/>
        </w:rPr>
        <w:t xml:space="preserve"> sredstava u okviru Plana rasta za Zapadni Balkan</w:t>
      </w:r>
      <w:r>
        <w:rPr>
          <w:rFonts w:ascii="Calibri" w:eastAsia="Calibri" w:hAnsi="Calibri" w:cs="Calibri"/>
          <w:sz w:val="24"/>
          <w:szCs w:val="24"/>
          <w:lang w:val="sr-Latn-ME"/>
        </w:rPr>
        <w:t>,</w:t>
      </w:r>
      <w:r w:rsidRPr="007A098C">
        <w:rPr>
          <w:rFonts w:ascii="Calibri" w:eastAsia="Calibri" w:hAnsi="Calibri" w:cs="Calibri"/>
          <w:sz w:val="24"/>
          <w:szCs w:val="24"/>
          <w:lang w:val="sr-Latn-ME"/>
        </w:rPr>
        <w:t xml:space="preserve"> a u skladu sa reformama i aktivnostima planiranim u okviru Reformske agende Crne Go</w:t>
      </w:r>
      <w:r>
        <w:rPr>
          <w:rFonts w:ascii="Calibri" w:eastAsia="Calibri" w:hAnsi="Calibri" w:cs="Calibri"/>
          <w:sz w:val="24"/>
          <w:szCs w:val="24"/>
          <w:lang w:val="sr-Latn-ME"/>
        </w:rPr>
        <w:t>re za period 2024-2027. godine.</w:t>
      </w:r>
    </w:p>
    <w:p w14:paraId="40318184" w14:textId="77777777" w:rsidR="00E05341" w:rsidRDefault="00E05341" w:rsidP="00E05341">
      <w:pPr>
        <w:jc w:val="both"/>
        <w:rPr>
          <w:sz w:val="24"/>
          <w:szCs w:val="24"/>
        </w:rPr>
      </w:pPr>
      <w:r w:rsidRPr="00556791">
        <w:rPr>
          <w:sz w:val="24"/>
          <w:szCs w:val="24"/>
        </w:rPr>
        <w:t xml:space="preserve">Značajni prihodi ostvariće se </w:t>
      </w:r>
      <w:r>
        <w:rPr>
          <w:sz w:val="24"/>
          <w:szCs w:val="24"/>
        </w:rPr>
        <w:t xml:space="preserve">i </w:t>
      </w:r>
      <w:r w:rsidRPr="00556791">
        <w:rPr>
          <w:sz w:val="24"/>
          <w:szCs w:val="24"/>
        </w:rPr>
        <w:t>u slučaju donošenja novog zakonskog rešenja u dijelu legalizacije nelegalno izgrađenih objekata i implementacije Zakona o oduzimanju nelegalno stečene imovinske koristi, kao i u slučaju završetka tenderskog postupka za davanje Aerodroma Crne Gore pod dugoročnu koncesiju. Ovi prihodi nisu predviđeni prezentovanim fiskalnim okvirom za period 2024-2027. godine u cilju konzervativnog planiranja prihoda i sigurnosti finansiranja javne potrošnje.</w:t>
      </w:r>
    </w:p>
    <w:p w14:paraId="4767B05D" w14:textId="77777777" w:rsidR="004D1849" w:rsidRPr="004D1849" w:rsidRDefault="004D1849" w:rsidP="004D1849">
      <w:pPr>
        <w:jc w:val="both"/>
        <w:rPr>
          <w:sz w:val="24"/>
          <w:szCs w:val="24"/>
          <w:lang w:val="sr-Latn-ME"/>
        </w:rPr>
      </w:pPr>
      <w:r w:rsidRPr="004D1849">
        <w:rPr>
          <w:sz w:val="24"/>
          <w:szCs w:val="24"/>
          <w:lang w:val="sr-Latn-ME"/>
        </w:rPr>
        <w:lastRenderedPageBreak/>
        <w:t>Kretanje javne potrošnje u periodu 2025-2027. godine karakteriše kontrolisani rast tekuće potrošnje uz stabilan rast mandatornih rashoda čije je kretanje determinisano redovnim usklađivanjem u skladu sa postojećim zakonskim rješenjima.</w:t>
      </w:r>
    </w:p>
    <w:p w14:paraId="6FE5C4F0" w14:textId="77777777" w:rsidR="004D1849" w:rsidRPr="004D1849" w:rsidRDefault="004D1849" w:rsidP="004D1849">
      <w:pPr>
        <w:jc w:val="both"/>
        <w:rPr>
          <w:sz w:val="24"/>
          <w:szCs w:val="24"/>
          <w:lang w:val="sr-Latn-ME"/>
        </w:rPr>
      </w:pPr>
      <w:r w:rsidRPr="004D1849">
        <w:rPr>
          <w:sz w:val="24"/>
          <w:szCs w:val="24"/>
          <w:lang w:val="sr-Latn-ME"/>
        </w:rPr>
        <w:t xml:space="preserve">Nominalni rast rashoda u narednom trogodišnjem periodu prevashodno je uslovljen: </w:t>
      </w:r>
    </w:p>
    <w:p w14:paraId="5CC10D44" w14:textId="77777777" w:rsidR="004D1849" w:rsidRPr="004D1849" w:rsidRDefault="004D1849" w:rsidP="004D1849">
      <w:pPr>
        <w:jc w:val="both"/>
        <w:rPr>
          <w:sz w:val="24"/>
          <w:szCs w:val="24"/>
          <w:lang w:val="sr-Latn-ME"/>
        </w:rPr>
      </w:pPr>
      <w:r w:rsidRPr="004D1849">
        <w:rPr>
          <w:sz w:val="24"/>
          <w:szCs w:val="24"/>
          <w:lang w:val="sr-Latn-ME"/>
        </w:rPr>
        <w:t xml:space="preserve">- značajnim rastom izdavajanja za finansiranje kapitalnih izdataka kojima se finansiraju infrastrukturni projekti; </w:t>
      </w:r>
    </w:p>
    <w:p w14:paraId="7526E110" w14:textId="77777777" w:rsidR="004D1849" w:rsidRPr="004D1849" w:rsidRDefault="004D1849" w:rsidP="004D1849">
      <w:pPr>
        <w:jc w:val="both"/>
        <w:rPr>
          <w:sz w:val="24"/>
          <w:szCs w:val="24"/>
          <w:lang w:val="sr-Latn-ME"/>
        </w:rPr>
      </w:pPr>
      <w:r w:rsidRPr="004D1849">
        <w:rPr>
          <w:sz w:val="24"/>
          <w:szCs w:val="24"/>
          <w:lang w:val="sr-Latn-ME"/>
        </w:rPr>
        <w:t xml:space="preserve">- rastom transfera za socijalnu zaštitu (po osnovu projektovanog usklađivanja penzionih i osnovna materijalna davanja iz socijalne i dječije zaštite, a u skladu sa projektovanim rastom inflacije i prosječne zarade); </w:t>
      </w:r>
    </w:p>
    <w:p w14:paraId="6F950A36" w14:textId="77777777" w:rsidR="004D1849" w:rsidRPr="004D1849" w:rsidRDefault="004D1849" w:rsidP="004D1849">
      <w:pPr>
        <w:jc w:val="both"/>
        <w:rPr>
          <w:sz w:val="24"/>
          <w:szCs w:val="24"/>
          <w:lang w:val="sr-Latn-ME"/>
        </w:rPr>
      </w:pPr>
      <w:r w:rsidRPr="004D1849">
        <w:rPr>
          <w:sz w:val="24"/>
          <w:szCs w:val="24"/>
          <w:lang w:val="sr-Latn-ME"/>
        </w:rPr>
        <w:t xml:space="preserve">- transfera institucijama, pojedincima, NVO i javnom sektoru i to prije svega u dijelu finansiranja sistema zdravstvene zaštite; </w:t>
      </w:r>
    </w:p>
    <w:p w14:paraId="43B5ACEF" w14:textId="2CE42613" w:rsidR="004D1849" w:rsidRPr="004D1849" w:rsidRDefault="004D1849" w:rsidP="004D1849">
      <w:pPr>
        <w:jc w:val="both"/>
        <w:rPr>
          <w:sz w:val="24"/>
          <w:szCs w:val="24"/>
          <w:lang w:val="sr-Latn-ME"/>
        </w:rPr>
      </w:pPr>
      <w:r w:rsidRPr="004D1849">
        <w:rPr>
          <w:sz w:val="24"/>
          <w:szCs w:val="24"/>
          <w:lang w:val="sr-Latn-ME"/>
        </w:rPr>
        <w:t>- implementacije novih politika</w:t>
      </w:r>
      <w:r w:rsidR="00CF227C">
        <w:rPr>
          <w:sz w:val="24"/>
          <w:szCs w:val="24"/>
          <w:lang w:val="sr-Latn-ME"/>
        </w:rPr>
        <w:t>.</w:t>
      </w:r>
    </w:p>
    <w:p w14:paraId="2BB81548" w14:textId="77777777" w:rsidR="004D1849" w:rsidRPr="004D1849" w:rsidRDefault="004D1849" w:rsidP="004D1849">
      <w:pPr>
        <w:jc w:val="both"/>
        <w:rPr>
          <w:sz w:val="24"/>
          <w:szCs w:val="24"/>
          <w:lang w:val="sr-Latn-ME"/>
        </w:rPr>
      </w:pPr>
      <w:r w:rsidRPr="004D1849">
        <w:rPr>
          <w:sz w:val="24"/>
          <w:szCs w:val="24"/>
          <w:lang w:val="sr-Latn-ME"/>
        </w:rPr>
        <w:t>Shodno očekivanim prihodima i rashodima opšteg nivoa Vlade, projektuje se da će se deficit javne potrošnje kretati u rasponu od 3.5% BDP-a u 2025. godini do 3.1% BDP-a u 2027. godini.</w:t>
      </w:r>
    </w:p>
    <w:p w14:paraId="7F36CE6D" w14:textId="5015376F" w:rsidR="004D1849" w:rsidRPr="00556791" w:rsidRDefault="004D1849" w:rsidP="004D1849">
      <w:pPr>
        <w:jc w:val="both"/>
        <w:rPr>
          <w:sz w:val="24"/>
          <w:szCs w:val="24"/>
          <w:lang w:val="sr-Latn-ME"/>
        </w:rPr>
        <w:sectPr w:rsidR="004D1849" w:rsidRPr="00556791" w:rsidSect="00561188">
          <w:headerReference w:type="default" r:id="rId12"/>
          <w:footerReference w:type="default" r:id="rId13"/>
          <w:headerReference w:type="first" r:id="rId14"/>
          <w:pgSz w:w="11906" w:h="16838"/>
          <w:pgMar w:top="1440" w:right="1440" w:bottom="1440" w:left="1440" w:header="708" w:footer="708" w:gutter="0"/>
          <w:cols w:space="708"/>
          <w:titlePg/>
          <w:docGrid w:linePitch="360"/>
        </w:sectPr>
      </w:pPr>
      <w:r w:rsidRPr="004D1849">
        <w:rPr>
          <w:sz w:val="24"/>
          <w:szCs w:val="24"/>
          <w:lang w:val="sr-Latn-ME"/>
        </w:rPr>
        <w:t>U narednoj tabeli je dat pregled osnovnih kategorija primitaka i izdataka i fiskalnih indikatora</w:t>
      </w:r>
    </w:p>
    <w:tbl>
      <w:tblPr>
        <w:tblpPr w:leftFromText="180" w:rightFromText="180" w:vertAnchor="text" w:horzAnchor="margin" w:tblpXSpec="center" w:tblpY="-89"/>
        <w:tblW w:w="15459" w:type="dxa"/>
        <w:tblLook w:val="04A0" w:firstRow="1" w:lastRow="0" w:firstColumn="1" w:lastColumn="0" w:noHBand="0" w:noVBand="1"/>
      </w:tblPr>
      <w:tblGrid>
        <w:gridCol w:w="3243"/>
        <w:gridCol w:w="885"/>
        <w:gridCol w:w="969"/>
        <w:gridCol w:w="885"/>
        <w:gridCol w:w="813"/>
        <w:gridCol w:w="944"/>
        <w:gridCol w:w="813"/>
        <w:gridCol w:w="885"/>
        <w:gridCol w:w="814"/>
        <w:gridCol w:w="885"/>
        <w:gridCol w:w="831"/>
        <w:gridCol w:w="885"/>
        <w:gridCol w:w="831"/>
        <w:gridCol w:w="944"/>
        <w:gridCol w:w="832"/>
      </w:tblGrid>
      <w:tr w:rsidR="00CF227C" w:rsidRPr="00CA30DF" w14:paraId="38CF7800" w14:textId="77777777" w:rsidTr="00CF227C">
        <w:trPr>
          <w:trHeight w:val="311"/>
        </w:trPr>
        <w:tc>
          <w:tcPr>
            <w:tcW w:w="3243" w:type="dxa"/>
            <w:tcBorders>
              <w:top w:val="single" w:sz="8" w:space="0" w:color="7E0000"/>
              <w:left w:val="nil"/>
              <w:bottom w:val="single" w:sz="8" w:space="0" w:color="7E0000"/>
              <w:right w:val="nil"/>
            </w:tcBorders>
            <w:shd w:val="clear" w:color="auto" w:fill="auto"/>
            <w:noWrap/>
            <w:vAlign w:val="center"/>
            <w:hideMark/>
          </w:tcPr>
          <w:p w14:paraId="21AED446"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lastRenderedPageBreak/>
              <w:br w:type="page"/>
              <w:t>Godišnji BDP (u mil. €)</w:t>
            </w:r>
          </w:p>
        </w:tc>
        <w:tc>
          <w:tcPr>
            <w:tcW w:w="1854" w:type="dxa"/>
            <w:gridSpan w:val="2"/>
            <w:tcBorders>
              <w:top w:val="single" w:sz="8" w:space="0" w:color="7E0000"/>
              <w:left w:val="nil"/>
              <w:bottom w:val="single" w:sz="8" w:space="0" w:color="7E0000"/>
              <w:right w:val="nil"/>
            </w:tcBorders>
            <w:shd w:val="clear" w:color="auto" w:fill="auto"/>
            <w:vAlign w:val="center"/>
          </w:tcPr>
          <w:p w14:paraId="4B12362E"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7.416,7</w:t>
            </w:r>
          </w:p>
        </w:tc>
        <w:tc>
          <w:tcPr>
            <w:tcW w:w="1698" w:type="dxa"/>
            <w:gridSpan w:val="2"/>
            <w:tcBorders>
              <w:top w:val="single" w:sz="8" w:space="0" w:color="7E0000"/>
              <w:left w:val="nil"/>
              <w:bottom w:val="single" w:sz="8" w:space="0" w:color="7E0000"/>
              <w:right w:val="nil"/>
            </w:tcBorders>
            <w:shd w:val="clear" w:color="auto" w:fill="auto"/>
            <w:vAlign w:val="center"/>
            <w:hideMark/>
          </w:tcPr>
          <w:p w14:paraId="14B557C2" w14:textId="764F423B" w:rsidR="00CF227C" w:rsidRPr="00CA30DF" w:rsidRDefault="00CF227C" w:rsidP="00CF227C">
            <w:pPr>
              <w:spacing w:after="0"/>
              <w:rPr>
                <w:rFonts w:cstheme="minorHAnsi"/>
                <w:sz w:val="18"/>
                <w:szCs w:val="18"/>
                <w:lang w:val="sr-Latn-ME"/>
              </w:rPr>
            </w:pPr>
            <w:r w:rsidRPr="00CA30DF">
              <w:rPr>
                <w:rFonts w:cstheme="minorHAnsi"/>
                <w:sz w:val="18"/>
                <w:szCs w:val="18"/>
                <w:lang w:val="sr-Latn-ME"/>
              </w:rPr>
              <w:t>7.96</w:t>
            </w:r>
            <w:r w:rsidR="00105E19">
              <w:rPr>
                <w:rFonts w:cstheme="minorHAnsi"/>
                <w:sz w:val="18"/>
                <w:szCs w:val="18"/>
                <w:lang w:val="sr-Latn-ME"/>
              </w:rPr>
              <w:t>5</w:t>
            </w:r>
            <w:r w:rsidRPr="00CA30DF">
              <w:rPr>
                <w:rFonts w:cstheme="minorHAnsi"/>
                <w:sz w:val="18"/>
                <w:szCs w:val="18"/>
                <w:lang w:val="sr-Latn-ME"/>
              </w:rPr>
              <w:t>,4</w:t>
            </w:r>
          </w:p>
        </w:tc>
        <w:tc>
          <w:tcPr>
            <w:tcW w:w="1757" w:type="dxa"/>
            <w:gridSpan w:val="2"/>
            <w:tcBorders>
              <w:top w:val="single" w:sz="8" w:space="0" w:color="7E0000"/>
              <w:left w:val="nil"/>
              <w:bottom w:val="single" w:sz="8" w:space="0" w:color="7E0000"/>
              <w:right w:val="nil"/>
            </w:tcBorders>
            <w:shd w:val="clear" w:color="auto" w:fill="auto"/>
            <w:vAlign w:val="center"/>
            <w:hideMark/>
          </w:tcPr>
          <w:p w14:paraId="0BF4672D"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8.372,8</w:t>
            </w:r>
          </w:p>
        </w:tc>
        <w:tc>
          <w:tcPr>
            <w:tcW w:w="1699" w:type="dxa"/>
            <w:gridSpan w:val="2"/>
            <w:tcBorders>
              <w:top w:val="single" w:sz="8" w:space="0" w:color="7E0000"/>
              <w:left w:val="nil"/>
              <w:bottom w:val="single" w:sz="8" w:space="0" w:color="7E0000"/>
              <w:right w:val="nil"/>
            </w:tcBorders>
            <w:shd w:val="clear" w:color="auto" w:fill="auto"/>
            <w:vAlign w:val="center"/>
            <w:hideMark/>
          </w:tcPr>
          <w:p w14:paraId="3A26D794"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8.757,5</w:t>
            </w:r>
          </w:p>
        </w:tc>
        <w:tc>
          <w:tcPr>
            <w:tcW w:w="1716" w:type="dxa"/>
            <w:gridSpan w:val="2"/>
            <w:tcBorders>
              <w:top w:val="single" w:sz="8" w:space="0" w:color="7E0000"/>
              <w:left w:val="nil"/>
              <w:bottom w:val="single" w:sz="8" w:space="0" w:color="7E0000"/>
              <w:right w:val="nil"/>
            </w:tcBorders>
            <w:shd w:val="clear" w:color="auto" w:fill="auto"/>
            <w:vAlign w:val="center"/>
          </w:tcPr>
          <w:p w14:paraId="7F292560"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7.836,8</w:t>
            </w:r>
          </w:p>
        </w:tc>
        <w:tc>
          <w:tcPr>
            <w:tcW w:w="1716" w:type="dxa"/>
            <w:gridSpan w:val="2"/>
            <w:tcBorders>
              <w:top w:val="single" w:sz="8" w:space="0" w:color="7E0000"/>
              <w:left w:val="nil"/>
              <w:bottom w:val="single" w:sz="8" w:space="0" w:color="7E0000"/>
              <w:right w:val="nil"/>
            </w:tcBorders>
            <w:shd w:val="clear" w:color="auto" w:fill="auto"/>
            <w:vAlign w:val="center"/>
          </w:tcPr>
          <w:p w14:paraId="688BC131"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8.154,4</w:t>
            </w:r>
          </w:p>
        </w:tc>
        <w:tc>
          <w:tcPr>
            <w:tcW w:w="1776" w:type="dxa"/>
            <w:gridSpan w:val="2"/>
            <w:tcBorders>
              <w:top w:val="single" w:sz="8" w:space="0" w:color="7E0000"/>
              <w:left w:val="nil"/>
              <w:bottom w:val="single" w:sz="8" w:space="0" w:color="7E0000"/>
              <w:right w:val="nil"/>
            </w:tcBorders>
            <w:shd w:val="clear" w:color="auto" w:fill="auto"/>
            <w:vAlign w:val="center"/>
          </w:tcPr>
          <w:p w14:paraId="547F759A"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8.466,7</w:t>
            </w:r>
          </w:p>
        </w:tc>
      </w:tr>
      <w:tr w:rsidR="00CF227C" w:rsidRPr="00CA30DF" w14:paraId="69814694" w14:textId="77777777" w:rsidTr="00CF227C">
        <w:trPr>
          <w:trHeight w:val="311"/>
        </w:trPr>
        <w:tc>
          <w:tcPr>
            <w:tcW w:w="3243" w:type="dxa"/>
            <w:tcBorders>
              <w:top w:val="nil"/>
              <w:left w:val="nil"/>
              <w:bottom w:val="nil"/>
              <w:right w:val="nil"/>
            </w:tcBorders>
            <w:shd w:val="clear" w:color="auto" w:fill="auto"/>
            <w:noWrap/>
            <w:vAlign w:val="center"/>
            <w:hideMark/>
          </w:tcPr>
          <w:p w14:paraId="0A3B76CA"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 </w:t>
            </w:r>
          </w:p>
        </w:tc>
        <w:tc>
          <w:tcPr>
            <w:tcW w:w="1854" w:type="dxa"/>
            <w:gridSpan w:val="2"/>
            <w:tcBorders>
              <w:top w:val="single" w:sz="8" w:space="0" w:color="7E0000"/>
              <w:left w:val="nil"/>
              <w:bottom w:val="single" w:sz="8" w:space="0" w:color="7E0000"/>
              <w:right w:val="nil"/>
            </w:tcBorders>
            <w:shd w:val="clear" w:color="auto" w:fill="auto"/>
            <w:vAlign w:val="center"/>
            <w:hideMark/>
          </w:tcPr>
          <w:p w14:paraId="2648CE3E"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preliminarno</w:t>
            </w:r>
          </w:p>
        </w:tc>
        <w:tc>
          <w:tcPr>
            <w:tcW w:w="5154" w:type="dxa"/>
            <w:gridSpan w:val="6"/>
            <w:tcBorders>
              <w:top w:val="single" w:sz="8" w:space="0" w:color="7E0000"/>
              <w:left w:val="nil"/>
              <w:bottom w:val="single" w:sz="8" w:space="0" w:color="7E0000"/>
              <w:right w:val="nil"/>
            </w:tcBorders>
            <w:shd w:val="clear" w:color="auto" w:fill="auto"/>
            <w:noWrap/>
            <w:vAlign w:val="center"/>
            <w:hideMark/>
          </w:tcPr>
          <w:p w14:paraId="521CF677"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osnovni scenario</w:t>
            </w:r>
          </w:p>
        </w:tc>
        <w:tc>
          <w:tcPr>
            <w:tcW w:w="5208" w:type="dxa"/>
            <w:gridSpan w:val="6"/>
            <w:tcBorders>
              <w:top w:val="single" w:sz="8" w:space="0" w:color="7E0000"/>
              <w:left w:val="nil"/>
              <w:bottom w:val="single" w:sz="8" w:space="0" w:color="7E0000"/>
              <w:right w:val="nil"/>
            </w:tcBorders>
            <w:shd w:val="clear" w:color="auto" w:fill="auto"/>
            <w:noWrap/>
            <w:vAlign w:val="center"/>
            <w:hideMark/>
          </w:tcPr>
          <w:p w14:paraId="3C281A2F"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scenario nižeg rasta</w:t>
            </w:r>
          </w:p>
        </w:tc>
      </w:tr>
      <w:tr w:rsidR="00CF227C" w:rsidRPr="00CA30DF" w14:paraId="7A42955E" w14:textId="77777777" w:rsidTr="00CF227C">
        <w:trPr>
          <w:trHeight w:val="297"/>
        </w:trPr>
        <w:tc>
          <w:tcPr>
            <w:tcW w:w="3243" w:type="dxa"/>
            <w:vMerge w:val="restart"/>
            <w:tcBorders>
              <w:top w:val="single" w:sz="8" w:space="0" w:color="7E0000"/>
              <w:left w:val="nil"/>
              <w:bottom w:val="single" w:sz="8" w:space="0" w:color="7E0000"/>
              <w:right w:val="nil"/>
            </w:tcBorders>
            <w:shd w:val="clear" w:color="auto" w:fill="auto"/>
            <w:vAlign w:val="center"/>
            <w:hideMark/>
          </w:tcPr>
          <w:p w14:paraId="1F7D7CE0"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Procjena javnih finansija za 2023-2025. godine</w:t>
            </w:r>
          </w:p>
        </w:tc>
        <w:tc>
          <w:tcPr>
            <w:tcW w:w="1854" w:type="dxa"/>
            <w:gridSpan w:val="2"/>
            <w:tcBorders>
              <w:top w:val="single" w:sz="8" w:space="0" w:color="7E0000"/>
              <w:left w:val="nil"/>
              <w:bottom w:val="dotted" w:sz="4" w:space="0" w:color="7E0000"/>
              <w:right w:val="nil"/>
            </w:tcBorders>
            <w:shd w:val="clear" w:color="auto" w:fill="auto"/>
            <w:noWrap/>
            <w:vAlign w:val="center"/>
            <w:hideMark/>
          </w:tcPr>
          <w:p w14:paraId="2C2C6070" w14:textId="77777777" w:rsidR="00CF227C" w:rsidRPr="00CA30DF" w:rsidRDefault="00CF227C" w:rsidP="00CF227C">
            <w:pPr>
              <w:spacing w:after="0"/>
              <w:jc w:val="center"/>
              <w:rPr>
                <w:rFonts w:cstheme="minorHAnsi"/>
                <w:sz w:val="18"/>
                <w:szCs w:val="18"/>
                <w:lang w:val="sr-Latn-ME"/>
              </w:rPr>
            </w:pPr>
            <w:r w:rsidRPr="00CA30DF">
              <w:rPr>
                <w:rFonts w:cstheme="minorHAnsi"/>
                <w:sz w:val="18"/>
                <w:szCs w:val="18"/>
                <w:lang w:val="sr-Latn-ME"/>
              </w:rPr>
              <w:t>2024</w:t>
            </w:r>
          </w:p>
        </w:tc>
        <w:tc>
          <w:tcPr>
            <w:tcW w:w="1698" w:type="dxa"/>
            <w:gridSpan w:val="2"/>
            <w:tcBorders>
              <w:top w:val="single" w:sz="8" w:space="0" w:color="7E0000"/>
              <w:left w:val="nil"/>
              <w:bottom w:val="dotted" w:sz="4" w:space="0" w:color="7E0000"/>
              <w:right w:val="nil"/>
            </w:tcBorders>
            <w:shd w:val="clear" w:color="auto" w:fill="auto"/>
            <w:noWrap/>
            <w:vAlign w:val="center"/>
            <w:hideMark/>
          </w:tcPr>
          <w:p w14:paraId="3D7C71F8" w14:textId="77777777" w:rsidR="00CF227C" w:rsidRPr="00CA30DF" w:rsidRDefault="00CF227C" w:rsidP="00CF227C">
            <w:pPr>
              <w:spacing w:after="0"/>
              <w:jc w:val="center"/>
              <w:rPr>
                <w:rFonts w:cstheme="minorHAnsi"/>
                <w:sz w:val="18"/>
                <w:szCs w:val="18"/>
                <w:lang w:val="sr-Latn-ME"/>
              </w:rPr>
            </w:pPr>
            <w:r w:rsidRPr="00CA30DF">
              <w:rPr>
                <w:rFonts w:cstheme="minorHAnsi"/>
                <w:sz w:val="18"/>
                <w:szCs w:val="18"/>
                <w:lang w:val="sr-Latn-ME"/>
              </w:rPr>
              <w:t>2025</w:t>
            </w:r>
          </w:p>
        </w:tc>
        <w:tc>
          <w:tcPr>
            <w:tcW w:w="1757" w:type="dxa"/>
            <w:gridSpan w:val="2"/>
            <w:tcBorders>
              <w:top w:val="single" w:sz="8" w:space="0" w:color="7E0000"/>
              <w:left w:val="nil"/>
              <w:bottom w:val="dotted" w:sz="4" w:space="0" w:color="7E0000"/>
              <w:right w:val="nil"/>
            </w:tcBorders>
            <w:shd w:val="clear" w:color="auto" w:fill="auto"/>
            <w:noWrap/>
            <w:vAlign w:val="center"/>
            <w:hideMark/>
          </w:tcPr>
          <w:p w14:paraId="6A2D034B" w14:textId="77777777" w:rsidR="00CF227C" w:rsidRPr="00CA30DF" w:rsidRDefault="00CF227C" w:rsidP="00CF227C">
            <w:pPr>
              <w:spacing w:after="0"/>
              <w:jc w:val="center"/>
              <w:rPr>
                <w:rFonts w:cstheme="minorHAnsi"/>
                <w:sz w:val="18"/>
                <w:szCs w:val="18"/>
                <w:lang w:val="sr-Latn-ME"/>
              </w:rPr>
            </w:pPr>
            <w:r w:rsidRPr="00CA30DF">
              <w:rPr>
                <w:rFonts w:cstheme="minorHAnsi"/>
                <w:sz w:val="18"/>
                <w:szCs w:val="18"/>
                <w:lang w:val="sr-Latn-ME"/>
              </w:rPr>
              <w:t>2026</w:t>
            </w:r>
          </w:p>
        </w:tc>
        <w:tc>
          <w:tcPr>
            <w:tcW w:w="1699" w:type="dxa"/>
            <w:gridSpan w:val="2"/>
            <w:tcBorders>
              <w:top w:val="single" w:sz="8" w:space="0" w:color="7E0000"/>
              <w:left w:val="nil"/>
              <w:bottom w:val="dotted" w:sz="4" w:space="0" w:color="7E0000"/>
              <w:right w:val="nil"/>
            </w:tcBorders>
            <w:shd w:val="clear" w:color="auto" w:fill="auto"/>
            <w:noWrap/>
            <w:vAlign w:val="center"/>
            <w:hideMark/>
          </w:tcPr>
          <w:p w14:paraId="5BE44A08" w14:textId="77777777" w:rsidR="00CF227C" w:rsidRPr="00CA30DF" w:rsidRDefault="00CF227C" w:rsidP="00CF227C">
            <w:pPr>
              <w:spacing w:after="0"/>
              <w:jc w:val="center"/>
              <w:rPr>
                <w:rFonts w:cstheme="minorHAnsi"/>
                <w:sz w:val="18"/>
                <w:szCs w:val="18"/>
                <w:lang w:val="sr-Latn-ME"/>
              </w:rPr>
            </w:pPr>
            <w:r w:rsidRPr="00CA30DF">
              <w:rPr>
                <w:rFonts w:cstheme="minorHAnsi"/>
                <w:sz w:val="18"/>
                <w:szCs w:val="18"/>
                <w:lang w:val="sr-Latn-ME"/>
              </w:rPr>
              <w:t>2027</w:t>
            </w:r>
          </w:p>
        </w:tc>
        <w:tc>
          <w:tcPr>
            <w:tcW w:w="1716" w:type="dxa"/>
            <w:gridSpan w:val="2"/>
            <w:tcBorders>
              <w:top w:val="single" w:sz="8" w:space="0" w:color="7E0000"/>
              <w:left w:val="nil"/>
              <w:bottom w:val="dotted" w:sz="4" w:space="0" w:color="7E0000"/>
              <w:right w:val="nil"/>
            </w:tcBorders>
            <w:shd w:val="clear" w:color="auto" w:fill="auto"/>
            <w:noWrap/>
            <w:vAlign w:val="center"/>
            <w:hideMark/>
          </w:tcPr>
          <w:p w14:paraId="5FF9036D" w14:textId="77777777" w:rsidR="00CF227C" w:rsidRPr="00CA30DF" w:rsidRDefault="00CF227C" w:rsidP="00CF227C">
            <w:pPr>
              <w:spacing w:after="0"/>
              <w:jc w:val="center"/>
              <w:rPr>
                <w:rFonts w:cstheme="minorHAnsi"/>
                <w:sz w:val="18"/>
                <w:szCs w:val="18"/>
                <w:lang w:val="sr-Latn-ME"/>
              </w:rPr>
            </w:pPr>
            <w:r w:rsidRPr="00CA30DF">
              <w:rPr>
                <w:rFonts w:cstheme="minorHAnsi"/>
                <w:sz w:val="18"/>
                <w:szCs w:val="18"/>
                <w:lang w:val="sr-Latn-ME"/>
              </w:rPr>
              <w:t>2025</w:t>
            </w:r>
          </w:p>
        </w:tc>
        <w:tc>
          <w:tcPr>
            <w:tcW w:w="1716" w:type="dxa"/>
            <w:gridSpan w:val="2"/>
            <w:tcBorders>
              <w:top w:val="single" w:sz="8" w:space="0" w:color="7E0000"/>
              <w:left w:val="nil"/>
              <w:bottom w:val="dotted" w:sz="4" w:space="0" w:color="7E0000"/>
              <w:right w:val="nil"/>
            </w:tcBorders>
            <w:shd w:val="clear" w:color="auto" w:fill="auto"/>
            <w:noWrap/>
            <w:vAlign w:val="center"/>
            <w:hideMark/>
          </w:tcPr>
          <w:p w14:paraId="6F05435D" w14:textId="77777777" w:rsidR="00CF227C" w:rsidRPr="00CA30DF" w:rsidRDefault="00CF227C" w:rsidP="00CF227C">
            <w:pPr>
              <w:spacing w:after="0"/>
              <w:jc w:val="center"/>
              <w:rPr>
                <w:rFonts w:cstheme="minorHAnsi"/>
                <w:sz w:val="18"/>
                <w:szCs w:val="18"/>
                <w:lang w:val="sr-Latn-ME"/>
              </w:rPr>
            </w:pPr>
            <w:r w:rsidRPr="00CA30DF">
              <w:rPr>
                <w:rFonts w:cstheme="minorHAnsi"/>
                <w:sz w:val="18"/>
                <w:szCs w:val="18"/>
                <w:lang w:val="sr-Latn-ME"/>
              </w:rPr>
              <w:t>2026</w:t>
            </w:r>
          </w:p>
        </w:tc>
        <w:tc>
          <w:tcPr>
            <w:tcW w:w="1776" w:type="dxa"/>
            <w:gridSpan w:val="2"/>
            <w:tcBorders>
              <w:top w:val="single" w:sz="8" w:space="0" w:color="7E0000"/>
              <w:left w:val="nil"/>
              <w:bottom w:val="dotted" w:sz="4" w:space="0" w:color="7E0000"/>
              <w:right w:val="nil"/>
            </w:tcBorders>
            <w:shd w:val="clear" w:color="auto" w:fill="auto"/>
            <w:noWrap/>
            <w:vAlign w:val="center"/>
            <w:hideMark/>
          </w:tcPr>
          <w:p w14:paraId="37F62DAA" w14:textId="77777777" w:rsidR="00CF227C" w:rsidRPr="00CA30DF" w:rsidRDefault="00CF227C" w:rsidP="00CF227C">
            <w:pPr>
              <w:spacing w:after="0"/>
              <w:jc w:val="center"/>
              <w:rPr>
                <w:rFonts w:cstheme="minorHAnsi"/>
                <w:sz w:val="18"/>
                <w:szCs w:val="18"/>
                <w:lang w:val="sr-Latn-ME"/>
              </w:rPr>
            </w:pPr>
            <w:r w:rsidRPr="00CA30DF">
              <w:rPr>
                <w:rFonts w:cstheme="minorHAnsi"/>
                <w:sz w:val="18"/>
                <w:szCs w:val="18"/>
                <w:lang w:val="sr-Latn-ME"/>
              </w:rPr>
              <w:t>2027</w:t>
            </w:r>
          </w:p>
        </w:tc>
      </w:tr>
      <w:tr w:rsidR="00CF227C" w:rsidRPr="00CA30DF" w14:paraId="2D831EC7" w14:textId="77777777" w:rsidTr="00CF227C">
        <w:trPr>
          <w:trHeight w:val="311"/>
        </w:trPr>
        <w:tc>
          <w:tcPr>
            <w:tcW w:w="3243" w:type="dxa"/>
            <w:vMerge/>
            <w:tcBorders>
              <w:top w:val="single" w:sz="8" w:space="0" w:color="7E0000"/>
              <w:left w:val="nil"/>
              <w:bottom w:val="single" w:sz="8" w:space="0" w:color="7E0000"/>
              <w:right w:val="nil"/>
            </w:tcBorders>
            <w:shd w:val="clear" w:color="auto" w:fill="auto"/>
            <w:vAlign w:val="center"/>
            <w:hideMark/>
          </w:tcPr>
          <w:p w14:paraId="67692358" w14:textId="77777777" w:rsidR="00CF227C" w:rsidRPr="00CA30DF" w:rsidRDefault="00CF227C" w:rsidP="00CF227C">
            <w:pPr>
              <w:spacing w:after="0"/>
              <w:rPr>
                <w:rFonts w:cstheme="minorHAnsi"/>
                <w:sz w:val="18"/>
                <w:szCs w:val="18"/>
                <w:lang w:val="sr-Latn-ME"/>
              </w:rPr>
            </w:pPr>
          </w:p>
        </w:tc>
        <w:tc>
          <w:tcPr>
            <w:tcW w:w="885" w:type="dxa"/>
            <w:tcBorders>
              <w:top w:val="nil"/>
              <w:left w:val="nil"/>
              <w:bottom w:val="single" w:sz="8" w:space="0" w:color="7E0000"/>
              <w:right w:val="nil"/>
            </w:tcBorders>
            <w:shd w:val="clear" w:color="auto" w:fill="auto"/>
            <w:noWrap/>
            <w:vAlign w:val="center"/>
            <w:hideMark/>
          </w:tcPr>
          <w:p w14:paraId="477DCBE6"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mil. €</w:t>
            </w:r>
          </w:p>
        </w:tc>
        <w:tc>
          <w:tcPr>
            <w:tcW w:w="969" w:type="dxa"/>
            <w:tcBorders>
              <w:top w:val="nil"/>
              <w:left w:val="nil"/>
              <w:bottom w:val="single" w:sz="8" w:space="0" w:color="7E0000"/>
              <w:right w:val="nil"/>
            </w:tcBorders>
            <w:shd w:val="clear" w:color="auto" w:fill="auto"/>
            <w:noWrap/>
            <w:vAlign w:val="center"/>
            <w:hideMark/>
          </w:tcPr>
          <w:p w14:paraId="400403BB"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 BDP</w:t>
            </w:r>
          </w:p>
        </w:tc>
        <w:tc>
          <w:tcPr>
            <w:tcW w:w="885" w:type="dxa"/>
            <w:tcBorders>
              <w:top w:val="nil"/>
              <w:left w:val="nil"/>
              <w:bottom w:val="single" w:sz="8" w:space="0" w:color="7E0000"/>
              <w:right w:val="nil"/>
            </w:tcBorders>
            <w:shd w:val="clear" w:color="auto" w:fill="auto"/>
            <w:noWrap/>
            <w:vAlign w:val="center"/>
            <w:hideMark/>
          </w:tcPr>
          <w:p w14:paraId="750FFA37"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mil. €</w:t>
            </w:r>
          </w:p>
        </w:tc>
        <w:tc>
          <w:tcPr>
            <w:tcW w:w="813" w:type="dxa"/>
            <w:tcBorders>
              <w:top w:val="nil"/>
              <w:left w:val="nil"/>
              <w:bottom w:val="single" w:sz="8" w:space="0" w:color="7E0000"/>
              <w:right w:val="nil"/>
            </w:tcBorders>
            <w:shd w:val="clear" w:color="auto" w:fill="auto"/>
            <w:noWrap/>
            <w:vAlign w:val="center"/>
            <w:hideMark/>
          </w:tcPr>
          <w:p w14:paraId="00FF15A8"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w:t>
            </w:r>
          </w:p>
        </w:tc>
        <w:tc>
          <w:tcPr>
            <w:tcW w:w="944" w:type="dxa"/>
            <w:tcBorders>
              <w:top w:val="nil"/>
              <w:left w:val="nil"/>
              <w:bottom w:val="single" w:sz="8" w:space="0" w:color="7E0000"/>
              <w:right w:val="nil"/>
            </w:tcBorders>
            <w:shd w:val="clear" w:color="auto" w:fill="auto"/>
            <w:noWrap/>
            <w:vAlign w:val="center"/>
            <w:hideMark/>
          </w:tcPr>
          <w:p w14:paraId="54EE834E"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mil. €</w:t>
            </w:r>
          </w:p>
        </w:tc>
        <w:tc>
          <w:tcPr>
            <w:tcW w:w="813" w:type="dxa"/>
            <w:tcBorders>
              <w:top w:val="nil"/>
              <w:left w:val="nil"/>
              <w:bottom w:val="single" w:sz="8" w:space="0" w:color="7E0000"/>
              <w:right w:val="nil"/>
            </w:tcBorders>
            <w:shd w:val="clear" w:color="auto" w:fill="auto"/>
            <w:noWrap/>
            <w:vAlign w:val="center"/>
            <w:hideMark/>
          </w:tcPr>
          <w:p w14:paraId="5D3026CB"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 BDP</w:t>
            </w:r>
          </w:p>
        </w:tc>
        <w:tc>
          <w:tcPr>
            <w:tcW w:w="885" w:type="dxa"/>
            <w:tcBorders>
              <w:top w:val="nil"/>
              <w:left w:val="nil"/>
              <w:bottom w:val="single" w:sz="8" w:space="0" w:color="7E0000"/>
              <w:right w:val="nil"/>
            </w:tcBorders>
            <w:shd w:val="clear" w:color="auto" w:fill="auto"/>
            <w:noWrap/>
            <w:vAlign w:val="center"/>
            <w:hideMark/>
          </w:tcPr>
          <w:p w14:paraId="1B4D2EC9"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mil. €</w:t>
            </w:r>
          </w:p>
        </w:tc>
        <w:tc>
          <w:tcPr>
            <w:tcW w:w="814" w:type="dxa"/>
            <w:tcBorders>
              <w:top w:val="nil"/>
              <w:left w:val="nil"/>
              <w:bottom w:val="single" w:sz="8" w:space="0" w:color="7E0000"/>
              <w:right w:val="nil"/>
            </w:tcBorders>
            <w:shd w:val="clear" w:color="auto" w:fill="auto"/>
            <w:noWrap/>
            <w:vAlign w:val="center"/>
            <w:hideMark/>
          </w:tcPr>
          <w:p w14:paraId="7B08A437"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w:t>
            </w:r>
          </w:p>
        </w:tc>
        <w:tc>
          <w:tcPr>
            <w:tcW w:w="885" w:type="dxa"/>
            <w:tcBorders>
              <w:top w:val="nil"/>
              <w:left w:val="nil"/>
              <w:bottom w:val="single" w:sz="8" w:space="0" w:color="7E0000"/>
              <w:right w:val="nil"/>
            </w:tcBorders>
            <w:shd w:val="clear" w:color="auto" w:fill="auto"/>
            <w:noWrap/>
            <w:vAlign w:val="center"/>
            <w:hideMark/>
          </w:tcPr>
          <w:p w14:paraId="1590D1F6"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mil. €</w:t>
            </w:r>
          </w:p>
        </w:tc>
        <w:tc>
          <w:tcPr>
            <w:tcW w:w="831" w:type="dxa"/>
            <w:tcBorders>
              <w:top w:val="nil"/>
              <w:left w:val="nil"/>
              <w:bottom w:val="single" w:sz="8" w:space="0" w:color="7E0000"/>
              <w:right w:val="nil"/>
            </w:tcBorders>
            <w:shd w:val="clear" w:color="auto" w:fill="auto"/>
            <w:noWrap/>
            <w:vAlign w:val="center"/>
            <w:hideMark/>
          </w:tcPr>
          <w:p w14:paraId="6FD38722"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w:t>
            </w:r>
          </w:p>
        </w:tc>
        <w:tc>
          <w:tcPr>
            <w:tcW w:w="885" w:type="dxa"/>
            <w:tcBorders>
              <w:top w:val="nil"/>
              <w:left w:val="nil"/>
              <w:bottom w:val="single" w:sz="8" w:space="0" w:color="7E0000"/>
              <w:right w:val="nil"/>
            </w:tcBorders>
            <w:shd w:val="clear" w:color="auto" w:fill="auto"/>
            <w:noWrap/>
            <w:vAlign w:val="center"/>
            <w:hideMark/>
          </w:tcPr>
          <w:p w14:paraId="20F4091B"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mil. €</w:t>
            </w:r>
          </w:p>
        </w:tc>
        <w:tc>
          <w:tcPr>
            <w:tcW w:w="831" w:type="dxa"/>
            <w:tcBorders>
              <w:top w:val="nil"/>
              <w:left w:val="nil"/>
              <w:bottom w:val="single" w:sz="8" w:space="0" w:color="7E0000"/>
              <w:right w:val="nil"/>
            </w:tcBorders>
            <w:shd w:val="clear" w:color="auto" w:fill="auto"/>
            <w:noWrap/>
            <w:vAlign w:val="center"/>
            <w:hideMark/>
          </w:tcPr>
          <w:p w14:paraId="4D0E1E0F"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 BDP</w:t>
            </w:r>
          </w:p>
        </w:tc>
        <w:tc>
          <w:tcPr>
            <w:tcW w:w="944" w:type="dxa"/>
            <w:tcBorders>
              <w:top w:val="nil"/>
              <w:left w:val="nil"/>
              <w:bottom w:val="single" w:sz="8" w:space="0" w:color="7E0000"/>
              <w:right w:val="nil"/>
            </w:tcBorders>
            <w:shd w:val="clear" w:color="auto" w:fill="auto"/>
            <w:noWrap/>
            <w:vAlign w:val="center"/>
            <w:hideMark/>
          </w:tcPr>
          <w:p w14:paraId="31A409B4"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mil. €</w:t>
            </w:r>
          </w:p>
        </w:tc>
        <w:tc>
          <w:tcPr>
            <w:tcW w:w="832" w:type="dxa"/>
            <w:tcBorders>
              <w:top w:val="nil"/>
              <w:left w:val="nil"/>
              <w:bottom w:val="single" w:sz="8" w:space="0" w:color="7E0000"/>
              <w:right w:val="nil"/>
            </w:tcBorders>
            <w:shd w:val="clear" w:color="auto" w:fill="auto"/>
            <w:noWrap/>
            <w:vAlign w:val="center"/>
            <w:hideMark/>
          </w:tcPr>
          <w:p w14:paraId="7D151993"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w:t>
            </w:r>
          </w:p>
        </w:tc>
      </w:tr>
      <w:tr w:rsidR="00CF227C" w:rsidRPr="00CA30DF" w14:paraId="1DBC521D" w14:textId="77777777" w:rsidTr="00CF227C">
        <w:trPr>
          <w:trHeight w:val="311"/>
        </w:trPr>
        <w:tc>
          <w:tcPr>
            <w:tcW w:w="3243" w:type="dxa"/>
            <w:tcBorders>
              <w:top w:val="nil"/>
              <w:left w:val="nil"/>
              <w:bottom w:val="dashed" w:sz="8" w:space="0" w:color="7E0000"/>
              <w:right w:val="nil"/>
            </w:tcBorders>
            <w:shd w:val="clear" w:color="auto" w:fill="auto"/>
            <w:noWrap/>
            <w:vAlign w:val="center"/>
            <w:hideMark/>
          </w:tcPr>
          <w:p w14:paraId="1A40943C"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Javni prihodi, od čega:</w:t>
            </w:r>
          </w:p>
        </w:tc>
        <w:tc>
          <w:tcPr>
            <w:tcW w:w="885" w:type="dxa"/>
            <w:tcBorders>
              <w:top w:val="nil"/>
              <w:left w:val="nil"/>
              <w:bottom w:val="dashed" w:sz="8" w:space="0" w:color="7E0000"/>
              <w:right w:val="nil"/>
            </w:tcBorders>
            <w:shd w:val="clear" w:color="auto" w:fill="auto"/>
            <w:vAlign w:val="center"/>
            <w:hideMark/>
          </w:tcPr>
          <w:p w14:paraId="3A837067"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3.174,1</w:t>
            </w:r>
          </w:p>
        </w:tc>
        <w:tc>
          <w:tcPr>
            <w:tcW w:w="969" w:type="dxa"/>
            <w:tcBorders>
              <w:top w:val="nil"/>
              <w:left w:val="nil"/>
              <w:bottom w:val="dashed" w:sz="8" w:space="0" w:color="7E0000"/>
              <w:right w:val="nil"/>
            </w:tcBorders>
            <w:shd w:val="clear" w:color="auto" w:fill="auto"/>
            <w:vAlign w:val="center"/>
            <w:hideMark/>
          </w:tcPr>
          <w:p w14:paraId="5F7BF882"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42,8</w:t>
            </w:r>
          </w:p>
        </w:tc>
        <w:tc>
          <w:tcPr>
            <w:tcW w:w="885" w:type="dxa"/>
            <w:tcBorders>
              <w:top w:val="nil"/>
              <w:left w:val="nil"/>
              <w:bottom w:val="dashed" w:sz="8" w:space="0" w:color="7E0000"/>
              <w:right w:val="nil"/>
            </w:tcBorders>
            <w:shd w:val="clear" w:color="auto" w:fill="auto"/>
            <w:vAlign w:val="center"/>
            <w:hideMark/>
          </w:tcPr>
          <w:p w14:paraId="31F96BF1"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3.283,0</w:t>
            </w:r>
          </w:p>
        </w:tc>
        <w:tc>
          <w:tcPr>
            <w:tcW w:w="813" w:type="dxa"/>
            <w:tcBorders>
              <w:top w:val="nil"/>
              <w:left w:val="nil"/>
              <w:bottom w:val="dashed" w:sz="8" w:space="0" w:color="7E0000"/>
              <w:right w:val="nil"/>
            </w:tcBorders>
            <w:shd w:val="clear" w:color="auto" w:fill="auto"/>
            <w:vAlign w:val="center"/>
            <w:hideMark/>
          </w:tcPr>
          <w:p w14:paraId="48AED8CA"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41,2</w:t>
            </w:r>
          </w:p>
        </w:tc>
        <w:tc>
          <w:tcPr>
            <w:tcW w:w="944" w:type="dxa"/>
            <w:tcBorders>
              <w:top w:val="nil"/>
              <w:left w:val="nil"/>
              <w:bottom w:val="dashed" w:sz="8" w:space="0" w:color="7E0000"/>
              <w:right w:val="nil"/>
            </w:tcBorders>
            <w:shd w:val="clear" w:color="auto" w:fill="auto"/>
            <w:vAlign w:val="center"/>
            <w:hideMark/>
          </w:tcPr>
          <w:p w14:paraId="76BF87DC"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3.410,3</w:t>
            </w:r>
          </w:p>
        </w:tc>
        <w:tc>
          <w:tcPr>
            <w:tcW w:w="813" w:type="dxa"/>
            <w:tcBorders>
              <w:top w:val="nil"/>
              <w:left w:val="nil"/>
              <w:bottom w:val="dashed" w:sz="8" w:space="0" w:color="7E0000"/>
              <w:right w:val="nil"/>
            </w:tcBorders>
            <w:shd w:val="clear" w:color="auto" w:fill="auto"/>
            <w:vAlign w:val="center"/>
            <w:hideMark/>
          </w:tcPr>
          <w:p w14:paraId="2CCBF1E4"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40,7</w:t>
            </w:r>
          </w:p>
        </w:tc>
        <w:tc>
          <w:tcPr>
            <w:tcW w:w="885" w:type="dxa"/>
            <w:tcBorders>
              <w:top w:val="nil"/>
              <w:left w:val="nil"/>
              <w:bottom w:val="dashed" w:sz="8" w:space="0" w:color="7E0000"/>
              <w:right w:val="nil"/>
            </w:tcBorders>
            <w:shd w:val="clear" w:color="auto" w:fill="auto"/>
            <w:vAlign w:val="center"/>
            <w:hideMark/>
          </w:tcPr>
          <w:p w14:paraId="270B921E"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3.527,2</w:t>
            </w:r>
          </w:p>
        </w:tc>
        <w:tc>
          <w:tcPr>
            <w:tcW w:w="814" w:type="dxa"/>
            <w:tcBorders>
              <w:top w:val="nil"/>
              <w:left w:val="nil"/>
              <w:bottom w:val="dashed" w:sz="8" w:space="0" w:color="7E0000"/>
              <w:right w:val="nil"/>
            </w:tcBorders>
            <w:shd w:val="clear" w:color="auto" w:fill="auto"/>
            <w:vAlign w:val="center"/>
            <w:hideMark/>
          </w:tcPr>
          <w:p w14:paraId="01F15E05"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40,3</w:t>
            </w:r>
          </w:p>
        </w:tc>
        <w:tc>
          <w:tcPr>
            <w:tcW w:w="885" w:type="dxa"/>
            <w:tcBorders>
              <w:top w:val="nil"/>
              <w:left w:val="nil"/>
              <w:bottom w:val="dashed" w:sz="8" w:space="0" w:color="7E0000"/>
              <w:right w:val="nil"/>
            </w:tcBorders>
            <w:shd w:val="clear" w:color="auto" w:fill="auto"/>
            <w:vAlign w:val="center"/>
          </w:tcPr>
          <w:p w14:paraId="23B0A67B"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3.247,0</w:t>
            </w:r>
          </w:p>
        </w:tc>
        <w:tc>
          <w:tcPr>
            <w:tcW w:w="831" w:type="dxa"/>
            <w:tcBorders>
              <w:top w:val="nil"/>
              <w:left w:val="nil"/>
              <w:bottom w:val="dashed" w:sz="8" w:space="0" w:color="7E0000"/>
              <w:right w:val="nil"/>
            </w:tcBorders>
            <w:shd w:val="clear" w:color="auto" w:fill="auto"/>
            <w:vAlign w:val="center"/>
          </w:tcPr>
          <w:p w14:paraId="4AEF8D29" w14:textId="6A65D4CB" w:rsidR="00CF227C" w:rsidRPr="00CA30DF" w:rsidRDefault="00C53F1B" w:rsidP="00CF227C">
            <w:pPr>
              <w:spacing w:after="0"/>
              <w:rPr>
                <w:rFonts w:cstheme="minorHAnsi"/>
                <w:sz w:val="18"/>
                <w:szCs w:val="18"/>
                <w:lang w:val="sr-Latn-ME"/>
              </w:rPr>
            </w:pPr>
            <w:r>
              <w:rPr>
                <w:rFonts w:cstheme="minorHAnsi"/>
                <w:sz w:val="18"/>
                <w:szCs w:val="18"/>
                <w:lang w:val="sr-Latn-ME"/>
              </w:rPr>
              <w:t>41,4</w:t>
            </w:r>
          </w:p>
        </w:tc>
        <w:tc>
          <w:tcPr>
            <w:tcW w:w="885" w:type="dxa"/>
            <w:tcBorders>
              <w:top w:val="nil"/>
              <w:left w:val="nil"/>
              <w:bottom w:val="dashed" w:sz="8" w:space="0" w:color="7E0000"/>
              <w:right w:val="nil"/>
            </w:tcBorders>
            <w:shd w:val="clear" w:color="auto" w:fill="auto"/>
            <w:vAlign w:val="center"/>
          </w:tcPr>
          <w:p w14:paraId="63072B85"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3.362,8</w:t>
            </w:r>
          </w:p>
        </w:tc>
        <w:tc>
          <w:tcPr>
            <w:tcW w:w="831" w:type="dxa"/>
            <w:tcBorders>
              <w:top w:val="nil"/>
              <w:left w:val="nil"/>
              <w:bottom w:val="dashed" w:sz="8" w:space="0" w:color="7E0000"/>
              <w:right w:val="nil"/>
            </w:tcBorders>
            <w:shd w:val="clear" w:color="auto" w:fill="auto"/>
            <w:vAlign w:val="center"/>
          </w:tcPr>
          <w:p w14:paraId="251D6E0D" w14:textId="31232755" w:rsidR="00CF227C" w:rsidRPr="00CA30DF" w:rsidRDefault="00C53F1B" w:rsidP="00CF227C">
            <w:pPr>
              <w:spacing w:after="0"/>
              <w:rPr>
                <w:rFonts w:cstheme="minorHAnsi"/>
                <w:sz w:val="18"/>
                <w:szCs w:val="18"/>
                <w:lang w:val="sr-Latn-ME"/>
              </w:rPr>
            </w:pPr>
            <w:r>
              <w:rPr>
                <w:rFonts w:cstheme="minorHAnsi"/>
                <w:sz w:val="18"/>
                <w:szCs w:val="18"/>
                <w:lang w:val="sr-Latn-ME"/>
              </w:rPr>
              <w:t>41,2</w:t>
            </w:r>
          </w:p>
        </w:tc>
        <w:tc>
          <w:tcPr>
            <w:tcW w:w="944" w:type="dxa"/>
            <w:tcBorders>
              <w:top w:val="nil"/>
              <w:left w:val="nil"/>
              <w:bottom w:val="dashed" w:sz="8" w:space="0" w:color="7E0000"/>
              <w:right w:val="nil"/>
            </w:tcBorders>
            <w:shd w:val="clear" w:color="auto" w:fill="auto"/>
            <w:vAlign w:val="center"/>
          </w:tcPr>
          <w:p w14:paraId="7513AF4D"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3.480,0</w:t>
            </w:r>
          </w:p>
        </w:tc>
        <w:tc>
          <w:tcPr>
            <w:tcW w:w="832" w:type="dxa"/>
            <w:tcBorders>
              <w:top w:val="nil"/>
              <w:left w:val="nil"/>
              <w:bottom w:val="dashed" w:sz="8" w:space="0" w:color="7E0000"/>
              <w:right w:val="nil"/>
            </w:tcBorders>
            <w:shd w:val="clear" w:color="auto" w:fill="auto"/>
            <w:vAlign w:val="center"/>
          </w:tcPr>
          <w:p w14:paraId="0F392139" w14:textId="3CA43B61" w:rsidR="00CF227C" w:rsidRPr="00CA30DF" w:rsidRDefault="00C53F1B" w:rsidP="00CF227C">
            <w:pPr>
              <w:spacing w:after="0"/>
              <w:rPr>
                <w:rFonts w:cstheme="minorHAnsi"/>
                <w:sz w:val="18"/>
                <w:szCs w:val="18"/>
                <w:lang w:val="sr-Latn-ME"/>
              </w:rPr>
            </w:pPr>
            <w:r>
              <w:rPr>
                <w:rFonts w:cstheme="minorHAnsi"/>
                <w:sz w:val="18"/>
                <w:szCs w:val="18"/>
                <w:lang w:val="sr-Latn-ME"/>
              </w:rPr>
              <w:t>41,1</w:t>
            </w:r>
          </w:p>
        </w:tc>
      </w:tr>
      <w:tr w:rsidR="00CF227C" w:rsidRPr="00CA30DF" w14:paraId="17726F39" w14:textId="77777777" w:rsidTr="00CF227C">
        <w:trPr>
          <w:trHeight w:val="297"/>
        </w:trPr>
        <w:tc>
          <w:tcPr>
            <w:tcW w:w="3243" w:type="dxa"/>
            <w:tcBorders>
              <w:top w:val="nil"/>
              <w:left w:val="nil"/>
              <w:bottom w:val="nil"/>
              <w:right w:val="nil"/>
            </w:tcBorders>
            <w:shd w:val="clear" w:color="auto" w:fill="auto"/>
            <w:noWrap/>
            <w:vAlign w:val="center"/>
            <w:hideMark/>
          </w:tcPr>
          <w:p w14:paraId="5CA6E42C"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Porez na dohodak</w:t>
            </w:r>
          </w:p>
        </w:tc>
        <w:tc>
          <w:tcPr>
            <w:tcW w:w="885" w:type="dxa"/>
            <w:tcBorders>
              <w:top w:val="nil"/>
              <w:left w:val="nil"/>
              <w:bottom w:val="nil"/>
              <w:right w:val="nil"/>
            </w:tcBorders>
            <w:shd w:val="clear" w:color="auto" w:fill="auto"/>
            <w:vAlign w:val="center"/>
            <w:hideMark/>
          </w:tcPr>
          <w:p w14:paraId="098C4A53"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175,1</w:t>
            </w:r>
          </w:p>
        </w:tc>
        <w:tc>
          <w:tcPr>
            <w:tcW w:w="969" w:type="dxa"/>
            <w:tcBorders>
              <w:top w:val="nil"/>
              <w:left w:val="nil"/>
              <w:bottom w:val="nil"/>
              <w:right w:val="nil"/>
            </w:tcBorders>
            <w:shd w:val="clear" w:color="auto" w:fill="auto"/>
            <w:vAlign w:val="center"/>
            <w:hideMark/>
          </w:tcPr>
          <w:p w14:paraId="660BF990"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2,4</w:t>
            </w:r>
          </w:p>
        </w:tc>
        <w:tc>
          <w:tcPr>
            <w:tcW w:w="885" w:type="dxa"/>
            <w:tcBorders>
              <w:top w:val="nil"/>
              <w:left w:val="nil"/>
              <w:bottom w:val="nil"/>
              <w:right w:val="nil"/>
            </w:tcBorders>
            <w:shd w:val="clear" w:color="auto" w:fill="auto"/>
            <w:hideMark/>
          </w:tcPr>
          <w:p w14:paraId="7471F7FB"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198,4</w:t>
            </w:r>
          </w:p>
        </w:tc>
        <w:tc>
          <w:tcPr>
            <w:tcW w:w="813" w:type="dxa"/>
            <w:tcBorders>
              <w:top w:val="nil"/>
              <w:left w:val="nil"/>
              <w:bottom w:val="nil"/>
              <w:right w:val="nil"/>
            </w:tcBorders>
            <w:shd w:val="clear" w:color="auto" w:fill="auto"/>
            <w:hideMark/>
          </w:tcPr>
          <w:p w14:paraId="53433CE3"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2,5</w:t>
            </w:r>
          </w:p>
        </w:tc>
        <w:tc>
          <w:tcPr>
            <w:tcW w:w="944" w:type="dxa"/>
            <w:tcBorders>
              <w:top w:val="nil"/>
              <w:left w:val="nil"/>
              <w:bottom w:val="nil"/>
              <w:right w:val="nil"/>
            </w:tcBorders>
            <w:shd w:val="clear" w:color="auto" w:fill="auto"/>
            <w:hideMark/>
          </w:tcPr>
          <w:p w14:paraId="5583AF19"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204,4</w:t>
            </w:r>
          </w:p>
        </w:tc>
        <w:tc>
          <w:tcPr>
            <w:tcW w:w="813" w:type="dxa"/>
            <w:tcBorders>
              <w:top w:val="nil"/>
              <w:left w:val="nil"/>
              <w:bottom w:val="nil"/>
              <w:right w:val="nil"/>
            </w:tcBorders>
            <w:shd w:val="clear" w:color="auto" w:fill="auto"/>
            <w:hideMark/>
          </w:tcPr>
          <w:p w14:paraId="37E13BBB"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2,4</w:t>
            </w:r>
          </w:p>
        </w:tc>
        <w:tc>
          <w:tcPr>
            <w:tcW w:w="885" w:type="dxa"/>
            <w:tcBorders>
              <w:top w:val="nil"/>
              <w:left w:val="nil"/>
              <w:bottom w:val="nil"/>
              <w:right w:val="nil"/>
            </w:tcBorders>
            <w:shd w:val="clear" w:color="auto" w:fill="auto"/>
            <w:hideMark/>
          </w:tcPr>
          <w:p w14:paraId="56BD531E"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212,7</w:t>
            </w:r>
          </w:p>
        </w:tc>
        <w:tc>
          <w:tcPr>
            <w:tcW w:w="814" w:type="dxa"/>
            <w:tcBorders>
              <w:top w:val="nil"/>
              <w:left w:val="nil"/>
              <w:bottom w:val="nil"/>
              <w:right w:val="nil"/>
            </w:tcBorders>
            <w:shd w:val="clear" w:color="auto" w:fill="auto"/>
            <w:hideMark/>
          </w:tcPr>
          <w:p w14:paraId="382A8C1A"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2,4</w:t>
            </w:r>
          </w:p>
        </w:tc>
        <w:tc>
          <w:tcPr>
            <w:tcW w:w="885" w:type="dxa"/>
            <w:tcBorders>
              <w:top w:val="nil"/>
              <w:left w:val="nil"/>
              <w:bottom w:val="nil"/>
              <w:right w:val="nil"/>
            </w:tcBorders>
            <w:shd w:val="clear" w:color="auto" w:fill="auto"/>
          </w:tcPr>
          <w:p w14:paraId="534D91FE"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196,8</w:t>
            </w:r>
          </w:p>
        </w:tc>
        <w:tc>
          <w:tcPr>
            <w:tcW w:w="831" w:type="dxa"/>
            <w:tcBorders>
              <w:top w:val="nil"/>
              <w:left w:val="nil"/>
              <w:bottom w:val="nil"/>
              <w:right w:val="nil"/>
            </w:tcBorders>
            <w:shd w:val="clear" w:color="auto" w:fill="auto"/>
          </w:tcPr>
          <w:p w14:paraId="61E6A13A"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2,5</w:t>
            </w:r>
          </w:p>
        </w:tc>
        <w:tc>
          <w:tcPr>
            <w:tcW w:w="885" w:type="dxa"/>
            <w:tcBorders>
              <w:top w:val="nil"/>
              <w:left w:val="nil"/>
              <w:bottom w:val="nil"/>
              <w:right w:val="nil"/>
            </w:tcBorders>
            <w:shd w:val="clear" w:color="auto" w:fill="auto"/>
          </w:tcPr>
          <w:p w14:paraId="67C413BF"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203,4</w:t>
            </w:r>
          </w:p>
        </w:tc>
        <w:tc>
          <w:tcPr>
            <w:tcW w:w="831" w:type="dxa"/>
            <w:tcBorders>
              <w:top w:val="nil"/>
              <w:left w:val="nil"/>
              <w:bottom w:val="nil"/>
              <w:right w:val="nil"/>
            </w:tcBorders>
            <w:shd w:val="clear" w:color="auto" w:fill="auto"/>
          </w:tcPr>
          <w:p w14:paraId="683672E1" w14:textId="5E99CD4F" w:rsidR="00CF227C" w:rsidRPr="00CA30DF" w:rsidRDefault="00CF227C" w:rsidP="00CF227C">
            <w:pPr>
              <w:spacing w:after="0"/>
              <w:rPr>
                <w:rFonts w:cstheme="minorHAnsi"/>
                <w:sz w:val="18"/>
                <w:szCs w:val="18"/>
                <w:lang w:val="sr-Latn-ME"/>
              </w:rPr>
            </w:pPr>
            <w:r w:rsidRPr="00CA30DF">
              <w:rPr>
                <w:rFonts w:cstheme="minorHAnsi"/>
                <w:sz w:val="18"/>
                <w:szCs w:val="18"/>
                <w:lang w:val="sr-Latn-ME"/>
              </w:rPr>
              <w:t>2,</w:t>
            </w:r>
            <w:r w:rsidR="00D305AD">
              <w:rPr>
                <w:rFonts w:cstheme="minorHAnsi"/>
                <w:sz w:val="18"/>
                <w:szCs w:val="18"/>
                <w:lang w:val="sr-Latn-ME"/>
              </w:rPr>
              <w:t>5</w:t>
            </w:r>
          </w:p>
        </w:tc>
        <w:tc>
          <w:tcPr>
            <w:tcW w:w="944" w:type="dxa"/>
            <w:tcBorders>
              <w:top w:val="nil"/>
              <w:left w:val="nil"/>
              <w:bottom w:val="nil"/>
              <w:right w:val="nil"/>
            </w:tcBorders>
            <w:shd w:val="clear" w:color="auto" w:fill="auto"/>
          </w:tcPr>
          <w:p w14:paraId="0BE2228B"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213,7</w:t>
            </w:r>
          </w:p>
        </w:tc>
        <w:tc>
          <w:tcPr>
            <w:tcW w:w="832" w:type="dxa"/>
            <w:tcBorders>
              <w:top w:val="nil"/>
              <w:left w:val="nil"/>
              <w:bottom w:val="nil"/>
              <w:right w:val="nil"/>
            </w:tcBorders>
            <w:shd w:val="clear" w:color="auto" w:fill="auto"/>
          </w:tcPr>
          <w:p w14:paraId="7D53EB2F" w14:textId="244F5B99" w:rsidR="00CF227C" w:rsidRPr="00CA30DF" w:rsidRDefault="00CF227C" w:rsidP="00CF227C">
            <w:pPr>
              <w:spacing w:after="0"/>
              <w:rPr>
                <w:rFonts w:cstheme="minorHAnsi"/>
                <w:sz w:val="18"/>
                <w:szCs w:val="18"/>
                <w:lang w:val="sr-Latn-ME"/>
              </w:rPr>
            </w:pPr>
            <w:r w:rsidRPr="00CA30DF">
              <w:rPr>
                <w:rFonts w:cstheme="minorHAnsi"/>
                <w:sz w:val="18"/>
                <w:szCs w:val="18"/>
                <w:lang w:val="sr-Latn-ME"/>
              </w:rPr>
              <w:t>2,</w:t>
            </w:r>
            <w:r w:rsidR="00D305AD">
              <w:rPr>
                <w:rFonts w:cstheme="minorHAnsi"/>
                <w:sz w:val="18"/>
                <w:szCs w:val="18"/>
                <w:lang w:val="sr-Latn-ME"/>
              </w:rPr>
              <w:t>5</w:t>
            </w:r>
          </w:p>
        </w:tc>
      </w:tr>
      <w:tr w:rsidR="00CF227C" w:rsidRPr="00CA30DF" w14:paraId="538478BD" w14:textId="77777777" w:rsidTr="00CF227C">
        <w:trPr>
          <w:trHeight w:val="297"/>
        </w:trPr>
        <w:tc>
          <w:tcPr>
            <w:tcW w:w="3243" w:type="dxa"/>
            <w:tcBorders>
              <w:top w:val="nil"/>
              <w:left w:val="nil"/>
              <w:bottom w:val="nil"/>
              <w:right w:val="nil"/>
            </w:tcBorders>
            <w:shd w:val="clear" w:color="auto" w:fill="auto"/>
            <w:noWrap/>
            <w:vAlign w:val="center"/>
            <w:hideMark/>
          </w:tcPr>
          <w:p w14:paraId="1C21AF02"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Porez na dodatu vrijednost</w:t>
            </w:r>
          </w:p>
        </w:tc>
        <w:tc>
          <w:tcPr>
            <w:tcW w:w="885" w:type="dxa"/>
            <w:tcBorders>
              <w:top w:val="nil"/>
              <w:left w:val="nil"/>
              <w:bottom w:val="nil"/>
              <w:right w:val="nil"/>
            </w:tcBorders>
            <w:shd w:val="clear" w:color="auto" w:fill="auto"/>
            <w:vAlign w:val="center"/>
            <w:hideMark/>
          </w:tcPr>
          <w:p w14:paraId="53439646"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1.204,4</w:t>
            </w:r>
          </w:p>
        </w:tc>
        <w:tc>
          <w:tcPr>
            <w:tcW w:w="969" w:type="dxa"/>
            <w:tcBorders>
              <w:top w:val="nil"/>
              <w:left w:val="nil"/>
              <w:bottom w:val="nil"/>
              <w:right w:val="nil"/>
            </w:tcBorders>
            <w:shd w:val="clear" w:color="auto" w:fill="auto"/>
            <w:vAlign w:val="center"/>
            <w:hideMark/>
          </w:tcPr>
          <w:p w14:paraId="62E8DE42"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16,2</w:t>
            </w:r>
          </w:p>
        </w:tc>
        <w:tc>
          <w:tcPr>
            <w:tcW w:w="885" w:type="dxa"/>
            <w:tcBorders>
              <w:top w:val="nil"/>
              <w:left w:val="nil"/>
              <w:bottom w:val="nil"/>
              <w:right w:val="nil"/>
            </w:tcBorders>
            <w:shd w:val="clear" w:color="auto" w:fill="auto"/>
            <w:hideMark/>
          </w:tcPr>
          <w:p w14:paraId="1AA37A39"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1.372,6</w:t>
            </w:r>
          </w:p>
        </w:tc>
        <w:tc>
          <w:tcPr>
            <w:tcW w:w="813" w:type="dxa"/>
            <w:tcBorders>
              <w:top w:val="nil"/>
              <w:left w:val="nil"/>
              <w:bottom w:val="nil"/>
              <w:right w:val="nil"/>
            </w:tcBorders>
            <w:shd w:val="clear" w:color="auto" w:fill="auto"/>
            <w:hideMark/>
          </w:tcPr>
          <w:p w14:paraId="0C9493EF"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17,2</w:t>
            </w:r>
          </w:p>
        </w:tc>
        <w:tc>
          <w:tcPr>
            <w:tcW w:w="944" w:type="dxa"/>
            <w:tcBorders>
              <w:top w:val="nil"/>
              <w:left w:val="nil"/>
              <w:bottom w:val="nil"/>
              <w:right w:val="nil"/>
            </w:tcBorders>
            <w:shd w:val="clear" w:color="auto" w:fill="auto"/>
          </w:tcPr>
          <w:p w14:paraId="3AFBE648"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1.421,8</w:t>
            </w:r>
          </w:p>
        </w:tc>
        <w:tc>
          <w:tcPr>
            <w:tcW w:w="813" w:type="dxa"/>
            <w:tcBorders>
              <w:top w:val="nil"/>
              <w:left w:val="nil"/>
              <w:bottom w:val="nil"/>
              <w:right w:val="nil"/>
            </w:tcBorders>
            <w:shd w:val="clear" w:color="auto" w:fill="auto"/>
          </w:tcPr>
          <w:p w14:paraId="6CBE234F"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17,0</w:t>
            </w:r>
          </w:p>
        </w:tc>
        <w:tc>
          <w:tcPr>
            <w:tcW w:w="885" w:type="dxa"/>
            <w:tcBorders>
              <w:top w:val="nil"/>
              <w:left w:val="nil"/>
              <w:bottom w:val="nil"/>
              <w:right w:val="nil"/>
            </w:tcBorders>
            <w:shd w:val="clear" w:color="auto" w:fill="auto"/>
          </w:tcPr>
          <w:p w14:paraId="555D6EA8"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1.464,5</w:t>
            </w:r>
          </w:p>
        </w:tc>
        <w:tc>
          <w:tcPr>
            <w:tcW w:w="814" w:type="dxa"/>
            <w:tcBorders>
              <w:top w:val="nil"/>
              <w:left w:val="nil"/>
              <w:bottom w:val="nil"/>
              <w:right w:val="nil"/>
            </w:tcBorders>
            <w:shd w:val="clear" w:color="auto" w:fill="auto"/>
          </w:tcPr>
          <w:p w14:paraId="7C6AFEAA"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16,7</w:t>
            </w:r>
          </w:p>
        </w:tc>
        <w:tc>
          <w:tcPr>
            <w:tcW w:w="885" w:type="dxa"/>
            <w:tcBorders>
              <w:top w:val="nil"/>
              <w:left w:val="nil"/>
              <w:bottom w:val="nil"/>
              <w:right w:val="nil"/>
            </w:tcBorders>
            <w:shd w:val="clear" w:color="auto" w:fill="auto"/>
          </w:tcPr>
          <w:p w14:paraId="2FB8C595"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1.365,3</w:t>
            </w:r>
          </w:p>
        </w:tc>
        <w:tc>
          <w:tcPr>
            <w:tcW w:w="831" w:type="dxa"/>
            <w:tcBorders>
              <w:top w:val="nil"/>
              <w:left w:val="nil"/>
              <w:bottom w:val="nil"/>
              <w:right w:val="nil"/>
            </w:tcBorders>
            <w:shd w:val="clear" w:color="auto" w:fill="auto"/>
          </w:tcPr>
          <w:p w14:paraId="5E80A87D" w14:textId="63C37721"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17,</w:t>
            </w:r>
            <w:r w:rsidR="00C53F1B">
              <w:rPr>
                <w:rFonts w:cstheme="minorHAnsi"/>
                <w:sz w:val="18"/>
                <w:szCs w:val="18"/>
                <w:lang w:val="sr-Latn-ME"/>
              </w:rPr>
              <w:t>4</w:t>
            </w:r>
          </w:p>
        </w:tc>
        <w:tc>
          <w:tcPr>
            <w:tcW w:w="885" w:type="dxa"/>
            <w:tcBorders>
              <w:top w:val="nil"/>
              <w:left w:val="nil"/>
              <w:bottom w:val="nil"/>
              <w:right w:val="nil"/>
            </w:tcBorders>
            <w:shd w:val="clear" w:color="auto" w:fill="auto"/>
          </w:tcPr>
          <w:p w14:paraId="08CCA891"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1.417,8</w:t>
            </w:r>
          </w:p>
        </w:tc>
        <w:tc>
          <w:tcPr>
            <w:tcW w:w="831" w:type="dxa"/>
            <w:tcBorders>
              <w:top w:val="nil"/>
              <w:left w:val="nil"/>
              <w:bottom w:val="nil"/>
              <w:right w:val="nil"/>
            </w:tcBorders>
            <w:shd w:val="clear" w:color="auto" w:fill="auto"/>
          </w:tcPr>
          <w:p w14:paraId="2E6B7E65" w14:textId="683A08E1" w:rsidR="00CF227C" w:rsidRPr="00CA30DF" w:rsidRDefault="00D305AD" w:rsidP="00CF227C">
            <w:pPr>
              <w:spacing w:after="0"/>
              <w:rPr>
                <w:rFonts w:cstheme="minorHAnsi"/>
                <w:sz w:val="18"/>
                <w:szCs w:val="18"/>
                <w:lang w:val="sr-Latn-ME"/>
              </w:rPr>
            </w:pPr>
            <w:r>
              <w:rPr>
                <w:rFonts w:cstheme="minorHAnsi"/>
                <w:sz w:val="18"/>
                <w:szCs w:val="18"/>
                <w:lang w:val="sr-Latn-ME"/>
              </w:rPr>
              <w:t>17,4</w:t>
            </w:r>
          </w:p>
        </w:tc>
        <w:tc>
          <w:tcPr>
            <w:tcW w:w="944" w:type="dxa"/>
            <w:tcBorders>
              <w:top w:val="nil"/>
              <w:left w:val="nil"/>
              <w:bottom w:val="nil"/>
              <w:right w:val="nil"/>
            </w:tcBorders>
            <w:shd w:val="clear" w:color="auto" w:fill="auto"/>
          </w:tcPr>
          <w:p w14:paraId="6CDCB99D"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1.458,5</w:t>
            </w:r>
          </w:p>
        </w:tc>
        <w:tc>
          <w:tcPr>
            <w:tcW w:w="832" w:type="dxa"/>
            <w:tcBorders>
              <w:top w:val="nil"/>
              <w:left w:val="nil"/>
              <w:bottom w:val="nil"/>
              <w:right w:val="nil"/>
            </w:tcBorders>
            <w:shd w:val="clear" w:color="auto" w:fill="auto"/>
          </w:tcPr>
          <w:p w14:paraId="6AC99C77" w14:textId="22E9CEE6" w:rsidR="00CF227C" w:rsidRPr="00CA30DF" w:rsidRDefault="00D305AD" w:rsidP="00CF227C">
            <w:pPr>
              <w:spacing w:after="0"/>
              <w:rPr>
                <w:rFonts w:cstheme="minorHAnsi"/>
                <w:sz w:val="18"/>
                <w:szCs w:val="18"/>
                <w:lang w:val="sr-Latn-ME"/>
              </w:rPr>
            </w:pPr>
            <w:r>
              <w:rPr>
                <w:rFonts w:cstheme="minorHAnsi"/>
                <w:sz w:val="18"/>
                <w:szCs w:val="18"/>
                <w:lang w:val="sr-Latn-ME"/>
              </w:rPr>
              <w:t>17,2</w:t>
            </w:r>
          </w:p>
        </w:tc>
      </w:tr>
      <w:tr w:rsidR="00CF227C" w:rsidRPr="00CA30DF" w14:paraId="41D06B3B" w14:textId="77777777" w:rsidTr="00CF227C">
        <w:trPr>
          <w:trHeight w:val="297"/>
        </w:trPr>
        <w:tc>
          <w:tcPr>
            <w:tcW w:w="3243" w:type="dxa"/>
            <w:tcBorders>
              <w:top w:val="nil"/>
              <w:left w:val="nil"/>
              <w:bottom w:val="nil"/>
              <w:right w:val="nil"/>
            </w:tcBorders>
            <w:shd w:val="clear" w:color="auto" w:fill="auto"/>
            <w:noWrap/>
            <w:vAlign w:val="center"/>
            <w:hideMark/>
          </w:tcPr>
          <w:p w14:paraId="1C18E013"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Akcize</w:t>
            </w:r>
          </w:p>
        </w:tc>
        <w:tc>
          <w:tcPr>
            <w:tcW w:w="885" w:type="dxa"/>
            <w:tcBorders>
              <w:top w:val="nil"/>
              <w:left w:val="nil"/>
              <w:bottom w:val="nil"/>
              <w:right w:val="nil"/>
            </w:tcBorders>
            <w:shd w:val="clear" w:color="auto" w:fill="auto"/>
            <w:vAlign w:val="center"/>
            <w:hideMark/>
          </w:tcPr>
          <w:p w14:paraId="01590496"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365,8</w:t>
            </w:r>
          </w:p>
        </w:tc>
        <w:tc>
          <w:tcPr>
            <w:tcW w:w="969" w:type="dxa"/>
            <w:tcBorders>
              <w:top w:val="nil"/>
              <w:left w:val="nil"/>
              <w:bottom w:val="nil"/>
              <w:right w:val="nil"/>
            </w:tcBorders>
            <w:shd w:val="clear" w:color="auto" w:fill="auto"/>
            <w:vAlign w:val="center"/>
            <w:hideMark/>
          </w:tcPr>
          <w:p w14:paraId="4F118D23"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4,9</w:t>
            </w:r>
          </w:p>
        </w:tc>
        <w:tc>
          <w:tcPr>
            <w:tcW w:w="885" w:type="dxa"/>
            <w:tcBorders>
              <w:top w:val="nil"/>
              <w:left w:val="nil"/>
              <w:bottom w:val="nil"/>
              <w:right w:val="nil"/>
            </w:tcBorders>
            <w:shd w:val="clear" w:color="auto" w:fill="auto"/>
            <w:hideMark/>
          </w:tcPr>
          <w:p w14:paraId="6F605CB7"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403,5</w:t>
            </w:r>
          </w:p>
        </w:tc>
        <w:tc>
          <w:tcPr>
            <w:tcW w:w="813" w:type="dxa"/>
            <w:tcBorders>
              <w:top w:val="nil"/>
              <w:left w:val="nil"/>
              <w:bottom w:val="nil"/>
              <w:right w:val="nil"/>
            </w:tcBorders>
            <w:shd w:val="clear" w:color="auto" w:fill="auto"/>
            <w:hideMark/>
          </w:tcPr>
          <w:p w14:paraId="5ED1DE73"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5,1</w:t>
            </w:r>
          </w:p>
        </w:tc>
        <w:tc>
          <w:tcPr>
            <w:tcW w:w="944" w:type="dxa"/>
            <w:tcBorders>
              <w:top w:val="nil"/>
              <w:left w:val="nil"/>
              <w:bottom w:val="nil"/>
              <w:right w:val="nil"/>
            </w:tcBorders>
            <w:shd w:val="clear" w:color="auto" w:fill="auto"/>
          </w:tcPr>
          <w:p w14:paraId="344FD94A"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421,3</w:t>
            </w:r>
          </w:p>
        </w:tc>
        <w:tc>
          <w:tcPr>
            <w:tcW w:w="813" w:type="dxa"/>
            <w:tcBorders>
              <w:top w:val="nil"/>
              <w:left w:val="nil"/>
              <w:bottom w:val="nil"/>
              <w:right w:val="nil"/>
            </w:tcBorders>
            <w:shd w:val="clear" w:color="auto" w:fill="auto"/>
          </w:tcPr>
          <w:p w14:paraId="764FBADB"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5,0</w:t>
            </w:r>
          </w:p>
        </w:tc>
        <w:tc>
          <w:tcPr>
            <w:tcW w:w="885" w:type="dxa"/>
            <w:tcBorders>
              <w:top w:val="nil"/>
              <w:left w:val="nil"/>
              <w:bottom w:val="nil"/>
              <w:right w:val="nil"/>
            </w:tcBorders>
            <w:shd w:val="clear" w:color="auto" w:fill="auto"/>
          </w:tcPr>
          <w:p w14:paraId="6BC04EA1"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438,9</w:t>
            </w:r>
          </w:p>
        </w:tc>
        <w:tc>
          <w:tcPr>
            <w:tcW w:w="814" w:type="dxa"/>
            <w:tcBorders>
              <w:top w:val="nil"/>
              <w:left w:val="nil"/>
              <w:bottom w:val="nil"/>
              <w:right w:val="nil"/>
            </w:tcBorders>
            <w:shd w:val="clear" w:color="auto" w:fill="auto"/>
          </w:tcPr>
          <w:p w14:paraId="4B95660E"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5,0</w:t>
            </w:r>
          </w:p>
        </w:tc>
        <w:tc>
          <w:tcPr>
            <w:tcW w:w="885" w:type="dxa"/>
            <w:tcBorders>
              <w:top w:val="nil"/>
              <w:left w:val="nil"/>
              <w:bottom w:val="nil"/>
              <w:right w:val="nil"/>
            </w:tcBorders>
            <w:shd w:val="clear" w:color="auto" w:fill="auto"/>
          </w:tcPr>
          <w:p w14:paraId="3D7912C2"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401,5</w:t>
            </w:r>
          </w:p>
        </w:tc>
        <w:tc>
          <w:tcPr>
            <w:tcW w:w="831" w:type="dxa"/>
            <w:tcBorders>
              <w:top w:val="nil"/>
              <w:left w:val="nil"/>
              <w:bottom w:val="nil"/>
              <w:right w:val="nil"/>
            </w:tcBorders>
            <w:shd w:val="clear" w:color="auto" w:fill="auto"/>
          </w:tcPr>
          <w:p w14:paraId="68D176FD" w14:textId="036EA9CB" w:rsidR="00CF227C" w:rsidRPr="00CA30DF" w:rsidRDefault="00CF227C" w:rsidP="00CF227C">
            <w:pPr>
              <w:spacing w:after="0"/>
              <w:rPr>
                <w:rFonts w:cstheme="minorHAnsi"/>
                <w:sz w:val="18"/>
                <w:szCs w:val="18"/>
                <w:lang w:val="sr-Latn-ME"/>
              </w:rPr>
            </w:pPr>
            <w:r w:rsidRPr="00CA30DF">
              <w:rPr>
                <w:rFonts w:cstheme="minorHAnsi"/>
                <w:sz w:val="18"/>
                <w:szCs w:val="18"/>
                <w:lang w:val="sr-Latn-ME"/>
              </w:rPr>
              <w:t>5,</w:t>
            </w:r>
            <w:r w:rsidR="00C53F1B">
              <w:rPr>
                <w:rFonts w:cstheme="minorHAnsi"/>
                <w:sz w:val="18"/>
                <w:szCs w:val="18"/>
                <w:lang w:val="sr-Latn-ME"/>
              </w:rPr>
              <w:t>1</w:t>
            </w:r>
          </w:p>
        </w:tc>
        <w:tc>
          <w:tcPr>
            <w:tcW w:w="885" w:type="dxa"/>
            <w:tcBorders>
              <w:top w:val="nil"/>
              <w:left w:val="nil"/>
              <w:bottom w:val="nil"/>
              <w:right w:val="nil"/>
            </w:tcBorders>
            <w:shd w:val="clear" w:color="auto" w:fill="auto"/>
          </w:tcPr>
          <w:p w14:paraId="46CEB1EF"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419,3</w:t>
            </w:r>
          </w:p>
        </w:tc>
        <w:tc>
          <w:tcPr>
            <w:tcW w:w="831" w:type="dxa"/>
            <w:tcBorders>
              <w:top w:val="nil"/>
              <w:left w:val="nil"/>
              <w:bottom w:val="nil"/>
              <w:right w:val="nil"/>
            </w:tcBorders>
            <w:shd w:val="clear" w:color="auto" w:fill="auto"/>
          </w:tcPr>
          <w:p w14:paraId="028CF87E" w14:textId="0AB2ACF1" w:rsidR="00CF227C" w:rsidRPr="00CA30DF" w:rsidRDefault="00CF227C" w:rsidP="00CF227C">
            <w:pPr>
              <w:spacing w:after="0"/>
              <w:rPr>
                <w:rFonts w:cstheme="minorHAnsi"/>
                <w:sz w:val="18"/>
                <w:szCs w:val="18"/>
                <w:lang w:val="sr-Latn-ME"/>
              </w:rPr>
            </w:pPr>
            <w:r w:rsidRPr="00CA30DF">
              <w:rPr>
                <w:rFonts w:cstheme="minorHAnsi"/>
                <w:sz w:val="18"/>
                <w:szCs w:val="18"/>
                <w:lang w:val="sr-Latn-ME"/>
              </w:rPr>
              <w:t>5,</w:t>
            </w:r>
            <w:r w:rsidR="00D305AD">
              <w:rPr>
                <w:rFonts w:cstheme="minorHAnsi"/>
                <w:sz w:val="18"/>
                <w:szCs w:val="18"/>
                <w:lang w:val="sr-Latn-ME"/>
              </w:rPr>
              <w:t>1</w:t>
            </w:r>
          </w:p>
        </w:tc>
        <w:tc>
          <w:tcPr>
            <w:tcW w:w="944" w:type="dxa"/>
            <w:tcBorders>
              <w:top w:val="nil"/>
              <w:left w:val="nil"/>
              <w:bottom w:val="nil"/>
              <w:right w:val="nil"/>
            </w:tcBorders>
            <w:shd w:val="clear" w:color="auto" w:fill="auto"/>
          </w:tcPr>
          <w:p w14:paraId="7525A501"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435,4</w:t>
            </w:r>
          </w:p>
        </w:tc>
        <w:tc>
          <w:tcPr>
            <w:tcW w:w="832" w:type="dxa"/>
            <w:tcBorders>
              <w:top w:val="nil"/>
              <w:left w:val="nil"/>
              <w:bottom w:val="nil"/>
              <w:right w:val="nil"/>
            </w:tcBorders>
            <w:shd w:val="clear" w:color="auto" w:fill="auto"/>
          </w:tcPr>
          <w:p w14:paraId="40381026" w14:textId="36326AF2" w:rsidR="00CF227C" w:rsidRPr="00CA30DF" w:rsidRDefault="00CF227C" w:rsidP="00CF227C">
            <w:pPr>
              <w:spacing w:after="0"/>
              <w:rPr>
                <w:rFonts w:cstheme="minorHAnsi"/>
                <w:sz w:val="18"/>
                <w:szCs w:val="18"/>
                <w:lang w:val="sr-Latn-ME"/>
              </w:rPr>
            </w:pPr>
            <w:r w:rsidRPr="00CA30DF">
              <w:rPr>
                <w:rFonts w:cstheme="minorHAnsi"/>
                <w:sz w:val="18"/>
                <w:szCs w:val="18"/>
                <w:lang w:val="sr-Latn-ME"/>
              </w:rPr>
              <w:t>5,</w:t>
            </w:r>
            <w:r w:rsidR="00D305AD">
              <w:rPr>
                <w:rFonts w:cstheme="minorHAnsi"/>
                <w:sz w:val="18"/>
                <w:szCs w:val="18"/>
                <w:lang w:val="sr-Latn-ME"/>
              </w:rPr>
              <w:t>1</w:t>
            </w:r>
          </w:p>
        </w:tc>
      </w:tr>
      <w:tr w:rsidR="00CF227C" w:rsidRPr="00CA30DF" w14:paraId="54A6804A" w14:textId="77777777" w:rsidTr="00CF227C">
        <w:trPr>
          <w:trHeight w:val="297"/>
        </w:trPr>
        <w:tc>
          <w:tcPr>
            <w:tcW w:w="3243" w:type="dxa"/>
            <w:tcBorders>
              <w:top w:val="nil"/>
              <w:left w:val="nil"/>
              <w:bottom w:val="nil"/>
              <w:right w:val="nil"/>
            </w:tcBorders>
            <w:shd w:val="clear" w:color="auto" w:fill="auto"/>
            <w:noWrap/>
            <w:vAlign w:val="center"/>
            <w:hideMark/>
          </w:tcPr>
          <w:p w14:paraId="73AE7FB6"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Lokalni porezi</w:t>
            </w:r>
          </w:p>
        </w:tc>
        <w:tc>
          <w:tcPr>
            <w:tcW w:w="885" w:type="dxa"/>
            <w:tcBorders>
              <w:top w:val="nil"/>
              <w:left w:val="nil"/>
              <w:bottom w:val="nil"/>
              <w:right w:val="nil"/>
            </w:tcBorders>
            <w:shd w:val="clear" w:color="auto" w:fill="auto"/>
            <w:vAlign w:val="center"/>
            <w:hideMark/>
          </w:tcPr>
          <w:p w14:paraId="08665BB0"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22,3</w:t>
            </w:r>
          </w:p>
        </w:tc>
        <w:tc>
          <w:tcPr>
            <w:tcW w:w="969" w:type="dxa"/>
            <w:tcBorders>
              <w:top w:val="nil"/>
              <w:left w:val="nil"/>
              <w:bottom w:val="nil"/>
              <w:right w:val="nil"/>
            </w:tcBorders>
            <w:shd w:val="clear" w:color="auto" w:fill="auto"/>
            <w:vAlign w:val="center"/>
            <w:hideMark/>
          </w:tcPr>
          <w:p w14:paraId="59D81812"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0,3</w:t>
            </w:r>
          </w:p>
        </w:tc>
        <w:tc>
          <w:tcPr>
            <w:tcW w:w="885" w:type="dxa"/>
            <w:tcBorders>
              <w:top w:val="nil"/>
              <w:left w:val="nil"/>
              <w:bottom w:val="nil"/>
              <w:right w:val="nil"/>
            </w:tcBorders>
            <w:shd w:val="clear" w:color="auto" w:fill="auto"/>
            <w:hideMark/>
          </w:tcPr>
          <w:p w14:paraId="52206007"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22,6</w:t>
            </w:r>
          </w:p>
        </w:tc>
        <w:tc>
          <w:tcPr>
            <w:tcW w:w="813" w:type="dxa"/>
            <w:tcBorders>
              <w:top w:val="nil"/>
              <w:left w:val="nil"/>
              <w:bottom w:val="nil"/>
              <w:right w:val="nil"/>
            </w:tcBorders>
            <w:shd w:val="clear" w:color="auto" w:fill="auto"/>
            <w:hideMark/>
          </w:tcPr>
          <w:p w14:paraId="3F10BF30"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0,3</w:t>
            </w:r>
          </w:p>
        </w:tc>
        <w:tc>
          <w:tcPr>
            <w:tcW w:w="944" w:type="dxa"/>
            <w:tcBorders>
              <w:top w:val="nil"/>
              <w:left w:val="nil"/>
              <w:bottom w:val="nil"/>
              <w:right w:val="nil"/>
            </w:tcBorders>
            <w:shd w:val="clear" w:color="auto" w:fill="auto"/>
          </w:tcPr>
          <w:p w14:paraId="00837BB1"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23,3</w:t>
            </w:r>
          </w:p>
        </w:tc>
        <w:tc>
          <w:tcPr>
            <w:tcW w:w="813" w:type="dxa"/>
            <w:tcBorders>
              <w:top w:val="nil"/>
              <w:left w:val="nil"/>
              <w:bottom w:val="nil"/>
              <w:right w:val="nil"/>
            </w:tcBorders>
            <w:shd w:val="clear" w:color="auto" w:fill="auto"/>
          </w:tcPr>
          <w:p w14:paraId="4F2CF451"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0,3</w:t>
            </w:r>
          </w:p>
        </w:tc>
        <w:tc>
          <w:tcPr>
            <w:tcW w:w="885" w:type="dxa"/>
            <w:tcBorders>
              <w:top w:val="nil"/>
              <w:left w:val="nil"/>
              <w:bottom w:val="nil"/>
              <w:right w:val="nil"/>
            </w:tcBorders>
            <w:shd w:val="clear" w:color="auto" w:fill="auto"/>
          </w:tcPr>
          <w:p w14:paraId="0AA5980E"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24,4</w:t>
            </w:r>
          </w:p>
        </w:tc>
        <w:tc>
          <w:tcPr>
            <w:tcW w:w="814" w:type="dxa"/>
            <w:tcBorders>
              <w:top w:val="nil"/>
              <w:left w:val="nil"/>
              <w:bottom w:val="nil"/>
              <w:right w:val="nil"/>
            </w:tcBorders>
            <w:shd w:val="clear" w:color="auto" w:fill="auto"/>
          </w:tcPr>
          <w:p w14:paraId="0DC6FAC0"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0,3</w:t>
            </w:r>
          </w:p>
        </w:tc>
        <w:tc>
          <w:tcPr>
            <w:tcW w:w="885" w:type="dxa"/>
            <w:tcBorders>
              <w:top w:val="nil"/>
              <w:left w:val="nil"/>
              <w:bottom w:val="nil"/>
              <w:right w:val="nil"/>
            </w:tcBorders>
            <w:shd w:val="clear" w:color="auto" w:fill="auto"/>
          </w:tcPr>
          <w:p w14:paraId="258E4AEE"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22,6</w:t>
            </w:r>
          </w:p>
        </w:tc>
        <w:tc>
          <w:tcPr>
            <w:tcW w:w="831" w:type="dxa"/>
            <w:tcBorders>
              <w:top w:val="nil"/>
              <w:left w:val="nil"/>
              <w:bottom w:val="nil"/>
              <w:right w:val="nil"/>
            </w:tcBorders>
            <w:shd w:val="clear" w:color="auto" w:fill="auto"/>
          </w:tcPr>
          <w:p w14:paraId="5EDD4242"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0,3</w:t>
            </w:r>
          </w:p>
        </w:tc>
        <w:tc>
          <w:tcPr>
            <w:tcW w:w="885" w:type="dxa"/>
            <w:tcBorders>
              <w:top w:val="nil"/>
              <w:left w:val="nil"/>
              <w:bottom w:val="nil"/>
              <w:right w:val="nil"/>
            </w:tcBorders>
            <w:shd w:val="clear" w:color="auto" w:fill="auto"/>
          </w:tcPr>
          <w:p w14:paraId="6943C7D9"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23,3</w:t>
            </w:r>
          </w:p>
        </w:tc>
        <w:tc>
          <w:tcPr>
            <w:tcW w:w="831" w:type="dxa"/>
            <w:tcBorders>
              <w:top w:val="nil"/>
              <w:left w:val="nil"/>
              <w:bottom w:val="nil"/>
              <w:right w:val="nil"/>
            </w:tcBorders>
            <w:shd w:val="clear" w:color="auto" w:fill="auto"/>
          </w:tcPr>
          <w:p w14:paraId="6856C2EB"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0,3</w:t>
            </w:r>
          </w:p>
        </w:tc>
        <w:tc>
          <w:tcPr>
            <w:tcW w:w="944" w:type="dxa"/>
            <w:tcBorders>
              <w:top w:val="nil"/>
              <w:left w:val="nil"/>
              <w:bottom w:val="nil"/>
              <w:right w:val="nil"/>
            </w:tcBorders>
            <w:shd w:val="clear" w:color="auto" w:fill="auto"/>
          </w:tcPr>
          <w:p w14:paraId="6380B192"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24,4</w:t>
            </w:r>
          </w:p>
        </w:tc>
        <w:tc>
          <w:tcPr>
            <w:tcW w:w="832" w:type="dxa"/>
            <w:tcBorders>
              <w:top w:val="nil"/>
              <w:left w:val="nil"/>
              <w:bottom w:val="nil"/>
              <w:right w:val="nil"/>
            </w:tcBorders>
            <w:shd w:val="clear" w:color="auto" w:fill="auto"/>
          </w:tcPr>
          <w:p w14:paraId="5B292613"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0,3</w:t>
            </w:r>
          </w:p>
        </w:tc>
      </w:tr>
      <w:tr w:rsidR="00CF227C" w:rsidRPr="00CA30DF" w14:paraId="2DBC3248" w14:textId="77777777" w:rsidTr="00CF227C">
        <w:trPr>
          <w:trHeight w:val="311"/>
        </w:trPr>
        <w:tc>
          <w:tcPr>
            <w:tcW w:w="3243" w:type="dxa"/>
            <w:tcBorders>
              <w:top w:val="nil"/>
              <w:left w:val="nil"/>
              <w:bottom w:val="single" w:sz="8" w:space="0" w:color="7E0000"/>
              <w:right w:val="nil"/>
            </w:tcBorders>
            <w:shd w:val="clear" w:color="auto" w:fill="auto"/>
            <w:noWrap/>
            <w:vAlign w:val="center"/>
            <w:hideMark/>
          </w:tcPr>
          <w:p w14:paraId="12948B79"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Doprinosi</w:t>
            </w:r>
          </w:p>
        </w:tc>
        <w:tc>
          <w:tcPr>
            <w:tcW w:w="885" w:type="dxa"/>
            <w:tcBorders>
              <w:top w:val="nil"/>
              <w:left w:val="nil"/>
              <w:bottom w:val="single" w:sz="8" w:space="0" w:color="7E0000"/>
              <w:right w:val="nil"/>
            </w:tcBorders>
            <w:shd w:val="clear" w:color="auto" w:fill="auto"/>
            <w:vAlign w:val="center"/>
            <w:hideMark/>
          </w:tcPr>
          <w:p w14:paraId="67B76CB5"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587,1</w:t>
            </w:r>
          </w:p>
        </w:tc>
        <w:tc>
          <w:tcPr>
            <w:tcW w:w="969" w:type="dxa"/>
            <w:tcBorders>
              <w:top w:val="nil"/>
              <w:left w:val="nil"/>
              <w:bottom w:val="single" w:sz="8" w:space="0" w:color="7E0000"/>
              <w:right w:val="nil"/>
            </w:tcBorders>
            <w:shd w:val="clear" w:color="auto" w:fill="auto"/>
            <w:vAlign w:val="center"/>
            <w:hideMark/>
          </w:tcPr>
          <w:p w14:paraId="02D24E19"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7,9</w:t>
            </w:r>
          </w:p>
        </w:tc>
        <w:tc>
          <w:tcPr>
            <w:tcW w:w="885" w:type="dxa"/>
            <w:tcBorders>
              <w:top w:val="nil"/>
              <w:left w:val="nil"/>
              <w:bottom w:val="single" w:sz="8" w:space="0" w:color="7E0000"/>
              <w:right w:val="nil"/>
            </w:tcBorders>
            <w:shd w:val="clear" w:color="auto" w:fill="auto"/>
            <w:hideMark/>
          </w:tcPr>
          <w:p w14:paraId="590ACF9A"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449,1</w:t>
            </w:r>
          </w:p>
        </w:tc>
        <w:tc>
          <w:tcPr>
            <w:tcW w:w="813" w:type="dxa"/>
            <w:tcBorders>
              <w:top w:val="nil"/>
              <w:left w:val="nil"/>
              <w:bottom w:val="single" w:sz="8" w:space="0" w:color="7E0000"/>
              <w:right w:val="nil"/>
            </w:tcBorders>
            <w:shd w:val="clear" w:color="auto" w:fill="auto"/>
            <w:hideMark/>
          </w:tcPr>
          <w:p w14:paraId="0ECB1B78"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5,6</w:t>
            </w:r>
          </w:p>
        </w:tc>
        <w:tc>
          <w:tcPr>
            <w:tcW w:w="944" w:type="dxa"/>
            <w:tcBorders>
              <w:top w:val="nil"/>
              <w:left w:val="nil"/>
              <w:bottom w:val="single" w:sz="8" w:space="0" w:color="7E0000"/>
              <w:right w:val="nil"/>
            </w:tcBorders>
            <w:shd w:val="clear" w:color="auto" w:fill="auto"/>
          </w:tcPr>
          <w:p w14:paraId="20E990E1"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476,6</w:t>
            </w:r>
          </w:p>
        </w:tc>
        <w:tc>
          <w:tcPr>
            <w:tcW w:w="813" w:type="dxa"/>
            <w:tcBorders>
              <w:top w:val="nil"/>
              <w:left w:val="nil"/>
              <w:bottom w:val="single" w:sz="8" w:space="0" w:color="7E0000"/>
              <w:right w:val="nil"/>
            </w:tcBorders>
            <w:shd w:val="clear" w:color="auto" w:fill="auto"/>
          </w:tcPr>
          <w:p w14:paraId="3B67C9C0"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5,7</w:t>
            </w:r>
          </w:p>
        </w:tc>
        <w:tc>
          <w:tcPr>
            <w:tcW w:w="885" w:type="dxa"/>
            <w:tcBorders>
              <w:top w:val="nil"/>
              <w:left w:val="nil"/>
              <w:bottom w:val="single" w:sz="8" w:space="0" w:color="7E0000"/>
              <w:right w:val="nil"/>
            </w:tcBorders>
            <w:shd w:val="clear" w:color="auto" w:fill="auto"/>
          </w:tcPr>
          <w:p w14:paraId="17B3A591"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503,0</w:t>
            </w:r>
          </w:p>
        </w:tc>
        <w:tc>
          <w:tcPr>
            <w:tcW w:w="814" w:type="dxa"/>
            <w:tcBorders>
              <w:top w:val="nil"/>
              <w:left w:val="nil"/>
              <w:bottom w:val="single" w:sz="8" w:space="0" w:color="7E0000"/>
              <w:right w:val="nil"/>
            </w:tcBorders>
            <w:shd w:val="clear" w:color="auto" w:fill="auto"/>
          </w:tcPr>
          <w:p w14:paraId="61E364D8"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5,7</w:t>
            </w:r>
          </w:p>
        </w:tc>
        <w:tc>
          <w:tcPr>
            <w:tcW w:w="885" w:type="dxa"/>
            <w:tcBorders>
              <w:top w:val="nil"/>
              <w:left w:val="nil"/>
              <w:bottom w:val="single" w:sz="8" w:space="0" w:color="7E0000"/>
              <w:right w:val="nil"/>
            </w:tcBorders>
            <w:shd w:val="clear" w:color="auto" w:fill="auto"/>
          </w:tcPr>
          <w:p w14:paraId="6BA0A302"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430,1</w:t>
            </w:r>
          </w:p>
        </w:tc>
        <w:tc>
          <w:tcPr>
            <w:tcW w:w="831" w:type="dxa"/>
            <w:tcBorders>
              <w:top w:val="nil"/>
              <w:left w:val="nil"/>
              <w:bottom w:val="single" w:sz="8" w:space="0" w:color="7E0000"/>
              <w:right w:val="nil"/>
            </w:tcBorders>
            <w:shd w:val="clear" w:color="auto" w:fill="auto"/>
          </w:tcPr>
          <w:p w14:paraId="0C9A7D30" w14:textId="59F627EA" w:rsidR="00CF227C" w:rsidRPr="00CA30DF" w:rsidRDefault="00CF227C" w:rsidP="00CF227C">
            <w:pPr>
              <w:spacing w:after="0"/>
              <w:rPr>
                <w:rFonts w:cstheme="minorHAnsi"/>
                <w:sz w:val="18"/>
                <w:szCs w:val="18"/>
                <w:lang w:val="sr-Latn-ME"/>
              </w:rPr>
            </w:pPr>
            <w:r w:rsidRPr="00CA30DF">
              <w:rPr>
                <w:rFonts w:cstheme="minorHAnsi"/>
                <w:sz w:val="18"/>
                <w:szCs w:val="18"/>
                <w:lang w:val="sr-Latn-ME"/>
              </w:rPr>
              <w:t>5,</w:t>
            </w:r>
            <w:r w:rsidR="00C53F1B">
              <w:rPr>
                <w:rFonts w:cstheme="minorHAnsi"/>
                <w:sz w:val="18"/>
                <w:szCs w:val="18"/>
                <w:lang w:val="sr-Latn-ME"/>
              </w:rPr>
              <w:t>5</w:t>
            </w:r>
          </w:p>
        </w:tc>
        <w:tc>
          <w:tcPr>
            <w:tcW w:w="885" w:type="dxa"/>
            <w:tcBorders>
              <w:top w:val="nil"/>
              <w:left w:val="nil"/>
              <w:bottom w:val="single" w:sz="8" w:space="0" w:color="7E0000"/>
              <w:right w:val="nil"/>
            </w:tcBorders>
            <w:shd w:val="clear" w:color="auto" w:fill="auto"/>
          </w:tcPr>
          <w:p w14:paraId="1DC15ED9"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461,6</w:t>
            </w:r>
          </w:p>
        </w:tc>
        <w:tc>
          <w:tcPr>
            <w:tcW w:w="831" w:type="dxa"/>
            <w:tcBorders>
              <w:top w:val="nil"/>
              <w:left w:val="nil"/>
              <w:bottom w:val="single" w:sz="8" w:space="0" w:color="7E0000"/>
              <w:right w:val="nil"/>
            </w:tcBorders>
            <w:shd w:val="clear" w:color="auto" w:fill="auto"/>
          </w:tcPr>
          <w:p w14:paraId="1E607E74" w14:textId="5CB06740" w:rsidR="00CF227C" w:rsidRPr="00CA30DF" w:rsidRDefault="00CF227C" w:rsidP="00CF227C">
            <w:pPr>
              <w:spacing w:after="0"/>
              <w:rPr>
                <w:rFonts w:cstheme="minorHAnsi"/>
                <w:sz w:val="18"/>
                <w:szCs w:val="18"/>
                <w:lang w:val="sr-Latn-ME"/>
              </w:rPr>
            </w:pPr>
            <w:r w:rsidRPr="00CA30DF">
              <w:rPr>
                <w:rFonts w:cstheme="minorHAnsi"/>
                <w:sz w:val="18"/>
                <w:szCs w:val="18"/>
                <w:lang w:val="sr-Latn-ME"/>
              </w:rPr>
              <w:t>5,</w:t>
            </w:r>
            <w:r w:rsidR="00D305AD">
              <w:rPr>
                <w:rFonts w:cstheme="minorHAnsi"/>
                <w:sz w:val="18"/>
                <w:szCs w:val="18"/>
                <w:lang w:val="sr-Latn-ME"/>
              </w:rPr>
              <w:t>7</w:t>
            </w:r>
          </w:p>
        </w:tc>
        <w:tc>
          <w:tcPr>
            <w:tcW w:w="944" w:type="dxa"/>
            <w:tcBorders>
              <w:top w:val="nil"/>
              <w:left w:val="nil"/>
              <w:bottom w:val="single" w:sz="8" w:space="0" w:color="7E0000"/>
              <w:right w:val="nil"/>
            </w:tcBorders>
            <w:shd w:val="clear" w:color="auto" w:fill="auto"/>
          </w:tcPr>
          <w:p w14:paraId="76DFF6E3"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488,8</w:t>
            </w:r>
          </w:p>
        </w:tc>
        <w:tc>
          <w:tcPr>
            <w:tcW w:w="832" w:type="dxa"/>
            <w:tcBorders>
              <w:top w:val="nil"/>
              <w:left w:val="nil"/>
              <w:bottom w:val="single" w:sz="8" w:space="0" w:color="7E0000"/>
              <w:right w:val="nil"/>
            </w:tcBorders>
            <w:shd w:val="clear" w:color="auto" w:fill="auto"/>
          </w:tcPr>
          <w:p w14:paraId="090F5F00" w14:textId="2340341D" w:rsidR="00CF227C" w:rsidRPr="00CA30DF" w:rsidRDefault="00CF227C" w:rsidP="00CF227C">
            <w:pPr>
              <w:spacing w:after="0"/>
              <w:rPr>
                <w:rFonts w:cstheme="minorHAnsi"/>
                <w:sz w:val="18"/>
                <w:szCs w:val="18"/>
                <w:lang w:val="sr-Latn-ME"/>
              </w:rPr>
            </w:pPr>
            <w:r w:rsidRPr="00CA30DF">
              <w:rPr>
                <w:rFonts w:cstheme="minorHAnsi"/>
                <w:sz w:val="18"/>
                <w:szCs w:val="18"/>
                <w:lang w:val="sr-Latn-ME"/>
              </w:rPr>
              <w:t>5,</w:t>
            </w:r>
            <w:r w:rsidR="00D305AD">
              <w:rPr>
                <w:rFonts w:cstheme="minorHAnsi"/>
                <w:sz w:val="18"/>
                <w:szCs w:val="18"/>
                <w:lang w:val="sr-Latn-ME"/>
              </w:rPr>
              <w:t>8</w:t>
            </w:r>
          </w:p>
        </w:tc>
      </w:tr>
      <w:tr w:rsidR="00CF227C" w:rsidRPr="00CA30DF" w14:paraId="642B7492" w14:textId="77777777" w:rsidTr="00CF227C">
        <w:trPr>
          <w:trHeight w:val="311"/>
        </w:trPr>
        <w:tc>
          <w:tcPr>
            <w:tcW w:w="3243" w:type="dxa"/>
            <w:tcBorders>
              <w:top w:val="nil"/>
              <w:left w:val="nil"/>
              <w:bottom w:val="dashed" w:sz="8" w:space="0" w:color="7E0000"/>
              <w:right w:val="nil"/>
            </w:tcBorders>
            <w:shd w:val="clear" w:color="auto" w:fill="auto"/>
            <w:noWrap/>
            <w:vAlign w:val="center"/>
            <w:hideMark/>
          </w:tcPr>
          <w:p w14:paraId="27E1BF3C"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Javna potrošnja, od čega:</w:t>
            </w:r>
          </w:p>
        </w:tc>
        <w:tc>
          <w:tcPr>
            <w:tcW w:w="885" w:type="dxa"/>
            <w:tcBorders>
              <w:top w:val="nil"/>
              <w:left w:val="nil"/>
              <w:bottom w:val="dashed" w:sz="8" w:space="0" w:color="7E0000"/>
              <w:right w:val="nil"/>
            </w:tcBorders>
            <w:shd w:val="clear" w:color="auto" w:fill="auto"/>
          </w:tcPr>
          <w:p w14:paraId="1A723ACA" w14:textId="77777777" w:rsidR="00CF227C" w:rsidRPr="00CA30DF" w:rsidRDefault="00CF227C" w:rsidP="00CF227C">
            <w:pPr>
              <w:spacing w:after="0"/>
              <w:rPr>
                <w:rFonts w:cstheme="minorHAnsi"/>
                <w:sz w:val="18"/>
                <w:szCs w:val="18"/>
                <w:lang w:val="sr-Latn-ME"/>
              </w:rPr>
            </w:pPr>
            <w:r w:rsidRPr="0073052D">
              <w:rPr>
                <w:sz w:val="18"/>
                <w:szCs w:val="18"/>
                <w:lang w:val="sr-Latn-ME"/>
              </w:rPr>
              <w:t>3401.2</w:t>
            </w:r>
          </w:p>
        </w:tc>
        <w:tc>
          <w:tcPr>
            <w:tcW w:w="969" w:type="dxa"/>
            <w:tcBorders>
              <w:top w:val="nil"/>
              <w:left w:val="nil"/>
              <w:bottom w:val="dashed" w:sz="8" w:space="0" w:color="7E0000"/>
              <w:right w:val="nil"/>
            </w:tcBorders>
            <w:shd w:val="clear" w:color="auto" w:fill="auto"/>
          </w:tcPr>
          <w:p w14:paraId="2B4610A1" w14:textId="77777777" w:rsidR="00CF227C" w:rsidRPr="00CA30DF" w:rsidRDefault="00CF227C" w:rsidP="00CF227C">
            <w:pPr>
              <w:spacing w:after="0"/>
              <w:rPr>
                <w:rFonts w:cstheme="minorHAnsi"/>
                <w:sz w:val="18"/>
                <w:szCs w:val="18"/>
                <w:lang w:val="sr-Latn-ME"/>
              </w:rPr>
            </w:pPr>
            <w:r w:rsidRPr="0073052D">
              <w:rPr>
                <w:sz w:val="18"/>
                <w:szCs w:val="18"/>
                <w:lang w:val="sr-Latn-ME"/>
              </w:rPr>
              <w:t>45.9</w:t>
            </w:r>
          </w:p>
        </w:tc>
        <w:tc>
          <w:tcPr>
            <w:tcW w:w="885" w:type="dxa"/>
            <w:tcBorders>
              <w:top w:val="nil"/>
              <w:left w:val="nil"/>
              <w:bottom w:val="dashed" w:sz="8" w:space="0" w:color="7E0000"/>
              <w:right w:val="nil"/>
            </w:tcBorders>
            <w:shd w:val="clear" w:color="auto" w:fill="auto"/>
          </w:tcPr>
          <w:p w14:paraId="39F8C1A3" w14:textId="77777777" w:rsidR="00CF227C" w:rsidRPr="00CA30DF" w:rsidRDefault="00CF227C" w:rsidP="00CF227C">
            <w:pPr>
              <w:spacing w:after="0"/>
              <w:rPr>
                <w:rFonts w:cstheme="minorHAnsi"/>
                <w:sz w:val="18"/>
                <w:szCs w:val="18"/>
                <w:lang w:val="sr-Latn-ME"/>
              </w:rPr>
            </w:pPr>
            <w:r w:rsidRPr="0073052D">
              <w:rPr>
                <w:sz w:val="18"/>
                <w:szCs w:val="18"/>
                <w:lang w:val="sr-Latn-ME"/>
              </w:rPr>
              <w:t>3561.7</w:t>
            </w:r>
          </w:p>
        </w:tc>
        <w:tc>
          <w:tcPr>
            <w:tcW w:w="813" w:type="dxa"/>
            <w:tcBorders>
              <w:top w:val="nil"/>
              <w:left w:val="nil"/>
              <w:bottom w:val="dashed" w:sz="8" w:space="0" w:color="7E0000"/>
              <w:right w:val="nil"/>
            </w:tcBorders>
            <w:shd w:val="clear" w:color="auto" w:fill="auto"/>
          </w:tcPr>
          <w:p w14:paraId="17295931" w14:textId="77777777" w:rsidR="00CF227C" w:rsidRPr="00CA30DF" w:rsidRDefault="00CF227C" w:rsidP="00CF227C">
            <w:pPr>
              <w:spacing w:after="0"/>
              <w:rPr>
                <w:rFonts w:cstheme="minorHAnsi"/>
                <w:sz w:val="18"/>
                <w:szCs w:val="18"/>
                <w:lang w:val="sr-Latn-ME"/>
              </w:rPr>
            </w:pPr>
            <w:r w:rsidRPr="0073052D">
              <w:rPr>
                <w:sz w:val="18"/>
                <w:szCs w:val="18"/>
                <w:lang w:val="sr-Latn-ME"/>
              </w:rPr>
              <w:t>44.7</w:t>
            </w:r>
          </w:p>
        </w:tc>
        <w:tc>
          <w:tcPr>
            <w:tcW w:w="944" w:type="dxa"/>
            <w:tcBorders>
              <w:top w:val="nil"/>
              <w:left w:val="nil"/>
              <w:bottom w:val="dashed" w:sz="8" w:space="0" w:color="7E0000"/>
              <w:right w:val="nil"/>
            </w:tcBorders>
            <w:shd w:val="clear" w:color="auto" w:fill="auto"/>
          </w:tcPr>
          <w:p w14:paraId="284F7183" w14:textId="77777777" w:rsidR="00CF227C" w:rsidRPr="00CA30DF" w:rsidRDefault="00CF227C" w:rsidP="00CF227C">
            <w:pPr>
              <w:spacing w:after="0"/>
              <w:rPr>
                <w:rFonts w:cstheme="minorHAnsi"/>
                <w:sz w:val="18"/>
                <w:szCs w:val="18"/>
                <w:lang w:val="sr-Latn-ME"/>
              </w:rPr>
            </w:pPr>
            <w:r w:rsidRPr="0073052D">
              <w:rPr>
                <w:sz w:val="18"/>
                <w:szCs w:val="18"/>
                <w:lang w:val="sr-Latn-ME"/>
              </w:rPr>
              <w:t>3680.2</w:t>
            </w:r>
          </w:p>
        </w:tc>
        <w:tc>
          <w:tcPr>
            <w:tcW w:w="813" w:type="dxa"/>
            <w:tcBorders>
              <w:top w:val="nil"/>
              <w:left w:val="nil"/>
              <w:bottom w:val="dashed" w:sz="8" w:space="0" w:color="7E0000"/>
              <w:right w:val="nil"/>
            </w:tcBorders>
            <w:shd w:val="clear" w:color="auto" w:fill="auto"/>
          </w:tcPr>
          <w:p w14:paraId="0AC277B9" w14:textId="77777777" w:rsidR="00CF227C" w:rsidRPr="00CA30DF" w:rsidRDefault="00CF227C" w:rsidP="00CF227C">
            <w:pPr>
              <w:spacing w:after="0"/>
              <w:rPr>
                <w:rFonts w:cstheme="minorHAnsi"/>
                <w:sz w:val="18"/>
                <w:szCs w:val="18"/>
                <w:lang w:val="sr-Latn-ME"/>
              </w:rPr>
            </w:pPr>
            <w:r w:rsidRPr="0073052D">
              <w:rPr>
                <w:sz w:val="18"/>
                <w:szCs w:val="18"/>
                <w:lang w:val="sr-Latn-ME"/>
              </w:rPr>
              <w:t>44.0</w:t>
            </w:r>
          </w:p>
        </w:tc>
        <w:tc>
          <w:tcPr>
            <w:tcW w:w="885" w:type="dxa"/>
            <w:tcBorders>
              <w:top w:val="nil"/>
              <w:left w:val="nil"/>
              <w:bottom w:val="dashed" w:sz="8" w:space="0" w:color="7E0000"/>
              <w:right w:val="nil"/>
            </w:tcBorders>
            <w:shd w:val="clear" w:color="auto" w:fill="auto"/>
          </w:tcPr>
          <w:p w14:paraId="6177B279" w14:textId="77777777" w:rsidR="00CF227C" w:rsidRPr="00CA30DF" w:rsidRDefault="00CF227C" w:rsidP="00CF227C">
            <w:pPr>
              <w:spacing w:after="0"/>
              <w:rPr>
                <w:rFonts w:cstheme="minorHAnsi"/>
                <w:sz w:val="18"/>
                <w:szCs w:val="18"/>
                <w:lang w:val="sr-Latn-ME"/>
              </w:rPr>
            </w:pPr>
            <w:r w:rsidRPr="0073052D">
              <w:rPr>
                <w:sz w:val="18"/>
                <w:szCs w:val="18"/>
                <w:lang w:val="sr-Latn-ME"/>
              </w:rPr>
              <w:t>3799.9</w:t>
            </w:r>
          </w:p>
        </w:tc>
        <w:tc>
          <w:tcPr>
            <w:tcW w:w="814" w:type="dxa"/>
            <w:tcBorders>
              <w:top w:val="nil"/>
              <w:left w:val="nil"/>
              <w:bottom w:val="dashed" w:sz="8" w:space="0" w:color="7E0000"/>
              <w:right w:val="nil"/>
            </w:tcBorders>
            <w:shd w:val="clear" w:color="auto" w:fill="auto"/>
          </w:tcPr>
          <w:p w14:paraId="4806A39F" w14:textId="77777777" w:rsidR="00CF227C" w:rsidRPr="00CA30DF" w:rsidRDefault="00CF227C" w:rsidP="00CF227C">
            <w:pPr>
              <w:spacing w:after="0"/>
              <w:rPr>
                <w:rFonts w:cstheme="minorHAnsi"/>
                <w:sz w:val="18"/>
                <w:szCs w:val="18"/>
                <w:lang w:val="sr-Latn-ME"/>
              </w:rPr>
            </w:pPr>
            <w:r w:rsidRPr="0073052D">
              <w:rPr>
                <w:sz w:val="18"/>
                <w:szCs w:val="18"/>
                <w:lang w:val="sr-Latn-ME"/>
              </w:rPr>
              <w:t>43.4</w:t>
            </w:r>
          </w:p>
        </w:tc>
        <w:tc>
          <w:tcPr>
            <w:tcW w:w="885" w:type="dxa"/>
            <w:tcBorders>
              <w:top w:val="nil"/>
              <w:left w:val="nil"/>
              <w:bottom w:val="dashed" w:sz="8" w:space="0" w:color="7E0000"/>
              <w:right w:val="nil"/>
            </w:tcBorders>
            <w:shd w:val="clear" w:color="auto" w:fill="auto"/>
          </w:tcPr>
          <w:p w14:paraId="41BFF888" w14:textId="77777777" w:rsidR="00CF227C" w:rsidRPr="00CA30DF" w:rsidRDefault="00CF227C" w:rsidP="00CF227C">
            <w:pPr>
              <w:spacing w:after="0"/>
              <w:rPr>
                <w:rFonts w:cstheme="minorHAnsi"/>
                <w:sz w:val="18"/>
                <w:szCs w:val="18"/>
                <w:lang w:val="sr-Latn-ME"/>
              </w:rPr>
            </w:pPr>
            <w:r w:rsidRPr="00CA30DF">
              <w:rPr>
                <w:sz w:val="18"/>
                <w:szCs w:val="18"/>
                <w:lang w:val="sr-Latn-ME"/>
              </w:rPr>
              <w:t>3561.7</w:t>
            </w:r>
          </w:p>
        </w:tc>
        <w:tc>
          <w:tcPr>
            <w:tcW w:w="831" w:type="dxa"/>
            <w:tcBorders>
              <w:top w:val="nil"/>
              <w:left w:val="nil"/>
              <w:bottom w:val="dashed" w:sz="8" w:space="0" w:color="7E0000"/>
              <w:right w:val="nil"/>
            </w:tcBorders>
            <w:shd w:val="clear" w:color="auto" w:fill="auto"/>
          </w:tcPr>
          <w:p w14:paraId="7CAE5737" w14:textId="5E591DE1" w:rsidR="00CF227C" w:rsidRPr="00CA30DF" w:rsidRDefault="00660705" w:rsidP="00CF227C">
            <w:pPr>
              <w:spacing w:after="0"/>
              <w:rPr>
                <w:rFonts w:cstheme="minorHAnsi"/>
                <w:sz w:val="18"/>
                <w:szCs w:val="18"/>
                <w:lang w:val="sr-Latn-ME"/>
              </w:rPr>
            </w:pPr>
            <w:r>
              <w:rPr>
                <w:sz w:val="18"/>
                <w:szCs w:val="18"/>
                <w:lang w:val="sr-Latn-ME"/>
              </w:rPr>
              <w:t>45.4</w:t>
            </w:r>
          </w:p>
        </w:tc>
        <w:tc>
          <w:tcPr>
            <w:tcW w:w="885" w:type="dxa"/>
            <w:tcBorders>
              <w:top w:val="nil"/>
              <w:left w:val="nil"/>
              <w:bottom w:val="dashed" w:sz="8" w:space="0" w:color="7E0000"/>
              <w:right w:val="nil"/>
            </w:tcBorders>
            <w:shd w:val="clear" w:color="auto" w:fill="auto"/>
          </w:tcPr>
          <w:p w14:paraId="4754C2B4" w14:textId="77777777" w:rsidR="00CF227C" w:rsidRPr="00CA30DF" w:rsidRDefault="00CF227C" w:rsidP="00CF227C">
            <w:pPr>
              <w:spacing w:after="0"/>
              <w:rPr>
                <w:rFonts w:cstheme="minorHAnsi"/>
                <w:sz w:val="18"/>
                <w:szCs w:val="18"/>
                <w:lang w:val="sr-Latn-ME"/>
              </w:rPr>
            </w:pPr>
            <w:r w:rsidRPr="00CA30DF">
              <w:rPr>
                <w:sz w:val="18"/>
                <w:szCs w:val="18"/>
                <w:lang w:val="sr-Latn-ME"/>
              </w:rPr>
              <w:t>3680.2</w:t>
            </w:r>
          </w:p>
        </w:tc>
        <w:tc>
          <w:tcPr>
            <w:tcW w:w="831" w:type="dxa"/>
            <w:tcBorders>
              <w:top w:val="nil"/>
              <w:left w:val="nil"/>
              <w:bottom w:val="dashed" w:sz="8" w:space="0" w:color="7E0000"/>
              <w:right w:val="nil"/>
            </w:tcBorders>
            <w:shd w:val="clear" w:color="auto" w:fill="auto"/>
          </w:tcPr>
          <w:p w14:paraId="19BE589F" w14:textId="75426E9A" w:rsidR="00CF227C" w:rsidRPr="00CA30DF" w:rsidRDefault="00947775" w:rsidP="00CF227C">
            <w:pPr>
              <w:spacing w:after="0"/>
              <w:rPr>
                <w:rFonts w:cstheme="minorHAnsi"/>
                <w:sz w:val="18"/>
                <w:szCs w:val="18"/>
                <w:lang w:val="sr-Latn-ME"/>
              </w:rPr>
            </w:pPr>
            <w:r>
              <w:rPr>
                <w:sz w:val="18"/>
                <w:szCs w:val="18"/>
                <w:lang w:val="sr-Latn-ME"/>
              </w:rPr>
              <w:t>45.1</w:t>
            </w:r>
          </w:p>
        </w:tc>
        <w:tc>
          <w:tcPr>
            <w:tcW w:w="944" w:type="dxa"/>
            <w:tcBorders>
              <w:top w:val="nil"/>
              <w:left w:val="nil"/>
              <w:bottom w:val="dashed" w:sz="8" w:space="0" w:color="7E0000"/>
              <w:right w:val="nil"/>
            </w:tcBorders>
            <w:shd w:val="clear" w:color="auto" w:fill="auto"/>
          </w:tcPr>
          <w:p w14:paraId="365A8E73" w14:textId="77777777" w:rsidR="00CF227C" w:rsidRPr="00CA30DF" w:rsidRDefault="00CF227C" w:rsidP="00CF227C">
            <w:pPr>
              <w:spacing w:after="0"/>
              <w:rPr>
                <w:rFonts w:cstheme="minorHAnsi"/>
                <w:sz w:val="18"/>
                <w:szCs w:val="18"/>
                <w:lang w:val="sr-Latn-ME"/>
              </w:rPr>
            </w:pPr>
            <w:r w:rsidRPr="00CA30DF">
              <w:rPr>
                <w:sz w:val="18"/>
                <w:szCs w:val="18"/>
                <w:lang w:val="sr-Latn-ME"/>
              </w:rPr>
              <w:t>3799.9</w:t>
            </w:r>
          </w:p>
        </w:tc>
        <w:tc>
          <w:tcPr>
            <w:tcW w:w="832" w:type="dxa"/>
            <w:tcBorders>
              <w:top w:val="nil"/>
              <w:left w:val="nil"/>
              <w:bottom w:val="dashed" w:sz="8" w:space="0" w:color="7E0000"/>
              <w:right w:val="nil"/>
            </w:tcBorders>
            <w:shd w:val="clear" w:color="auto" w:fill="auto"/>
          </w:tcPr>
          <w:p w14:paraId="4B179E94" w14:textId="6595AFDD" w:rsidR="00CF227C" w:rsidRPr="00CA30DF" w:rsidRDefault="00947775" w:rsidP="00CF227C">
            <w:pPr>
              <w:spacing w:after="0"/>
              <w:rPr>
                <w:rFonts w:cstheme="minorHAnsi"/>
                <w:sz w:val="18"/>
                <w:szCs w:val="18"/>
                <w:lang w:val="sr-Latn-ME"/>
              </w:rPr>
            </w:pPr>
            <w:r>
              <w:rPr>
                <w:sz w:val="18"/>
                <w:szCs w:val="18"/>
                <w:lang w:val="sr-Latn-ME"/>
              </w:rPr>
              <w:t>44.9</w:t>
            </w:r>
          </w:p>
        </w:tc>
      </w:tr>
      <w:tr w:rsidR="00CF227C" w:rsidRPr="00CA30DF" w14:paraId="5F42919B" w14:textId="77777777" w:rsidTr="00CF227C">
        <w:trPr>
          <w:trHeight w:val="297"/>
        </w:trPr>
        <w:tc>
          <w:tcPr>
            <w:tcW w:w="3243" w:type="dxa"/>
            <w:tcBorders>
              <w:top w:val="nil"/>
              <w:left w:val="nil"/>
              <w:bottom w:val="nil"/>
              <w:right w:val="nil"/>
            </w:tcBorders>
            <w:shd w:val="clear" w:color="auto" w:fill="auto"/>
            <w:noWrap/>
            <w:vAlign w:val="center"/>
            <w:hideMark/>
          </w:tcPr>
          <w:p w14:paraId="7223F8F3"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Bruto zarade</w:t>
            </w:r>
          </w:p>
        </w:tc>
        <w:tc>
          <w:tcPr>
            <w:tcW w:w="885" w:type="dxa"/>
            <w:tcBorders>
              <w:top w:val="nil"/>
              <w:left w:val="nil"/>
              <w:bottom w:val="nil"/>
              <w:right w:val="nil"/>
            </w:tcBorders>
            <w:shd w:val="clear" w:color="auto" w:fill="auto"/>
          </w:tcPr>
          <w:p w14:paraId="69128267"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773.8</w:t>
            </w:r>
          </w:p>
        </w:tc>
        <w:tc>
          <w:tcPr>
            <w:tcW w:w="969" w:type="dxa"/>
            <w:tcBorders>
              <w:top w:val="nil"/>
              <w:left w:val="nil"/>
              <w:bottom w:val="nil"/>
              <w:right w:val="nil"/>
            </w:tcBorders>
            <w:shd w:val="clear" w:color="auto" w:fill="auto"/>
          </w:tcPr>
          <w:p w14:paraId="06219AA3"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10.4</w:t>
            </w:r>
          </w:p>
        </w:tc>
        <w:tc>
          <w:tcPr>
            <w:tcW w:w="885" w:type="dxa"/>
            <w:tcBorders>
              <w:top w:val="nil"/>
              <w:left w:val="nil"/>
              <w:bottom w:val="nil"/>
              <w:right w:val="nil"/>
            </w:tcBorders>
            <w:shd w:val="clear" w:color="auto" w:fill="auto"/>
          </w:tcPr>
          <w:p w14:paraId="5236244C"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796.0</w:t>
            </w:r>
          </w:p>
        </w:tc>
        <w:tc>
          <w:tcPr>
            <w:tcW w:w="813" w:type="dxa"/>
            <w:tcBorders>
              <w:top w:val="nil"/>
              <w:left w:val="nil"/>
              <w:bottom w:val="nil"/>
              <w:right w:val="nil"/>
            </w:tcBorders>
            <w:shd w:val="clear" w:color="auto" w:fill="auto"/>
          </w:tcPr>
          <w:p w14:paraId="021B6396"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10.0</w:t>
            </w:r>
          </w:p>
        </w:tc>
        <w:tc>
          <w:tcPr>
            <w:tcW w:w="944" w:type="dxa"/>
            <w:tcBorders>
              <w:top w:val="nil"/>
              <w:left w:val="nil"/>
              <w:bottom w:val="nil"/>
              <w:right w:val="nil"/>
            </w:tcBorders>
            <w:shd w:val="clear" w:color="auto" w:fill="auto"/>
          </w:tcPr>
          <w:p w14:paraId="6FC81B26"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807.7</w:t>
            </w:r>
          </w:p>
        </w:tc>
        <w:tc>
          <w:tcPr>
            <w:tcW w:w="813" w:type="dxa"/>
            <w:tcBorders>
              <w:top w:val="nil"/>
              <w:left w:val="nil"/>
              <w:bottom w:val="nil"/>
              <w:right w:val="nil"/>
            </w:tcBorders>
            <w:shd w:val="clear" w:color="auto" w:fill="auto"/>
          </w:tcPr>
          <w:p w14:paraId="6AC680B5"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9.6</w:t>
            </w:r>
          </w:p>
        </w:tc>
        <w:tc>
          <w:tcPr>
            <w:tcW w:w="885" w:type="dxa"/>
            <w:tcBorders>
              <w:top w:val="nil"/>
              <w:left w:val="nil"/>
              <w:bottom w:val="nil"/>
              <w:right w:val="nil"/>
            </w:tcBorders>
            <w:shd w:val="clear" w:color="auto" w:fill="auto"/>
          </w:tcPr>
          <w:p w14:paraId="5C4492EB"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814.6</w:t>
            </w:r>
          </w:p>
        </w:tc>
        <w:tc>
          <w:tcPr>
            <w:tcW w:w="814" w:type="dxa"/>
            <w:tcBorders>
              <w:top w:val="nil"/>
              <w:left w:val="nil"/>
              <w:bottom w:val="nil"/>
              <w:right w:val="nil"/>
            </w:tcBorders>
            <w:shd w:val="clear" w:color="auto" w:fill="auto"/>
          </w:tcPr>
          <w:p w14:paraId="4DC52241"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9.3</w:t>
            </w:r>
          </w:p>
        </w:tc>
        <w:tc>
          <w:tcPr>
            <w:tcW w:w="885" w:type="dxa"/>
            <w:tcBorders>
              <w:top w:val="nil"/>
              <w:left w:val="nil"/>
              <w:bottom w:val="nil"/>
              <w:right w:val="nil"/>
            </w:tcBorders>
            <w:shd w:val="clear" w:color="auto" w:fill="auto"/>
          </w:tcPr>
          <w:p w14:paraId="1EBFEC22"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796.0</w:t>
            </w:r>
          </w:p>
        </w:tc>
        <w:tc>
          <w:tcPr>
            <w:tcW w:w="831" w:type="dxa"/>
            <w:tcBorders>
              <w:top w:val="nil"/>
              <w:left w:val="nil"/>
              <w:bottom w:val="nil"/>
              <w:right w:val="nil"/>
            </w:tcBorders>
            <w:shd w:val="clear" w:color="auto" w:fill="auto"/>
          </w:tcPr>
          <w:p w14:paraId="43D2A9FF"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10.0</w:t>
            </w:r>
          </w:p>
        </w:tc>
        <w:tc>
          <w:tcPr>
            <w:tcW w:w="885" w:type="dxa"/>
            <w:tcBorders>
              <w:top w:val="nil"/>
              <w:left w:val="nil"/>
              <w:bottom w:val="nil"/>
              <w:right w:val="nil"/>
            </w:tcBorders>
            <w:shd w:val="clear" w:color="auto" w:fill="auto"/>
          </w:tcPr>
          <w:p w14:paraId="03D066B8"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807.7</w:t>
            </w:r>
          </w:p>
        </w:tc>
        <w:tc>
          <w:tcPr>
            <w:tcW w:w="831" w:type="dxa"/>
            <w:tcBorders>
              <w:top w:val="nil"/>
              <w:left w:val="nil"/>
              <w:bottom w:val="nil"/>
              <w:right w:val="nil"/>
            </w:tcBorders>
            <w:shd w:val="clear" w:color="auto" w:fill="auto"/>
          </w:tcPr>
          <w:p w14:paraId="6D015478"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9.6</w:t>
            </w:r>
          </w:p>
        </w:tc>
        <w:tc>
          <w:tcPr>
            <w:tcW w:w="944" w:type="dxa"/>
            <w:tcBorders>
              <w:top w:val="nil"/>
              <w:left w:val="nil"/>
              <w:bottom w:val="nil"/>
              <w:right w:val="nil"/>
            </w:tcBorders>
            <w:shd w:val="clear" w:color="auto" w:fill="auto"/>
          </w:tcPr>
          <w:p w14:paraId="67125F33"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814.6</w:t>
            </w:r>
          </w:p>
        </w:tc>
        <w:tc>
          <w:tcPr>
            <w:tcW w:w="832" w:type="dxa"/>
            <w:tcBorders>
              <w:top w:val="nil"/>
              <w:left w:val="nil"/>
              <w:bottom w:val="nil"/>
              <w:right w:val="nil"/>
            </w:tcBorders>
            <w:shd w:val="clear" w:color="auto" w:fill="auto"/>
          </w:tcPr>
          <w:p w14:paraId="46DB1F0A"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9.3</w:t>
            </w:r>
          </w:p>
        </w:tc>
      </w:tr>
      <w:tr w:rsidR="00CF227C" w:rsidRPr="00CA30DF" w14:paraId="22735A06" w14:textId="77777777" w:rsidTr="00CF227C">
        <w:trPr>
          <w:trHeight w:val="297"/>
        </w:trPr>
        <w:tc>
          <w:tcPr>
            <w:tcW w:w="3243" w:type="dxa"/>
            <w:tcBorders>
              <w:top w:val="nil"/>
              <w:left w:val="nil"/>
              <w:bottom w:val="nil"/>
              <w:right w:val="nil"/>
            </w:tcBorders>
            <w:shd w:val="clear" w:color="auto" w:fill="auto"/>
            <w:noWrap/>
            <w:vAlign w:val="center"/>
            <w:hideMark/>
          </w:tcPr>
          <w:p w14:paraId="17D8D262"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Kamate</w:t>
            </w:r>
          </w:p>
        </w:tc>
        <w:tc>
          <w:tcPr>
            <w:tcW w:w="885" w:type="dxa"/>
            <w:tcBorders>
              <w:top w:val="nil"/>
              <w:left w:val="nil"/>
              <w:bottom w:val="nil"/>
              <w:right w:val="nil"/>
            </w:tcBorders>
            <w:shd w:val="clear" w:color="auto" w:fill="auto"/>
          </w:tcPr>
          <w:p w14:paraId="740BC2BB"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151.9</w:t>
            </w:r>
          </w:p>
        </w:tc>
        <w:tc>
          <w:tcPr>
            <w:tcW w:w="969" w:type="dxa"/>
            <w:tcBorders>
              <w:top w:val="nil"/>
              <w:left w:val="nil"/>
              <w:bottom w:val="nil"/>
              <w:right w:val="nil"/>
            </w:tcBorders>
            <w:shd w:val="clear" w:color="auto" w:fill="auto"/>
          </w:tcPr>
          <w:p w14:paraId="023A6491"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2.0</w:t>
            </w:r>
          </w:p>
        </w:tc>
        <w:tc>
          <w:tcPr>
            <w:tcW w:w="885" w:type="dxa"/>
            <w:tcBorders>
              <w:top w:val="nil"/>
              <w:left w:val="nil"/>
              <w:bottom w:val="nil"/>
              <w:right w:val="nil"/>
            </w:tcBorders>
            <w:shd w:val="clear" w:color="auto" w:fill="auto"/>
          </w:tcPr>
          <w:p w14:paraId="1530C00E"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162.8</w:t>
            </w:r>
          </w:p>
        </w:tc>
        <w:tc>
          <w:tcPr>
            <w:tcW w:w="813" w:type="dxa"/>
            <w:tcBorders>
              <w:top w:val="nil"/>
              <w:left w:val="nil"/>
              <w:bottom w:val="nil"/>
              <w:right w:val="nil"/>
            </w:tcBorders>
            <w:shd w:val="clear" w:color="auto" w:fill="auto"/>
          </w:tcPr>
          <w:p w14:paraId="0A44A778"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2.0</w:t>
            </w:r>
          </w:p>
        </w:tc>
        <w:tc>
          <w:tcPr>
            <w:tcW w:w="944" w:type="dxa"/>
            <w:tcBorders>
              <w:top w:val="nil"/>
              <w:left w:val="nil"/>
              <w:bottom w:val="nil"/>
              <w:right w:val="nil"/>
            </w:tcBorders>
            <w:shd w:val="clear" w:color="auto" w:fill="auto"/>
          </w:tcPr>
          <w:p w14:paraId="06D94A90"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192.1</w:t>
            </w:r>
          </w:p>
        </w:tc>
        <w:tc>
          <w:tcPr>
            <w:tcW w:w="813" w:type="dxa"/>
            <w:tcBorders>
              <w:top w:val="nil"/>
              <w:left w:val="nil"/>
              <w:bottom w:val="nil"/>
              <w:right w:val="nil"/>
            </w:tcBorders>
            <w:shd w:val="clear" w:color="auto" w:fill="auto"/>
          </w:tcPr>
          <w:p w14:paraId="590E30FB"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2.3</w:t>
            </w:r>
          </w:p>
        </w:tc>
        <w:tc>
          <w:tcPr>
            <w:tcW w:w="885" w:type="dxa"/>
            <w:tcBorders>
              <w:top w:val="nil"/>
              <w:left w:val="nil"/>
              <w:bottom w:val="nil"/>
              <w:right w:val="nil"/>
            </w:tcBorders>
            <w:shd w:val="clear" w:color="auto" w:fill="auto"/>
          </w:tcPr>
          <w:p w14:paraId="1079EFA5"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219.6</w:t>
            </w:r>
          </w:p>
        </w:tc>
        <w:tc>
          <w:tcPr>
            <w:tcW w:w="814" w:type="dxa"/>
            <w:tcBorders>
              <w:top w:val="nil"/>
              <w:left w:val="nil"/>
              <w:bottom w:val="nil"/>
              <w:right w:val="nil"/>
            </w:tcBorders>
            <w:shd w:val="clear" w:color="auto" w:fill="auto"/>
          </w:tcPr>
          <w:p w14:paraId="30EB33FB"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2.5</w:t>
            </w:r>
          </w:p>
        </w:tc>
        <w:tc>
          <w:tcPr>
            <w:tcW w:w="885" w:type="dxa"/>
            <w:tcBorders>
              <w:top w:val="nil"/>
              <w:left w:val="nil"/>
              <w:bottom w:val="nil"/>
              <w:right w:val="nil"/>
            </w:tcBorders>
            <w:shd w:val="clear" w:color="auto" w:fill="auto"/>
          </w:tcPr>
          <w:p w14:paraId="4A35F003"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162.8</w:t>
            </w:r>
          </w:p>
        </w:tc>
        <w:tc>
          <w:tcPr>
            <w:tcW w:w="831" w:type="dxa"/>
            <w:tcBorders>
              <w:top w:val="nil"/>
              <w:left w:val="nil"/>
              <w:bottom w:val="nil"/>
              <w:right w:val="nil"/>
            </w:tcBorders>
            <w:shd w:val="clear" w:color="auto" w:fill="auto"/>
          </w:tcPr>
          <w:p w14:paraId="1245760A"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2.0</w:t>
            </w:r>
          </w:p>
        </w:tc>
        <w:tc>
          <w:tcPr>
            <w:tcW w:w="885" w:type="dxa"/>
            <w:tcBorders>
              <w:top w:val="nil"/>
              <w:left w:val="nil"/>
              <w:bottom w:val="nil"/>
              <w:right w:val="nil"/>
            </w:tcBorders>
            <w:shd w:val="clear" w:color="auto" w:fill="auto"/>
          </w:tcPr>
          <w:p w14:paraId="0DCE1409"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192.1</w:t>
            </w:r>
          </w:p>
        </w:tc>
        <w:tc>
          <w:tcPr>
            <w:tcW w:w="831" w:type="dxa"/>
            <w:tcBorders>
              <w:top w:val="nil"/>
              <w:left w:val="nil"/>
              <w:bottom w:val="nil"/>
              <w:right w:val="nil"/>
            </w:tcBorders>
            <w:shd w:val="clear" w:color="auto" w:fill="auto"/>
          </w:tcPr>
          <w:p w14:paraId="35E34BCD"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2.3</w:t>
            </w:r>
          </w:p>
        </w:tc>
        <w:tc>
          <w:tcPr>
            <w:tcW w:w="944" w:type="dxa"/>
            <w:tcBorders>
              <w:top w:val="nil"/>
              <w:left w:val="nil"/>
              <w:bottom w:val="nil"/>
              <w:right w:val="nil"/>
            </w:tcBorders>
            <w:shd w:val="clear" w:color="auto" w:fill="auto"/>
          </w:tcPr>
          <w:p w14:paraId="6BDFC997"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219.6</w:t>
            </w:r>
          </w:p>
        </w:tc>
        <w:tc>
          <w:tcPr>
            <w:tcW w:w="832" w:type="dxa"/>
            <w:tcBorders>
              <w:top w:val="nil"/>
              <w:left w:val="nil"/>
              <w:bottom w:val="nil"/>
              <w:right w:val="nil"/>
            </w:tcBorders>
            <w:shd w:val="clear" w:color="auto" w:fill="auto"/>
          </w:tcPr>
          <w:p w14:paraId="0345A90F"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2.5</w:t>
            </w:r>
          </w:p>
        </w:tc>
      </w:tr>
      <w:tr w:rsidR="00CF227C" w:rsidRPr="00CA30DF" w14:paraId="542CB4ED" w14:textId="77777777" w:rsidTr="00CF227C">
        <w:trPr>
          <w:trHeight w:val="297"/>
        </w:trPr>
        <w:tc>
          <w:tcPr>
            <w:tcW w:w="3243" w:type="dxa"/>
            <w:tcBorders>
              <w:top w:val="nil"/>
              <w:left w:val="nil"/>
              <w:bottom w:val="nil"/>
              <w:right w:val="nil"/>
            </w:tcBorders>
            <w:shd w:val="clear" w:color="auto" w:fill="auto"/>
            <w:noWrap/>
            <w:vAlign w:val="center"/>
            <w:hideMark/>
          </w:tcPr>
          <w:p w14:paraId="3E516D27"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Transferi za socijalnu zaštitu</w:t>
            </w:r>
          </w:p>
        </w:tc>
        <w:tc>
          <w:tcPr>
            <w:tcW w:w="885" w:type="dxa"/>
            <w:tcBorders>
              <w:top w:val="nil"/>
              <w:left w:val="nil"/>
              <w:bottom w:val="nil"/>
              <w:right w:val="nil"/>
            </w:tcBorders>
            <w:shd w:val="clear" w:color="auto" w:fill="auto"/>
          </w:tcPr>
          <w:p w14:paraId="54D53AE5"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1011.2</w:t>
            </w:r>
          </w:p>
        </w:tc>
        <w:tc>
          <w:tcPr>
            <w:tcW w:w="969" w:type="dxa"/>
            <w:tcBorders>
              <w:top w:val="nil"/>
              <w:left w:val="nil"/>
              <w:bottom w:val="nil"/>
              <w:right w:val="nil"/>
            </w:tcBorders>
            <w:shd w:val="clear" w:color="auto" w:fill="auto"/>
          </w:tcPr>
          <w:p w14:paraId="13415935"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13.6</w:t>
            </w:r>
          </w:p>
        </w:tc>
        <w:tc>
          <w:tcPr>
            <w:tcW w:w="885" w:type="dxa"/>
            <w:tcBorders>
              <w:top w:val="nil"/>
              <w:left w:val="nil"/>
              <w:bottom w:val="nil"/>
              <w:right w:val="nil"/>
            </w:tcBorders>
            <w:shd w:val="clear" w:color="auto" w:fill="auto"/>
          </w:tcPr>
          <w:p w14:paraId="4D07FCF3"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1070.3</w:t>
            </w:r>
          </w:p>
        </w:tc>
        <w:tc>
          <w:tcPr>
            <w:tcW w:w="813" w:type="dxa"/>
            <w:tcBorders>
              <w:top w:val="nil"/>
              <w:left w:val="nil"/>
              <w:bottom w:val="nil"/>
              <w:right w:val="nil"/>
            </w:tcBorders>
            <w:shd w:val="clear" w:color="auto" w:fill="auto"/>
          </w:tcPr>
          <w:p w14:paraId="467FE70B"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13.4</w:t>
            </w:r>
          </w:p>
        </w:tc>
        <w:tc>
          <w:tcPr>
            <w:tcW w:w="944" w:type="dxa"/>
            <w:tcBorders>
              <w:top w:val="nil"/>
              <w:left w:val="nil"/>
              <w:bottom w:val="nil"/>
              <w:right w:val="nil"/>
            </w:tcBorders>
            <w:shd w:val="clear" w:color="auto" w:fill="auto"/>
          </w:tcPr>
          <w:p w14:paraId="33CF78FF"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1121.7</w:t>
            </w:r>
          </w:p>
        </w:tc>
        <w:tc>
          <w:tcPr>
            <w:tcW w:w="813" w:type="dxa"/>
            <w:tcBorders>
              <w:top w:val="nil"/>
              <w:left w:val="nil"/>
              <w:bottom w:val="nil"/>
              <w:right w:val="nil"/>
            </w:tcBorders>
            <w:shd w:val="clear" w:color="auto" w:fill="auto"/>
          </w:tcPr>
          <w:p w14:paraId="3961ACF9"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13.4</w:t>
            </w:r>
          </w:p>
        </w:tc>
        <w:tc>
          <w:tcPr>
            <w:tcW w:w="885" w:type="dxa"/>
            <w:tcBorders>
              <w:top w:val="nil"/>
              <w:left w:val="nil"/>
              <w:bottom w:val="nil"/>
              <w:right w:val="nil"/>
            </w:tcBorders>
            <w:shd w:val="clear" w:color="auto" w:fill="auto"/>
          </w:tcPr>
          <w:p w14:paraId="73359A3B"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1163.6</w:t>
            </w:r>
          </w:p>
        </w:tc>
        <w:tc>
          <w:tcPr>
            <w:tcW w:w="814" w:type="dxa"/>
            <w:tcBorders>
              <w:top w:val="nil"/>
              <w:left w:val="nil"/>
              <w:bottom w:val="nil"/>
              <w:right w:val="nil"/>
            </w:tcBorders>
            <w:shd w:val="clear" w:color="auto" w:fill="auto"/>
          </w:tcPr>
          <w:p w14:paraId="6A6AB81A"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13.3</w:t>
            </w:r>
          </w:p>
        </w:tc>
        <w:tc>
          <w:tcPr>
            <w:tcW w:w="885" w:type="dxa"/>
            <w:tcBorders>
              <w:top w:val="nil"/>
              <w:left w:val="nil"/>
              <w:bottom w:val="nil"/>
              <w:right w:val="nil"/>
            </w:tcBorders>
            <w:shd w:val="clear" w:color="auto" w:fill="auto"/>
          </w:tcPr>
          <w:p w14:paraId="1B25A23A"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1070.3</w:t>
            </w:r>
          </w:p>
        </w:tc>
        <w:tc>
          <w:tcPr>
            <w:tcW w:w="831" w:type="dxa"/>
            <w:tcBorders>
              <w:top w:val="nil"/>
              <w:left w:val="nil"/>
              <w:bottom w:val="nil"/>
              <w:right w:val="nil"/>
            </w:tcBorders>
            <w:shd w:val="clear" w:color="auto" w:fill="auto"/>
          </w:tcPr>
          <w:p w14:paraId="0DCD4A50"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13.4</w:t>
            </w:r>
          </w:p>
        </w:tc>
        <w:tc>
          <w:tcPr>
            <w:tcW w:w="885" w:type="dxa"/>
            <w:tcBorders>
              <w:top w:val="nil"/>
              <w:left w:val="nil"/>
              <w:bottom w:val="nil"/>
              <w:right w:val="nil"/>
            </w:tcBorders>
            <w:shd w:val="clear" w:color="auto" w:fill="auto"/>
          </w:tcPr>
          <w:p w14:paraId="17A89E3B"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1121.7</w:t>
            </w:r>
          </w:p>
        </w:tc>
        <w:tc>
          <w:tcPr>
            <w:tcW w:w="831" w:type="dxa"/>
            <w:tcBorders>
              <w:top w:val="nil"/>
              <w:left w:val="nil"/>
              <w:bottom w:val="nil"/>
              <w:right w:val="nil"/>
            </w:tcBorders>
            <w:shd w:val="clear" w:color="auto" w:fill="auto"/>
          </w:tcPr>
          <w:p w14:paraId="3ACAF5A1"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13.4</w:t>
            </w:r>
          </w:p>
        </w:tc>
        <w:tc>
          <w:tcPr>
            <w:tcW w:w="944" w:type="dxa"/>
            <w:tcBorders>
              <w:top w:val="nil"/>
              <w:left w:val="nil"/>
              <w:bottom w:val="nil"/>
              <w:right w:val="nil"/>
            </w:tcBorders>
            <w:shd w:val="clear" w:color="auto" w:fill="auto"/>
          </w:tcPr>
          <w:p w14:paraId="173E042C"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1163.6</w:t>
            </w:r>
          </w:p>
        </w:tc>
        <w:tc>
          <w:tcPr>
            <w:tcW w:w="832" w:type="dxa"/>
            <w:tcBorders>
              <w:top w:val="nil"/>
              <w:left w:val="nil"/>
              <w:bottom w:val="nil"/>
              <w:right w:val="nil"/>
            </w:tcBorders>
            <w:shd w:val="clear" w:color="auto" w:fill="auto"/>
          </w:tcPr>
          <w:p w14:paraId="4132C7ED"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13.3</w:t>
            </w:r>
          </w:p>
        </w:tc>
      </w:tr>
      <w:tr w:rsidR="00CF227C" w:rsidRPr="00CA30DF" w14:paraId="612BBEEE" w14:textId="77777777" w:rsidTr="00CF227C">
        <w:trPr>
          <w:trHeight w:val="297"/>
        </w:trPr>
        <w:tc>
          <w:tcPr>
            <w:tcW w:w="3243" w:type="dxa"/>
            <w:tcBorders>
              <w:top w:val="nil"/>
              <w:left w:val="nil"/>
              <w:bottom w:val="nil"/>
              <w:right w:val="nil"/>
            </w:tcBorders>
            <w:shd w:val="clear" w:color="auto" w:fill="auto"/>
            <w:noWrap/>
            <w:vAlign w:val="center"/>
            <w:hideMark/>
          </w:tcPr>
          <w:p w14:paraId="5225BC2B"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Kapitalni izdaci</w:t>
            </w:r>
          </w:p>
        </w:tc>
        <w:tc>
          <w:tcPr>
            <w:tcW w:w="885" w:type="dxa"/>
            <w:tcBorders>
              <w:top w:val="nil"/>
              <w:left w:val="nil"/>
              <w:bottom w:val="nil"/>
              <w:right w:val="nil"/>
            </w:tcBorders>
            <w:shd w:val="clear" w:color="auto" w:fill="auto"/>
          </w:tcPr>
          <w:p w14:paraId="0CB08FD2"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398.2</w:t>
            </w:r>
          </w:p>
        </w:tc>
        <w:tc>
          <w:tcPr>
            <w:tcW w:w="969" w:type="dxa"/>
            <w:tcBorders>
              <w:top w:val="nil"/>
              <w:left w:val="nil"/>
              <w:bottom w:val="nil"/>
              <w:right w:val="nil"/>
            </w:tcBorders>
            <w:shd w:val="clear" w:color="auto" w:fill="auto"/>
          </w:tcPr>
          <w:p w14:paraId="6C8A28BA"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5.4</w:t>
            </w:r>
          </w:p>
        </w:tc>
        <w:tc>
          <w:tcPr>
            <w:tcW w:w="885" w:type="dxa"/>
            <w:tcBorders>
              <w:top w:val="nil"/>
              <w:left w:val="nil"/>
              <w:bottom w:val="nil"/>
              <w:right w:val="nil"/>
            </w:tcBorders>
            <w:shd w:val="clear" w:color="auto" w:fill="auto"/>
          </w:tcPr>
          <w:p w14:paraId="0B4965AE"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445.7</w:t>
            </w:r>
          </w:p>
        </w:tc>
        <w:tc>
          <w:tcPr>
            <w:tcW w:w="813" w:type="dxa"/>
            <w:tcBorders>
              <w:top w:val="nil"/>
              <w:left w:val="nil"/>
              <w:bottom w:val="nil"/>
              <w:right w:val="nil"/>
            </w:tcBorders>
            <w:shd w:val="clear" w:color="auto" w:fill="auto"/>
          </w:tcPr>
          <w:p w14:paraId="19CE6C4D"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5.6</w:t>
            </w:r>
          </w:p>
        </w:tc>
        <w:tc>
          <w:tcPr>
            <w:tcW w:w="944" w:type="dxa"/>
            <w:tcBorders>
              <w:top w:val="nil"/>
              <w:left w:val="nil"/>
              <w:bottom w:val="nil"/>
              <w:right w:val="nil"/>
            </w:tcBorders>
            <w:shd w:val="clear" w:color="auto" w:fill="auto"/>
          </w:tcPr>
          <w:p w14:paraId="1F1D8045"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466.7</w:t>
            </w:r>
          </w:p>
        </w:tc>
        <w:tc>
          <w:tcPr>
            <w:tcW w:w="813" w:type="dxa"/>
            <w:tcBorders>
              <w:top w:val="nil"/>
              <w:left w:val="nil"/>
              <w:bottom w:val="nil"/>
              <w:right w:val="nil"/>
            </w:tcBorders>
            <w:shd w:val="clear" w:color="auto" w:fill="auto"/>
          </w:tcPr>
          <w:p w14:paraId="49CE96AE"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5.6</w:t>
            </w:r>
          </w:p>
        </w:tc>
        <w:tc>
          <w:tcPr>
            <w:tcW w:w="885" w:type="dxa"/>
            <w:tcBorders>
              <w:top w:val="nil"/>
              <w:left w:val="nil"/>
              <w:bottom w:val="nil"/>
              <w:right w:val="nil"/>
            </w:tcBorders>
            <w:shd w:val="clear" w:color="auto" w:fill="auto"/>
          </w:tcPr>
          <w:p w14:paraId="15777338"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499.0</w:t>
            </w:r>
          </w:p>
        </w:tc>
        <w:tc>
          <w:tcPr>
            <w:tcW w:w="814" w:type="dxa"/>
            <w:tcBorders>
              <w:top w:val="nil"/>
              <w:left w:val="nil"/>
              <w:bottom w:val="nil"/>
              <w:right w:val="nil"/>
            </w:tcBorders>
            <w:shd w:val="clear" w:color="auto" w:fill="auto"/>
          </w:tcPr>
          <w:p w14:paraId="228BF54D"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5.7</w:t>
            </w:r>
          </w:p>
        </w:tc>
        <w:tc>
          <w:tcPr>
            <w:tcW w:w="885" w:type="dxa"/>
            <w:tcBorders>
              <w:top w:val="nil"/>
              <w:left w:val="nil"/>
              <w:bottom w:val="nil"/>
              <w:right w:val="nil"/>
            </w:tcBorders>
            <w:shd w:val="clear" w:color="auto" w:fill="auto"/>
          </w:tcPr>
          <w:p w14:paraId="6E4E4929"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445.7</w:t>
            </w:r>
          </w:p>
        </w:tc>
        <w:tc>
          <w:tcPr>
            <w:tcW w:w="831" w:type="dxa"/>
            <w:tcBorders>
              <w:top w:val="nil"/>
              <w:left w:val="nil"/>
              <w:bottom w:val="nil"/>
              <w:right w:val="nil"/>
            </w:tcBorders>
            <w:shd w:val="clear" w:color="auto" w:fill="auto"/>
          </w:tcPr>
          <w:p w14:paraId="4C59A0F5"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5.6</w:t>
            </w:r>
          </w:p>
        </w:tc>
        <w:tc>
          <w:tcPr>
            <w:tcW w:w="885" w:type="dxa"/>
            <w:tcBorders>
              <w:top w:val="nil"/>
              <w:left w:val="nil"/>
              <w:bottom w:val="nil"/>
              <w:right w:val="nil"/>
            </w:tcBorders>
            <w:shd w:val="clear" w:color="auto" w:fill="auto"/>
          </w:tcPr>
          <w:p w14:paraId="2580A29C"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466.7</w:t>
            </w:r>
          </w:p>
        </w:tc>
        <w:tc>
          <w:tcPr>
            <w:tcW w:w="831" w:type="dxa"/>
            <w:tcBorders>
              <w:top w:val="nil"/>
              <w:left w:val="nil"/>
              <w:bottom w:val="nil"/>
              <w:right w:val="nil"/>
            </w:tcBorders>
            <w:shd w:val="clear" w:color="auto" w:fill="auto"/>
          </w:tcPr>
          <w:p w14:paraId="52EAF8B6"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5.6</w:t>
            </w:r>
          </w:p>
        </w:tc>
        <w:tc>
          <w:tcPr>
            <w:tcW w:w="944" w:type="dxa"/>
            <w:tcBorders>
              <w:top w:val="nil"/>
              <w:left w:val="nil"/>
              <w:bottom w:val="nil"/>
              <w:right w:val="nil"/>
            </w:tcBorders>
            <w:shd w:val="clear" w:color="auto" w:fill="auto"/>
          </w:tcPr>
          <w:p w14:paraId="1B54473F"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499.0</w:t>
            </w:r>
          </w:p>
        </w:tc>
        <w:tc>
          <w:tcPr>
            <w:tcW w:w="832" w:type="dxa"/>
            <w:tcBorders>
              <w:top w:val="nil"/>
              <w:left w:val="nil"/>
              <w:bottom w:val="nil"/>
              <w:right w:val="nil"/>
            </w:tcBorders>
            <w:shd w:val="clear" w:color="auto" w:fill="auto"/>
          </w:tcPr>
          <w:p w14:paraId="0B3DE94C"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5.7</w:t>
            </w:r>
          </w:p>
        </w:tc>
      </w:tr>
      <w:tr w:rsidR="00CF227C" w:rsidRPr="00CA30DF" w14:paraId="07E6E655" w14:textId="77777777" w:rsidTr="00CF227C">
        <w:trPr>
          <w:trHeight w:val="311"/>
        </w:trPr>
        <w:tc>
          <w:tcPr>
            <w:tcW w:w="3243" w:type="dxa"/>
            <w:tcBorders>
              <w:top w:val="nil"/>
              <w:left w:val="nil"/>
              <w:bottom w:val="dashSmallGap" w:sz="4" w:space="0" w:color="800000"/>
              <w:right w:val="nil"/>
            </w:tcBorders>
            <w:shd w:val="clear" w:color="auto" w:fill="auto"/>
            <w:noWrap/>
            <w:vAlign w:val="center"/>
            <w:hideMark/>
          </w:tcPr>
          <w:p w14:paraId="6648A4BF"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Transferi institucijama, pojedincima, NVO i javnom sektoru</w:t>
            </w:r>
          </w:p>
        </w:tc>
        <w:tc>
          <w:tcPr>
            <w:tcW w:w="885" w:type="dxa"/>
            <w:tcBorders>
              <w:top w:val="nil"/>
              <w:left w:val="nil"/>
              <w:bottom w:val="dashSmallGap" w:sz="4" w:space="0" w:color="800000"/>
              <w:right w:val="nil"/>
            </w:tcBorders>
            <w:shd w:val="clear" w:color="auto" w:fill="auto"/>
          </w:tcPr>
          <w:p w14:paraId="0BE52FFF"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511.8</w:t>
            </w:r>
          </w:p>
        </w:tc>
        <w:tc>
          <w:tcPr>
            <w:tcW w:w="969" w:type="dxa"/>
            <w:tcBorders>
              <w:top w:val="nil"/>
              <w:left w:val="nil"/>
              <w:bottom w:val="dashSmallGap" w:sz="4" w:space="0" w:color="800000"/>
              <w:right w:val="nil"/>
            </w:tcBorders>
            <w:shd w:val="clear" w:color="auto" w:fill="auto"/>
          </w:tcPr>
          <w:p w14:paraId="726EFFBB"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6.9</w:t>
            </w:r>
          </w:p>
        </w:tc>
        <w:tc>
          <w:tcPr>
            <w:tcW w:w="885" w:type="dxa"/>
            <w:tcBorders>
              <w:top w:val="nil"/>
              <w:left w:val="nil"/>
              <w:bottom w:val="dashSmallGap" w:sz="4" w:space="0" w:color="800000"/>
              <w:right w:val="nil"/>
            </w:tcBorders>
            <w:shd w:val="clear" w:color="auto" w:fill="auto"/>
          </w:tcPr>
          <w:p w14:paraId="2755AEAF"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540.8</w:t>
            </w:r>
          </w:p>
        </w:tc>
        <w:tc>
          <w:tcPr>
            <w:tcW w:w="813" w:type="dxa"/>
            <w:tcBorders>
              <w:top w:val="nil"/>
              <w:left w:val="nil"/>
              <w:bottom w:val="dashSmallGap" w:sz="4" w:space="0" w:color="800000"/>
              <w:right w:val="nil"/>
            </w:tcBorders>
            <w:shd w:val="clear" w:color="auto" w:fill="auto"/>
          </w:tcPr>
          <w:p w14:paraId="1D1B2BE5"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6.8</w:t>
            </w:r>
          </w:p>
        </w:tc>
        <w:tc>
          <w:tcPr>
            <w:tcW w:w="944" w:type="dxa"/>
            <w:tcBorders>
              <w:top w:val="nil"/>
              <w:left w:val="nil"/>
              <w:bottom w:val="dashSmallGap" w:sz="4" w:space="0" w:color="800000"/>
              <w:right w:val="nil"/>
            </w:tcBorders>
            <w:shd w:val="clear" w:color="auto" w:fill="auto"/>
          </w:tcPr>
          <w:p w14:paraId="366FAC23"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554.6</w:t>
            </w:r>
          </w:p>
        </w:tc>
        <w:tc>
          <w:tcPr>
            <w:tcW w:w="813" w:type="dxa"/>
            <w:tcBorders>
              <w:top w:val="nil"/>
              <w:left w:val="nil"/>
              <w:bottom w:val="dashSmallGap" w:sz="4" w:space="0" w:color="800000"/>
              <w:right w:val="nil"/>
            </w:tcBorders>
            <w:shd w:val="clear" w:color="auto" w:fill="auto"/>
          </w:tcPr>
          <w:p w14:paraId="752B7A2D"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6.6</w:t>
            </w:r>
          </w:p>
        </w:tc>
        <w:tc>
          <w:tcPr>
            <w:tcW w:w="885" w:type="dxa"/>
            <w:tcBorders>
              <w:top w:val="nil"/>
              <w:left w:val="nil"/>
              <w:bottom w:val="dashSmallGap" w:sz="4" w:space="0" w:color="800000"/>
              <w:right w:val="nil"/>
            </w:tcBorders>
            <w:shd w:val="clear" w:color="auto" w:fill="auto"/>
          </w:tcPr>
          <w:p w14:paraId="1FFB0AC8"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559.7</w:t>
            </w:r>
          </w:p>
        </w:tc>
        <w:tc>
          <w:tcPr>
            <w:tcW w:w="814" w:type="dxa"/>
            <w:tcBorders>
              <w:top w:val="nil"/>
              <w:left w:val="nil"/>
              <w:bottom w:val="dashSmallGap" w:sz="4" w:space="0" w:color="800000"/>
              <w:right w:val="nil"/>
            </w:tcBorders>
            <w:shd w:val="clear" w:color="auto" w:fill="auto"/>
          </w:tcPr>
          <w:p w14:paraId="7CD96D00"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6.4</w:t>
            </w:r>
          </w:p>
        </w:tc>
        <w:tc>
          <w:tcPr>
            <w:tcW w:w="885" w:type="dxa"/>
            <w:tcBorders>
              <w:top w:val="nil"/>
              <w:left w:val="nil"/>
              <w:bottom w:val="dashSmallGap" w:sz="4" w:space="0" w:color="800000"/>
              <w:right w:val="nil"/>
            </w:tcBorders>
            <w:shd w:val="clear" w:color="auto" w:fill="auto"/>
          </w:tcPr>
          <w:p w14:paraId="3C378ABE"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540.8</w:t>
            </w:r>
          </w:p>
        </w:tc>
        <w:tc>
          <w:tcPr>
            <w:tcW w:w="831" w:type="dxa"/>
            <w:tcBorders>
              <w:top w:val="nil"/>
              <w:left w:val="nil"/>
              <w:bottom w:val="dashSmallGap" w:sz="4" w:space="0" w:color="800000"/>
              <w:right w:val="nil"/>
            </w:tcBorders>
            <w:shd w:val="clear" w:color="auto" w:fill="auto"/>
          </w:tcPr>
          <w:p w14:paraId="39D26AAC"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6.8</w:t>
            </w:r>
          </w:p>
        </w:tc>
        <w:tc>
          <w:tcPr>
            <w:tcW w:w="885" w:type="dxa"/>
            <w:tcBorders>
              <w:top w:val="nil"/>
              <w:left w:val="nil"/>
              <w:bottom w:val="dashSmallGap" w:sz="4" w:space="0" w:color="800000"/>
              <w:right w:val="nil"/>
            </w:tcBorders>
            <w:shd w:val="clear" w:color="auto" w:fill="auto"/>
          </w:tcPr>
          <w:p w14:paraId="5853258B"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554.6</w:t>
            </w:r>
          </w:p>
        </w:tc>
        <w:tc>
          <w:tcPr>
            <w:tcW w:w="831" w:type="dxa"/>
            <w:tcBorders>
              <w:top w:val="nil"/>
              <w:left w:val="nil"/>
              <w:bottom w:val="dashSmallGap" w:sz="4" w:space="0" w:color="800000"/>
              <w:right w:val="nil"/>
            </w:tcBorders>
            <w:shd w:val="clear" w:color="auto" w:fill="auto"/>
          </w:tcPr>
          <w:p w14:paraId="08D43644"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6.6</w:t>
            </w:r>
          </w:p>
        </w:tc>
        <w:tc>
          <w:tcPr>
            <w:tcW w:w="944" w:type="dxa"/>
            <w:tcBorders>
              <w:top w:val="nil"/>
              <w:left w:val="nil"/>
              <w:bottom w:val="dashSmallGap" w:sz="4" w:space="0" w:color="800000"/>
              <w:right w:val="nil"/>
            </w:tcBorders>
            <w:shd w:val="clear" w:color="auto" w:fill="auto"/>
          </w:tcPr>
          <w:p w14:paraId="50329057"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559.7</w:t>
            </w:r>
          </w:p>
        </w:tc>
        <w:tc>
          <w:tcPr>
            <w:tcW w:w="832" w:type="dxa"/>
            <w:tcBorders>
              <w:top w:val="nil"/>
              <w:left w:val="nil"/>
              <w:bottom w:val="dashSmallGap" w:sz="4" w:space="0" w:color="800000"/>
              <w:right w:val="nil"/>
            </w:tcBorders>
            <w:shd w:val="clear" w:color="auto" w:fill="auto"/>
          </w:tcPr>
          <w:p w14:paraId="3ED837F1"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6.4</w:t>
            </w:r>
          </w:p>
        </w:tc>
      </w:tr>
      <w:tr w:rsidR="00CF227C" w:rsidRPr="00CA30DF" w14:paraId="48873D8E" w14:textId="77777777" w:rsidTr="00CF227C">
        <w:trPr>
          <w:trHeight w:val="311"/>
        </w:trPr>
        <w:tc>
          <w:tcPr>
            <w:tcW w:w="3243" w:type="dxa"/>
            <w:tcBorders>
              <w:top w:val="dashSmallGap" w:sz="4" w:space="0" w:color="800000"/>
              <w:left w:val="nil"/>
              <w:bottom w:val="dashSmallGap" w:sz="4" w:space="0" w:color="800000"/>
              <w:right w:val="nil"/>
            </w:tcBorders>
            <w:shd w:val="clear" w:color="auto" w:fill="auto"/>
            <w:noWrap/>
            <w:vAlign w:val="center"/>
            <w:hideMark/>
          </w:tcPr>
          <w:p w14:paraId="401EECD2"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Suficit/deficit</w:t>
            </w:r>
          </w:p>
        </w:tc>
        <w:tc>
          <w:tcPr>
            <w:tcW w:w="885" w:type="dxa"/>
            <w:tcBorders>
              <w:top w:val="dashSmallGap" w:sz="4" w:space="0" w:color="800000"/>
              <w:left w:val="nil"/>
              <w:bottom w:val="dashSmallGap" w:sz="4" w:space="0" w:color="800000"/>
              <w:right w:val="nil"/>
            </w:tcBorders>
            <w:shd w:val="clear" w:color="auto" w:fill="auto"/>
          </w:tcPr>
          <w:p w14:paraId="7D7018FD"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-227.1</w:t>
            </w:r>
          </w:p>
        </w:tc>
        <w:tc>
          <w:tcPr>
            <w:tcW w:w="969" w:type="dxa"/>
            <w:tcBorders>
              <w:top w:val="dashSmallGap" w:sz="4" w:space="0" w:color="800000"/>
              <w:left w:val="nil"/>
              <w:bottom w:val="dashSmallGap" w:sz="4" w:space="0" w:color="800000"/>
              <w:right w:val="nil"/>
            </w:tcBorders>
            <w:shd w:val="clear" w:color="auto" w:fill="auto"/>
          </w:tcPr>
          <w:p w14:paraId="507BA6E8"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-3.1</w:t>
            </w:r>
          </w:p>
        </w:tc>
        <w:tc>
          <w:tcPr>
            <w:tcW w:w="885" w:type="dxa"/>
            <w:tcBorders>
              <w:top w:val="dashSmallGap" w:sz="4" w:space="0" w:color="800000"/>
              <w:left w:val="nil"/>
              <w:bottom w:val="dashSmallGap" w:sz="4" w:space="0" w:color="800000"/>
              <w:right w:val="nil"/>
            </w:tcBorders>
            <w:shd w:val="clear" w:color="auto" w:fill="auto"/>
          </w:tcPr>
          <w:p w14:paraId="32BEFC02"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-278.7</w:t>
            </w:r>
          </w:p>
        </w:tc>
        <w:tc>
          <w:tcPr>
            <w:tcW w:w="813" w:type="dxa"/>
            <w:tcBorders>
              <w:top w:val="dashSmallGap" w:sz="4" w:space="0" w:color="800000"/>
              <w:left w:val="nil"/>
              <w:bottom w:val="dashSmallGap" w:sz="4" w:space="0" w:color="800000"/>
              <w:right w:val="nil"/>
            </w:tcBorders>
            <w:shd w:val="clear" w:color="auto" w:fill="auto"/>
          </w:tcPr>
          <w:p w14:paraId="63D69784"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-3.5</w:t>
            </w:r>
          </w:p>
        </w:tc>
        <w:tc>
          <w:tcPr>
            <w:tcW w:w="944" w:type="dxa"/>
            <w:tcBorders>
              <w:top w:val="dashSmallGap" w:sz="4" w:space="0" w:color="800000"/>
              <w:left w:val="nil"/>
              <w:bottom w:val="dashSmallGap" w:sz="4" w:space="0" w:color="800000"/>
              <w:right w:val="nil"/>
            </w:tcBorders>
            <w:shd w:val="clear" w:color="auto" w:fill="auto"/>
          </w:tcPr>
          <w:p w14:paraId="3A7F8509"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-269.9</w:t>
            </w:r>
          </w:p>
        </w:tc>
        <w:tc>
          <w:tcPr>
            <w:tcW w:w="813" w:type="dxa"/>
            <w:tcBorders>
              <w:top w:val="dashSmallGap" w:sz="4" w:space="0" w:color="800000"/>
              <w:left w:val="nil"/>
              <w:bottom w:val="dashSmallGap" w:sz="4" w:space="0" w:color="800000"/>
              <w:right w:val="nil"/>
            </w:tcBorders>
            <w:shd w:val="clear" w:color="auto" w:fill="auto"/>
          </w:tcPr>
          <w:p w14:paraId="491F7B31"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-3.2</w:t>
            </w:r>
          </w:p>
        </w:tc>
        <w:tc>
          <w:tcPr>
            <w:tcW w:w="885" w:type="dxa"/>
            <w:tcBorders>
              <w:top w:val="dashSmallGap" w:sz="4" w:space="0" w:color="800000"/>
              <w:left w:val="nil"/>
              <w:bottom w:val="dashSmallGap" w:sz="4" w:space="0" w:color="800000"/>
              <w:right w:val="nil"/>
            </w:tcBorders>
            <w:shd w:val="clear" w:color="auto" w:fill="auto"/>
          </w:tcPr>
          <w:p w14:paraId="57C5E73B"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-272.7</w:t>
            </w:r>
          </w:p>
        </w:tc>
        <w:tc>
          <w:tcPr>
            <w:tcW w:w="814" w:type="dxa"/>
            <w:tcBorders>
              <w:top w:val="dashSmallGap" w:sz="4" w:space="0" w:color="800000"/>
              <w:left w:val="nil"/>
              <w:bottom w:val="dashSmallGap" w:sz="4" w:space="0" w:color="800000"/>
              <w:right w:val="nil"/>
            </w:tcBorders>
            <w:shd w:val="clear" w:color="auto" w:fill="auto"/>
          </w:tcPr>
          <w:p w14:paraId="5E44B9DE"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-3.1</w:t>
            </w:r>
          </w:p>
        </w:tc>
        <w:tc>
          <w:tcPr>
            <w:tcW w:w="885" w:type="dxa"/>
            <w:tcBorders>
              <w:top w:val="dashSmallGap" w:sz="4" w:space="0" w:color="800000"/>
              <w:left w:val="nil"/>
              <w:bottom w:val="dashSmallGap" w:sz="4" w:space="0" w:color="800000"/>
              <w:right w:val="nil"/>
            </w:tcBorders>
            <w:shd w:val="clear" w:color="auto" w:fill="auto"/>
          </w:tcPr>
          <w:p w14:paraId="0D9B6805" w14:textId="77777777" w:rsidR="00CF227C" w:rsidRPr="00CA30DF" w:rsidRDefault="00CF227C" w:rsidP="00CF227C">
            <w:pPr>
              <w:spacing w:after="0"/>
              <w:rPr>
                <w:rFonts w:cstheme="minorHAnsi"/>
                <w:sz w:val="18"/>
                <w:szCs w:val="18"/>
                <w:lang w:val="sr-Latn-ME"/>
              </w:rPr>
            </w:pPr>
            <w:r w:rsidRPr="0073052D">
              <w:rPr>
                <w:sz w:val="18"/>
                <w:szCs w:val="18"/>
                <w:lang w:val="sr-Latn-ME"/>
              </w:rPr>
              <w:t>-314.7</w:t>
            </w:r>
          </w:p>
        </w:tc>
        <w:tc>
          <w:tcPr>
            <w:tcW w:w="831" w:type="dxa"/>
            <w:tcBorders>
              <w:top w:val="dashSmallGap" w:sz="4" w:space="0" w:color="800000"/>
              <w:left w:val="nil"/>
              <w:bottom w:val="dashSmallGap" w:sz="4" w:space="0" w:color="800000"/>
              <w:right w:val="nil"/>
            </w:tcBorders>
            <w:shd w:val="clear" w:color="auto" w:fill="auto"/>
          </w:tcPr>
          <w:p w14:paraId="1DF250A6" w14:textId="77777777" w:rsidR="00CF227C" w:rsidRPr="00CA30DF" w:rsidRDefault="00CF227C" w:rsidP="00CF227C">
            <w:pPr>
              <w:spacing w:after="0"/>
              <w:rPr>
                <w:rFonts w:cstheme="minorHAnsi"/>
                <w:sz w:val="18"/>
                <w:szCs w:val="18"/>
                <w:lang w:val="sr-Latn-ME"/>
              </w:rPr>
            </w:pPr>
            <w:r w:rsidRPr="0073052D">
              <w:rPr>
                <w:sz w:val="18"/>
                <w:szCs w:val="18"/>
                <w:lang w:val="sr-Latn-ME"/>
              </w:rPr>
              <w:t>-4.0</w:t>
            </w:r>
          </w:p>
        </w:tc>
        <w:tc>
          <w:tcPr>
            <w:tcW w:w="885" w:type="dxa"/>
            <w:tcBorders>
              <w:top w:val="dashSmallGap" w:sz="4" w:space="0" w:color="800000"/>
              <w:left w:val="nil"/>
              <w:bottom w:val="dashSmallGap" w:sz="4" w:space="0" w:color="800000"/>
              <w:right w:val="nil"/>
            </w:tcBorders>
            <w:shd w:val="clear" w:color="auto" w:fill="auto"/>
          </w:tcPr>
          <w:p w14:paraId="740CB90F" w14:textId="77777777" w:rsidR="00CF227C" w:rsidRPr="00CA30DF" w:rsidRDefault="00CF227C" w:rsidP="00CF227C">
            <w:pPr>
              <w:spacing w:after="0"/>
              <w:rPr>
                <w:rFonts w:cstheme="minorHAnsi"/>
                <w:sz w:val="18"/>
                <w:szCs w:val="18"/>
                <w:lang w:val="sr-Latn-ME"/>
              </w:rPr>
            </w:pPr>
            <w:r w:rsidRPr="0073052D">
              <w:rPr>
                <w:sz w:val="18"/>
                <w:szCs w:val="18"/>
                <w:lang w:val="sr-Latn-ME"/>
              </w:rPr>
              <w:t>-317.4</w:t>
            </w:r>
          </w:p>
        </w:tc>
        <w:tc>
          <w:tcPr>
            <w:tcW w:w="831" w:type="dxa"/>
            <w:tcBorders>
              <w:top w:val="dashSmallGap" w:sz="4" w:space="0" w:color="800000"/>
              <w:left w:val="nil"/>
              <w:bottom w:val="dashSmallGap" w:sz="4" w:space="0" w:color="800000"/>
              <w:right w:val="nil"/>
            </w:tcBorders>
            <w:shd w:val="clear" w:color="auto" w:fill="auto"/>
          </w:tcPr>
          <w:p w14:paraId="27245C9A" w14:textId="77777777" w:rsidR="00CF227C" w:rsidRPr="00CA30DF" w:rsidRDefault="00CF227C" w:rsidP="00CF227C">
            <w:pPr>
              <w:spacing w:after="0"/>
              <w:rPr>
                <w:rFonts w:cstheme="minorHAnsi"/>
                <w:sz w:val="18"/>
                <w:szCs w:val="18"/>
                <w:lang w:val="sr-Latn-ME"/>
              </w:rPr>
            </w:pPr>
            <w:r w:rsidRPr="0073052D">
              <w:rPr>
                <w:sz w:val="18"/>
                <w:szCs w:val="18"/>
                <w:lang w:val="sr-Latn-ME"/>
              </w:rPr>
              <w:t>-3.9</w:t>
            </w:r>
          </w:p>
        </w:tc>
        <w:tc>
          <w:tcPr>
            <w:tcW w:w="944" w:type="dxa"/>
            <w:tcBorders>
              <w:top w:val="dashSmallGap" w:sz="4" w:space="0" w:color="800000"/>
              <w:left w:val="nil"/>
              <w:bottom w:val="dashSmallGap" w:sz="4" w:space="0" w:color="800000"/>
              <w:right w:val="nil"/>
            </w:tcBorders>
            <w:shd w:val="clear" w:color="auto" w:fill="auto"/>
          </w:tcPr>
          <w:p w14:paraId="39014601" w14:textId="77777777" w:rsidR="00CF227C" w:rsidRPr="00CA30DF" w:rsidRDefault="00CF227C" w:rsidP="00CF227C">
            <w:pPr>
              <w:spacing w:after="0"/>
              <w:rPr>
                <w:rFonts w:cstheme="minorHAnsi"/>
                <w:sz w:val="18"/>
                <w:szCs w:val="18"/>
                <w:lang w:val="sr-Latn-ME"/>
              </w:rPr>
            </w:pPr>
            <w:r w:rsidRPr="0073052D">
              <w:rPr>
                <w:sz w:val="18"/>
                <w:szCs w:val="18"/>
                <w:lang w:val="sr-Latn-ME"/>
              </w:rPr>
              <w:t>-319.9</w:t>
            </w:r>
          </w:p>
        </w:tc>
        <w:tc>
          <w:tcPr>
            <w:tcW w:w="832" w:type="dxa"/>
            <w:tcBorders>
              <w:top w:val="dashSmallGap" w:sz="4" w:space="0" w:color="800000"/>
              <w:left w:val="nil"/>
              <w:bottom w:val="dashSmallGap" w:sz="4" w:space="0" w:color="800000"/>
              <w:right w:val="nil"/>
            </w:tcBorders>
            <w:shd w:val="clear" w:color="auto" w:fill="auto"/>
          </w:tcPr>
          <w:p w14:paraId="00E767D6" w14:textId="77777777" w:rsidR="00CF227C" w:rsidRPr="00CA30DF" w:rsidRDefault="00CF227C" w:rsidP="00CF227C">
            <w:pPr>
              <w:spacing w:after="0"/>
              <w:rPr>
                <w:rFonts w:cstheme="minorHAnsi"/>
                <w:sz w:val="18"/>
                <w:szCs w:val="18"/>
                <w:lang w:val="sr-Latn-ME"/>
              </w:rPr>
            </w:pPr>
            <w:r w:rsidRPr="0073052D">
              <w:rPr>
                <w:sz w:val="18"/>
                <w:szCs w:val="18"/>
                <w:lang w:val="sr-Latn-ME"/>
              </w:rPr>
              <w:t>-3.8</w:t>
            </w:r>
          </w:p>
        </w:tc>
      </w:tr>
      <w:tr w:rsidR="00CF227C" w:rsidRPr="00CA30DF" w14:paraId="2541AA95" w14:textId="77777777" w:rsidTr="00CF227C">
        <w:trPr>
          <w:trHeight w:val="311"/>
        </w:trPr>
        <w:tc>
          <w:tcPr>
            <w:tcW w:w="3243" w:type="dxa"/>
            <w:tcBorders>
              <w:top w:val="dashSmallGap" w:sz="4" w:space="0" w:color="800000"/>
              <w:left w:val="nil"/>
              <w:bottom w:val="single" w:sz="4" w:space="0" w:color="800000"/>
              <w:right w:val="nil"/>
            </w:tcBorders>
            <w:shd w:val="clear" w:color="auto" w:fill="auto"/>
            <w:noWrap/>
            <w:vAlign w:val="center"/>
            <w:hideMark/>
          </w:tcPr>
          <w:p w14:paraId="07514F00"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Primarni suficit/deficit</w:t>
            </w:r>
          </w:p>
        </w:tc>
        <w:tc>
          <w:tcPr>
            <w:tcW w:w="885" w:type="dxa"/>
            <w:tcBorders>
              <w:top w:val="dashSmallGap" w:sz="4" w:space="0" w:color="800000"/>
              <w:left w:val="nil"/>
              <w:bottom w:val="single" w:sz="4" w:space="0" w:color="800000"/>
              <w:right w:val="nil"/>
            </w:tcBorders>
            <w:shd w:val="clear" w:color="auto" w:fill="auto"/>
          </w:tcPr>
          <w:p w14:paraId="55506CD8"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-75.2</w:t>
            </w:r>
          </w:p>
        </w:tc>
        <w:tc>
          <w:tcPr>
            <w:tcW w:w="969" w:type="dxa"/>
            <w:tcBorders>
              <w:top w:val="dashSmallGap" w:sz="4" w:space="0" w:color="800000"/>
              <w:left w:val="nil"/>
              <w:bottom w:val="single" w:sz="4" w:space="0" w:color="800000"/>
              <w:right w:val="nil"/>
            </w:tcBorders>
            <w:shd w:val="clear" w:color="auto" w:fill="auto"/>
          </w:tcPr>
          <w:p w14:paraId="096C7D01"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-1.0</w:t>
            </w:r>
          </w:p>
        </w:tc>
        <w:tc>
          <w:tcPr>
            <w:tcW w:w="885" w:type="dxa"/>
            <w:tcBorders>
              <w:top w:val="dashSmallGap" w:sz="4" w:space="0" w:color="800000"/>
              <w:left w:val="nil"/>
              <w:bottom w:val="single" w:sz="4" w:space="0" w:color="800000"/>
              <w:right w:val="nil"/>
            </w:tcBorders>
            <w:shd w:val="clear" w:color="auto" w:fill="auto"/>
          </w:tcPr>
          <w:p w14:paraId="22043D5F"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-115.9</w:t>
            </w:r>
          </w:p>
        </w:tc>
        <w:tc>
          <w:tcPr>
            <w:tcW w:w="813" w:type="dxa"/>
            <w:tcBorders>
              <w:top w:val="dashSmallGap" w:sz="4" w:space="0" w:color="800000"/>
              <w:left w:val="nil"/>
              <w:bottom w:val="single" w:sz="4" w:space="0" w:color="800000"/>
              <w:right w:val="nil"/>
            </w:tcBorders>
            <w:shd w:val="clear" w:color="auto" w:fill="auto"/>
          </w:tcPr>
          <w:p w14:paraId="17B32D39"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-1.5</w:t>
            </w:r>
          </w:p>
        </w:tc>
        <w:tc>
          <w:tcPr>
            <w:tcW w:w="944" w:type="dxa"/>
            <w:tcBorders>
              <w:top w:val="dashSmallGap" w:sz="4" w:space="0" w:color="800000"/>
              <w:left w:val="nil"/>
              <w:bottom w:val="single" w:sz="4" w:space="0" w:color="800000"/>
              <w:right w:val="nil"/>
            </w:tcBorders>
            <w:shd w:val="clear" w:color="auto" w:fill="auto"/>
          </w:tcPr>
          <w:p w14:paraId="4FDA90AA"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-77.8</w:t>
            </w:r>
          </w:p>
        </w:tc>
        <w:tc>
          <w:tcPr>
            <w:tcW w:w="813" w:type="dxa"/>
            <w:tcBorders>
              <w:top w:val="dashSmallGap" w:sz="4" w:space="0" w:color="800000"/>
              <w:left w:val="nil"/>
              <w:bottom w:val="single" w:sz="4" w:space="0" w:color="800000"/>
              <w:right w:val="nil"/>
            </w:tcBorders>
            <w:shd w:val="clear" w:color="auto" w:fill="auto"/>
          </w:tcPr>
          <w:p w14:paraId="0EECA300"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-0.9</w:t>
            </w:r>
          </w:p>
        </w:tc>
        <w:tc>
          <w:tcPr>
            <w:tcW w:w="885" w:type="dxa"/>
            <w:tcBorders>
              <w:top w:val="dashSmallGap" w:sz="4" w:space="0" w:color="800000"/>
              <w:left w:val="nil"/>
              <w:bottom w:val="single" w:sz="4" w:space="0" w:color="800000"/>
              <w:right w:val="nil"/>
            </w:tcBorders>
            <w:shd w:val="clear" w:color="auto" w:fill="auto"/>
          </w:tcPr>
          <w:p w14:paraId="2735F74A"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-53.1</w:t>
            </w:r>
          </w:p>
        </w:tc>
        <w:tc>
          <w:tcPr>
            <w:tcW w:w="814" w:type="dxa"/>
            <w:tcBorders>
              <w:top w:val="dashSmallGap" w:sz="4" w:space="0" w:color="800000"/>
              <w:left w:val="nil"/>
              <w:bottom w:val="single" w:sz="4" w:space="0" w:color="800000"/>
              <w:right w:val="nil"/>
            </w:tcBorders>
            <w:shd w:val="clear" w:color="auto" w:fill="auto"/>
          </w:tcPr>
          <w:p w14:paraId="5C5CA5E0"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-0.6</w:t>
            </w:r>
          </w:p>
        </w:tc>
        <w:tc>
          <w:tcPr>
            <w:tcW w:w="885" w:type="dxa"/>
            <w:tcBorders>
              <w:top w:val="dashSmallGap" w:sz="4" w:space="0" w:color="800000"/>
              <w:left w:val="nil"/>
              <w:bottom w:val="single" w:sz="4" w:space="0" w:color="800000"/>
              <w:right w:val="nil"/>
            </w:tcBorders>
            <w:shd w:val="clear" w:color="auto" w:fill="auto"/>
          </w:tcPr>
          <w:p w14:paraId="695473F7" w14:textId="77777777" w:rsidR="00CF227C" w:rsidRPr="00CA30DF" w:rsidRDefault="00CF227C" w:rsidP="00CF227C">
            <w:pPr>
              <w:spacing w:after="0"/>
              <w:rPr>
                <w:rFonts w:cstheme="minorHAnsi"/>
                <w:sz w:val="18"/>
                <w:szCs w:val="18"/>
                <w:lang w:val="sr-Latn-ME"/>
              </w:rPr>
            </w:pPr>
            <w:r w:rsidRPr="0073052D">
              <w:rPr>
                <w:sz w:val="18"/>
                <w:szCs w:val="18"/>
                <w:lang w:val="sr-Latn-ME"/>
              </w:rPr>
              <w:t>-151.9</w:t>
            </w:r>
          </w:p>
        </w:tc>
        <w:tc>
          <w:tcPr>
            <w:tcW w:w="831" w:type="dxa"/>
            <w:tcBorders>
              <w:top w:val="dashSmallGap" w:sz="4" w:space="0" w:color="800000"/>
              <w:left w:val="nil"/>
              <w:bottom w:val="single" w:sz="4" w:space="0" w:color="800000"/>
              <w:right w:val="nil"/>
            </w:tcBorders>
            <w:shd w:val="clear" w:color="auto" w:fill="auto"/>
          </w:tcPr>
          <w:p w14:paraId="67F1B2A7" w14:textId="77777777" w:rsidR="00CF227C" w:rsidRPr="00CA30DF" w:rsidRDefault="00CF227C" w:rsidP="00CF227C">
            <w:pPr>
              <w:spacing w:after="0"/>
              <w:rPr>
                <w:rFonts w:cstheme="minorHAnsi"/>
                <w:sz w:val="18"/>
                <w:szCs w:val="18"/>
                <w:lang w:val="sr-Latn-ME"/>
              </w:rPr>
            </w:pPr>
            <w:r w:rsidRPr="0073052D">
              <w:rPr>
                <w:sz w:val="18"/>
                <w:szCs w:val="18"/>
                <w:lang w:val="sr-Latn-ME"/>
              </w:rPr>
              <w:t>-1.9</w:t>
            </w:r>
          </w:p>
        </w:tc>
        <w:tc>
          <w:tcPr>
            <w:tcW w:w="885" w:type="dxa"/>
            <w:tcBorders>
              <w:top w:val="dashSmallGap" w:sz="4" w:space="0" w:color="800000"/>
              <w:left w:val="nil"/>
              <w:bottom w:val="single" w:sz="4" w:space="0" w:color="800000"/>
              <w:right w:val="nil"/>
            </w:tcBorders>
            <w:shd w:val="clear" w:color="auto" w:fill="auto"/>
          </w:tcPr>
          <w:p w14:paraId="3E5FAE66" w14:textId="77777777" w:rsidR="00CF227C" w:rsidRPr="00CA30DF" w:rsidRDefault="00CF227C" w:rsidP="00CF227C">
            <w:pPr>
              <w:spacing w:after="0"/>
              <w:rPr>
                <w:rFonts w:cstheme="minorHAnsi"/>
                <w:sz w:val="18"/>
                <w:szCs w:val="18"/>
                <w:lang w:val="sr-Latn-ME"/>
              </w:rPr>
            </w:pPr>
            <w:r w:rsidRPr="0073052D">
              <w:rPr>
                <w:sz w:val="18"/>
                <w:szCs w:val="18"/>
                <w:lang w:val="sr-Latn-ME"/>
              </w:rPr>
              <w:t>-125.3</w:t>
            </w:r>
          </w:p>
        </w:tc>
        <w:tc>
          <w:tcPr>
            <w:tcW w:w="831" w:type="dxa"/>
            <w:tcBorders>
              <w:top w:val="dashSmallGap" w:sz="4" w:space="0" w:color="800000"/>
              <w:left w:val="nil"/>
              <w:bottom w:val="single" w:sz="4" w:space="0" w:color="800000"/>
              <w:right w:val="nil"/>
            </w:tcBorders>
            <w:shd w:val="clear" w:color="auto" w:fill="auto"/>
          </w:tcPr>
          <w:p w14:paraId="77B250F3" w14:textId="77777777" w:rsidR="00CF227C" w:rsidRPr="00CA30DF" w:rsidRDefault="00CF227C" w:rsidP="00CF227C">
            <w:pPr>
              <w:spacing w:after="0"/>
              <w:rPr>
                <w:rFonts w:cstheme="minorHAnsi"/>
                <w:sz w:val="18"/>
                <w:szCs w:val="18"/>
                <w:lang w:val="sr-Latn-ME"/>
              </w:rPr>
            </w:pPr>
            <w:r w:rsidRPr="0073052D">
              <w:rPr>
                <w:sz w:val="18"/>
                <w:szCs w:val="18"/>
                <w:lang w:val="sr-Latn-ME"/>
              </w:rPr>
              <w:t>-1.5</w:t>
            </w:r>
          </w:p>
        </w:tc>
        <w:tc>
          <w:tcPr>
            <w:tcW w:w="944" w:type="dxa"/>
            <w:tcBorders>
              <w:top w:val="dashSmallGap" w:sz="4" w:space="0" w:color="800000"/>
              <w:left w:val="nil"/>
              <w:bottom w:val="single" w:sz="4" w:space="0" w:color="800000"/>
              <w:right w:val="nil"/>
            </w:tcBorders>
            <w:shd w:val="clear" w:color="auto" w:fill="auto"/>
          </w:tcPr>
          <w:p w14:paraId="0ED86893" w14:textId="77777777" w:rsidR="00CF227C" w:rsidRPr="00CA30DF" w:rsidRDefault="00CF227C" w:rsidP="00CF227C">
            <w:pPr>
              <w:spacing w:after="0"/>
              <w:rPr>
                <w:rFonts w:cstheme="minorHAnsi"/>
                <w:sz w:val="18"/>
                <w:szCs w:val="18"/>
                <w:lang w:val="sr-Latn-ME"/>
              </w:rPr>
            </w:pPr>
            <w:r w:rsidRPr="0073052D">
              <w:rPr>
                <w:sz w:val="18"/>
                <w:szCs w:val="18"/>
                <w:lang w:val="sr-Latn-ME"/>
              </w:rPr>
              <w:t>-100.3</w:t>
            </w:r>
          </w:p>
        </w:tc>
        <w:tc>
          <w:tcPr>
            <w:tcW w:w="832" w:type="dxa"/>
            <w:tcBorders>
              <w:top w:val="dashSmallGap" w:sz="4" w:space="0" w:color="800000"/>
              <w:left w:val="nil"/>
              <w:bottom w:val="single" w:sz="4" w:space="0" w:color="800000"/>
              <w:right w:val="nil"/>
            </w:tcBorders>
            <w:shd w:val="clear" w:color="auto" w:fill="auto"/>
          </w:tcPr>
          <w:p w14:paraId="1F309144" w14:textId="77777777" w:rsidR="00CF227C" w:rsidRPr="00CA30DF" w:rsidRDefault="00CF227C" w:rsidP="00CF227C">
            <w:pPr>
              <w:spacing w:after="0"/>
              <w:rPr>
                <w:rFonts w:cstheme="minorHAnsi"/>
                <w:sz w:val="18"/>
                <w:szCs w:val="18"/>
                <w:lang w:val="sr-Latn-ME"/>
              </w:rPr>
            </w:pPr>
            <w:r w:rsidRPr="0073052D">
              <w:rPr>
                <w:sz w:val="18"/>
                <w:szCs w:val="18"/>
                <w:lang w:val="sr-Latn-ME"/>
              </w:rPr>
              <w:t>-1.2</w:t>
            </w:r>
          </w:p>
        </w:tc>
      </w:tr>
      <w:tr w:rsidR="00CF227C" w:rsidRPr="00CA30DF" w14:paraId="5A4E4CDD" w14:textId="77777777" w:rsidTr="00CF227C">
        <w:trPr>
          <w:trHeight w:val="311"/>
        </w:trPr>
        <w:tc>
          <w:tcPr>
            <w:tcW w:w="3243" w:type="dxa"/>
            <w:tcBorders>
              <w:top w:val="single" w:sz="4" w:space="0" w:color="800000"/>
              <w:left w:val="nil"/>
              <w:bottom w:val="single" w:sz="8" w:space="0" w:color="7E0000"/>
              <w:right w:val="nil"/>
            </w:tcBorders>
            <w:shd w:val="clear" w:color="auto" w:fill="auto"/>
            <w:noWrap/>
            <w:vAlign w:val="center"/>
            <w:hideMark/>
          </w:tcPr>
          <w:p w14:paraId="6339D78A"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Otplata duga</w:t>
            </w:r>
          </w:p>
        </w:tc>
        <w:tc>
          <w:tcPr>
            <w:tcW w:w="885" w:type="dxa"/>
            <w:tcBorders>
              <w:top w:val="single" w:sz="4" w:space="0" w:color="800000"/>
              <w:left w:val="nil"/>
              <w:bottom w:val="single" w:sz="8" w:space="0" w:color="7E0000"/>
              <w:right w:val="nil"/>
            </w:tcBorders>
            <w:shd w:val="clear" w:color="auto" w:fill="auto"/>
          </w:tcPr>
          <w:p w14:paraId="3D0EB8ED"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518.5</w:t>
            </w:r>
          </w:p>
        </w:tc>
        <w:tc>
          <w:tcPr>
            <w:tcW w:w="969" w:type="dxa"/>
            <w:tcBorders>
              <w:top w:val="single" w:sz="4" w:space="0" w:color="800000"/>
              <w:left w:val="nil"/>
              <w:bottom w:val="single" w:sz="8" w:space="0" w:color="963634"/>
              <w:right w:val="nil"/>
            </w:tcBorders>
            <w:shd w:val="clear" w:color="auto" w:fill="auto"/>
          </w:tcPr>
          <w:p w14:paraId="78D9363C"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7.0</w:t>
            </w:r>
          </w:p>
        </w:tc>
        <w:tc>
          <w:tcPr>
            <w:tcW w:w="885" w:type="dxa"/>
            <w:tcBorders>
              <w:top w:val="single" w:sz="4" w:space="0" w:color="800000"/>
              <w:left w:val="nil"/>
              <w:bottom w:val="single" w:sz="8" w:space="0" w:color="7E0000"/>
              <w:right w:val="nil"/>
            </w:tcBorders>
            <w:shd w:val="clear" w:color="auto" w:fill="auto"/>
          </w:tcPr>
          <w:p w14:paraId="40028958"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836.5</w:t>
            </w:r>
          </w:p>
        </w:tc>
        <w:tc>
          <w:tcPr>
            <w:tcW w:w="813" w:type="dxa"/>
            <w:tcBorders>
              <w:top w:val="single" w:sz="4" w:space="0" w:color="800000"/>
              <w:left w:val="nil"/>
              <w:bottom w:val="single" w:sz="8" w:space="0" w:color="963634"/>
              <w:right w:val="nil"/>
            </w:tcBorders>
            <w:shd w:val="clear" w:color="auto" w:fill="auto"/>
          </w:tcPr>
          <w:p w14:paraId="3C5BBE06"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10.5</w:t>
            </w:r>
          </w:p>
        </w:tc>
        <w:tc>
          <w:tcPr>
            <w:tcW w:w="944" w:type="dxa"/>
            <w:tcBorders>
              <w:top w:val="single" w:sz="4" w:space="0" w:color="800000"/>
              <w:left w:val="nil"/>
              <w:bottom w:val="single" w:sz="8" w:space="0" w:color="7E0000"/>
              <w:right w:val="nil"/>
            </w:tcBorders>
            <w:shd w:val="clear" w:color="auto" w:fill="auto"/>
          </w:tcPr>
          <w:p w14:paraId="2695C9D8"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368.6</w:t>
            </w:r>
          </w:p>
        </w:tc>
        <w:tc>
          <w:tcPr>
            <w:tcW w:w="813" w:type="dxa"/>
            <w:tcBorders>
              <w:top w:val="single" w:sz="4" w:space="0" w:color="800000"/>
              <w:left w:val="nil"/>
              <w:bottom w:val="single" w:sz="8" w:space="0" w:color="963634"/>
              <w:right w:val="nil"/>
            </w:tcBorders>
            <w:shd w:val="clear" w:color="auto" w:fill="auto"/>
          </w:tcPr>
          <w:p w14:paraId="5B6D18E4"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4.4</w:t>
            </w:r>
          </w:p>
        </w:tc>
        <w:tc>
          <w:tcPr>
            <w:tcW w:w="885" w:type="dxa"/>
            <w:tcBorders>
              <w:top w:val="single" w:sz="4" w:space="0" w:color="800000"/>
              <w:left w:val="nil"/>
              <w:bottom w:val="single" w:sz="8" w:space="0" w:color="7E0000"/>
              <w:right w:val="nil"/>
            </w:tcBorders>
            <w:shd w:val="clear" w:color="auto" w:fill="auto"/>
          </w:tcPr>
          <w:p w14:paraId="0360D03A"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986.4</w:t>
            </w:r>
          </w:p>
        </w:tc>
        <w:tc>
          <w:tcPr>
            <w:tcW w:w="814" w:type="dxa"/>
            <w:tcBorders>
              <w:top w:val="single" w:sz="4" w:space="0" w:color="800000"/>
              <w:left w:val="nil"/>
              <w:bottom w:val="single" w:sz="8" w:space="0" w:color="963634"/>
              <w:right w:val="nil"/>
            </w:tcBorders>
            <w:shd w:val="clear" w:color="auto" w:fill="auto"/>
          </w:tcPr>
          <w:p w14:paraId="3420FC0A"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11.3</w:t>
            </w:r>
          </w:p>
        </w:tc>
        <w:tc>
          <w:tcPr>
            <w:tcW w:w="885" w:type="dxa"/>
            <w:tcBorders>
              <w:top w:val="single" w:sz="4" w:space="0" w:color="800000"/>
              <w:left w:val="nil"/>
              <w:bottom w:val="single" w:sz="8" w:space="0" w:color="7E0000"/>
              <w:right w:val="nil"/>
            </w:tcBorders>
            <w:shd w:val="clear" w:color="auto" w:fill="auto"/>
          </w:tcPr>
          <w:p w14:paraId="7071E399" w14:textId="77777777" w:rsidR="00CF227C" w:rsidRPr="00CA30DF" w:rsidRDefault="00CF227C" w:rsidP="00CF227C">
            <w:pPr>
              <w:spacing w:after="0"/>
              <w:rPr>
                <w:rFonts w:cstheme="minorHAnsi"/>
                <w:sz w:val="18"/>
                <w:szCs w:val="18"/>
                <w:lang w:val="sr-Latn-ME"/>
              </w:rPr>
            </w:pPr>
            <w:r w:rsidRPr="0073052D">
              <w:rPr>
                <w:sz w:val="18"/>
                <w:szCs w:val="18"/>
                <w:lang w:val="sr-Latn-ME"/>
              </w:rPr>
              <w:t>836.5</w:t>
            </w:r>
          </w:p>
        </w:tc>
        <w:tc>
          <w:tcPr>
            <w:tcW w:w="831" w:type="dxa"/>
            <w:tcBorders>
              <w:top w:val="single" w:sz="4" w:space="0" w:color="800000"/>
              <w:left w:val="nil"/>
              <w:bottom w:val="single" w:sz="8" w:space="0" w:color="963634"/>
              <w:right w:val="nil"/>
            </w:tcBorders>
            <w:shd w:val="clear" w:color="auto" w:fill="auto"/>
          </w:tcPr>
          <w:p w14:paraId="5C3547DC" w14:textId="77777777" w:rsidR="00CF227C" w:rsidRPr="00CA30DF" w:rsidRDefault="00CF227C" w:rsidP="00CF227C">
            <w:pPr>
              <w:spacing w:after="0"/>
              <w:rPr>
                <w:rFonts w:cstheme="minorHAnsi"/>
                <w:sz w:val="18"/>
                <w:szCs w:val="18"/>
                <w:lang w:val="sr-Latn-ME"/>
              </w:rPr>
            </w:pPr>
            <w:r w:rsidRPr="0073052D">
              <w:rPr>
                <w:sz w:val="18"/>
                <w:szCs w:val="18"/>
                <w:lang w:val="sr-Latn-ME"/>
              </w:rPr>
              <w:t>10.7</w:t>
            </w:r>
          </w:p>
        </w:tc>
        <w:tc>
          <w:tcPr>
            <w:tcW w:w="885" w:type="dxa"/>
            <w:tcBorders>
              <w:top w:val="single" w:sz="4" w:space="0" w:color="800000"/>
              <w:left w:val="nil"/>
              <w:bottom w:val="single" w:sz="8" w:space="0" w:color="7E0000"/>
              <w:right w:val="nil"/>
            </w:tcBorders>
            <w:shd w:val="clear" w:color="auto" w:fill="auto"/>
          </w:tcPr>
          <w:p w14:paraId="0312B6B1" w14:textId="77777777" w:rsidR="00CF227C" w:rsidRPr="00CA30DF" w:rsidRDefault="00CF227C" w:rsidP="00CF227C">
            <w:pPr>
              <w:spacing w:after="0"/>
              <w:rPr>
                <w:rFonts w:cstheme="minorHAnsi"/>
                <w:sz w:val="18"/>
                <w:szCs w:val="18"/>
                <w:lang w:val="sr-Latn-ME"/>
              </w:rPr>
            </w:pPr>
            <w:r w:rsidRPr="0073052D">
              <w:rPr>
                <w:sz w:val="18"/>
                <w:szCs w:val="18"/>
                <w:lang w:val="sr-Latn-ME"/>
              </w:rPr>
              <w:t>368.6</w:t>
            </w:r>
          </w:p>
        </w:tc>
        <w:tc>
          <w:tcPr>
            <w:tcW w:w="831" w:type="dxa"/>
            <w:tcBorders>
              <w:top w:val="single" w:sz="4" w:space="0" w:color="800000"/>
              <w:left w:val="nil"/>
              <w:bottom w:val="single" w:sz="8" w:space="0" w:color="963634"/>
              <w:right w:val="nil"/>
            </w:tcBorders>
            <w:shd w:val="clear" w:color="auto" w:fill="auto"/>
          </w:tcPr>
          <w:p w14:paraId="7FF749C3" w14:textId="77777777" w:rsidR="00CF227C" w:rsidRPr="00CA30DF" w:rsidRDefault="00CF227C" w:rsidP="00CF227C">
            <w:pPr>
              <w:spacing w:after="0"/>
              <w:rPr>
                <w:rFonts w:cstheme="minorHAnsi"/>
                <w:sz w:val="18"/>
                <w:szCs w:val="18"/>
                <w:lang w:val="sr-Latn-ME"/>
              </w:rPr>
            </w:pPr>
            <w:r w:rsidRPr="0073052D">
              <w:rPr>
                <w:sz w:val="18"/>
                <w:szCs w:val="18"/>
                <w:lang w:val="sr-Latn-ME"/>
              </w:rPr>
              <w:t>4.5</w:t>
            </w:r>
          </w:p>
        </w:tc>
        <w:tc>
          <w:tcPr>
            <w:tcW w:w="944" w:type="dxa"/>
            <w:tcBorders>
              <w:top w:val="single" w:sz="4" w:space="0" w:color="800000"/>
              <w:left w:val="nil"/>
              <w:bottom w:val="single" w:sz="8" w:space="0" w:color="7E0000"/>
              <w:right w:val="nil"/>
            </w:tcBorders>
            <w:shd w:val="clear" w:color="auto" w:fill="auto"/>
          </w:tcPr>
          <w:p w14:paraId="4CD5B727" w14:textId="77777777" w:rsidR="00CF227C" w:rsidRPr="00CA30DF" w:rsidRDefault="00CF227C" w:rsidP="00CF227C">
            <w:pPr>
              <w:spacing w:after="0"/>
              <w:rPr>
                <w:rFonts w:cstheme="minorHAnsi"/>
                <w:sz w:val="18"/>
                <w:szCs w:val="18"/>
                <w:lang w:val="sr-Latn-ME"/>
              </w:rPr>
            </w:pPr>
            <w:r w:rsidRPr="0073052D">
              <w:rPr>
                <w:sz w:val="18"/>
                <w:szCs w:val="18"/>
                <w:lang w:val="sr-Latn-ME"/>
              </w:rPr>
              <w:t>986.4</w:t>
            </w:r>
          </w:p>
        </w:tc>
        <w:tc>
          <w:tcPr>
            <w:tcW w:w="832" w:type="dxa"/>
            <w:tcBorders>
              <w:top w:val="single" w:sz="4" w:space="0" w:color="800000"/>
              <w:left w:val="nil"/>
              <w:bottom w:val="single" w:sz="8" w:space="0" w:color="963634"/>
              <w:right w:val="nil"/>
            </w:tcBorders>
            <w:shd w:val="clear" w:color="auto" w:fill="auto"/>
          </w:tcPr>
          <w:p w14:paraId="3DE02092" w14:textId="77777777" w:rsidR="00CF227C" w:rsidRPr="00CA30DF" w:rsidRDefault="00CF227C" w:rsidP="00CF227C">
            <w:pPr>
              <w:spacing w:after="0"/>
              <w:rPr>
                <w:rFonts w:cstheme="minorHAnsi"/>
                <w:sz w:val="18"/>
                <w:szCs w:val="18"/>
                <w:lang w:val="sr-Latn-ME"/>
              </w:rPr>
            </w:pPr>
            <w:r w:rsidRPr="0073052D">
              <w:rPr>
                <w:sz w:val="18"/>
                <w:szCs w:val="18"/>
                <w:lang w:val="sr-Latn-ME"/>
              </w:rPr>
              <w:t>11.7</w:t>
            </w:r>
          </w:p>
        </w:tc>
      </w:tr>
      <w:tr w:rsidR="00CF227C" w:rsidRPr="00CA30DF" w14:paraId="2E43478F" w14:textId="77777777" w:rsidTr="00CF227C">
        <w:trPr>
          <w:trHeight w:val="311"/>
        </w:trPr>
        <w:tc>
          <w:tcPr>
            <w:tcW w:w="3243" w:type="dxa"/>
            <w:tcBorders>
              <w:top w:val="nil"/>
              <w:left w:val="nil"/>
              <w:bottom w:val="single" w:sz="8" w:space="0" w:color="800000"/>
              <w:right w:val="nil"/>
            </w:tcBorders>
            <w:shd w:val="clear" w:color="auto" w:fill="auto"/>
            <w:noWrap/>
            <w:vAlign w:val="center"/>
            <w:hideMark/>
          </w:tcPr>
          <w:p w14:paraId="08E7B399"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Izdaci za kupovinu hartija od vrijednosti</w:t>
            </w:r>
          </w:p>
        </w:tc>
        <w:tc>
          <w:tcPr>
            <w:tcW w:w="885" w:type="dxa"/>
            <w:tcBorders>
              <w:top w:val="nil"/>
              <w:left w:val="nil"/>
              <w:bottom w:val="single" w:sz="8" w:space="0" w:color="800000"/>
              <w:right w:val="nil"/>
            </w:tcBorders>
            <w:shd w:val="clear" w:color="auto" w:fill="auto"/>
          </w:tcPr>
          <w:p w14:paraId="3BE1AAFB"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2.3</w:t>
            </w:r>
          </w:p>
        </w:tc>
        <w:tc>
          <w:tcPr>
            <w:tcW w:w="969" w:type="dxa"/>
            <w:tcBorders>
              <w:top w:val="nil"/>
              <w:left w:val="nil"/>
              <w:bottom w:val="single" w:sz="8" w:space="0" w:color="800000"/>
              <w:right w:val="nil"/>
            </w:tcBorders>
            <w:shd w:val="clear" w:color="auto" w:fill="auto"/>
          </w:tcPr>
          <w:p w14:paraId="5B693413"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0.0</w:t>
            </w:r>
          </w:p>
        </w:tc>
        <w:tc>
          <w:tcPr>
            <w:tcW w:w="885" w:type="dxa"/>
            <w:tcBorders>
              <w:top w:val="nil"/>
              <w:left w:val="nil"/>
              <w:bottom w:val="single" w:sz="8" w:space="0" w:color="800000"/>
              <w:right w:val="nil"/>
            </w:tcBorders>
            <w:shd w:val="clear" w:color="auto" w:fill="auto"/>
          </w:tcPr>
          <w:p w14:paraId="6DFFB562"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34.2</w:t>
            </w:r>
          </w:p>
        </w:tc>
        <w:tc>
          <w:tcPr>
            <w:tcW w:w="813" w:type="dxa"/>
            <w:tcBorders>
              <w:top w:val="nil"/>
              <w:left w:val="nil"/>
              <w:bottom w:val="single" w:sz="8" w:space="0" w:color="800000"/>
              <w:right w:val="nil"/>
            </w:tcBorders>
            <w:shd w:val="clear" w:color="auto" w:fill="auto"/>
          </w:tcPr>
          <w:p w14:paraId="05DE73CE"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0.4</w:t>
            </w:r>
          </w:p>
        </w:tc>
        <w:tc>
          <w:tcPr>
            <w:tcW w:w="944" w:type="dxa"/>
            <w:tcBorders>
              <w:top w:val="nil"/>
              <w:left w:val="nil"/>
              <w:bottom w:val="single" w:sz="8" w:space="0" w:color="800000"/>
              <w:right w:val="nil"/>
            </w:tcBorders>
            <w:shd w:val="clear" w:color="auto" w:fill="auto"/>
          </w:tcPr>
          <w:p w14:paraId="420D5B69"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17.7</w:t>
            </w:r>
          </w:p>
        </w:tc>
        <w:tc>
          <w:tcPr>
            <w:tcW w:w="813" w:type="dxa"/>
            <w:tcBorders>
              <w:top w:val="nil"/>
              <w:left w:val="nil"/>
              <w:bottom w:val="single" w:sz="8" w:space="0" w:color="800000"/>
              <w:right w:val="nil"/>
            </w:tcBorders>
            <w:shd w:val="clear" w:color="auto" w:fill="auto"/>
          </w:tcPr>
          <w:p w14:paraId="1578A01E"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0.2</w:t>
            </w:r>
          </w:p>
        </w:tc>
        <w:tc>
          <w:tcPr>
            <w:tcW w:w="885" w:type="dxa"/>
            <w:tcBorders>
              <w:top w:val="nil"/>
              <w:left w:val="nil"/>
              <w:bottom w:val="single" w:sz="8" w:space="0" w:color="800000"/>
              <w:right w:val="nil"/>
            </w:tcBorders>
            <w:shd w:val="clear" w:color="auto" w:fill="auto"/>
          </w:tcPr>
          <w:p w14:paraId="4FA351A0"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17.7</w:t>
            </w:r>
          </w:p>
        </w:tc>
        <w:tc>
          <w:tcPr>
            <w:tcW w:w="814" w:type="dxa"/>
            <w:tcBorders>
              <w:top w:val="nil"/>
              <w:left w:val="nil"/>
              <w:bottom w:val="single" w:sz="8" w:space="0" w:color="800000"/>
              <w:right w:val="nil"/>
            </w:tcBorders>
            <w:shd w:val="clear" w:color="auto" w:fill="auto"/>
          </w:tcPr>
          <w:p w14:paraId="477F3FD7"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0.2</w:t>
            </w:r>
          </w:p>
        </w:tc>
        <w:tc>
          <w:tcPr>
            <w:tcW w:w="885" w:type="dxa"/>
            <w:tcBorders>
              <w:top w:val="nil"/>
              <w:left w:val="nil"/>
              <w:bottom w:val="single" w:sz="8" w:space="0" w:color="800000"/>
              <w:right w:val="nil"/>
            </w:tcBorders>
            <w:shd w:val="clear" w:color="auto" w:fill="auto"/>
          </w:tcPr>
          <w:p w14:paraId="77C0F757" w14:textId="77777777" w:rsidR="00CF227C" w:rsidRPr="00CA30DF" w:rsidRDefault="00CF227C" w:rsidP="00CF227C">
            <w:pPr>
              <w:spacing w:after="0"/>
              <w:rPr>
                <w:rFonts w:cstheme="minorHAnsi"/>
                <w:sz w:val="18"/>
                <w:szCs w:val="18"/>
                <w:lang w:val="sr-Latn-ME"/>
              </w:rPr>
            </w:pPr>
            <w:r w:rsidRPr="0073052D">
              <w:rPr>
                <w:sz w:val="18"/>
                <w:szCs w:val="18"/>
                <w:lang w:val="sr-Latn-ME"/>
              </w:rPr>
              <w:t>34.2</w:t>
            </w:r>
          </w:p>
        </w:tc>
        <w:tc>
          <w:tcPr>
            <w:tcW w:w="831" w:type="dxa"/>
            <w:tcBorders>
              <w:top w:val="nil"/>
              <w:left w:val="nil"/>
              <w:bottom w:val="single" w:sz="8" w:space="0" w:color="800000"/>
              <w:right w:val="nil"/>
            </w:tcBorders>
            <w:shd w:val="clear" w:color="auto" w:fill="auto"/>
          </w:tcPr>
          <w:p w14:paraId="40DDB573" w14:textId="77777777" w:rsidR="00CF227C" w:rsidRPr="00CA30DF" w:rsidRDefault="00CF227C" w:rsidP="00CF227C">
            <w:pPr>
              <w:spacing w:after="0"/>
              <w:rPr>
                <w:rFonts w:cstheme="minorHAnsi"/>
                <w:sz w:val="18"/>
                <w:szCs w:val="18"/>
                <w:lang w:val="sr-Latn-ME"/>
              </w:rPr>
            </w:pPr>
            <w:r w:rsidRPr="0073052D">
              <w:rPr>
                <w:sz w:val="18"/>
                <w:szCs w:val="18"/>
                <w:lang w:val="sr-Latn-ME"/>
              </w:rPr>
              <w:t>0.4</w:t>
            </w:r>
          </w:p>
        </w:tc>
        <w:tc>
          <w:tcPr>
            <w:tcW w:w="885" w:type="dxa"/>
            <w:tcBorders>
              <w:top w:val="nil"/>
              <w:left w:val="nil"/>
              <w:bottom w:val="single" w:sz="8" w:space="0" w:color="800000"/>
              <w:right w:val="nil"/>
            </w:tcBorders>
            <w:shd w:val="clear" w:color="auto" w:fill="auto"/>
          </w:tcPr>
          <w:p w14:paraId="1486C589" w14:textId="77777777" w:rsidR="00CF227C" w:rsidRPr="00CA30DF" w:rsidRDefault="00CF227C" w:rsidP="00CF227C">
            <w:pPr>
              <w:spacing w:after="0"/>
              <w:rPr>
                <w:rFonts w:cstheme="minorHAnsi"/>
                <w:sz w:val="18"/>
                <w:szCs w:val="18"/>
                <w:lang w:val="sr-Latn-ME"/>
              </w:rPr>
            </w:pPr>
            <w:r w:rsidRPr="0073052D">
              <w:rPr>
                <w:sz w:val="18"/>
                <w:szCs w:val="18"/>
                <w:lang w:val="sr-Latn-ME"/>
              </w:rPr>
              <w:t>17.7</w:t>
            </w:r>
          </w:p>
        </w:tc>
        <w:tc>
          <w:tcPr>
            <w:tcW w:w="831" w:type="dxa"/>
            <w:tcBorders>
              <w:top w:val="nil"/>
              <w:left w:val="nil"/>
              <w:bottom w:val="single" w:sz="8" w:space="0" w:color="800000"/>
              <w:right w:val="nil"/>
            </w:tcBorders>
            <w:shd w:val="clear" w:color="auto" w:fill="auto"/>
          </w:tcPr>
          <w:p w14:paraId="1154DA8F" w14:textId="77777777" w:rsidR="00CF227C" w:rsidRPr="00CA30DF" w:rsidRDefault="00CF227C" w:rsidP="00CF227C">
            <w:pPr>
              <w:spacing w:after="0"/>
              <w:rPr>
                <w:rFonts w:cstheme="minorHAnsi"/>
                <w:sz w:val="18"/>
                <w:szCs w:val="18"/>
                <w:lang w:val="sr-Latn-ME"/>
              </w:rPr>
            </w:pPr>
            <w:r w:rsidRPr="0073052D">
              <w:rPr>
                <w:sz w:val="18"/>
                <w:szCs w:val="18"/>
                <w:lang w:val="sr-Latn-ME"/>
              </w:rPr>
              <w:t>0.2</w:t>
            </w:r>
          </w:p>
        </w:tc>
        <w:tc>
          <w:tcPr>
            <w:tcW w:w="944" w:type="dxa"/>
            <w:tcBorders>
              <w:top w:val="nil"/>
              <w:left w:val="nil"/>
              <w:bottom w:val="single" w:sz="8" w:space="0" w:color="800000"/>
              <w:right w:val="nil"/>
            </w:tcBorders>
            <w:shd w:val="clear" w:color="auto" w:fill="auto"/>
          </w:tcPr>
          <w:p w14:paraId="7F5165DB" w14:textId="77777777" w:rsidR="00CF227C" w:rsidRPr="00CA30DF" w:rsidRDefault="00CF227C" w:rsidP="00CF227C">
            <w:pPr>
              <w:spacing w:after="0"/>
              <w:rPr>
                <w:rFonts w:cstheme="minorHAnsi"/>
                <w:sz w:val="18"/>
                <w:szCs w:val="18"/>
                <w:lang w:val="sr-Latn-ME"/>
              </w:rPr>
            </w:pPr>
            <w:r w:rsidRPr="0073052D">
              <w:rPr>
                <w:sz w:val="18"/>
                <w:szCs w:val="18"/>
                <w:lang w:val="sr-Latn-ME"/>
              </w:rPr>
              <w:t>17.7</w:t>
            </w:r>
          </w:p>
        </w:tc>
        <w:tc>
          <w:tcPr>
            <w:tcW w:w="832" w:type="dxa"/>
            <w:tcBorders>
              <w:top w:val="nil"/>
              <w:left w:val="nil"/>
              <w:bottom w:val="single" w:sz="8" w:space="0" w:color="800000"/>
              <w:right w:val="nil"/>
            </w:tcBorders>
            <w:shd w:val="clear" w:color="auto" w:fill="auto"/>
          </w:tcPr>
          <w:p w14:paraId="70BD6E74" w14:textId="77777777" w:rsidR="00CF227C" w:rsidRPr="00CA30DF" w:rsidRDefault="00CF227C" w:rsidP="00CF227C">
            <w:pPr>
              <w:spacing w:after="0"/>
              <w:rPr>
                <w:rFonts w:cstheme="minorHAnsi"/>
                <w:sz w:val="18"/>
                <w:szCs w:val="18"/>
                <w:lang w:val="sr-Latn-ME"/>
              </w:rPr>
            </w:pPr>
            <w:r w:rsidRPr="0073052D">
              <w:rPr>
                <w:sz w:val="18"/>
                <w:szCs w:val="18"/>
                <w:lang w:val="sr-Latn-ME"/>
              </w:rPr>
              <w:t>0.2</w:t>
            </w:r>
          </w:p>
        </w:tc>
      </w:tr>
      <w:tr w:rsidR="00CF227C" w:rsidRPr="00CA30DF" w14:paraId="0442517B" w14:textId="77777777" w:rsidTr="00CF227C">
        <w:trPr>
          <w:trHeight w:val="311"/>
        </w:trPr>
        <w:tc>
          <w:tcPr>
            <w:tcW w:w="3243" w:type="dxa"/>
            <w:tcBorders>
              <w:top w:val="nil"/>
              <w:left w:val="nil"/>
              <w:bottom w:val="dashed" w:sz="8" w:space="0" w:color="800000"/>
              <w:right w:val="nil"/>
            </w:tcBorders>
            <w:shd w:val="clear" w:color="auto" w:fill="auto"/>
            <w:noWrap/>
            <w:vAlign w:val="center"/>
            <w:hideMark/>
          </w:tcPr>
          <w:p w14:paraId="661D16AF"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Finansiranje, od čega:</w:t>
            </w:r>
          </w:p>
        </w:tc>
        <w:tc>
          <w:tcPr>
            <w:tcW w:w="885" w:type="dxa"/>
            <w:tcBorders>
              <w:top w:val="nil"/>
              <w:left w:val="nil"/>
              <w:bottom w:val="dashed" w:sz="8" w:space="0" w:color="7E0000"/>
              <w:right w:val="nil"/>
            </w:tcBorders>
            <w:shd w:val="clear" w:color="auto" w:fill="auto"/>
          </w:tcPr>
          <w:p w14:paraId="04FC1A55"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753.8</w:t>
            </w:r>
          </w:p>
        </w:tc>
        <w:tc>
          <w:tcPr>
            <w:tcW w:w="969" w:type="dxa"/>
            <w:tcBorders>
              <w:top w:val="nil"/>
              <w:left w:val="nil"/>
              <w:bottom w:val="dashed" w:sz="8" w:space="0" w:color="800000"/>
              <w:right w:val="nil"/>
            </w:tcBorders>
            <w:shd w:val="clear" w:color="auto" w:fill="auto"/>
          </w:tcPr>
          <w:p w14:paraId="568AF1CA"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10.2</w:t>
            </w:r>
          </w:p>
        </w:tc>
        <w:tc>
          <w:tcPr>
            <w:tcW w:w="885" w:type="dxa"/>
            <w:tcBorders>
              <w:top w:val="nil"/>
              <w:left w:val="nil"/>
              <w:bottom w:val="dashed" w:sz="8" w:space="0" w:color="7E0000"/>
              <w:right w:val="nil"/>
            </w:tcBorders>
            <w:shd w:val="clear" w:color="auto" w:fill="auto"/>
          </w:tcPr>
          <w:p w14:paraId="2B6AB417"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1156.9</w:t>
            </w:r>
          </w:p>
        </w:tc>
        <w:tc>
          <w:tcPr>
            <w:tcW w:w="813" w:type="dxa"/>
            <w:tcBorders>
              <w:top w:val="nil"/>
              <w:left w:val="nil"/>
              <w:bottom w:val="dashed" w:sz="8" w:space="0" w:color="800000"/>
              <w:right w:val="nil"/>
            </w:tcBorders>
            <w:shd w:val="clear" w:color="auto" w:fill="auto"/>
          </w:tcPr>
          <w:p w14:paraId="378BAACD"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14.5</w:t>
            </w:r>
          </w:p>
        </w:tc>
        <w:tc>
          <w:tcPr>
            <w:tcW w:w="944" w:type="dxa"/>
            <w:tcBorders>
              <w:top w:val="nil"/>
              <w:left w:val="nil"/>
              <w:bottom w:val="dashed" w:sz="8" w:space="0" w:color="7E0000"/>
              <w:right w:val="nil"/>
            </w:tcBorders>
            <w:shd w:val="clear" w:color="auto" w:fill="auto"/>
          </w:tcPr>
          <w:p w14:paraId="04244927"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660.8</w:t>
            </w:r>
          </w:p>
        </w:tc>
        <w:tc>
          <w:tcPr>
            <w:tcW w:w="813" w:type="dxa"/>
            <w:tcBorders>
              <w:top w:val="nil"/>
              <w:left w:val="nil"/>
              <w:bottom w:val="dashed" w:sz="8" w:space="0" w:color="800000"/>
              <w:right w:val="nil"/>
            </w:tcBorders>
            <w:shd w:val="clear" w:color="auto" w:fill="auto"/>
          </w:tcPr>
          <w:p w14:paraId="7F170600"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7.9</w:t>
            </w:r>
          </w:p>
        </w:tc>
        <w:tc>
          <w:tcPr>
            <w:tcW w:w="885" w:type="dxa"/>
            <w:tcBorders>
              <w:top w:val="nil"/>
              <w:left w:val="nil"/>
              <w:bottom w:val="dashed" w:sz="8" w:space="0" w:color="7E0000"/>
              <w:right w:val="nil"/>
            </w:tcBorders>
            <w:shd w:val="clear" w:color="auto" w:fill="auto"/>
          </w:tcPr>
          <w:p w14:paraId="314E2DFB"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1281.4</w:t>
            </w:r>
          </w:p>
        </w:tc>
        <w:tc>
          <w:tcPr>
            <w:tcW w:w="814" w:type="dxa"/>
            <w:tcBorders>
              <w:top w:val="nil"/>
              <w:left w:val="nil"/>
              <w:bottom w:val="dashed" w:sz="8" w:space="0" w:color="800000"/>
              <w:right w:val="nil"/>
            </w:tcBorders>
            <w:shd w:val="clear" w:color="auto" w:fill="auto"/>
          </w:tcPr>
          <w:p w14:paraId="1F46B2F4"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14.6</w:t>
            </w:r>
          </w:p>
        </w:tc>
        <w:tc>
          <w:tcPr>
            <w:tcW w:w="885" w:type="dxa"/>
            <w:tcBorders>
              <w:top w:val="nil"/>
              <w:left w:val="nil"/>
              <w:bottom w:val="dashed" w:sz="8" w:space="0" w:color="7E0000"/>
              <w:right w:val="nil"/>
            </w:tcBorders>
            <w:shd w:val="clear" w:color="auto" w:fill="auto"/>
          </w:tcPr>
          <w:p w14:paraId="764BFA07" w14:textId="77777777" w:rsidR="00CF227C" w:rsidRPr="00CA30DF" w:rsidRDefault="00CF227C" w:rsidP="00CF227C">
            <w:pPr>
              <w:spacing w:after="0"/>
              <w:rPr>
                <w:rFonts w:cstheme="minorHAnsi"/>
                <w:sz w:val="18"/>
                <w:szCs w:val="18"/>
                <w:lang w:val="sr-Latn-ME"/>
              </w:rPr>
            </w:pPr>
            <w:r w:rsidRPr="0073052D">
              <w:rPr>
                <w:sz w:val="18"/>
                <w:szCs w:val="18"/>
                <w:lang w:val="sr-Latn-ME"/>
              </w:rPr>
              <w:t>1192.9</w:t>
            </w:r>
          </w:p>
        </w:tc>
        <w:tc>
          <w:tcPr>
            <w:tcW w:w="831" w:type="dxa"/>
            <w:tcBorders>
              <w:top w:val="nil"/>
              <w:left w:val="nil"/>
              <w:bottom w:val="dashed" w:sz="8" w:space="0" w:color="800000"/>
              <w:right w:val="nil"/>
            </w:tcBorders>
            <w:shd w:val="clear" w:color="auto" w:fill="auto"/>
          </w:tcPr>
          <w:p w14:paraId="5BC3D202" w14:textId="77777777" w:rsidR="00CF227C" w:rsidRPr="00CA30DF" w:rsidRDefault="00CF227C" w:rsidP="00CF227C">
            <w:pPr>
              <w:spacing w:after="0"/>
              <w:rPr>
                <w:rFonts w:cstheme="minorHAnsi"/>
                <w:sz w:val="18"/>
                <w:szCs w:val="18"/>
                <w:lang w:val="sr-Latn-ME"/>
              </w:rPr>
            </w:pPr>
            <w:r w:rsidRPr="0073052D">
              <w:rPr>
                <w:sz w:val="18"/>
                <w:szCs w:val="18"/>
                <w:lang w:val="sr-Latn-ME"/>
              </w:rPr>
              <w:t>15.2</w:t>
            </w:r>
          </w:p>
        </w:tc>
        <w:tc>
          <w:tcPr>
            <w:tcW w:w="885" w:type="dxa"/>
            <w:tcBorders>
              <w:top w:val="nil"/>
              <w:left w:val="nil"/>
              <w:bottom w:val="dashed" w:sz="8" w:space="0" w:color="7E0000"/>
              <w:right w:val="nil"/>
            </w:tcBorders>
            <w:shd w:val="clear" w:color="auto" w:fill="auto"/>
          </w:tcPr>
          <w:p w14:paraId="025C6D1F" w14:textId="77777777" w:rsidR="00CF227C" w:rsidRPr="00CA30DF" w:rsidRDefault="00CF227C" w:rsidP="00CF227C">
            <w:pPr>
              <w:spacing w:after="0"/>
              <w:rPr>
                <w:rFonts w:cstheme="minorHAnsi"/>
                <w:sz w:val="18"/>
                <w:szCs w:val="18"/>
                <w:lang w:val="sr-Latn-ME"/>
              </w:rPr>
            </w:pPr>
            <w:r w:rsidRPr="0073052D">
              <w:rPr>
                <w:sz w:val="18"/>
                <w:szCs w:val="18"/>
                <w:lang w:val="sr-Latn-ME"/>
              </w:rPr>
              <w:t>708.3</w:t>
            </w:r>
          </w:p>
        </w:tc>
        <w:tc>
          <w:tcPr>
            <w:tcW w:w="831" w:type="dxa"/>
            <w:tcBorders>
              <w:top w:val="nil"/>
              <w:left w:val="nil"/>
              <w:bottom w:val="dashed" w:sz="8" w:space="0" w:color="800000"/>
              <w:right w:val="nil"/>
            </w:tcBorders>
            <w:shd w:val="clear" w:color="auto" w:fill="auto"/>
          </w:tcPr>
          <w:p w14:paraId="2ED3024C" w14:textId="77777777" w:rsidR="00CF227C" w:rsidRPr="00CA30DF" w:rsidRDefault="00CF227C" w:rsidP="00CF227C">
            <w:pPr>
              <w:spacing w:after="0"/>
              <w:rPr>
                <w:rFonts w:cstheme="minorHAnsi"/>
                <w:sz w:val="18"/>
                <w:szCs w:val="18"/>
                <w:lang w:val="sr-Latn-ME"/>
              </w:rPr>
            </w:pPr>
            <w:r w:rsidRPr="0073052D">
              <w:rPr>
                <w:sz w:val="18"/>
                <w:szCs w:val="18"/>
                <w:lang w:val="sr-Latn-ME"/>
              </w:rPr>
              <w:t>8.7</w:t>
            </w:r>
          </w:p>
        </w:tc>
        <w:tc>
          <w:tcPr>
            <w:tcW w:w="944" w:type="dxa"/>
            <w:tcBorders>
              <w:top w:val="nil"/>
              <w:left w:val="nil"/>
              <w:bottom w:val="dashed" w:sz="8" w:space="0" w:color="7E0000"/>
              <w:right w:val="nil"/>
            </w:tcBorders>
            <w:shd w:val="clear" w:color="auto" w:fill="auto"/>
          </w:tcPr>
          <w:p w14:paraId="700BF4C0" w14:textId="77777777" w:rsidR="00CF227C" w:rsidRPr="00CA30DF" w:rsidRDefault="00CF227C" w:rsidP="00CF227C">
            <w:pPr>
              <w:spacing w:after="0"/>
              <w:rPr>
                <w:rFonts w:cstheme="minorHAnsi"/>
                <w:sz w:val="18"/>
                <w:szCs w:val="18"/>
                <w:lang w:val="sr-Latn-ME"/>
              </w:rPr>
            </w:pPr>
            <w:r w:rsidRPr="0073052D">
              <w:rPr>
                <w:sz w:val="18"/>
                <w:szCs w:val="18"/>
                <w:lang w:val="sr-Latn-ME"/>
              </w:rPr>
              <w:t>1328.6</w:t>
            </w:r>
          </w:p>
        </w:tc>
        <w:tc>
          <w:tcPr>
            <w:tcW w:w="832" w:type="dxa"/>
            <w:tcBorders>
              <w:top w:val="nil"/>
              <w:left w:val="nil"/>
              <w:bottom w:val="dashed" w:sz="8" w:space="0" w:color="800000"/>
              <w:right w:val="nil"/>
            </w:tcBorders>
            <w:shd w:val="clear" w:color="auto" w:fill="auto"/>
          </w:tcPr>
          <w:p w14:paraId="15B9641C" w14:textId="77777777" w:rsidR="00CF227C" w:rsidRPr="00CA30DF" w:rsidRDefault="00CF227C" w:rsidP="00CF227C">
            <w:pPr>
              <w:spacing w:after="0"/>
              <w:rPr>
                <w:rFonts w:cstheme="minorHAnsi"/>
                <w:sz w:val="18"/>
                <w:szCs w:val="18"/>
                <w:lang w:val="sr-Latn-ME"/>
              </w:rPr>
            </w:pPr>
            <w:r w:rsidRPr="0073052D">
              <w:rPr>
                <w:sz w:val="18"/>
                <w:szCs w:val="18"/>
                <w:lang w:val="sr-Latn-ME"/>
              </w:rPr>
              <w:t>15.7</w:t>
            </w:r>
          </w:p>
        </w:tc>
      </w:tr>
      <w:tr w:rsidR="00CF227C" w:rsidRPr="00CA30DF" w14:paraId="1DAA7DA4" w14:textId="77777777" w:rsidTr="00CF227C">
        <w:trPr>
          <w:trHeight w:val="297"/>
        </w:trPr>
        <w:tc>
          <w:tcPr>
            <w:tcW w:w="3243" w:type="dxa"/>
            <w:tcBorders>
              <w:top w:val="nil"/>
              <w:left w:val="nil"/>
              <w:bottom w:val="nil"/>
              <w:right w:val="nil"/>
            </w:tcBorders>
            <w:shd w:val="clear" w:color="auto" w:fill="auto"/>
            <w:noWrap/>
            <w:vAlign w:val="center"/>
            <w:hideMark/>
          </w:tcPr>
          <w:p w14:paraId="7F3C7DD9"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Pozajmice i krediti</w:t>
            </w:r>
          </w:p>
        </w:tc>
        <w:tc>
          <w:tcPr>
            <w:tcW w:w="885" w:type="dxa"/>
            <w:tcBorders>
              <w:top w:val="nil"/>
              <w:left w:val="nil"/>
              <w:bottom w:val="nil"/>
              <w:right w:val="nil"/>
            </w:tcBorders>
            <w:shd w:val="clear" w:color="auto" w:fill="auto"/>
          </w:tcPr>
          <w:p w14:paraId="4EB4E771"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660.2</w:t>
            </w:r>
          </w:p>
        </w:tc>
        <w:tc>
          <w:tcPr>
            <w:tcW w:w="969" w:type="dxa"/>
            <w:tcBorders>
              <w:top w:val="nil"/>
              <w:left w:val="nil"/>
              <w:bottom w:val="nil"/>
              <w:right w:val="nil"/>
            </w:tcBorders>
            <w:shd w:val="clear" w:color="auto" w:fill="auto"/>
          </w:tcPr>
          <w:p w14:paraId="0D1FAC67"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8.9</w:t>
            </w:r>
          </w:p>
        </w:tc>
        <w:tc>
          <w:tcPr>
            <w:tcW w:w="885" w:type="dxa"/>
            <w:tcBorders>
              <w:top w:val="nil"/>
              <w:left w:val="nil"/>
              <w:bottom w:val="nil"/>
              <w:right w:val="nil"/>
            </w:tcBorders>
            <w:shd w:val="clear" w:color="auto" w:fill="auto"/>
          </w:tcPr>
          <w:p w14:paraId="13259070"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893.1</w:t>
            </w:r>
          </w:p>
        </w:tc>
        <w:tc>
          <w:tcPr>
            <w:tcW w:w="813" w:type="dxa"/>
            <w:tcBorders>
              <w:top w:val="nil"/>
              <w:left w:val="nil"/>
              <w:bottom w:val="nil"/>
              <w:right w:val="nil"/>
            </w:tcBorders>
            <w:shd w:val="clear" w:color="auto" w:fill="auto"/>
          </w:tcPr>
          <w:p w14:paraId="2322C1D3"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11.2</w:t>
            </w:r>
          </w:p>
        </w:tc>
        <w:tc>
          <w:tcPr>
            <w:tcW w:w="944" w:type="dxa"/>
            <w:tcBorders>
              <w:top w:val="nil"/>
              <w:left w:val="nil"/>
              <w:bottom w:val="nil"/>
              <w:right w:val="nil"/>
            </w:tcBorders>
            <w:shd w:val="clear" w:color="auto" w:fill="auto"/>
          </w:tcPr>
          <w:p w14:paraId="07728AC8"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572.4</w:t>
            </w:r>
          </w:p>
        </w:tc>
        <w:tc>
          <w:tcPr>
            <w:tcW w:w="813" w:type="dxa"/>
            <w:tcBorders>
              <w:top w:val="nil"/>
              <w:left w:val="nil"/>
              <w:bottom w:val="nil"/>
              <w:right w:val="nil"/>
            </w:tcBorders>
            <w:shd w:val="clear" w:color="auto" w:fill="auto"/>
          </w:tcPr>
          <w:p w14:paraId="5042C6F0"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6.8</w:t>
            </w:r>
          </w:p>
        </w:tc>
        <w:tc>
          <w:tcPr>
            <w:tcW w:w="885" w:type="dxa"/>
            <w:tcBorders>
              <w:top w:val="nil"/>
              <w:left w:val="nil"/>
              <w:bottom w:val="nil"/>
              <w:right w:val="nil"/>
            </w:tcBorders>
            <w:shd w:val="clear" w:color="auto" w:fill="auto"/>
          </w:tcPr>
          <w:p w14:paraId="2CD6CC71"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1080.7</w:t>
            </w:r>
          </w:p>
        </w:tc>
        <w:tc>
          <w:tcPr>
            <w:tcW w:w="814" w:type="dxa"/>
            <w:tcBorders>
              <w:top w:val="nil"/>
              <w:left w:val="nil"/>
              <w:bottom w:val="nil"/>
              <w:right w:val="nil"/>
            </w:tcBorders>
            <w:shd w:val="clear" w:color="auto" w:fill="auto"/>
          </w:tcPr>
          <w:p w14:paraId="476DCA11"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12.3</w:t>
            </w:r>
          </w:p>
        </w:tc>
        <w:tc>
          <w:tcPr>
            <w:tcW w:w="885" w:type="dxa"/>
            <w:tcBorders>
              <w:top w:val="nil"/>
              <w:left w:val="nil"/>
              <w:bottom w:val="nil"/>
              <w:right w:val="nil"/>
            </w:tcBorders>
            <w:shd w:val="clear" w:color="auto" w:fill="auto"/>
          </w:tcPr>
          <w:p w14:paraId="59EDBECC" w14:textId="77777777" w:rsidR="00CF227C" w:rsidRPr="00CA30DF" w:rsidRDefault="00CF227C" w:rsidP="00CF227C">
            <w:pPr>
              <w:spacing w:after="0"/>
              <w:rPr>
                <w:rFonts w:cstheme="minorHAnsi"/>
                <w:sz w:val="18"/>
                <w:szCs w:val="18"/>
                <w:lang w:val="sr-Latn-ME"/>
              </w:rPr>
            </w:pPr>
            <w:r w:rsidRPr="0073052D">
              <w:rPr>
                <w:sz w:val="18"/>
                <w:szCs w:val="18"/>
                <w:lang w:val="sr-Latn-ME"/>
              </w:rPr>
              <w:t>929.1</w:t>
            </w:r>
          </w:p>
        </w:tc>
        <w:tc>
          <w:tcPr>
            <w:tcW w:w="831" w:type="dxa"/>
            <w:tcBorders>
              <w:top w:val="nil"/>
              <w:left w:val="nil"/>
              <w:bottom w:val="nil"/>
              <w:right w:val="nil"/>
            </w:tcBorders>
            <w:shd w:val="clear" w:color="auto" w:fill="auto"/>
          </w:tcPr>
          <w:p w14:paraId="10BD8309" w14:textId="77777777" w:rsidR="00CF227C" w:rsidRPr="00CA30DF" w:rsidRDefault="00CF227C" w:rsidP="00CF227C">
            <w:pPr>
              <w:spacing w:after="0"/>
              <w:rPr>
                <w:rFonts w:cstheme="minorHAnsi"/>
                <w:sz w:val="18"/>
                <w:szCs w:val="18"/>
                <w:lang w:val="sr-Latn-ME"/>
              </w:rPr>
            </w:pPr>
            <w:r w:rsidRPr="0073052D">
              <w:rPr>
                <w:sz w:val="18"/>
                <w:szCs w:val="18"/>
                <w:lang w:val="sr-Latn-ME"/>
              </w:rPr>
              <w:t>11.9</w:t>
            </w:r>
          </w:p>
        </w:tc>
        <w:tc>
          <w:tcPr>
            <w:tcW w:w="885" w:type="dxa"/>
            <w:tcBorders>
              <w:top w:val="nil"/>
              <w:left w:val="nil"/>
              <w:bottom w:val="nil"/>
              <w:right w:val="nil"/>
            </w:tcBorders>
            <w:shd w:val="clear" w:color="auto" w:fill="auto"/>
          </w:tcPr>
          <w:p w14:paraId="5158AB76" w14:textId="77777777" w:rsidR="00CF227C" w:rsidRPr="00CA30DF" w:rsidRDefault="00CF227C" w:rsidP="00CF227C">
            <w:pPr>
              <w:spacing w:after="0"/>
              <w:rPr>
                <w:rFonts w:cstheme="minorHAnsi"/>
                <w:sz w:val="18"/>
                <w:szCs w:val="18"/>
                <w:lang w:val="sr-Latn-ME"/>
              </w:rPr>
            </w:pPr>
            <w:r w:rsidRPr="0073052D">
              <w:rPr>
                <w:sz w:val="18"/>
                <w:szCs w:val="18"/>
                <w:lang w:val="sr-Latn-ME"/>
              </w:rPr>
              <w:t>619.9</w:t>
            </w:r>
          </w:p>
        </w:tc>
        <w:tc>
          <w:tcPr>
            <w:tcW w:w="831" w:type="dxa"/>
            <w:tcBorders>
              <w:top w:val="nil"/>
              <w:left w:val="nil"/>
              <w:bottom w:val="nil"/>
              <w:right w:val="nil"/>
            </w:tcBorders>
            <w:shd w:val="clear" w:color="auto" w:fill="auto"/>
          </w:tcPr>
          <w:p w14:paraId="51B6BABD" w14:textId="77777777" w:rsidR="00CF227C" w:rsidRPr="00CA30DF" w:rsidRDefault="00CF227C" w:rsidP="00CF227C">
            <w:pPr>
              <w:spacing w:after="0"/>
              <w:rPr>
                <w:rFonts w:cstheme="minorHAnsi"/>
                <w:sz w:val="18"/>
                <w:szCs w:val="18"/>
                <w:lang w:val="sr-Latn-ME"/>
              </w:rPr>
            </w:pPr>
            <w:r w:rsidRPr="0073052D">
              <w:rPr>
                <w:sz w:val="18"/>
                <w:szCs w:val="18"/>
                <w:lang w:val="sr-Latn-ME"/>
              </w:rPr>
              <w:t>7.6</w:t>
            </w:r>
          </w:p>
        </w:tc>
        <w:tc>
          <w:tcPr>
            <w:tcW w:w="944" w:type="dxa"/>
            <w:tcBorders>
              <w:top w:val="nil"/>
              <w:left w:val="nil"/>
              <w:bottom w:val="nil"/>
              <w:right w:val="nil"/>
            </w:tcBorders>
            <w:shd w:val="clear" w:color="auto" w:fill="auto"/>
          </w:tcPr>
          <w:p w14:paraId="6A26BB93" w14:textId="77777777" w:rsidR="00CF227C" w:rsidRPr="00CA30DF" w:rsidRDefault="00CF227C" w:rsidP="00CF227C">
            <w:pPr>
              <w:spacing w:after="0"/>
              <w:rPr>
                <w:rFonts w:cstheme="minorHAnsi"/>
                <w:sz w:val="18"/>
                <w:szCs w:val="18"/>
                <w:lang w:val="sr-Latn-ME"/>
              </w:rPr>
            </w:pPr>
            <w:r w:rsidRPr="0073052D">
              <w:rPr>
                <w:sz w:val="18"/>
                <w:szCs w:val="18"/>
                <w:lang w:val="sr-Latn-ME"/>
              </w:rPr>
              <w:t>1127.9</w:t>
            </w:r>
          </w:p>
        </w:tc>
        <w:tc>
          <w:tcPr>
            <w:tcW w:w="832" w:type="dxa"/>
            <w:tcBorders>
              <w:top w:val="nil"/>
              <w:left w:val="nil"/>
              <w:bottom w:val="nil"/>
              <w:right w:val="nil"/>
            </w:tcBorders>
            <w:shd w:val="clear" w:color="auto" w:fill="auto"/>
          </w:tcPr>
          <w:p w14:paraId="6AF6EB37" w14:textId="77777777" w:rsidR="00CF227C" w:rsidRPr="00CA30DF" w:rsidRDefault="00CF227C" w:rsidP="00CF227C">
            <w:pPr>
              <w:spacing w:after="0"/>
              <w:rPr>
                <w:rFonts w:cstheme="minorHAnsi"/>
                <w:sz w:val="18"/>
                <w:szCs w:val="18"/>
                <w:lang w:val="sr-Latn-ME"/>
              </w:rPr>
            </w:pPr>
            <w:r w:rsidRPr="0073052D">
              <w:rPr>
                <w:sz w:val="18"/>
                <w:szCs w:val="18"/>
                <w:lang w:val="sr-Latn-ME"/>
              </w:rPr>
              <w:t>13.3</w:t>
            </w:r>
          </w:p>
        </w:tc>
      </w:tr>
      <w:tr w:rsidR="00CF227C" w:rsidRPr="00CA30DF" w14:paraId="6E2426A6" w14:textId="77777777" w:rsidTr="00CF227C">
        <w:trPr>
          <w:trHeight w:val="311"/>
        </w:trPr>
        <w:tc>
          <w:tcPr>
            <w:tcW w:w="3243" w:type="dxa"/>
            <w:tcBorders>
              <w:top w:val="nil"/>
              <w:left w:val="nil"/>
              <w:bottom w:val="single" w:sz="8" w:space="0" w:color="7E0000"/>
              <w:right w:val="nil"/>
            </w:tcBorders>
            <w:shd w:val="clear" w:color="auto" w:fill="auto"/>
            <w:noWrap/>
            <w:vAlign w:val="center"/>
            <w:hideMark/>
          </w:tcPr>
          <w:p w14:paraId="30A2BC58" w14:textId="77777777" w:rsidR="00CF227C" w:rsidRPr="00CA30DF" w:rsidRDefault="00CF227C" w:rsidP="00CF227C">
            <w:pPr>
              <w:spacing w:after="0"/>
              <w:rPr>
                <w:rFonts w:cstheme="minorHAnsi"/>
                <w:sz w:val="18"/>
                <w:szCs w:val="18"/>
                <w:lang w:val="sr-Latn-ME"/>
              </w:rPr>
            </w:pPr>
            <w:r w:rsidRPr="00CA30DF">
              <w:rPr>
                <w:rFonts w:cstheme="minorHAnsi"/>
                <w:sz w:val="18"/>
                <w:szCs w:val="18"/>
                <w:lang w:val="sr-Latn-ME"/>
              </w:rPr>
              <w:t>Korišćenje depozita</w:t>
            </w:r>
          </w:p>
        </w:tc>
        <w:tc>
          <w:tcPr>
            <w:tcW w:w="885" w:type="dxa"/>
            <w:tcBorders>
              <w:top w:val="nil"/>
              <w:left w:val="nil"/>
              <w:bottom w:val="single" w:sz="8" w:space="0" w:color="963634"/>
              <w:right w:val="nil"/>
            </w:tcBorders>
            <w:shd w:val="clear" w:color="auto" w:fill="auto"/>
          </w:tcPr>
          <w:p w14:paraId="6E20458C"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52.1</w:t>
            </w:r>
          </w:p>
        </w:tc>
        <w:tc>
          <w:tcPr>
            <w:tcW w:w="969" w:type="dxa"/>
            <w:tcBorders>
              <w:top w:val="nil"/>
              <w:left w:val="nil"/>
              <w:bottom w:val="single" w:sz="8" w:space="0" w:color="963634"/>
              <w:right w:val="nil"/>
            </w:tcBorders>
            <w:shd w:val="clear" w:color="auto" w:fill="auto"/>
          </w:tcPr>
          <w:p w14:paraId="6718F3EF"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0.7</w:t>
            </w:r>
          </w:p>
        </w:tc>
        <w:tc>
          <w:tcPr>
            <w:tcW w:w="885" w:type="dxa"/>
            <w:tcBorders>
              <w:top w:val="nil"/>
              <w:left w:val="nil"/>
              <w:bottom w:val="single" w:sz="8" w:space="0" w:color="963634"/>
              <w:right w:val="nil"/>
            </w:tcBorders>
            <w:shd w:val="clear" w:color="auto" w:fill="auto"/>
          </w:tcPr>
          <w:p w14:paraId="4352FD34"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228.0</w:t>
            </w:r>
          </w:p>
        </w:tc>
        <w:tc>
          <w:tcPr>
            <w:tcW w:w="813" w:type="dxa"/>
            <w:tcBorders>
              <w:top w:val="nil"/>
              <w:left w:val="nil"/>
              <w:bottom w:val="single" w:sz="8" w:space="0" w:color="963634"/>
              <w:right w:val="nil"/>
            </w:tcBorders>
            <w:shd w:val="clear" w:color="auto" w:fill="auto"/>
          </w:tcPr>
          <w:p w14:paraId="61C88483"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2.9</w:t>
            </w:r>
          </w:p>
        </w:tc>
        <w:tc>
          <w:tcPr>
            <w:tcW w:w="944" w:type="dxa"/>
            <w:tcBorders>
              <w:top w:val="nil"/>
              <w:left w:val="nil"/>
              <w:bottom w:val="single" w:sz="8" w:space="0" w:color="963634"/>
              <w:right w:val="nil"/>
            </w:tcBorders>
            <w:shd w:val="clear" w:color="auto" w:fill="auto"/>
          </w:tcPr>
          <w:p w14:paraId="64908083"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50.8</w:t>
            </w:r>
          </w:p>
        </w:tc>
        <w:tc>
          <w:tcPr>
            <w:tcW w:w="813" w:type="dxa"/>
            <w:tcBorders>
              <w:top w:val="nil"/>
              <w:left w:val="nil"/>
              <w:bottom w:val="single" w:sz="8" w:space="0" w:color="963634"/>
              <w:right w:val="nil"/>
            </w:tcBorders>
            <w:shd w:val="clear" w:color="auto" w:fill="auto"/>
          </w:tcPr>
          <w:p w14:paraId="169F0326"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0.6</w:t>
            </w:r>
          </w:p>
        </w:tc>
        <w:tc>
          <w:tcPr>
            <w:tcW w:w="885" w:type="dxa"/>
            <w:tcBorders>
              <w:top w:val="nil"/>
              <w:left w:val="nil"/>
              <w:bottom w:val="single" w:sz="8" w:space="0" w:color="963634"/>
              <w:right w:val="nil"/>
            </w:tcBorders>
            <w:shd w:val="clear" w:color="auto" w:fill="auto"/>
          </w:tcPr>
          <w:p w14:paraId="6D488F4F"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163.5</w:t>
            </w:r>
          </w:p>
        </w:tc>
        <w:tc>
          <w:tcPr>
            <w:tcW w:w="814" w:type="dxa"/>
            <w:tcBorders>
              <w:top w:val="nil"/>
              <w:left w:val="nil"/>
              <w:bottom w:val="single" w:sz="8" w:space="0" w:color="963634"/>
              <w:right w:val="nil"/>
            </w:tcBorders>
            <w:shd w:val="clear" w:color="auto" w:fill="auto"/>
          </w:tcPr>
          <w:p w14:paraId="13AEC6FB" w14:textId="77777777" w:rsidR="00CF227C" w:rsidRPr="00CA30DF" w:rsidRDefault="00CF227C" w:rsidP="00CF227C">
            <w:pPr>
              <w:spacing w:after="0"/>
              <w:rPr>
                <w:rFonts w:cstheme="minorHAnsi"/>
                <w:sz w:val="18"/>
                <w:szCs w:val="18"/>
                <w:lang w:val="sr-Latn-ME"/>
              </w:rPr>
            </w:pPr>
            <w:r w:rsidRPr="0073052D">
              <w:rPr>
                <w:rFonts w:cstheme="minorHAnsi"/>
                <w:sz w:val="18"/>
                <w:szCs w:val="18"/>
                <w:lang w:val="sr-Latn-ME"/>
              </w:rPr>
              <w:t>1.9</w:t>
            </w:r>
          </w:p>
        </w:tc>
        <w:tc>
          <w:tcPr>
            <w:tcW w:w="885" w:type="dxa"/>
            <w:tcBorders>
              <w:top w:val="nil"/>
              <w:left w:val="nil"/>
              <w:bottom w:val="single" w:sz="8" w:space="0" w:color="963634"/>
              <w:right w:val="nil"/>
            </w:tcBorders>
            <w:shd w:val="clear" w:color="auto" w:fill="auto"/>
          </w:tcPr>
          <w:p w14:paraId="331459A2" w14:textId="77777777" w:rsidR="00CF227C" w:rsidRPr="00CA30DF" w:rsidRDefault="00CF227C" w:rsidP="00CF227C">
            <w:pPr>
              <w:spacing w:after="0"/>
              <w:rPr>
                <w:rFonts w:cstheme="minorHAnsi"/>
                <w:sz w:val="18"/>
                <w:szCs w:val="18"/>
                <w:lang w:val="sr-Latn-ME"/>
              </w:rPr>
            </w:pPr>
            <w:r w:rsidRPr="0073052D">
              <w:rPr>
                <w:sz w:val="18"/>
                <w:szCs w:val="18"/>
                <w:lang w:val="sr-Latn-ME"/>
              </w:rPr>
              <w:t>228.0</w:t>
            </w:r>
          </w:p>
        </w:tc>
        <w:tc>
          <w:tcPr>
            <w:tcW w:w="831" w:type="dxa"/>
            <w:tcBorders>
              <w:top w:val="nil"/>
              <w:left w:val="nil"/>
              <w:bottom w:val="single" w:sz="8" w:space="0" w:color="963634"/>
              <w:right w:val="nil"/>
            </w:tcBorders>
            <w:shd w:val="clear" w:color="auto" w:fill="auto"/>
          </w:tcPr>
          <w:p w14:paraId="2EBF7C83" w14:textId="77777777" w:rsidR="00CF227C" w:rsidRPr="00CA30DF" w:rsidRDefault="00CF227C" w:rsidP="00CF227C">
            <w:pPr>
              <w:spacing w:after="0"/>
              <w:rPr>
                <w:rFonts w:cstheme="minorHAnsi"/>
                <w:sz w:val="18"/>
                <w:szCs w:val="18"/>
                <w:lang w:val="sr-Latn-ME"/>
              </w:rPr>
            </w:pPr>
            <w:r w:rsidRPr="0073052D">
              <w:rPr>
                <w:sz w:val="18"/>
                <w:szCs w:val="18"/>
                <w:lang w:val="sr-Latn-ME"/>
              </w:rPr>
              <w:t>2.9</w:t>
            </w:r>
          </w:p>
        </w:tc>
        <w:tc>
          <w:tcPr>
            <w:tcW w:w="885" w:type="dxa"/>
            <w:tcBorders>
              <w:top w:val="nil"/>
              <w:left w:val="nil"/>
              <w:bottom w:val="single" w:sz="8" w:space="0" w:color="963634"/>
              <w:right w:val="nil"/>
            </w:tcBorders>
            <w:shd w:val="clear" w:color="auto" w:fill="auto"/>
          </w:tcPr>
          <w:p w14:paraId="03186D35" w14:textId="77777777" w:rsidR="00CF227C" w:rsidRPr="00CA30DF" w:rsidRDefault="00CF227C" w:rsidP="00CF227C">
            <w:pPr>
              <w:spacing w:after="0"/>
              <w:rPr>
                <w:rFonts w:cstheme="minorHAnsi"/>
                <w:sz w:val="18"/>
                <w:szCs w:val="18"/>
                <w:lang w:val="sr-Latn-ME"/>
              </w:rPr>
            </w:pPr>
            <w:r w:rsidRPr="0073052D">
              <w:rPr>
                <w:sz w:val="18"/>
                <w:szCs w:val="18"/>
                <w:lang w:val="sr-Latn-ME"/>
              </w:rPr>
              <w:t>50.8</w:t>
            </w:r>
          </w:p>
        </w:tc>
        <w:tc>
          <w:tcPr>
            <w:tcW w:w="831" w:type="dxa"/>
            <w:tcBorders>
              <w:top w:val="nil"/>
              <w:left w:val="nil"/>
              <w:bottom w:val="single" w:sz="8" w:space="0" w:color="963634"/>
              <w:right w:val="nil"/>
            </w:tcBorders>
            <w:shd w:val="clear" w:color="auto" w:fill="auto"/>
          </w:tcPr>
          <w:p w14:paraId="5B2245E5" w14:textId="77777777" w:rsidR="00CF227C" w:rsidRPr="00CA30DF" w:rsidRDefault="00CF227C" w:rsidP="00CF227C">
            <w:pPr>
              <w:spacing w:after="0"/>
              <w:rPr>
                <w:rFonts w:cstheme="minorHAnsi"/>
                <w:sz w:val="18"/>
                <w:szCs w:val="18"/>
                <w:lang w:val="sr-Latn-ME"/>
              </w:rPr>
            </w:pPr>
            <w:r w:rsidRPr="0073052D">
              <w:rPr>
                <w:sz w:val="18"/>
                <w:szCs w:val="18"/>
                <w:lang w:val="sr-Latn-ME"/>
              </w:rPr>
              <w:t>0.6</w:t>
            </w:r>
          </w:p>
        </w:tc>
        <w:tc>
          <w:tcPr>
            <w:tcW w:w="944" w:type="dxa"/>
            <w:tcBorders>
              <w:top w:val="nil"/>
              <w:left w:val="nil"/>
              <w:bottom w:val="single" w:sz="8" w:space="0" w:color="963634"/>
              <w:right w:val="nil"/>
            </w:tcBorders>
            <w:shd w:val="clear" w:color="auto" w:fill="auto"/>
          </w:tcPr>
          <w:p w14:paraId="4CE05283" w14:textId="77777777" w:rsidR="00CF227C" w:rsidRPr="00CA30DF" w:rsidRDefault="00CF227C" w:rsidP="00CF227C">
            <w:pPr>
              <w:spacing w:after="0"/>
              <w:rPr>
                <w:rFonts w:cstheme="minorHAnsi"/>
                <w:sz w:val="18"/>
                <w:szCs w:val="18"/>
                <w:lang w:val="sr-Latn-ME"/>
              </w:rPr>
            </w:pPr>
            <w:r w:rsidRPr="0073052D">
              <w:rPr>
                <w:sz w:val="18"/>
                <w:szCs w:val="18"/>
                <w:lang w:val="sr-Latn-ME"/>
              </w:rPr>
              <w:t>163.5</w:t>
            </w:r>
          </w:p>
        </w:tc>
        <w:tc>
          <w:tcPr>
            <w:tcW w:w="832" w:type="dxa"/>
            <w:tcBorders>
              <w:top w:val="nil"/>
              <w:left w:val="nil"/>
              <w:bottom w:val="single" w:sz="8" w:space="0" w:color="963634"/>
              <w:right w:val="nil"/>
            </w:tcBorders>
            <w:shd w:val="clear" w:color="auto" w:fill="auto"/>
          </w:tcPr>
          <w:p w14:paraId="54CA40C8" w14:textId="77777777" w:rsidR="00CF227C" w:rsidRPr="00CA30DF" w:rsidRDefault="00CF227C" w:rsidP="00CF227C">
            <w:pPr>
              <w:spacing w:after="0"/>
              <w:rPr>
                <w:rFonts w:cstheme="minorHAnsi"/>
                <w:sz w:val="18"/>
                <w:szCs w:val="18"/>
                <w:lang w:val="sr-Latn-ME"/>
              </w:rPr>
            </w:pPr>
            <w:r w:rsidRPr="0073052D">
              <w:rPr>
                <w:sz w:val="18"/>
                <w:szCs w:val="18"/>
                <w:lang w:val="sr-Latn-ME"/>
              </w:rPr>
              <w:t>1.9</w:t>
            </w:r>
          </w:p>
        </w:tc>
      </w:tr>
    </w:tbl>
    <w:p w14:paraId="16F3C4A2" w14:textId="77777777" w:rsidR="00E05341" w:rsidRPr="00556791" w:rsidRDefault="00E05341" w:rsidP="00E05341">
      <w:pPr>
        <w:sectPr w:rsidR="00E05341" w:rsidRPr="00556791" w:rsidSect="00E05341">
          <w:pgSz w:w="16838" w:h="11906" w:orient="landscape"/>
          <w:pgMar w:top="1440" w:right="1440" w:bottom="1440" w:left="1440" w:header="709" w:footer="709" w:gutter="0"/>
          <w:cols w:space="708"/>
          <w:docGrid w:linePitch="360"/>
        </w:sectPr>
      </w:pPr>
    </w:p>
    <w:p w14:paraId="20CB49E7" w14:textId="76864BDE" w:rsidR="00E05341" w:rsidRPr="00C76B7B" w:rsidRDefault="00E05341" w:rsidP="00E05341">
      <w:pPr>
        <w:pStyle w:val="Heading2"/>
        <w:spacing w:after="200"/>
        <w:jc w:val="both"/>
        <w:rPr>
          <w:rFonts w:asciiTheme="minorHAnsi" w:hAnsiTheme="minorHAnsi" w:cstheme="minorHAnsi"/>
          <w:b/>
          <w:sz w:val="24"/>
          <w:szCs w:val="24"/>
          <w:lang w:val="sr-Latn-ME"/>
        </w:rPr>
      </w:pPr>
      <w:bookmarkStart w:id="64" w:name="_Toc121347499"/>
      <w:bookmarkStart w:id="65" w:name="_Toc184111648"/>
      <w:bookmarkStart w:id="66" w:name="_Toc88031660"/>
      <w:bookmarkEnd w:id="63"/>
      <w:r w:rsidRPr="00C76B7B">
        <w:rPr>
          <w:rFonts w:asciiTheme="minorHAnsi" w:hAnsiTheme="minorHAnsi" w:cstheme="minorHAnsi"/>
          <w:b/>
          <w:sz w:val="24"/>
          <w:szCs w:val="24"/>
          <w:lang w:val="sr-Latn-ME"/>
        </w:rPr>
        <w:lastRenderedPageBreak/>
        <w:t>4.5</w:t>
      </w:r>
      <w:r w:rsidR="002E35FA">
        <w:rPr>
          <w:rFonts w:asciiTheme="minorHAnsi" w:hAnsiTheme="minorHAnsi" w:cstheme="minorHAnsi"/>
          <w:b/>
          <w:sz w:val="24"/>
          <w:szCs w:val="24"/>
          <w:lang w:val="sr-Latn-ME"/>
        </w:rPr>
        <w:t>.</w:t>
      </w:r>
      <w:r w:rsidRPr="00C76B7B">
        <w:rPr>
          <w:rFonts w:asciiTheme="minorHAnsi" w:hAnsiTheme="minorHAnsi" w:cstheme="minorHAnsi"/>
          <w:b/>
          <w:sz w:val="24"/>
          <w:szCs w:val="24"/>
          <w:lang w:val="sr-Latn-ME"/>
        </w:rPr>
        <w:t xml:space="preserve"> Strukturni bilans (ciklična komponenta deficita, jednokratne i privremene mjere, fiskalni stav)</w:t>
      </w:r>
      <w:bookmarkEnd w:id="64"/>
      <w:bookmarkEnd w:id="65"/>
    </w:p>
    <w:p w14:paraId="31DEEE99" w14:textId="6EDD9FAF" w:rsidR="00E05341" w:rsidRPr="005E617A" w:rsidRDefault="00E05341" w:rsidP="00E05341">
      <w:pPr>
        <w:jc w:val="both"/>
        <w:rPr>
          <w:sz w:val="24"/>
          <w:szCs w:val="24"/>
          <w:lang w:val="sr-Latn-RS"/>
        </w:rPr>
      </w:pPr>
      <w:r w:rsidRPr="005E617A">
        <w:rPr>
          <w:sz w:val="24"/>
          <w:szCs w:val="24"/>
          <w:lang w:val="sr-Latn-RS"/>
        </w:rPr>
        <w:t>Ciklično prilagođeni bilans pokazuje stvarne disbalanse javne potrošnje, a odnosi se na stvarni suficit/deficit u odnosu na BDP, koji bi prevladao ukoliko bi ekonomija rasla na nivou potencijala. Izračunava se kao razlika između suficita/deficita kao učešća u BDP-u i proc</w:t>
      </w:r>
      <w:r w:rsidR="001636ED">
        <w:rPr>
          <w:sz w:val="24"/>
          <w:szCs w:val="24"/>
          <w:lang w:val="sr-Latn-RS"/>
        </w:rPr>
        <w:t>i</w:t>
      </w:r>
      <w:r w:rsidRPr="005E617A">
        <w:rPr>
          <w:sz w:val="24"/>
          <w:szCs w:val="24"/>
          <w:lang w:val="sr-Latn-RS"/>
        </w:rPr>
        <w:t>jenjene ciklične komponente.</w:t>
      </w:r>
    </w:p>
    <w:p w14:paraId="50742897" w14:textId="77777777" w:rsidR="00E05341" w:rsidRPr="005E617A" w:rsidRDefault="00E05341" w:rsidP="00E05341">
      <w:pPr>
        <w:jc w:val="both"/>
        <w:rPr>
          <w:rFonts w:eastAsia="Times New Roman" w:cs="Times New Roman"/>
          <w:color w:val="000000"/>
          <w:sz w:val="24"/>
          <w:szCs w:val="24"/>
          <w:lang w:val="sr-Latn-RS" w:eastAsia="x-none"/>
        </w:rPr>
      </w:pPr>
      <w:r w:rsidRPr="005E617A">
        <w:rPr>
          <w:rFonts w:eastAsia="Times New Roman" w:cs="Times New Roman"/>
          <w:color w:val="000000"/>
          <w:sz w:val="24"/>
          <w:szCs w:val="24"/>
          <w:lang w:val="sr-Latn-RS" w:eastAsia="x-none"/>
        </w:rPr>
        <w:t>Ciklična komponenta je izračunata na osnovu metode koju koristi Evropska komisija, a sprovodi se kroz dva koraka i to:</w:t>
      </w:r>
    </w:p>
    <w:p w14:paraId="13460DDD" w14:textId="77777777" w:rsidR="00E05341" w:rsidRPr="005E617A" w:rsidRDefault="00E05341" w:rsidP="00E05341">
      <w:pPr>
        <w:numPr>
          <w:ilvl w:val="0"/>
          <w:numId w:val="10"/>
        </w:numPr>
        <w:jc w:val="both"/>
        <w:rPr>
          <w:rFonts w:cstheme="majorHAnsi"/>
          <w:sz w:val="24"/>
          <w:szCs w:val="24"/>
          <w:lang w:val="sr-Latn-RS"/>
        </w:rPr>
      </w:pPr>
      <w:r>
        <w:rPr>
          <w:rFonts w:cstheme="majorHAnsi"/>
          <w:sz w:val="24"/>
          <w:szCs w:val="24"/>
          <w:lang w:val="sr-Latn-RS"/>
        </w:rPr>
        <w:t>Pro</w:t>
      </w:r>
      <w:r w:rsidRPr="005E617A">
        <w:rPr>
          <w:rFonts w:cstheme="majorHAnsi"/>
          <w:sz w:val="24"/>
          <w:szCs w:val="24"/>
          <w:lang w:val="sr-Latn-RS"/>
        </w:rPr>
        <w:t>cjena output gap-a kao pokazatelja privrednog ciklusa;</w:t>
      </w:r>
    </w:p>
    <w:p w14:paraId="018E8512" w14:textId="77777777" w:rsidR="00E05341" w:rsidRPr="005E617A" w:rsidRDefault="00E05341" w:rsidP="00E05341">
      <w:pPr>
        <w:numPr>
          <w:ilvl w:val="0"/>
          <w:numId w:val="10"/>
        </w:numPr>
        <w:ind w:left="714" w:hanging="357"/>
        <w:jc w:val="both"/>
        <w:rPr>
          <w:rFonts w:cstheme="majorHAnsi"/>
          <w:sz w:val="24"/>
          <w:szCs w:val="24"/>
          <w:lang w:val="sr-Latn-RS"/>
        </w:rPr>
      </w:pPr>
      <w:r w:rsidRPr="005E617A">
        <w:rPr>
          <w:rFonts w:cstheme="majorHAnsi"/>
          <w:sz w:val="24"/>
          <w:szCs w:val="24"/>
          <w:lang w:val="sr-Latn-RS"/>
        </w:rPr>
        <w:t>Procjena elastičnosti javnih prihoda i javnih rashoda u odnosu na gap;</w:t>
      </w:r>
    </w:p>
    <w:p w14:paraId="5393B657" w14:textId="77777777" w:rsidR="00E05341" w:rsidRPr="005E617A" w:rsidRDefault="00E05341" w:rsidP="00E05341">
      <w:pPr>
        <w:jc w:val="both"/>
        <w:rPr>
          <w:sz w:val="24"/>
          <w:szCs w:val="24"/>
          <w:lang w:val="sr-Latn-RS"/>
        </w:rPr>
      </w:pPr>
      <w:r w:rsidRPr="00972B04">
        <w:rPr>
          <w:noProof/>
          <w:szCs w:val="24"/>
          <w:lang w:val="en-GB" w:eastAsia="en-GB"/>
        </w:rPr>
        <mc:AlternateContent>
          <mc:Choice Requires="wps">
            <w:drawing>
              <wp:anchor distT="0" distB="0" distL="114300" distR="114300" simplePos="0" relativeHeight="251682816" behindDoc="0" locked="0" layoutInCell="1" allowOverlap="1" wp14:anchorId="468EC5C9" wp14:editId="6E468D87">
                <wp:simplePos x="0" y="0"/>
                <wp:positionH relativeFrom="margin">
                  <wp:align>left</wp:align>
                </wp:positionH>
                <wp:positionV relativeFrom="paragraph">
                  <wp:posOffset>490878</wp:posOffset>
                </wp:positionV>
                <wp:extent cx="5019675" cy="209550"/>
                <wp:effectExtent l="0" t="0" r="952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9675" cy="209550"/>
                        </a:xfrm>
                        <a:prstGeom prst="rect">
                          <a:avLst/>
                        </a:prstGeom>
                        <a:solidFill>
                          <a:prstClr val="white"/>
                        </a:solidFill>
                        <a:ln>
                          <a:noFill/>
                        </a:ln>
                      </wps:spPr>
                      <wps:txbx>
                        <w:txbxContent>
                          <w:p w14:paraId="63FA0DF4" w14:textId="77777777" w:rsidR="003D273E" w:rsidRDefault="003D273E" w:rsidP="00E05341">
                            <w:pPr>
                              <w:pStyle w:val="Grafik"/>
                              <w:jc w:val="left"/>
                              <w:rPr>
                                <w:lang w:bidi="en-US"/>
                              </w:rPr>
                            </w:pPr>
                            <w:r>
                              <w:rPr>
                                <w:lang w:bidi="en-US"/>
                              </w:rPr>
                              <w:t>Grafik 4.5.</w:t>
                            </w:r>
                            <w:r w:rsidRPr="00224B97">
                              <w:rPr>
                                <w:lang w:bidi="en-US"/>
                              </w:rPr>
                              <w:t xml:space="preserve">1 – Kretanje suficita/deficita, ciklične komponente i </w:t>
                            </w:r>
                            <w:r>
                              <w:rPr>
                                <w:lang w:bidi="en-US"/>
                              </w:rPr>
                              <w:t xml:space="preserve">cikličino prilgođenog </w:t>
                            </w:r>
                            <w:r w:rsidRPr="00224B97">
                              <w:rPr>
                                <w:lang w:bidi="en-US"/>
                              </w:rPr>
                              <w:t>deficita</w:t>
                            </w:r>
                          </w:p>
                          <w:p w14:paraId="0AF63A90" w14:textId="77777777" w:rsidR="003D273E" w:rsidRPr="00224B97" w:rsidRDefault="003D273E" w:rsidP="00E05341">
                            <w:pPr>
                              <w:pStyle w:val="Grafik"/>
                              <w:jc w:val="center"/>
                              <w:rPr>
                                <w:lang w:bidi="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8EC5C9" id="Text Box 2" o:spid="_x0000_s1028" type="#_x0000_t202" style="position:absolute;left:0;text-align:left;margin-left:0;margin-top:38.65pt;width:395.25pt;height:16.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7V0PgIAAIEEAAAOAAAAZHJzL2Uyb0RvYy54bWysVMFuGjEQvVfqP1i+lwUq0maVJaJEVJVQ&#10;EgminI3XZq3aHtc27NKv79jLkjTtqerFzHrezHjem+HmtjOaHIUPCmxFJ6MxJcJyqJXdV/Rpu/rw&#10;mZIQma2ZBisqehKB3s7fv7tpXSmm0ICuhSeYxIaydRVtYnRlUQTeCMPCCJyw6JTgDYv46fdF7VmL&#10;2Y0upuPxVdGCr50HLkLA27veSec5v5SCxwcpg4hEVxTfFvPp87lLZzG/YeXeM9cofn4G+4dXGKYs&#10;Fr2kumORkYNXf6QyinsIIOOIgylASsVF7gG7mYzfdLNpmBO5FyQnuAtN4f+l5ffHR09Ujdp9pMQy&#10;gxptRRfJF+jINNHTulAiauMQFzu8RmhuNbg18O8BIcUrTB8QEJ3o6KQ36RcbJRiICpwurKcqHC9n&#10;48n11acZJRx90/H1bJZlKV6inQ/xqwBDklFRj6rmF7DjOsRUn5UDJBULoFW9Ulqnj+RYak+ODCeg&#10;bVQUqSmM+A2lbcJaSFG9O93kvvpWUoex23WZqgsvO6hPSIuHfq6C4yuF9dYsxEfmcZCwYVyO+ICH&#10;1NBWFM4WJQ34n3+7T3jUF72UtDiYFQ0/DswLSvQ3i8qnKR4MPxi7wbAHswTsdIJr53g2McBHPZjS&#10;g3nGnVmkKuhilmOtisbBXMZ+PXDnuFgsMghn1bG4thvHB/UTr9vumXl3ViWinvcwjCwr34jTY3uW&#10;F4cIUmXlEq89i2e6cc6zPOedTIv0+jujXv455r8AAAD//wMAUEsDBBQABgAIAAAAIQAN8EMN3AAA&#10;AAcBAAAPAAAAZHJzL2Rvd25yZXYueG1sTI/BTsMwEETvSPyDtUjcqB0KhIY4FUJClbhUpP0AN17i&#10;iHgdxU6T/j3LCY6jGc28KbeL78UZx9gF0pCtFAikJtiOWg3Hw/vdM4iYDFnTB0INF4ywra6vSlPY&#10;MNMnnuvUCi6hWBgNLqWhkDI2Dr2JqzAgsfcVRm8Sy7GVdjQzl/te3iv1JL3piBecGfDNYfNdT15D&#10;l1P2MdUPi8zmzfGwd7v9ZdppfXuzvL6ASLikvzD84jM6VMx0ChPZKHoNfCRpyPM1CHbzjXoEceJY&#10;ptYgq1L+569+AAAA//8DAFBLAQItABQABgAIAAAAIQC2gziS/gAAAOEBAAATAAAAAAAAAAAAAAAA&#10;AAAAAABbQ29udGVudF9UeXBlc10ueG1sUEsBAi0AFAAGAAgAAAAhADj9If/WAAAAlAEAAAsAAAAA&#10;AAAAAAAAAAAALwEAAF9yZWxzLy5yZWxzUEsBAi0AFAAGAAgAAAAhAIPDtXQ+AgAAgQQAAA4AAAAA&#10;AAAAAAAAAAAALgIAAGRycy9lMm9Eb2MueG1sUEsBAi0AFAAGAAgAAAAhAA3wQw3cAAAABwEAAA8A&#10;AAAAAAAAAAAAAAAAmAQAAGRycy9kb3ducmV2LnhtbFBLBQYAAAAABAAEAPMAAAChBQAAAAA=&#10;" stroked="f">
                <v:path arrowok="t"/>
                <v:textbox inset="0,0,0,0">
                  <w:txbxContent>
                    <w:p w14:paraId="63FA0DF4" w14:textId="77777777" w:rsidR="003D273E" w:rsidRDefault="003D273E" w:rsidP="00E05341">
                      <w:pPr>
                        <w:pStyle w:val="Grafik"/>
                        <w:jc w:val="left"/>
                        <w:rPr>
                          <w:lang w:bidi="en-US"/>
                        </w:rPr>
                      </w:pPr>
                      <w:r>
                        <w:rPr>
                          <w:lang w:bidi="en-US"/>
                        </w:rPr>
                        <w:t>Grafik 4.5.</w:t>
                      </w:r>
                      <w:r w:rsidRPr="00224B97">
                        <w:rPr>
                          <w:lang w:bidi="en-US"/>
                        </w:rPr>
                        <w:t xml:space="preserve">1 – Kretanje suficita/deficita, ciklične komponente i </w:t>
                      </w:r>
                      <w:r>
                        <w:rPr>
                          <w:lang w:bidi="en-US"/>
                        </w:rPr>
                        <w:t xml:space="preserve">cikličino prilgođenog </w:t>
                      </w:r>
                      <w:r w:rsidRPr="00224B97">
                        <w:rPr>
                          <w:lang w:bidi="en-US"/>
                        </w:rPr>
                        <w:t>deficita</w:t>
                      </w:r>
                    </w:p>
                    <w:p w14:paraId="0AF63A90" w14:textId="77777777" w:rsidR="003D273E" w:rsidRPr="00224B97" w:rsidRDefault="003D273E" w:rsidP="00E05341">
                      <w:pPr>
                        <w:pStyle w:val="Grafik"/>
                        <w:jc w:val="center"/>
                        <w:rPr>
                          <w:lang w:bidi="en-US"/>
                        </w:rPr>
                      </w:pPr>
                    </w:p>
                  </w:txbxContent>
                </v:textbox>
                <w10:wrap type="square" anchorx="margin"/>
              </v:shape>
            </w:pict>
          </mc:Fallback>
        </mc:AlternateContent>
      </w:r>
      <w:r w:rsidRPr="005E617A">
        <w:rPr>
          <w:sz w:val="24"/>
          <w:szCs w:val="24"/>
          <w:lang w:val="sr-Latn-RS"/>
        </w:rPr>
        <w:t>Vrijednosti potencijalne stope rasta i potencijalnog BDP-a i output gap-a neophodnih za kalkulaciju, predstavljene su poglavlju 3 – Maroekonomski okvir.</w:t>
      </w:r>
    </w:p>
    <w:p w14:paraId="64C7074A" w14:textId="77777777" w:rsidR="00E05341" w:rsidRDefault="00E05341" w:rsidP="00E05341">
      <w:pPr>
        <w:jc w:val="both"/>
        <w:rPr>
          <w:sz w:val="24"/>
          <w:szCs w:val="24"/>
          <w:lang w:val="sr-Latn-RS"/>
        </w:rPr>
      </w:pPr>
    </w:p>
    <w:p w14:paraId="426F8576" w14:textId="77777777" w:rsidR="00E05341" w:rsidRDefault="00E05341" w:rsidP="00E05341">
      <w:pPr>
        <w:jc w:val="both"/>
        <w:rPr>
          <w:sz w:val="24"/>
          <w:szCs w:val="24"/>
          <w:lang w:val="sr-Latn-RS"/>
        </w:rPr>
      </w:pPr>
    </w:p>
    <w:p w14:paraId="4B5FE911" w14:textId="77777777" w:rsidR="00E05341" w:rsidRDefault="00E05341" w:rsidP="00E05341">
      <w:pPr>
        <w:jc w:val="both"/>
        <w:rPr>
          <w:sz w:val="24"/>
          <w:szCs w:val="24"/>
          <w:lang w:val="sr-Latn-RS"/>
        </w:rPr>
      </w:pPr>
    </w:p>
    <w:p w14:paraId="397D0BEA" w14:textId="77777777" w:rsidR="00E05341" w:rsidRDefault="00E05341" w:rsidP="00E05341">
      <w:pPr>
        <w:jc w:val="both"/>
        <w:rPr>
          <w:sz w:val="24"/>
          <w:szCs w:val="24"/>
          <w:lang w:val="sr-Latn-RS"/>
        </w:rPr>
      </w:pPr>
    </w:p>
    <w:p w14:paraId="0D3EE894" w14:textId="77777777" w:rsidR="00E05341" w:rsidRDefault="00E05341" w:rsidP="00E05341">
      <w:pPr>
        <w:jc w:val="both"/>
        <w:rPr>
          <w:sz w:val="24"/>
          <w:szCs w:val="24"/>
          <w:lang w:val="sr-Latn-RS"/>
        </w:rPr>
      </w:pPr>
    </w:p>
    <w:p w14:paraId="416D1DB4" w14:textId="77777777" w:rsidR="00E05341" w:rsidRDefault="00E05341" w:rsidP="00E05341">
      <w:pPr>
        <w:jc w:val="both"/>
        <w:rPr>
          <w:sz w:val="24"/>
          <w:szCs w:val="24"/>
          <w:lang w:val="sr-Latn-RS"/>
        </w:rPr>
      </w:pPr>
    </w:p>
    <w:p w14:paraId="1219551D" w14:textId="77777777" w:rsidR="00E05341" w:rsidRDefault="00E05341" w:rsidP="00E05341">
      <w:pPr>
        <w:jc w:val="both"/>
        <w:rPr>
          <w:sz w:val="24"/>
          <w:szCs w:val="24"/>
          <w:lang w:val="sr-Latn-RS"/>
        </w:rPr>
      </w:pPr>
    </w:p>
    <w:p w14:paraId="70E30164" w14:textId="77777777" w:rsidR="00E05341" w:rsidRDefault="00E05341" w:rsidP="00E05341">
      <w:pPr>
        <w:jc w:val="both"/>
        <w:rPr>
          <w:sz w:val="24"/>
          <w:szCs w:val="24"/>
          <w:lang w:val="sr-Latn-RS"/>
        </w:rPr>
      </w:pPr>
    </w:p>
    <w:p w14:paraId="4FB93A96" w14:textId="77777777" w:rsidR="00E05341" w:rsidRDefault="00E05341" w:rsidP="00E05341">
      <w:pPr>
        <w:jc w:val="both"/>
        <w:rPr>
          <w:sz w:val="24"/>
          <w:szCs w:val="24"/>
          <w:lang w:val="sr-Latn-RS"/>
        </w:rPr>
      </w:pPr>
    </w:p>
    <w:p w14:paraId="55B5321D" w14:textId="56E2D76F" w:rsidR="00E05341" w:rsidRPr="005E617A" w:rsidRDefault="00E05341" w:rsidP="00E05341">
      <w:pPr>
        <w:jc w:val="both"/>
        <w:rPr>
          <w:rFonts w:cs="Times New Roman"/>
          <w:color w:val="000000"/>
          <w:sz w:val="24"/>
          <w:szCs w:val="24"/>
          <w:lang w:val="sr-Latn-RS" w:eastAsia="x-none"/>
        </w:rPr>
      </w:pPr>
      <w:r>
        <w:rPr>
          <w:noProof/>
          <w:lang w:val="en-GB" w:eastAsia="en-GB"/>
        </w:rPr>
        <w:drawing>
          <wp:anchor distT="0" distB="0" distL="114300" distR="114300" simplePos="0" relativeHeight="251685888" behindDoc="0" locked="0" layoutInCell="1" allowOverlap="1" wp14:anchorId="23B06842" wp14:editId="419C7B53">
            <wp:simplePos x="0" y="0"/>
            <wp:positionH relativeFrom="margin">
              <wp:align>left</wp:align>
            </wp:positionH>
            <wp:positionV relativeFrom="margin">
              <wp:posOffset>3201927</wp:posOffset>
            </wp:positionV>
            <wp:extent cx="5514975" cy="2219325"/>
            <wp:effectExtent l="0" t="0" r="0" b="0"/>
            <wp:wrapSquare wrapText="right"/>
            <wp:docPr id="6" name="Chart 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5E617A">
        <w:rPr>
          <w:sz w:val="24"/>
          <w:szCs w:val="24"/>
          <w:lang w:val="sr-Latn-RS"/>
        </w:rPr>
        <w:t xml:space="preserve">U drugom koraku su procijenjeni koeficijenti elastičnosti pojedinih kategorija prihoda: indirektni porezi, porez na dohodak, porez na dobit i doprinosi. Svaka od navedenih kategorija se uzima u odnosu na relevantu osnovicu. pa se zatim množenjem sa ponderom (učešće pojedine kategorije prihoda u ukupnim prihodima), dobija elastičnost ove komponente prihoda u odnosu na output gap. Množenjem koeficijenata elastičnosti pomenutih kategorija prihoda sa učešćem ukupnih prihoda u BDP-u dobija se parametar osjetljivosti prihoda, a ujedno i parametar osjetljivosti bilansa javnih finansija, jer je koeficijent elastičnosti rashoda približno jednak 0. Kategorija rashoda za koji je urađen izračun elastičnosti je rashodi za nezaposlene, ali kada se uzme u obzir jako nisko učešće pomenutih rashoda u ukupnim rashodima dobije se da je ukupni parametar osjetljivosti rashodne strane budžeta jednak 0. Kada govorimo o karakteru fiskalne politike uz </w:t>
      </w:r>
      <w:r w:rsidRPr="005E617A">
        <w:rPr>
          <w:sz w:val="24"/>
          <w:szCs w:val="24"/>
          <w:lang w:val="sr-Latn-RS"/>
        </w:rPr>
        <w:lastRenderedPageBreak/>
        <w:t>pozitivan au</w:t>
      </w:r>
      <w:r>
        <w:rPr>
          <w:sz w:val="24"/>
          <w:szCs w:val="24"/>
          <w:lang w:val="sr-Latn-RS"/>
        </w:rPr>
        <w:t>t</w:t>
      </w:r>
      <w:r w:rsidRPr="005E617A">
        <w:rPr>
          <w:sz w:val="24"/>
          <w:szCs w:val="24"/>
          <w:lang w:val="sr-Latn-RS"/>
        </w:rPr>
        <w:t>put gap dolazimo do stabilizacionog karaktera fiskalne politike tokom 2024. godine</w:t>
      </w:r>
      <w:r>
        <w:rPr>
          <w:sz w:val="24"/>
          <w:szCs w:val="24"/>
          <w:lang w:val="sr-Latn-RS"/>
        </w:rPr>
        <w:t>,</w:t>
      </w:r>
      <w:r w:rsidRPr="005E617A">
        <w:rPr>
          <w:sz w:val="24"/>
          <w:szCs w:val="24"/>
          <w:lang w:val="sr-Latn-RS"/>
        </w:rPr>
        <w:t xml:space="preserve"> da bi tokom 2025 godine prešla u prociklični karakter, da bi nakon toga opet imala karakter stabilizacione politike usljed restriktivne politike i pozitivnog </w:t>
      </w:r>
      <w:r w:rsidR="006174C3">
        <w:rPr>
          <w:sz w:val="24"/>
          <w:szCs w:val="24"/>
          <w:lang w:val="sr-Latn-RS"/>
        </w:rPr>
        <w:t>o</w:t>
      </w:r>
      <w:r w:rsidRPr="005E617A">
        <w:rPr>
          <w:sz w:val="24"/>
          <w:szCs w:val="24"/>
          <w:lang w:val="sr-Latn-RS"/>
        </w:rPr>
        <w:t>utput gap-a.</w:t>
      </w:r>
    </w:p>
    <w:p w14:paraId="1A07409D" w14:textId="0DBEAADD" w:rsidR="00E05341" w:rsidRPr="005E617A" w:rsidRDefault="00A16176" w:rsidP="00E05341">
      <w:pPr>
        <w:jc w:val="both"/>
        <w:rPr>
          <w:sz w:val="24"/>
          <w:szCs w:val="24"/>
          <w:lang w:val="sr-Latn-RS"/>
        </w:rPr>
      </w:pPr>
      <w:r w:rsidRPr="005E617A">
        <w:rPr>
          <w:noProof/>
          <w:sz w:val="24"/>
          <w:szCs w:val="24"/>
          <w:lang w:val="en-GB" w:eastAsia="en-GB"/>
        </w:rPr>
        <mc:AlternateContent>
          <mc:Choice Requires="wps">
            <w:drawing>
              <wp:anchor distT="0" distB="0" distL="114300" distR="114300" simplePos="0" relativeHeight="251683840" behindDoc="0" locked="0" layoutInCell="1" allowOverlap="1" wp14:anchorId="304E444C" wp14:editId="1F1D6CFB">
                <wp:simplePos x="0" y="0"/>
                <wp:positionH relativeFrom="margin">
                  <wp:posOffset>-635</wp:posOffset>
                </wp:positionH>
                <wp:positionV relativeFrom="paragraph">
                  <wp:posOffset>4445</wp:posOffset>
                </wp:positionV>
                <wp:extent cx="4275455" cy="266700"/>
                <wp:effectExtent l="0" t="0" r="0" b="0"/>
                <wp:wrapSquare wrapText="bothSides"/>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5455" cy="266700"/>
                        </a:xfrm>
                        <a:prstGeom prst="rect">
                          <a:avLst/>
                        </a:prstGeom>
                        <a:solidFill>
                          <a:prstClr val="white"/>
                        </a:solidFill>
                        <a:ln>
                          <a:noFill/>
                        </a:ln>
                      </wps:spPr>
                      <wps:txbx>
                        <w:txbxContent>
                          <w:p w14:paraId="35C49DC6" w14:textId="77777777" w:rsidR="003D273E" w:rsidRPr="005A5603" w:rsidRDefault="003D273E" w:rsidP="00E05341">
                            <w:pPr>
                              <w:pStyle w:val="Caption"/>
                              <w:rPr>
                                <w:b/>
                                <w:iCs w:val="0"/>
                                <w:color w:val="808080" w:themeColor="background1" w:themeShade="80"/>
                                <w:szCs w:val="22"/>
                                <w:lang w:bidi="en-US"/>
                              </w:rPr>
                            </w:pPr>
                            <w:r>
                              <w:rPr>
                                <w:rStyle w:val="GrafikChar"/>
                              </w:rPr>
                              <w:t xml:space="preserve">     Grafik 4.5.2</w:t>
                            </w:r>
                            <w:r w:rsidRPr="00F73C72">
                              <w:rPr>
                                <w:rStyle w:val="GrafikChar"/>
                              </w:rPr>
                              <w:t xml:space="preserve"> – </w:t>
                            </w:r>
                            <w:r>
                              <w:rPr>
                                <w:rStyle w:val="GrafikChar"/>
                              </w:rPr>
                              <w:t>Kretanje primarnog suficita/deficita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4E444C" id="Text Box 4" o:spid="_x0000_s1029" type="#_x0000_t202" style="position:absolute;left:0;text-align:left;margin-left:-.05pt;margin-top:.35pt;width:336.65pt;height:2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0fPwIAAIEEAAAOAAAAZHJzL2Uyb0RvYy54bWysVMFuGjEQvVfqP1i+lwUKpFqxRJSIqhJK&#10;IiVVzsZrs1Ztj2sbdtOv79jLkjTtqerFzHrezHjem2F53RlNTsIHBbaik9GYEmE51MoeKvrtcfvh&#10;EyUhMlszDVZU9FkEer16/27ZulJMoQFdC08wiQ1l6yraxOjKogi8EYaFEThh0SnBGxbx0x+K2rMW&#10;sxtdTMfjRdGCr50HLkLA25veSVc5v5SCxzspg4hEVxTfFvPp87lPZ7FasvLgmWsUPz+D/cMrDFMW&#10;i15S3bDIyNGrP1IZxT0EkHHEwRQgpeIi94DdTMZvunlomBO5FyQnuAtN4f+l5bene09UjdpNKbHM&#10;oEaPoovkM3RkluhpXSgR9eAQFzu8RmhuNbgd8O8BIcUrTB8QEJ3o6KQ36RcbJRiICjxfWE9VOF7O&#10;plfz2XxOCUffdLG4GmdZipdo50P8IsCQZFTUo6r5Bey0CzHVZ+UAScUCaFVvldbpIzk22pMTwwlo&#10;GxVFagojfkNpm7AWUlTvTje5r76V1GHs9l2m6uPAyx7qZ6TFQz9XwfGtwno7FuI98zhI2DAuR7zD&#10;Q2poKwpni5IG/M+/3Sc86oteSloczIqGH0fmBSX6q0Xl0xQPhh+M/WDYo9kAdjrBtXM8mxjgox5M&#10;6cE84c6sUxV0McuxVkXjYG5ivx64c1ys1xmEs+pY3NkHxwf1E6+P3RPz7qxKRD1vYRhZVr4Rp8f2&#10;LK+PEaTKyiVeexbPdOOcZ3nOO5kW6fV3Rr38c6x+AQAA//8DAFBLAwQUAAYACAAAACEAEdyXc9sA&#10;AAAFAQAADwAAAGRycy9kb3ducmV2LnhtbEyOwWrDMBBE74X+g9hCb4lsN8Sp63UohRLoJdTJByjW&#10;1jK1VsaSY+fvq57a4zDDm1fuF9uLK42+c4yQrhMQxI3THbcI59P7agfCB8Va9Y4J4UYe9tX9XakK&#10;7Wb+pGsdWhEh7AuFYEIYCil9Y8gqv3YDcey+3GhViHFspR7VHOG2l1mSbKVVHccHowZ6M9R815NF&#10;6HJOP6Z6s8h0fj6fjuZwvE0HxMeH5fUFRKAl/I3hVz+qQxWdLm5i7UWPsErjECEHEctt/pSBuCBs&#10;shxkVcr/9tUPAAAA//8DAFBLAQItABQABgAIAAAAIQC2gziS/gAAAOEBAAATAAAAAAAAAAAAAAAA&#10;AAAAAABbQ29udGVudF9UeXBlc10ueG1sUEsBAi0AFAAGAAgAAAAhADj9If/WAAAAlAEAAAsAAAAA&#10;AAAAAAAAAAAALwEAAF9yZWxzLy5yZWxzUEsBAi0AFAAGAAgAAAAhANCSjR8/AgAAgQQAAA4AAAAA&#10;AAAAAAAAAAAALgIAAGRycy9lMm9Eb2MueG1sUEsBAi0AFAAGAAgAAAAhABHcl3PbAAAABQEAAA8A&#10;AAAAAAAAAAAAAAAAmQQAAGRycy9kb3ducmV2LnhtbFBLBQYAAAAABAAEAPMAAAChBQAAAAA=&#10;" stroked="f">
                <v:path arrowok="t"/>
                <v:textbox inset="0,0,0,0">
                  <w:txbxContent>
                    <w:p w14:paraId="35C49DC6" w14:textId="77777777" w:rsidR="003D273E" w:rsidRPr="005A5603" w:rsidRDefault="003D273E" w:rsidP="00E05341">
                      <w:pPr>
                        <w:pStyle w:val="Caption"/>
                        <w:rPr>
                          <w:b/>
                          <w:iCs w:val="0"/>
                          <w:color w:val="808080" w:themeColor="background1" w:themeShade="80"/>
                          <w:szCs w:val="22"/>
                          <w:lang w:bidi="en-US"/>
                        </w:rPr>
                      </w:pPr>
                      <w:r>
                        <w:rPr>
                          <w:rStyle w:val="GrafikChar"/>
                        </w:rPr>
                        <w:t xml:space="preserve">     Grafik 4.5.2</w:t>
                      </w:r>
                      <w:r w:rsidRPr="00F73C72">
                        <w:rPr>
                          <w:rStyle w:val="GrafikChar"/>
                        </w:rPr>
                        <w:t xml:space="preserve"> – </w:t>
                      </w:r>
                      <w:r>
                        <w:rPr>
                          <w:rStyle w:val="GrafikChar"/>
                        </w:rPr>
                        <w:t>Kretanje primarnog suficita/deficita</w:t>
                      </w:r>
                    </w:p>
                  </w:txbxContent>
                </v:textbox>
                <w10:wrap type="square" anchorx="margin"/>
              </v:shape>
            </w:pict>
          </mc:Fallback>
        </mc:AlternateContent>
      </w:r>
      <w:r w:rsidRPr="005E617A">
        <w:rPr>
          <w:noProof/>
          <w:sz w:val="24"/>
          <w:lang w:val="en-GB" w:eastAsia="en-GB"/>
        </w:rPr>
        <w:drawing>
          <wp:anchor distT="0" distB="0" distL="114300" distR="114300" simplePos="0" relativeHeight="251686912" behindDoc="1" locked="0" layoutInCell="1" allowOverlap="1" wp14:anchorId="2B3406B4" wp14:editId="4944A073">
            <wp:simplePos x="0" y="0"/>
            <wp:positionH relativeFrom="margin">
              <wp:align>left</wp:align>
            </wp:positionH>
            <wp:positionV relativeFrom="margin">
              <wp:posOffset>1133475</wp:posOffset>
            </wp:positionV>
            <wp:extent cx="4295775" cy="2093595"/>
            <wp:effectExtent l="0" t="0" r="0" b="1905"/>
            <wp:wrapSquare wrapText="right"/>
            <wp:docPr id="9" name="Chart 9">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E05341" w:rsidRPr="005E617A">
        <w:rPr>
          <w:sz w:val="24"/>
          <w:szCs w:val="24"/>
          <w:lang w:val="sr-Latn-RS"/>
        </w:rPr>
        <w:t xml:space="preserve">Parametar osjetljivosti suficita/deficita u odnosu na proizvodni jaz ocijenjena je na prosjek 0,92. Rezultati modela su ograničeni zbog specifičnosti zemlje i čestih promjena mjera fiskalne politike, dužine vremenske serije korišćene u ocjeni elastičnosti, ali odražavaju suštinska kretanja strukturne i ciklične komponente balansa javnih finansija. </w:t>
      </w:r>
      <w:r w:rsidR="00E05341" w:rsidRPr="005E617A">
        <w:rPr>
          <w:rFonts w:eastAsia="Times New Roman"/>
          <w:sz w:val="24"/>
          <w:szCs w:val="24"/>
          <w:lang w:val="sr-Latn-RS"/>
        </w:rPr>
        <w:t xml:space="preserve">Takođe, urađena je i kalkulacija ciklično prilagođenog primarnog bilansa (suficit/deficit bez kamata), koji je dodatno umanjen za jednokratnu naplatu prihoda i jednokratnih rashoda. </w:t>
      </w:r>
    </w:p>
    <w:p w14:paraId="23468753" w14:textId="77777777" w:rsidR="00E05341" w:rsidRPr="005E617A" w:rsidRDefault="00E05341" w:rsidP="00E05341">
      <w:pPr>
        <w:jc w:val="both"/>
        <w:rPr>
          <w:sz w:val="24"/>
          <w:szCs w:val="24"/>
          <w:lang w:val="sr-Latn-RS"/>
        </w:rPr>
      </w:pPr>
      <w:r w:rsidRPr="005E617A">
        <w:rPr>
          <w:sz w:val="24"/>
          <w:szCs w:val="24"/>
          <w:lang w:val="sr-Latn-RS"/>
        </w:rPr>
        <w:t xml:space="preserve">Predznak kategorije godišnje promjene ciklično prilagođenog primarnog sufita/deficita, označava fiskalnu poziciju i govori o karakteru fiskalne politike u određenoj godini. Pozitivne vrijednosti na grafiku 4.5.3 predstavljaju ekspanzivnu, dok negativne vrijednosti predstavljaju restriktivu fiskalnu politiku. </w:t>
      </w:r>
    </w:p>
    <w:p w14:paraId="63C24F25" w14:textId="576F986B" w:rsidR="00E05341" w:rsidRDefault="00A16176" w:rsidP="00E05341">
      <w:pPr>
        <w:rPr>
          <w:szCs w:val="24"/>
          <w:lang w:val="sr-Latn-RS"/>
        </w:rPr>
      </w:pPr>
      <w:r w:rsidRPr="005E617A">
        <w:rPr>
          <w:noProof/>
          <w:sz w:val="24"/>
          <w:lang w:val="en-GB" w:eastAsia="en-GB"/>
        </w:rPr>
        <w:drawing>
          <wp:anchor distT="0" distB="0" distL="114300" distR="114300" simplePos="0" relativeHeight="251687936" behindDoc="1" locked="0" layoutInCell="1" allowOverlap="1" wp14:anchorId="7AAABC97" wp14:editId="6F371DC8">
            <wp:simplePos x="0" y="0"/>
            <wp:positionH relativeFrom="margin">
              <wp:align>left</wp:align>
            </wp:positionH>
            <wp:positionV relativeFrom="margin">
              <wp:posOffset>5138384</wp:posOffset>
            </wp:positionV>
            <wp:extent cx="3584575" cy="2052955"/>
            <wp:effectExtent l="0" t="0" r="0" b="4445"/>
            <wp:wrapSquare wrapText="left"/>
            <wp:docPr id="10" name="Chart 10">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E05341" w:rsidRPr="005E617A">
        <w:rPr>
          <w:noProof/>
          <w:sz w:val="24"/>
          <w:szCs w:val="24"/>
          <w:lang w:val="en-GB" w:eastAsia="en-GB"/>
        </w:rPr>
        <mc:AlternateContent>
          <mc:Choice Requires="wps">
            <w:drawing>
              <wp:anchor distT="0" distB="0" distL="114300" distR="114300" simplePos="0" relativeHeight="251684864" behindDoc="0" locked="0" layoutInCell="1" allowOverlap="1" wp14:anchorId="5E001564" wp14:editId="0987AA85">
                <wp:simplePos x="0" y="0"/>
                <wp:positionH relativeFrom="margin">
                  <wp:align>left</wp:align>
                </wp:positionH>
                <wp:positionV relativeFrom="paragraph">
                  <wp:posOffset>0</wp:posOffset>
                </wp:positionV>
                <wp:extent cx="2503805" cy="21844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2503805" cy="218440"/>
                        </a:xfrm>
                        <a:prstGeom prst="rect">
                          <a:avLst/>
                        </a:prstGeom>
                        <a:solidFill>
                          <a:prstClr val="white"/>
                        </a:solidFill>
                        <a:ln>
                          <a:noFill/>
                        </a:ln>
                      </wps:spPr>
                      <wps:txbx>
                        <w:txbxContent>
                          <w:p w14:paraId="49F0E0C4" w14:textId="77777777" w:rsidR="003D273E" w:rsidRPr="00D35030" w:rsidRDefault="003D273E" w:rsidP="00E05341">
                            <w:pPr>
                              <w:pStyle w:val="Caption"/>
                              <w:jc w:val="center"/>
                              <w:rPr>
                                <w:rStyle w:val="GrafikChar"/>
                              </w:rPr>
                            </w:pPr>
                            <w:r w:rsidRPr="00D35030">
                              <w:rPr>
                                <w:rStyle w:val="GrafikChar"/>
                              </w:rPr>
                              <w:t>Grafik  4.5.3</w:t>
                            </w:r>
                            <w:r>
                              <w:rPr>
                                <w:rStyle w:val="GrafikChar"/>
                              </w:rPr>
                              <w:t xml:space="preserve"> -</w:t>
                            </w:r>
                            <w:r w:rsidRPr="00D35030">
                              <w:rPr>
                                <w:rStyle w:val="GrafikChar"/>
                              </w:rPr>
                              <w:t xml:space="preserve"> Karakter fiskalne politike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01564" id="Text Box 15" o:spid="_x0000_s1030" type="#_x0000_t202" style="position:absolute;margin-left:0;margin-top:0;width:197.15pt;height:17.2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0KMwIAAGkEAAAOAAAAZHJzL2Uyb0RvYy54bWysVMFu2zAMvQ/YPwi6L06ydgiCOEWWosOA&#10;oC3QDj0rslwLkEVNUmJnX78nOW63bqdhF4UmKVLvPTKrq7417Kh80GRLPptMOVNWUqXtc8m/Pd58&#10;WHAWorCVMGRVyU8q8Kv1+3erzi3VnBoylfIMRWxYdq7kTYxuWRRBNqoVYUJOWQRr8q2I+PTPReVF&#10;h+qtKebT6aeiI185T1KFAO/1EOTrXL+ulYx3dR1UZKbkeFvMp8/nPp3FeiWWz164RsvzM8Q/vKIV&#10;2qLpS6lrEQU7eP1HqVZLT4HqOJHUFlTXWqqMAWhm0zdoHhrhVMYCcoJ7oSn8v7Ly9njvma6g3SVn&#10;VrTQ6FH1kX2mnsEFfjoXlkh7cEiMPfzIHf0BzgS7r32bfgGIIQ6mTy/spmoSzvnl9ONiii4Ssfls&#10;cXGR6S9ebzsf4hdFLUtGyT3Uy6SK4y5EvASpY0pqFsjo6kYbkz5SYGs8Owoo3TU6qvRG3Pgty9iU&#10;ayndGsLJUySIA5RkxX7fZ0ouRph7qk5A72mYn+DkjUa/nQjxXngMDABjCeIdjtpQV3I6W5w15H/8&#10;zZ/yoSOinHUYwJKH7wfhFWfmq4XCaVpHw4/GfjTsod0SkM6wXk5mExd8NKNZe2qfsBub1AUhYSV6&#10;lTyO5jYOa4DdkmqzyUmYSSfizj44mUqPvD72T8K7syoRet7SOJpi+UacIXdgeXOIVOusXOJ1YPFM&#10;N+Y5y3PevbQwv37nrNd/iPVPAAAA//8DAFBLAwQUAAYACAAAACEASng3NNsAAAAEAQAADwAAAGRy&#10;cy9kb3ducmV2LnhtbEyPQU/DMAyF70j8h8hIXBBL2aoJStMJNrjBYWPa2WtMW9E4VZOu3b/HcIGL&#10;9axnvfc5X02uVSfqQ+PZwN0sAUVcettwZWD/8Xp7DypEZIutZzJwpgCr4vIix8z6kbd02sVKSQiH&#10;DA3UMXaZ1qGsyWGY+Y5YvE/fO4yy9pW2PY4S7lo9T5KldtiwNNTY0bqm8ms3OAPLTT+MW17fbPYv&#10;b/jeVfPD8/lgzPXV9PQIKtIU/47hB1/QoRCmox/YBtUakEfi7xRv8ZAuQB1FpCnoItf/4YtvAAAA&#10;//8DAFBLAQItABQABgAIAAAAIQC2gziS/gAAAOEBAAATAAAAAAAAAAAAAAAAAAAAAABbQ29udGVu&#10;dF9UeXBlc10ueG1sUEsBAi0AFAAGAAgAAAAhADj9If/WAAAAlAEAAAsAAAAAAAAAAAAAAAAALwEA&#10;AF9yZWxzLy5yZWxzUEsBAi0AFAAGAAgAAAAhAAu4rQozAgAAaQQAAA4AAAAAAAAAAAAAAAAALgIA&#10;AGRycy9lMm9Eb2MueG1sUEsBAi0AFAAGAAgAAAAhAEp4NzTbAAAABAEAAA8AAAAAAAAAAAAAAAAA&#10;jQQAAGRycy9kb3ducmV2LnhtbFBLBQYAAAAABAAEAPMAAACVBQAAAAA=&#10;" stroked="f">
                <v:textbox inset="0,0,0,0">
                  <w:txbxContent>
                    <w:p w14:paraId="49F0E0C4" w14:textId="77777777" w:rsidR="003D273E" w:rsidRPr="00D35030" w:rsidRDefault="003D273E" w:rsidP="00E05341">
                      <w:pPr>
                        <w:pStyle w:val="Caption"/>
                        <w:jc w:val="center"/>
                        <w:rPr>
                          <w:rStyle w:val="GrafikChar"/>
                        </w:rPr>
                      </w:pPr>
                      <w:r w:rsidRPr="00D35030">
                        <w:rPr>
                          <w:rStyle w:val="GrafikChar"/>
                        </w:rPr>
                        <w:t>Grafik  4.5.3</w:t>
                      </w:r>
                      <w:r>
                        <w:rPr>
                          <w:rStyle w:val="GrafikChar"/>
                        </w:rPr>
                        <w:t xml:space="preserve"> -</w:t>
                      </w:r>
                      <w:r w:rsidRPr="00D35030">
                        <w:rPr>
                          <w:rStyle w:val="GrafikChar"/>
                        </w:rPr>
                        <w:t xml:space="preserve"> Karakter fiskalne politike</w:t>
                      </w:r>
                    </w:p>
                  </w:txbxContent>
                </v:textbox>
                <w10:wrap type="square" anchorx="margin"/>
              </v:shape>
            </w:pict>
          </mc:Fallback>
        </mc:AlternateContent>
      </w:r>
    </w:p>
    <w:p w14:paraId="30633009" w14:textId="0E9FD2C0" w:rsidR="00E05341" w:rsidRDefault="00E05341" w:rsidP="00E05341">
      <w:pPr>
        <w:rPr>
          <w:szCs w:val="24"/>
          <w:lang w:val="sr-Latn-RS"/>
        </w:rPr>
      </w:pPr>
    </w:p>
    <w:p w14:paraId="68368AD4" w14:textId="77777777" w:rsidR="00E05341" w:rsidRPr="005E617A" w:rsidRDefault="00E05341" w:rsidP="00E05341">
      <w:pPr>
        <w:jc w:val="both"/>
        <w:rPr>
          <w:sz w:val="24"/>
        </w:rPr>
      </w:pPr>
      <w:r w:rsidRPr="005E617A">
        <w:rPr>
          <w:sz w:val="24"/>
        </w:rPr>
        <w:lastRenderedPageBreak/>
        <w:t xml:space="preserve">Prema trenutnom scenariju projektovanih trendova, nakon blagog negativnog output gap-a u 2022. godini se očekuje pozitivni </w:t>
      </w:r>
      <w:r w:rsidRPr="005E617A">
        <w:rPr>
          <w:b/>
          <w:sz w:val="24"/>
        </w:rPr>
        <w:t>output gap</w:t>
      </w:r>
      <w:r w:rsidRPr="005E617A">
        <w:rPr>
          <w:sz w:val="24"/>
        </w:rPr>
        <w:t xml:space="preserve"> od 4,8% u 2023. godini, zatim blago pada do 3,8% u 2024 i nakon toga raste i zadržava pozitivan nivo do 5,5% u 2027. godina</w:t>
      </w:r>
      <w:r>
        <w:rPr>
          <w:sz w:val="24"/>
        </w:rPr>
        <w:t>, s</w:t>
      </w:r>
      <w:r w:rsidRPr="005E617A">
        <w:rPr>
          <w:sz w:val="24"/>
        </w:rPr>
        <w:t xml:space="preserve"> obzirom da se u srednjem roku stvaraju preduslovi za rast crnogorske ekonomije u narednom periodu. </w:t>
      </w:r>
    </w:p>
    <w:p w14:paraId="0F78E4C0" w14:textId="73A514D9" w:rsidR="00E05341" w:rsidRPr="005E617A" w:rsidRDefault="00E05341" w:rsidP="00E05341">
      <w:pPr>
        <w:jc w:val="both"/>
        <w:rPr>
          <w:sz w:val="24"/>
        </w:rPr>
      </w:pPr>
      <w:r w:rsidRPr="005E617A">
        <w:rPr>
          <w:sz w:val="24"/>
        </w:rPr>
        <w:t>Kao što se na grafiku može vidjeti nakon 2022. i 2023. godine koja pokazuje ekspazivnu politiku što je rezultat uvećanih troškova, 2024. godinu karakteriše restriktivna politika sa pozitivnim output gap-om, što ukazuje na stabilizacioni (kontraciklični) karakter fiskalne politike. Nakon toga 2025. godinu karakteriše ekspanzivna politika uz pozitivan output gap, da bi nakon toka, tokom 2026 i 2027. godine prešla u blago restriktivnu politiku uz pozitivan output gap što ukazuje na stabilizacioni (kontraciklični) karakter fiskalne politike.</w:t>
      </w:r>
    </w:p>
    <w:p w14:paraId="222AC974" w14:textId="4101B972" w:rsidR="00E05341" w:rsidRDefault="00E05341" w:rsidP="00E05341">
      <w:pPr>
        <w:pStyle w:val="Heading2"/>
        <w:rPr>
          <w:rFonts w:asciiTheme="minorHAnsi" w:hAnsiTheme="minorHAnsi" w:cstheme="minorHAnsi"/>
          <w:b/>
          <w:sz w:val="24"/>
          <w:szCs w:val="24"/>
          <w:lang w:val="sr-Latn-ME"/>
        </w:rPr>
      </w:pPr>
      <w:bookmarkStart w:id="67" w:name="_Toc121347500"/>
      <w:bookmarkStart w:id="68" w:name="_Toc184111649"/>
      <w:r w:rsidRPr="00C76B7B">
        <w:rPr>
          <w:rFonts w:asciiTheme="minorHAnsi" w:hAnsiTheme="minorHAnsi" w:cstheme="minorHAnsi"/>
          <w:b/>
          <w:sz w:val="24"/>
          <w:szCs w:val="24"/>
          <w:lang w:val="sr-Latn-ME"/>
        </w:rPr>
        <w:t>4.6</w:t>
      </w:r>
      <w:r w:rsidR="002E35FA">
        <w:rPr>
          <w:rFonts w:asciiTheme="minorHAnsi" w:hAnsiTheme="minorHAnsi" w:cstheme="minorHAnsi"/>
          <w:b/>
          <w:sz w:val="24"/>
          <w:szCs w:val="24"/>
          <w:lang w:val="sr-Latn-ME"/>
        </w:rPr>
        <w:t>.</w:t>
      </w:r>
      <w:r w:rsidRPr="00C76B7B">
        <w:rPr>
          <w:rFonts w:asciiTheme="minorHAnsi" w:hAnsiTheme="minorHAnsi" w:cstheme="minorHAnsi"/>
          <w:b/>
          <w:sz w:val="24"/>
          <w:szCs w:val="24"/>
          <w:lang w:val="sr-Latn-ME"/>
        </w:rPr>
        <w:t xml:space="preserve"> Nivoi i trendovi zaduživanja, analiza operacija “ispod crte” i prilagođavanja tokova stanja</w:t>
      </w:r>
      <w:bookmarkStart w:id="69" w:name="_Toc88031664"/>
      <w:bookmarkStart w:id="70" w:name="_Toc500763429"/>
      <w:bookmarkEnd w:id="66"/>
      <w:bookmarkEnd w:id="67"/>
      <w:bookmarkEnd w:id="68"/>
    </w:p>
    <w:p w14:paraId="244B9F83" w14:textId="77777777" w:rsidR="00346BE3" w:rsidRPr="0073052D" w:rsidRDefault="00346BE3" w:rsidP="00346BE3">
      <w:pPr>
        <w:pStyle w:val="Heading3"/>
      </w:pPr>
      <w:r w:rsidRPr="0073052D">
        <w:t>Državni i javni dug tokom 2024. godine</w:t>
      </w:r>
    </w:p>
    <w:p w14:paraId="043325EE" w14:textId="77777777" w:rsidR="00346BE3" w:rsidRPr="00437131" w:rsidRDefault="00346BE3" w:rsidP="00437131">
      <w:pPr>
        <w:jc w:val="both"/>
        <w:rPr>
          <w:sz w:val="24"/>
          <w:szCs w:val="24"/>
          <w:lang w:val="sr-Latn-ME"/>
        </w:rPr>
      </w:pPr>
      <w:r w:rsidRPr="00437131">
        <w:rPr>
          <w:sz w:val="24"/>
          <w:szCs w:val="24"/>
        </w:rPr>
        <w:t>Ukupan javni dug Crne Gore na dan 31.12.2023. godine, iznosio je 4.126,82 miliona eura, odnosno 59.26% BDP-a</w:t>
      </w:r>
      <w:r w:rsidRPr="00437131">
        <w:rPr>
          <w:sz w:val="24"/>
          <w:szCs w:val="24"/>
          <w:vertAlign w:val="superscript"/>
        </w:rPr>
        <w:footnoteReference w:id="8"/>
      </w:r>
      <w:r w:rsidRPr="00437131">
        <w:rPr>
          <w:sz w:val="24"/>
          <w:szCs w:val="24"/>
        </w:rPr>
        <w:t xml:space="preserve">, i obuhvata državni dug koji je iznosio 4.059,91 miliona eura, odnosno 58.30% BDP-a, i dug lokalne samouprave koji je iznosio 66,91 miliona eura, odnosno 0,83% BDP-a. </w:t>
      </w:r>
    </w:p>
    <w:p w14:paraId="3942DDEC" w14:textId="77777777" w:rsidR="00346BE3" w:rsidRPr="00437131" w:rsidRDefault="00346BE3" w:rsidP="00437131">
      <w:pPr>
        <w:jc w:val="both"/>
        <w:rPr>
          <w:sz w:val="24"/>
          <w:szCs w:val="24"/>
        </w:rPr>
      </w:pPr>
      <w:r w:rsidRPr="00437131">
        <w:rPr>
          <w:sz w:val="24"/>
          <w:szCs w:val="24"/>
        </w:rPr>
        <w:t>Neto javni dug Crne Gore na dan 31.12.2023. godine, uključujući depozite Ministarstva finansija, iznosio je 3.974,41 miliona eura, odnosno 57,07% BDP-a.</w:t>
      </w:r>
    </w:p>
    <w:p w14:paraId="554884FE" w14:textId="77777777" w:rsidR="00346BE3" w:rsidRPr="00C23A32" w:rsidRDefault="00346BE3" w:rsidP="00346BE3">
      <w:pPr>
        <w:rPr>
          <w:rFonts w:ascii="Cambria" w:hAnsi="Cambria"/>
        </w:rPr>
      </w:pPr>
      <w:r w:rsidRPr="00C23A32">
        <w:rPr>
          <w:rFonts w:ascii="Cambria" w:hAnsi="Cambria"/>
        </w:rPr>
        <w:t xml:space="preserve">            </w:t>
      </w:r>
      <w:r w:rsidRPr="00C23A32">
        <w:rPr>
          <w:rFonts w:ascii="Cambria" w:hAnsi="Cambria"/>
          <w:noProof/>
          <w:lang w:val="en-GB" w:eastAsia="en-GB"/>
        </w:rPr>
        <w:drawing>
          <wp:inline distT="0" distB="0" distL="0" distR="0" wp14:anchorId="181265FB" wp14:editId="14DF1C09">
            <wp:extent cx="5286375" cy="2647950"/>
            <wp:effectExtent l="0" t="0" r="0" b="0"/>
            <wp:docPr id="19" name="Chart 19">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Start w:id="71" w:name="_Hlk151707641"/>
    </w:p>
    <w:p w14:paraId="5A22F171" w14:textId="77777777" w:rsidR="00346BE3" w:rsidRPr="00437131" w:rsidRDefault="00346BE3" w:rsidP="00437131">
      <w:pPr>
        <w:jc w:val="both"/>
        <w:rPr>
          <w:sz w:val="24"/>
          <w:szCs w:val="24"/>
        </w:rPr>
      </w:pPr>
      <w:r w:rsidRPr="00437131">
        <w:rPr>
          <w:sz w:val="24"/>
          <w:szCs w:val="24"/>
        </w:rPr>
        <w:t>Tokom 2024. godine, došlo je do uve</w:t>
      </w:r>
      <w:r w:rsidRPr="00437131">
        <w:rPr>
          <w:sz w:val="24"/>
          <w:szCs w:val="24"/>
          <w:lang w:val="sr-Latn-ME"/>
        </w:rPr>
        <w:t>ćanja</w:t>
      </w:r>
      <w:r w:rsidRPr="00437131">
        <w:rPr>
          <w:sz w:val="24"/>
          <w:szCs w:val="24"/>
        </w:rPr>
        <w:t xml:space="preserve"> javnog duga za 337,6 miliona eura, u odnosu na kraj 2023. godine, što predstavlja neto efekat između povećanja duga usled novih zaduženja i smanjenja usled redovne otplate duga u 2024. godini. Međutim, uzevši u obzir iznos depozita na kraju trećeg kvartala, neto javni dug se, u odnosu na kraj godine smanjio za 128,0 miliona eura.</w:t>
      </w:r>
    </w:p>
    <w:p w14:paraId="09956ED8" w14:textId="77777777" w:rsidR="00346BE3" w:rsidRPr="00437131" w:rsidRDefault="00346BE3" w:rsidP="00437131">
      <w:pPr>
        <w:jc w:val="both"/>
        <w:rPr>
          <w:sz w:val="24"/>
          <w:szCs w:val="24"/>
          <w:lang w:val="sr-Latn-ME"/>
        </w:rPr>
      </w:pPr>
      <w:r w:rsidRPr="00437131">
        <w:rPr>
          <w:sz w:val="24"/>
          <w:szCs w:val="24"/>
          <w:lang w:val="sr-Latn-ME"/>
        </w:rPr>
        <w:lastRenderedPageBreak/>
        <w:t xml:space="preserve">Naime, imajući u vidu da je tokom 2024. godine država ostvarila značajnije prihode i realizovala emisiju dolarskih obveznica od 750 miliona američkih dolara , Ministarstvo finansija je tokom godine raspolagalo i raspolaže značajnim iznosom depozita koji utiče na kretanje duga u neto iznosu. Na Grafiku br. 2 prikazano je kretanje neto državnog i javnog duga u apsolutnom iznosu i u odnosu na BDP. </w:t>
      </w:r>
    </w:p>
    <w:p w14:paraId="44CA126F" w14:textId="77777777" w:rsidR="00346BE3" w:rsidRPr="00C23A32" w:rsidRDefault="00346BE3" w:rsidP="00346BE3">
      <w:pPr>
        <w:spacing w:after="10" w:line="249" w:lineRule="auto"/>
        <w:rPr>
          <w:rFonts w:ascii="Cambria" w:hAnsi="Cambria"/>
          <w:lang w:val="sr-Latn-ME"/>
        </w:rPr>
      </w:pPr>
      <w:r w:rsidRPr="00C23A32">
        <w:rPr>
          <w:rFonts w:ascii="Cambria" w:hAnsi="Cambria"/>
          <w:lang w:val="sr-Latn-ME"/>
        </w:rPr>
        <w:t xml:space="preserve">        </w:t>
      </w:r>
      <w:r w:rsidRPr="00C23A32">
        <w:rPr>
          <w:rFonts w:ascii="Cambria" w:hAnsi="Cambria"/>
          <w:noProof/>
          <w:lang w:val="en-GB" w:eastAsia="en-GB"/>
        </w:rPr>
        <w:drawing>
          <wp:inline distT="0" distB="0" distL="0" distR="0" wp14:anchorId="4E43548B" wp14:editId="080F3915">
            <wp:extent cx="5429250" cy="3190875"/>
            <wp:effectExtent l="0" t="0" r="0" b="0"/>
            <wp:docPr id="4" name="Chart 4">
              <a:extLst xmlns:a="http://schemas.openxmlformats.org/drawingml/2006/main">
                <a:ext uri="{FF2B5EF4-FFF2-40B4-BE49-F238E27FC236}">
                  <a16:creationId xmlns:a16="http://schemas.microsoft.com/office/drawing/2014/main" id="{4C94CAB3-D428-4EE3-9D5B-3FBA164DAF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7320E7C" w14:textId="77777777" w:rsidR="00346BE3" w:rsidRPr="00C23A32" w:rsidRDefault="00346BE3" w:rsidP="00346BE3">
      <w:pPr>
        <w:spacing w:after="10" w:line="249" w:lineRule="auto"/>
        <w:rPr>
          <w:rFonts w:ascii="Cambria" w:hAnsi="Cambria"/>
          <w:lang w:val="sr-Latn-ME"/>
        </w:rPr>
      </w:pPr>
    </w:p>
    <w:p w14:paraId="76625C92" w14:textId="77777777" w:rsidR="00346BE3" w:rsidRPr="00437131" w:rsidRDefault="00346BE3" w:rsidP="00437131">
      <w:pPr>
        <w:jc w:val="both"/>
        <w:rPr>
          <w:sz w:val="24"/>
          <w:szCs w:val="24"/>
        </w:rPr>
      </w:pPr>
      <w:r w:rsidRPr="00437131">
        <w:rPr>
          <w:sz w:val="24"/>
          <w:szCs w:val="24"/>
        </w:rPr>
        <w:t xml:space="preserve">Na kretanje državnog i javnog duga tokom prva tri kvartala 2024. godine primarno je uticalo povećanje spoljnjeg duga usled novih zaduženja, ali i smanjenje unutrašnjeg duga usled redovne otplate. Kretanje spoljnjeg i domaćeg duga u apsolutnom iznosu, tokom 2024. godine prikazano je u Tabeli br. 1. </w:t>
      </w:r>
    </w:p>
    <w:p w14:paraId="36864FB7" w14:textId="77777777" w:rsidR="00346BE3" w:rsidRPr="00C23A32" w:rsidRDefault="00346BE3" w:rsidP="00346BE3">
      <w:pPr>
        <w:pStyle w:val="Caption"/>
        <w:keepNext/>
        <w:rPr>
          <w:rFonts w:ascii="Cambria" w:hAnsi="Cambria"/>
        </w:rPr>
      </w:pPr>
      <w:r w:rsidRPr="00C23A32">
        <w:rPr>
          <w:rFonts w:ascii="Cambria" w:hAnsi="Cambria"/>
        </w:rPr>
        <w:t>Tabela 1. Kretanje spoljnjeg i domaćeg duga u 2024. godini, kao i duga lokalne samouprave u mil. eura tokom 2024.god</w:t>
      </w:r>
      <w:r w:rsidRPr="00C23A32">
        <w:rPr>
          <w:rFonts w:ascii="Cambria" w:eastAsia="Times New Roman" w:hAnsi="Cambria" w:cs="Times New Roman"/>
          <w:b/>
          <w:bCs/>
          <w:color w:val="4472C4" w:themeColor="accent1"/>
          <w:lang w:val="en-IE"/>
        </w:rPr>
        <w:fldChar w:fldCharType="begin"/>
      </w:r>
      <w:r w:rsidRPr="00C23A32">
        <w:rPr>
          <w:rFonts w:ascii="Cambria" w:hAnsi="Cambria"/>
        </w:rPr>
        <w:instrText xml:space="preserve"> LINK Excel.Sheet.12 "C:\\Users\\bojana.boljevic\\Desktop\\PER\\Tabele PER.xlsx" "Tabela 1- ino, dom i lok.samou!R2C1:R6C6" \a \f 5 \h  \* MERGEFORMAT </w:instrText>
      </w:r>
      <w:r w:rsidRPr="00C23A32">
        <w:rPr>
          <w:rFonts w:ascii="Cambria" w:eastAsia="Times New Roman" w:hAnsi="Cambria" w:cs="Times New Roman"/>
          <w:b/>
          <w:bCs/>
          <w:color w:val="4472C4" w:themeColor="accent1"/>
          <w:lang w:val="en-IE"/>
        </w:rPr>
        <w:fldChar w:fldCharType="separate"/>
      </w:r>
    </w:p>
    <w:tbl>
      <w:tblPr>
        <w:tblStyle w:val="GridTable2-Accent2"/>
        <w:tblW w:w="9387" w:type="dxa"/>
        <w:tblLook w:val="04A0" w:firstRow="1" w:lastRow="0" w:firstColumn="1" w:lastColumn="0" w:noHBand="0" w:noVBand="1"/>
      </w:tblPr>
      <w:tblGrid>
        <w:gridCol w:w="1701"/>
        <w:gridCol w:w="1573"/>
        <w:gridCol w:w="1661"/>
        <w:gridCol w:w="1590"/>
        <w:gridCol w:w="1576"/>
        <w:gridCol w:w="1286"/>
      </w:tblGrid>
      <w:tr w:rsidR="00346BE3" w:rsidRPr="00C23A32" w14:paraId="7ECFEFF3" w14:textId="77777777" w:rsidTr="00437131">
        <w:trPr>
          <w:cnfStyle w:val="100000000000" w:firstRow="1" w:lastRow="0" w:firstColumn="0" w:lastColumn="0" w:oddVBand="0" w:evenVBand="0" w:oddHBand="0"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1701" w:type="dxa"/>
            <w:noWrap/>
            <w:hideMark/>
          </w:tcPr>
          <w:p w14:paraId="59ACF0ED" w14:textId="77777777" w:rsidR="00346BE3" w:rsidRPr="00C23A32" w:rsidRDefault="00346BE3" w:rsidP="00437131">
            <w:pPr>
              <w:jc w:val="center"/>
              <w:rPr>
                <w:rFonts w:ascii="Cambria" w:hAnsi="Cambria"/>
                <w:sz w:val="20"/>
                <w:szCs w:val="20"/>
              </w:rPr>
            </w:pPr>
            <w:r w:rsidRPr="00C23A32">
              <w:rPr>
                <w:rFonts w:ascii="Cambria" w:hAnsi="Cambria"/>
                <w:sz w:val="20"/>
                <w:szCs w:val="20"/>
              </w:rPr>
              <w:t>Godina</w:t>
            </w:r>
          </w:p>
        </w:tc>
        <w:tc>
          <w:tcPr>
            <w:tcW w:w="1573" w:type="dxa"/>
            <w:noWrap/>
            <w:hideMark/>
          </w:tcPr>
          <w:p w14:paraId="5AA39EF2" w14:textId="77777777" w:rsidR="00346BE3" w:rsidRPr="00C23A32" w:rsidRDefault="00346BE3" w:rsidP="00437131">
            <w:pPr>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sz w:val="20"/>
                <w:szCs w:val="20"/>
              </w:rPr>
              <w:t>Spoljnji dug</w:t>
            </w:r>
          </w:p>
        </w:tc>
        <w:tc>
          <w:tcPr>
            <w:tcW w:w="1661" w:type="dxa"/>
            <w:noWrap/>
            <w:hideMark/>
          </w:tcPr>
          <w:p w14:paraId="52158480" w14:textId="77777777" w:rsidR="00346BE3" w:rsidRPr="00C23A32" w:rsidRDefault="00346BE3" w:rsidP="00437131">
            <w:pPr>
              <w:jc w:val="center"/>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sz w:val="20"/>
                <w:szCs w:val="20"/>
              </w:rPr>
              <w:t>Domaći dug</w:t>
            </w:r>
          </w:p>
        </w:tc>
        <w:tc>
          <w:tcPr>
            <w:tcW w:w="1590" w:type="dxa"/>
            <w:noWrap/>
            <w:hideMark/>
          </w:tcPr>
          <w:p w14:paraId="1E89137F" w14:textId="77777777" w:rsidR="00346BE3" w:rsidRPr="00C23A32" w:rsidRDefault="00346BE3" w:rsidP="00437131">
            <w:pPr>
              <w:jc w:val="center"/>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sz w:val="20"/>
                <w:szCs w:val="20"/>
              </w:rPr>
              <w:t>Državni dug</w:t>
            </w:r>
          </w:p>
        </w:tc>
        <w:tc>
          <w:tcPr>
            <w:tcW w:w="1576" w:type="dxa"/>
            <w:hideMark/>
          </w:tcPr>
          <w:p w14:paraId="0BBD9F52" w14:textId="77777777" w:rsidR="00346BE3" w:rsidRPr="00C23A32" w:rsidRDefault="00346BE3" w:rsidP="00437131">
            <w:pPr>
              <w:jc w:val="center"/>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sz w:val="20"/>
                <w:szCs w:val="20"/>
              </w:rPr>
              <w:t>Dug lokalne samouprave</w:t>
            </w:r>
          </w:p>
        </w:tc>
        <w:tc>
          <w:tcPr>
            <w:tcW w:w="1286" w:type="dxa"/>
            <w:noWrap/>
            <w:hideMark/>
          </w:tcPr>
          <w:p w14:paraId="0495B867" w14:textId="77777777" w:rsidR="00346BE3" w:rsidRPr="00C23A32" w:rsidRDefault="00346BE3" w:rsidP="00437131">
            <w:pPr>
              <w:jc w:val="center"/>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sz w:val="20"/>
                <w:szCs w:val="20"/>
              </w:rPr>
              <w:t>Javni dug</w:t>
            </w:r>
          </w:p>
        </w:tc>
      </w:tr>
      <w:tr w:rsidR="00346BE3" w:rsidRPr="00C23A32" w14:paraId="2E42384F" w14:textId="77777777" w:rsidTr="00437131">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701" w:type="dxa"/>
            <w:noWrap/>
            <w:hideMark/>
          </w:tcPr>
          <w:p w14:paraId="0A3547C0" w14:textId="77777777" w:rsidR="00346BE3" w:rsidRPr="00C23A32" w:rsidRDefault="00346BE3" w:rsidP="00437131">
            <w:pPr>
              <w:jc w:val="center"/>
              <w:rPr>
                <w:rFonts w:ascii="Cambria" w:hAnsi="Cambria"/>
                <w:sz w:val="20"/>
                <w:szCs w:val="20"/>
              </w:rPr>
            </w:pPr>
            <w:r w:rsidRPr="00C23A32">
              <w:rPr>
                <w:rFonts w:ascii="Cambria" w:hAnsi="Cambria"/>
                <w:sz w:val="20"/>
                <w:szCs w:val="20"/>
              </w:rPr>
              <w:t>31.12.2023.</w:t>
            </w:r>
          </w:p>
        </w:tc>
        <w:tc>
          <w:tcPr>
            <w:tcW w:w="1573" w:type="dxa"/>
            <w:noWrap/>
            <w:vAlign w:val="bottom"/>
            <w:hideMark/>
          </w:tcPr>
          <w:p w14:paraId="390E37A3" w14:textId="77777777" w:rsidR="00346BE3" w:rsidRPr="00C23A32" w:rsidRDefault="00346BE3" w:rsidP="00437131">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3.517,29</w:t>
            </w:r>
          </w:p>
        </w:tc>
        <w:tc>
          <w:tcPr>
            <w:tcW w:w="1661" w:type="dxa"/>
            <w:noWrap/>
            <w:vAlign w:val="bottom"/>
            <w:hideMark/>
          </w:tcPr>
          <w:p w14:paraId="71794C77" w14:textId="77777777" w:rsidR="00346BE3" w:rsidRPr="00C23A32" w:rsidRDefault="00346BE3" w:rsidP="00437131">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542,62</w:t>
            </w:r>
          </w:p>
        </w:tc>
        <w:tc>
          <w:tcPr>
            <w:tcW w:w="1590" w:type="dxa"/>
            <w:noWrap/>
            <w:vAlign w:val="bottom"/>
            <w:hideMark/>
          </w:tcPr>
          <w:p w14:paraId="557772C8" w14:textId="77777777" w:rsidR="00346BE3" w:rsidRPr="00C23A32" w:rsidRDefault="00346BE3" w:rsidP="00437131">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4.059,91</w:t>
            </w:r>
          </w:p>
        </w:tc>
        <w:tc>
          <w:tcPr>
            <w:tcW w:w="1576" w:type="dxa"/>
            <w:noWrap/>
            <w:vAlign w:val="bottom"/>
            <w:hideMark/>
          </w:tcPr>
          <w:p w14:paraId="627B3EBE" w14:textId="77777777" w:rsidR="00346BE3" w:rsidRPr="00C23A32" w:rsidRDefault="00346BE3" w:rsidP="00437131">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3A32">
              <w:rPr>
                <w:rFonts w:ascii="Cambria" w:hAnsi="Cambria" w:cs="Calibri"/>
                <w:sz w:val="20"/>
                <w:szCs w:val="20"/>
              </w:rPr>
              <w:t>66,91</w:t>
            </w:r>
          </w:p>
        </w:tc>
        <w:tc>
          <w:tcPr>
            <w:tcW w:w="1286" w:type="dxa"/>
            <w:noWrap/>
            <w:vAlign w:val="bottom"/>
            <w:hideMark/>
          </w:tcPr>
          <w:p w14:paraId="2D22E1EE" w14:textId="77777777" w:rsidR="00346BE3" w:rsidRPr="00C23A32" w:rsidRDefault="00346BE3" w:rsidP="00437131">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4.126,82</w:t>
            </w:r>
          </w:p>
        </w:tc>
      </w:tr>
      <w:tr w:rsidR="00346BE3" w:rsidRPr="00C23A32" w14:paraId="63B2FCB0" w14:textId="77777777" w:rsidTr="00437131">
        <w:trPr>
          <w:trHeight w:val="307"/>
        </w:trPr>
        <w:tc>
          <w:tcPr>
            <w:cnfStyle w:val="001000000000" w:firstRow="0" w:lastRow="0" w:firstColumn="1" w:lastColumn="0" w:oddVBand="0" w:evenVBand="0" w:oddHBand="0" w:evenHBand="0" w:firstRowFirstColumn="0" w:firstRowLastColumn="0" w:lastRowFirstColumn="0" w:lastRowLastColumn="0"/>
            <w:tcW w:w="1701" w:type="dxa"/>
            <w:noWrap/>
            <w:hideMark/>
          </w:tcPr>
          <w:p w14:paraId="3D77082A" w14:textId="77777777" w:rsidR="00346BE3" w:rsidRPr="00C23A32" w:rsidRDefault="00346BE3" w:rsidP="00437131">
            <w:pPr>
              <w:jc w:val="center"/>
              <w:rPr>
                <w:rFonts w:ascii="Cambria" w:hAnsi="Cambria"/>
                <w:sz w:val="20"/>
                <w:szCs w:val="20"/>
              </w:rPr>
            </w:pPr>
            <w:r w:rsidRPr="00C23A32">
              <w:rPr>
                <w:rFonts w:ascii="Cambria" w:hAnsi="Cambria"/>
                <w:sz w:val="20"/>
                <w:szCs w:val="20"/>
              </w:rPr>
              <w:t>31.03.2024.</w:t>
            </w:r>
          </w:p>
        </w:tc>
        <w:tc>
          <w:tcPr>
            <w:tcW w:w="1573" w:type="dxa"/>
            <w:noWrap/>
            <w:vAlign w:val="bottom"/>
            <w:hideMark/>
          </w:tcPr>
          <w:p w14:paraId="1A810874"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4.156,65</w:t>
            </w:r>
          </w:p>
        </w:tc>
        <w:tc>
          <w:tcPr>
            <w:tcW w:w="1661" w:type="dxa"/>
            <w:noWrap/>
            <w:vAlign w:val="bottom"/>
            <w:hideMark/>
          </w:tcPr>
          <w:p w14:paraId="632E11C5"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511,29</w:t>
            </w:r>
          </w:p>
        </w:tc>
        <w:tc>
          <w:tcPr>
            <w:tcW w:w="1590" w:type="dxa"/>
            <w:noWrap/>
            <w:vAlign w:val="bottom"/>
            <w:hideMark/>
          </w:tcPr>
          <w:p w14:paraId="796CA547"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4.667,95</w:t>
            </w:r>
          </w:p>
        </w:tc>
        <w:tc>
          <w:tcPr>
            <w:tcW w:w="1576" w:type="dxa"/>
            <w:noWrap/>
            <w:vAlign w:val="bottom"/>
            <w:hideMark/>
          </w:tcPr>
          <w:p w14:paraId="580D9884"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cs="Calibri"/>
                <w:sz w:val="20"/>
                <w:szCs w:val="20"/>
              </w:rPr>
              <w:t>66,34</w:t>
            </w:r>
          </w:p>
        </w:tc>
        <w:tc>
          <w:tcPr>
            <w:tcW w:w="1286" w:type="dxa"/>
            <w:noWrap/>
            <w:vAlign w:val="bottom"/>
            <w:hideMark/>
          </w:tcPr>
          <w:p w14:paraId="1CA0E662"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4.734,28</w:t>
            </w:r>
          </w:p>
        </w:tc>
      </w:tr>
      <w:tr w:rsidR="00346BE3" w:rsidRPr="00C23A32" w14:paraId="7080D320" w14:textId="77777777" w:rsidTr="00437131">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701" w:type="dxa"/>
            <w:noWrap/>
            <w:hideMark/>
          </w:tcPr>
          <w:p w14:paraId="6494E9E4" w14:textId="77777777" w:rsidR="00346BE3" w:rsidRPr="00C23A32" w:rsidRDefault="00346BE3" w:rsidP="00437131">
            <w:pPr>
              <w:jc w:val="center"/>
              <w:rPr>
                <w:rFonts w:ascii="Cambria" w:hAnsi="Cambria"/>
                <w:sz w:val="20"/>
                <w:szCs w:val="20"/>
              </w:rPr>
            </w:pPr>
            <w:r w:rsidRPr="00C23A32">
              <w:rPr>
                <w:rFonts w:ascii="Cambria" w:hAnsi="Cambria"/>
                <w:sz w:val="20"/>
                <w:szCs w:val="20"/>
              </w:rPr>
              <w:t>30.06.2024.</w:t>
            </w:r>
          </w:p>
        </w:tc>
        <w:tc>
          <w:tcPr>
            <w:tcW w:w="1573" w:type="dxa"/>
            <w:noWrap/>
            <w:vAlign w:val="bottom"/>
            <w:hideMark/>
          </w:tcPr>
          <w:p w14:paraId="3FDDB6A1" w14:textId="77777777" w:rsidR="00346BE3" w:rsidRPr="00C23A32" w:rsidRDefault="00346BE3" w:rsidP="00437131">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4.091,32</w:t>
            </w:r>
          </w:p>
        </w:tc>
        <w:tc>
          <w:tcPr>
            <w:tcW w:w="1661" w:type="dxa"/>
            <w:noWrap/>
            <w:vAlign w:val="bottom"/>
            <w:hideMark/>
          </w:tcPr>
          <w:p w14:paraId="37B4206C" w14:textId="77777777" w:rsidR="00346BE3" w:rsidRPr="00C23A32" w:rsidRDefault="00346BE3" w:rsidP="00437131">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386,70</w:t>
            </w:r>
          </w:p>
        </w:tc>
        <w:tc>
          <w:tcPr>
            <w:tcW w:w="1590" w:type="dxa"/>
            <w:noWrap/>
            <w:vAlign w:val="bottom"/>
            <w:hideMark/>
          </w:tcPr>
          <w:p w14:paraId="144C9239" w14:textId="77777777" w:rsidR="00346BE3" w:rsidRPr="00C23A32" w:rsidRDefault="00346BE3" w:rsidP="00437131">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4.478,03</w:t>
            </w:r>
          </w:p>
        </w:tc>
        <w:tc>
          <w:tcPr>
            <w:tcW w:w="1576" w:type="dxa"/>
            <w:noWrap/>
            <w:vAlign w:val="bottom"/>
            <w:hideMark/>
          </w:tcPr>
          <w:p w14:paraId="58925704" w14:textId="77777777" w:rsidR="00346BE3" w:rsidRPr="00C23A32" w:rsidRDefault="00346BE3" w:rsidP="00437131">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3A32">
              <w:rPr>
                <w:rFonts w:ascii="Cambria" w:hAnsi="Cambria" w:cs="Calibri"/>
                <w:sz w:val="20"/>
                <w:szCs w:val="20"/>
              </w:rPr>
              <w:t>62,42</w:t>
            </w:r>
          </w:p>
        </w:tc>
        <w:tc>
          <w:tcPr>
            <w:tcW w:w="1286" w:type="dxa"/>
            <w:noWrap/>
            <w:vAlign w:val="bottom"/>
            <w:hideMark/>
          </w:tcPr>
          <w:p w14:paraId="01212B25" w14:textId="77777777" w:rsidR="00346BE3" w:rsidRPr="00C23A32" w:rsidRDefault="00346BE3" w:rsidP="00437131">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4.540,45</w:t>
            </w:r>
          </w:p>
        </w:tc>
      </w:tr>
      <w:tr w:rsidR="00346BE3" w:rsidRPr="00C23A32" w14:paraId="4CC981D4" w14:textId="77777777" w:rsidTr="00437131">
        <w:trPr>
          <w:trHeight w:val="307"/>
        </w:trPr>
        <w:tc>
          <w:tcPr>
            <w:cnfStyle w:val="001000000000" w:firstRow="0" w:lastRow="0" w:firstColumn="1" w:lastColumn="0" w:oddVBand="0" w:evenVBand="0" w:oddHBand="0" w:evenHBand="0" w:firstRowFirstColumn="0" w:firstRowLastColumn="0" w:lastRowFirstColumn="0" w:lastRowLastColumn="0"/>
            <w:tcW w:w="1701" w:type="dxa"/>
            <w:noWrap/>
            <w:hideMark/>
          </w:tcPr>
          <w:p w14:paraId="193064AB" w14:textId="77777777" w:rsidR="00346BE3" w:rsidRPr="00C23A32" w:rsidRDefault="00346BE3" w:rsidP="00437131">
            <w:pPr>
              <w:jc w:val="center"/>
              <w:rPr>
                <w:rFonts w:ascii="Cambria" w:hAnsi="Cambria"/>
                <w:sz w:val="20"/>
                <w:szCs w:val="20"/>
              </w:rPr>
            </w:pPr>
            <w:r w:rsidRPr="00C23A32">
              <w:rPr>
                <w:rFonts w:ascii="Cambria" w:hAnsi="Cambria"/>
                <w:sz w:val="20"/>
                <w:szCs w:val="20"/>
              </w:rPr>
              <w:t>30.09.2024.</w:t>
            </w:r>
          </w:p>
        </w:tc>
        <w:tc>
          <w:tcPr>
            <w:tcW w:w="1573" w:type="dxa"/>
            <w:noWrap/>
            <w:vAlign w:val="bottom"/>
            <w:hideMark/>
          </w:tcPr>
          <w:p w14:paraId="7092C4AB"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cs="Calibri"/>
                <w:sz w:val="20"/>
                <w:szCs w:val="20"/>
              </w:rPr>
              <w:t>4.046,07</w:t>
            </w:r>
          </w:p>
        </w:tc>
        <w:tc>
          <w:tcPr>
            <w:tcW w:w="1661" w:type="dxa"/>
            <w:noWrap/>
            <w:vAlign w:val="bottom"/>
            <w:hideMark/>
          </w:tcPr>
          <w:p w14:paraId="498FB813"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cs="Calibri"/>
                <w:sz w:val="20"/>
                <w:szCs w:val="20"/>
              </w:rPr>
              <w:t>356,48</w:t>
            </w:r>
          </w:p>
        </w:tc>
        <w:tc>
          <w:tcPr>
            <w:tcW w:w="1590" w:type="dxa"/>
            <w:noWrap/>
            <w:vAlign w:val="bottom"/>
            <w:hideMark/>
          </w:tcPr>
          <w:p w14:paraId="299596BB"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4.402,55</w:t>
            </w:r>
          </w:p>
        </w:tc>
        <w:tc>
          <w:tcPr>
            <w:tcW w:w="1576" w:type="dxa"/>
            <w:noWrap/>
            <w:vAlign w:val="bottom"/>
            <w:hideMark/>
          </w:tcPr>
          <w:p w14:paraId="6AC45800"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cs="Calibri"/>
                <w:sz w:val="20"/>
                <w:szCs w:val="20"/>
              </w:rPr>
              <w:t>61,82</w:t>
            </w:r>
          </w:p>
        </w:tc>
        <w:tc>
          <w:tcPr>
            <w:tcW w:w="1286" w:type="dxa"/>
            <w:noWrap/>
            <w:vAlign w:val="bottom"/>
            <w:hideMark/>
          </w:tcPr>
          <w:p w14:paraId="0970F090"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4.464,37</w:t>
            </w:r>
          </w:p>
        </w:tc>
      </w:tr>
    </w:tbl>
    <w:p w14:paraId="698680B9" w14:textId="77777777" w:rsidR="00346BE3" w:rsidRPr="00C23A32" w:rsidRDefault="00346BE3" w:rsidP="00346BE3">
      <w:pPr>
        <w:rPr>
          <w:rFonts w:ascii="Cambria" w:hAnsi="Cambria" w:cs="Arial"/>
        </w:rPr>
      </w:pPr>
      <w:r w:rsidRPr="00C23A32">
        <w:rPr>
          <w:rFonts w:ascii="Cambria" w:hAnsi="Cambria"/>
        </w:rPr>
        <w:fldChar w:fldCharType="end"/>
      </w:r>
    </w:p>
    <w:p w14:paraId="680529D2" w14:textId="77777777" w:rsidR="00346BE3" w:rsidRPr="00437131" w:rsidRDefault="00346BE3" w:rsidP="00437131">
      <w:pPr>
        <w:jc w:val="both"/>
        <w:rPr>
          <w:sz w:val="24"/>
          <w:szCs w:val="24"/>
        </w:rPr>
      </w:pPr>
      <w:r w:rsidRPr="00C23A32">
        <w:t xml:space="preserve">Na kretanje duga tokom pomenutog perioda primarno je uticalo zaduženje na međunarodnom tržištu putem dolarske obveznice. Naime, Ministarstvo finansija emitovalo je, početkom marta 2024. godine, međunarodne obveznice u vrijednosti od 750,0 miliona američkih dolara, sa rokom dospjeća od sedam godina i kamatnom stopom od 7,25% godišnje. Nakon konverzije u eure, u skladu sa realizovanim hedžing </w:t>
      </w:r>
      <w:r w:rsidRPr="00437131">
        <w:rPr>
          <w:sz w:val="24"/>
          <w:szCs w:val="24"/>
        </w:rPr>
        <w:lastRenderedPageBreak/>
        <w:t xml:space="preserve">aranžmanom, vrijednost ovog zaduženja iznosi 687,8 miliona eura sa izvedenom eurskom kamatnom stopom od 5,88%. </w:t>
      </w:r>
    </w:p>
    <w:p w14:paraId="29225DB8" w14:textId="77777777" w:rsidR="00346BE3" w:rsidRPr="00437131" w:rsidRDefault="00346BE3" w:rsidP="00437131">
      <w:pPr>
        <w:jc w:val="both"/>
        <w:rPr>
          <w:sz w:val="24"/>
          <w:szCs w:val="24"/>
          <w:lang w:val="sr-Latn-ME"/>
        </w:rPr>
      </w:pPr>
      <w:r w:rsidRPr="00437131">
        <w:rPr>
          <w:sz w:val="24"/>
          <w:szCs w:val="24"/>
          <w:lang w:val="sr-Latn-ME"/>
        </w:rPr>
        <w:t xml:space="preserve">Osim navedenog, tokom prva tri kvartala 2024. godine na povećanje duga uticala su i povlačenja iz postojećih kreditnih aranžmana za realizaciju infstrastrukturnih i razvojnih projekata u iznosu od 44,0 miliona eura. </w:t>
      </w:r>
    </w:p>
    <w:p w14:paraId="26721C0F" w14:textId="77777777" w:rsidR="00346BE3" w:rsidRPr="00437131" w:rsidRDefault="00346BE3" w:rsidP="00437131">
      <w:pPr>
        <w:jc w:val="both"/>
        <w:rPr>
          <w:rFonts w:eastAsia="Calibri"/>
          <w:sz w:val="24"/>
          <w:szCs w:val="24"/>
          <w:lang w:val="sr-Latn-ME"/>
        </w:rPr>
      </w:pPr>
      <w:r w:rsidRPr="00437131">
        <w:rPr>
          <w:rFonts w:eastAsia="Calibri"/>
          <w:sz w:val="24"/>
          <w:szCs w:val="24"/>
          <w:lang w:val="sr-Latn-ME"/>
        </w:rPr>
        <w:t xml:space="preserve">U skladu sa navedenim zaduženjima, u odnosu na kraj prethodne godine došlo je do povećanja spoljnjeg duga za </w:t>
      </w:r>
      <w:r w:rsidRPr="00437131">
        <w:rPr>
          <w:sz w:val="24"/>
          <w:szCs w:val="24"/>
        </w:rPr>
        <w:t xml:space="preserve">528,8 miliona eura, na šta je primarno uticala emisija prethodno pomenute dolarske obveznice, dok je unutrašnji dug smanjen za 186,1 miliona eura. Razlog značajnijeg smanjenja unutrašnjeg duga je realizacija redovne otplate duga i činjenice da tokom posmatranog perioda nije bilo novih zaduženja iz domaćih izvora. Kretanje spoljnjeg i unutrašnjeg duga </w:t>
      </w:r>
      <w:r w:rsidRPr="00437131">
        <w:rPr>
          <w:rFonts w:eastAsia="Calibri"/>
          <w:sz w:val="24"/>
          <w:szCs w:val="24"/>
          <w:lang w:val="sr-Latn-ME"/>
        </w:rPr>
        <w:t>rezultiralo je povećanjem državnog duga za 342,7 miliona eura, dok je u odnosu na BDP isti smanjen za oko 4 procentna poena.</w:t>
      </w:r>
    </w:p>
    <w:p w14:paraId="02AB387B" w14:textId="77777777" w:rsidR="00346BE3" w:rsidRPr="00C23A32" w:rsidRDefault="00346BE3" w:rsidP="00346BE3">
      <w:pPr>
        <w:pStyle w:val="Caption"/>
        <w:keepNext/>
        <w:rPr>
          <w:rFonts w:ascii="Cambria" w:hAnsi="Cambria"/>
        </w:rPr>
      </w:pPr>
      <w:r w:rsidRPr="00C23A32">
        <w:rPr>
          <w:rFonts w:ascii="Cambria" w:hAnsi="Cambria"/>
        </w:rPr>
        <w:t>Tabela 2. Kretanje spoljnjeg i domaćeg duga u 2024. godini, kao i duga lokalne samouprave tokom 2024.god u % BDP-a</w:t>
      </w:r>
    </w:p>
    <w:p w14:paraId="7DA26FAA" w14:textId="77777777" w:rsidR="00346BE3" w:rsidRPr="00C23A32" w:rsidRDefault="00346BE3" w:rsidP="00346BE3">
      <w:pPr>
        <w:pStyle w:val="Caption"/>
        <w:keepNext/>
        <w:rPr>
          <w:rFonts w:ascii="Cambria" w:hAnsi="Cambria"/>
        </w:rPr>
      </w:pPr>
      <w:r w:rsidRPr="00C23A32">
        <w:rPr>
          <w:rFonts w:ascii="Cambria" w:eastAsia="Times New Roman" w:hAnsi="Cambria" w:cs="Times New Roman"/>
          <w:b/>
          <w:bCs/>
          <w:color w:val="4472C4" w:themeColor="accent1"/>
          <w:lang w:val="en-IE"/>
        </w:rPr>
        <w:fldChar w:fldCharType="begin"/>
      </w:r>
      <w:r w:rsidRPr="00C23A32">
        <w:rPr>
          <w:rFonts w:ascii="Cambria" w:hAnsi="Cambria"/>
        </w:rPr>
        <w:instrText xml:space="preserve"> LINK Excel.Sheet.12 "C:\\Users\\bojana.boljevic\\Desktop\\PER\\Tabele PER.xlsx" "Tabela 1- ino, dom i lok.samou!R2C1:R6C6" \a \f 5 \h  \* MERGEFORMAT </w:instrText>
      </w:r>
      <w:r w:rsidRPr="00C23A32">
        <w:rPr>
          <w:rFonts w:ascii="Cambria" w:eastAsia="Times New Roman" w:hAnsi="Cambria" w:cs="Times New Roman"/>
          <w:b/>
          <w:bCs/>
          <w:color w:val="4472C4" w:themeColor="accent1"/>
          <w:lang w:val="en-IE"/>
        </w:rPr>
        <w:fldChar w:fldCharType="separate"/>
      </w:r>
    </w:p>
    <w:tbl>
      <w:tblPr>
        <w:tblStyle w:val="GridTable2-Accent2"/>
        <w:tblW w:w="9387" w:type="dxa"/>
        <w:tblLook w:val="04A0" w:firstRow="1" w:lastRow="0" w:firstColumn="1" w:lastColumn="0" w:noHBand="0" w:noVBand="1"/>
      </w:tblPr>
      <w:tblGrid>
        <w:gridCol w:w="1701"/>
        <w:gridCol w:w="1573"/>
        <w:gridCol w:w="1661"/>
        <w:gridCol w:w="1590"/>
        <w:gridCol w:w="1576"/>
        <w:gridCol w:w="1286"/>
      </w:tblGrid>
      <w:tr w:rsidR="00346BE3" w:rsidRPr="00C23A32" w14:paraId="7FECC7B7" w14:textId="77777777" w:rsidTr="00437131">
        <w:trPr>
          <w:cnfStyle w:val="100000000000" w:firstRow="1" w:lastRow="0" w:firstColumn="0" w:lastColumn="0" w:oddVBand="0" w:evenVBand="0" w:oddHBand="0"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1701" w:type="dxa"/>
            <w:noWrap/>
            <w:hideMark/>
          </w:tcPr>
          <w:p w14:paraId="5BA2DAAC" w14:textId="77777777" w:rsidR="00346BE3" w:rsidRPr="00C23A32" w:rsidRDefault="00346BE3" w:rsidP="00437131">
            <w:pPr>
              <w:jc w:val="center"/>
              <w:rPr>
                <w:rFonts w:ascii="Cambria" w:hAnsi="Cambria"/>
                <w:sz w:val="20"/>
                <w:szCs w:val="20"/>
              </w:rPr>
            </w:pPr>
            <w:r w:rsidRPr="00C23A32">
              <w:rPr>
                <w:rFonts w:ascii="Cambria" w:hAnsi="Cambria"/>
                <w:sz w:val="20"/>
                <w:szCs w:val="20"/>
              </w:rPr>
              <w:t>Godina</w:t>
            </w:r>
          </w:p>
        </w:tc>
        <w:tc>
          <w:tcPr>
            <w:tcW w:w="1573" w:type="dxa"/>
            <w:noWrap/>
            <w:hideMark/>
          </w:tcPr>
          <w:p w14:paraId="11ABEA74" w14:textId="77777777" w:rsidR="00346BE3" w:rsidRPr="00C23A32" w:rsidRDefault="00346BE3" w:rsidP="00437131">
            <w:pPr>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sz w:val="20"/>
                <w:szCs w:val="20"/>
              </w:rPr>
              <w:t>Spoljnji dug</w:t>
            </w:r>
          </w:p>
        </w:tc>
        <w:tc>
          <w:tcPr>
            <w:tcW w:w="1661" w:type="dxa"/>
            <w:noWrap/>
            <w:hideMark/>
          </w:tcPr>
          <w:p w14:paraId="0B4E222F" w14:textId="77777777" w:rsidR="00346BE3" w:rsidRPr="00C23A32" w:rsidRDefault="00346BE3" w:rsidP="00437131">
            <w:pPr>
              <w:jc w:val="center"/>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sz w:val="20"/>
                <w:szCs w:val="20"/>
              </w:rPr>
              <w:t>Domaći dug</w:t>
            </w:r>
          </w:p>
        </w:tc>
        <w:tc>
          <w:tcPr>
            <w:tcW w:w="1590" w:type="dxa"/>
            <w:noWrap/>
            <w:hideMark/>
          </w:tcPr>
          <w:p w14:paraId="4F8227D6" w14:textId="77777777" w:rsidR="00346BE3" w:rsidRPr="00C23A32" w:rsidRDefault="00346BE3" w:rsidP="00437131">
            <w:pPr>
              <w:jc w:val="center"/>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sz w:val="20"/>
                <w:szCs w:val="20"/>
              </w:rPr>
              <w:t>Državni dug</w:t>
            </w:r>
          </w:p>
        </w:tc>
        <w:tc>
          <w:tcPr>
            <w:tcW w:w="1576" w:type="dxa"/>
            <w:hideMark/>
          </w:tcPr>
          <w:p w14:paraId="4F3F1083" w14:textId="77777777" w:rsidR="00346BE3" w:rsidRPr="00C23A32" w:rsidRDefault="00346BE3" w:rsidP="00437131">
            <w:pPr>
              <w:jc w:val="center"/>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sz w:val="20"/>
                <w:szCs w:val="20"/>
              </w:rPr>
              <w:t>Dug lokalne samouprave</w:t>
            </w:r>
          </w:p>
        </w:tc>
        <w:tc>
          <w:tcPr>
            <w:tcW w:w="1286" w:type="dxa"/>
            <w:noWrap/>
            <w:hideMark/>
          </w:tcPr>
          <w:p w14:paraId="41694E47" w14:textId="77777777" w:rsidR="00346BE3" w:rsidRPr="00C23A32" w:rsidRDefault="00346BE3" w:rsidP="00437131">
            <w:pPr>
              <w:jc w:val="center"/>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sz w:val="20"/>
                <w:szCs w:val="20"/>
              </w:rPr>
              <w:t>Javni dug</w:t>
            </w:r>
          </w:p>
        </w:tc>
      </w:tr>
      <w:tr w:rsidR="00346BE3" w:rsidRPr="00C23A32" w14:paraId="5A5663D4" w14:textId="77777777" w:rsidTr="00437131">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701" w:type="dxa"/>
            <w:noWrap/>
            <w:hideMark/>
          </w:tcPr>
          <w:p w14:paraId="39B6B416" w14:textId="77777777" w:rsidR="00346BE3" w:rsidRPr="00C23A32" w:rsidRDefault="00346BE3" w:rsidP="00437131">
            <w:pPr>
              <w:jc w:val="center"/>
              <w:rPr>
                <w:rFonts w:ascii="Cambria" w:hAnsi="Cambria"/>
                <w:sz w:val="20"/>
                <w:szCs w:val="20"/>
              </w:rPr>
            </w:pPr>
            <w:r w:rsidRPr="00C23A32">
              <w:rPr>
                <w:rFonts w:ascii="Cambria" w:hAnsi="Cambria"/>
                <w:sz w:val="20"/>
                <w:szCs w:val="20"/>
              </w:rPr>
              <w:t>31.12.2023.</w:t>
            </w:r>
          </w:p>
        </w:tc>
        <w:tc>
          <w:tcPr>
            <w:tcW w:w="1573" w:type="dxa"/>
            <w:noWrap/>
            <w:vAlign w:val="bottom"/>
            <w:hideMark/>
          </w:tcPr>
          <w:p w14:paraId="31278C88" w14:textId="77777777" w:rsidR="00346BE3" w:rsidRPr="00C23A32" w:rsidRDefault="00346BE3" w:rsidP="00437131">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50.51%</w:t>
            </w:r>
          </w:p>
        </w:tc>
        <w:tc>
          <w:tcPr>
            <w:tcW w:w="1661" w:type="dxa"/>
            <w:noWrap/>
            <w:vAlign w:val="bottom"/>
            <w:hideMark/>
          </w:tcPr>
          <w:p w14:paraId="5546FD65" w14:textId="77777777" w:rsidR="00346BE3" w:rsidRPr="00C23A32" w:rsidRDefault="00346BE3" w:rsidP="00437131">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7.79%</w:t>
            </w:r>
          </w:p>
        </w:tc>
        <w:tc>
          <w:tcPr>
            <w:tcW w:w="1590" w:type="dxa"/>
            <w:noWrap/>
            <w:vAlign w:val="bottom"/>
            <w:hideMark/>
          </w:tcPr>
          <w:p w14:paraId="1F73EA2E" w14:textId="77777777" w:rsidR="00346BE3" w:rsidRPr="00C23A32" w:rsidRDefault="00346BE3" w:rsidP="00437131">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58.3</w:t>
            </w:r>
            <w:r>
              <w:rPr>
                <w:rFonts w:ascii="Cambria" w:hAnsi="Cambria" w:cs="Calibri"/>
                <w:color w:val="000000"/>
                <w:sz w:val="20"/>
                <w:szCs w:val="20"/>
              </w:rPr>
              <w:t>0</w:t>
            </w:r>
            <w:r w:rsidRPr="00C23A32">
              <w:rPr>
                <w:rFonts w:ascii="Cambria" w:hAnsi="Cambria" w:cs="Calibri"/>
                <w:color w:val="000000"/>
                <w:sz w:val="20"/>
                <w:szCs w:val="20"/>
              </w:rPr>
              <w:t>%</w:t>
            </w:r>
          </w:p>
        </w:tc>
        <w:tc>
          <w:tcPr>
            <w:tcW w:w="1576" w:type="dxa"/>
            <w:noWrap/>
            <w:vAlign w:val="bottom"/>
            <w:hideMark/>
          </w:tcPr>
          <w:p w14:paraId="3CEB9C0F" w14:textId="77777777" w:rsidR="00346BE3" w:rsidRPr="00C23A32" w:rsidRDefault="00346BE3" w:rsidP="00437131">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0.96%</w:t>
            </w:r>
          </w:p>
        </w:tc>
        <w:tc>
          <w:tcPr>
            <w:tcW w:w="1286" w:type="dxa"/>
            <w:noWrap/>
            <w:vAlign w:val="bottom"/>
            <w:hideMark/>
          </w:tcPr>
          <w:p w14:paraId="35CED1E1" w14:textId="77777777" w:rsidR="00346BE3" w:rsidRPr="00C23A32" w:rsidRDefault="00346BE3" w:rsidP="00437131">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59.</w:t>
            </w:r>
            <w:r>
              <w:rPr>
                <w:rFonts w:ascii="Cambria" w:hAnsi="Cambria" w:cs="Calibri"/>
                <w:color w:val="000000"/>
                <w:sz w:val="20"/>
                <w:szCs w:val="20"/>
              </w:rPr>
              <w:t>26</w:t>
            </w:r>
            <w:r w:rsidRPr="00C23A32">
              <w:rPr>
                <w:rFonts w:ascii="Cambria" w:hAnsi="Cambria" w:cs="Calibri"/>
                <w:color w:val="000000"/>
                <w:sz w:val="20"/>
                <w:szCs w:val="20"/>
              </w:rPr>
              <w:t>%</w:t>
            </w:r>
          </w:p>
        </w:tc>
      </w:tr>
      <w:tr w:rsidR="00346BE3" w:rsidRPr="00C23A32" w14:paraId="453EF5DF" w14:textId="77777777" w:rsidTr="00437131">
        <w:trPr>
          <w:trHeight w:val="307"/>
        </w:trPr>
        <w:tc>
          <w:tcPr>
            <w:cnfStyle w:val="001000000000" w:firstRow="0" w:lastRow="0" w:firstColumn="1" w:lastColumn="0" w:oddVBand="0" w:evenVBand="0" w:oddHBand="0" w:evenHBand="0" w:firstRowFirstColumn="0" w:firstRowLastColumn="0" w:lastRowFirstColumn="0" w:lastRowLastColumn="0"/>
            <w:tcW w:w="1701" w:type="dxa"/>
            <w:noWrap/>
            <w:hideMark/>
          </w:tcPr>
          <w:p w14:paraId="3F40939B" w14:textId="77777777" w:rsidR="00346BE3" w:rsidRPr="00C23A32" w:rsidRDefault="00346BE3" w:rsidP="00437131">
            <w:pPr>
              <w:jc w:val="center"/>
              <w:rPr>
                <w:rFonts w:ascii="Cambria" w:hAnsi="Cambria"/>
                <w:sz w:val="20"/>
                <w:szCs w:val="20"/>
              </w:rPr>
            </w:pPr>
            <w:r w:rsidRPr="00C23A32">
              <w:rPr>
                <w:rFonts w:ascii="Cambria" w:hAnsi="Cambria"/>
                <w:sz w:val="20"/>
                <w:szCs w:val="20"/>
              </w:rPr>
              <w:t>31.03.2024.</w:t>
            </w:r>
          </w:p>
        </w:tc>
        <w:tc>
          <w:tcPr>
            <w:tcW w:w="1573" w:type="dxa"/>
            <w:noWrap/>
            <w:vAlign w:val="bottom"/>
            <w:hideMark/>
          </w:tcPr>
          <w:p w14:paraId="2B6B881D"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56.04%</w:t>
            </w:r>
          </w:p>
        </w:tc>
        <w:tc>
          <w:tcPr>
            <w:tcW w:w="1661" w:type="dxa"/>
            <w:noWrap/>
            <w:vAlign w:val="bottom"/>
            <w:hideMark/>
          </w:tcPr>
          <w:p w14:paraId="57517C1A"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6.89%</w:t>
            </w:r>
          </w:p>
        </w:tc>
        <w:tc>
          <w:tcPr>
            <w:tcW w:w="1590" w:type="dxa"/>
            <w:noWrap/>
            <w:vAlign w:val="bottom"/>
            <w:hideMark/>
          </w:tcPr>
          <w:p w14:paraId="6C12DACB"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62.9</w:t>
            </w:r>
            <w:r>
              <w:rPr>
                <w:rFonts w:ascii="Cambria" w:hAnsi="Cambria" w:cs="Calibri"/>
                <w:color w:val="000000"/>
                <w:sz w:val="20"/>
                <w:szCs w:val="20"/>
              </w:rPr>
              <w:t>4</w:t>
            </w:r>
            <w:r w:rsidRPr="00C23A32">
              <w:rPr>
                <w:rFonts w:ascii="Cambria" w:hAnsi="Cambria" w:cs="Calibri"/>
                <w:color w:val="000000"/>
                <w:sz w:val="20"/>
                <w:szCs w:val="20"/>
              </w:rPr>
              <w:t>%</w:t>
            </w:r>
          </w:p>
        </w:tc>
        <w:tc>
          <w:tcPr>
            <w:tcW w:w="1576" w:type="dxa"/>
            <w:noWrap/>
            <w:vAlign w:val="bottom"/>
            <w:hideMark/>
          </w:tcPr>
          <w:p w14:paraId="2A60866C"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0.89%</w:t>
            </w:r>
          </w:p>
        </w:tc>
        <w:tc>
          <w:tcPr>
            <w:tcW w:w="1286" w:type="dxa"/>
            <w:noWrap/>
            <w:vAlign w:val="bottom"/>
            <w:hideMark/>
          </w:tcPr>
          <w:p w14:paraId="5411ADA2"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63.8</w:t>
            </w:r>
            <w:r>
              <w:rPr>
                <w:rFonts w:ascii="Cambria" w:hAnsi="Cambria" w:cs="Calibri"/>
                <w:color w:val="000000"/>
                <w:sz w:val="20"/>
                <w:szCs w:val="20"/>
              </w:rPr>
              <w:t>3</w:t>
            </w:r>
            <w:r w:rsidRPr="00C23A32">
              <w:rPr>
                <w:rFonts w:ascii="Cambria" w:hAnsi="Cambria" w:cs="Calibri"/>
                <w:color w:val="000000"/>
                <w:sz w:val="20"/>
                <w:szCs w:val="20"/>
              </w:rPr>
              <w:t>%</w:t>
            </w:r>
          </w:p>
        </w:tc>
      </w:tr>
      <w:tr w:rsidR="00346BE3" w:rsidRPr="00C23A32" w14:paraId="37D52520" w14:textId="77777777" w:rsidTr="00437131">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701" w:type="dxa"/>
            <w:noWrap/>
            <w:hideMark/>
          </w:tcPr>
          <w:p w14:paraId="1B6B3392" w14:textId="77777777" w:rsidR="00346BE3" w:rsidRPr="00C23A32" w:rsidRDefault="00346BE3" w:rsidP="00437131">
            <w:pPr>
              <w:jc w:val="center"/>
              <w:rPr>
                <w:rFonts w:ascii="Cambria" w:hAnsi="Cambria"/>
                <w:sz w:val="20"/>
                <w:szCs w:val="20"/>
              </w:rPr>
            </w:pPr>
            <w:r w:rsidRPr="00C23A32">
              <w:rPr>
                <w:rFonts w:ascii="Cambria" w:hAnsi="Cambria"/>
                <w:sz w:val="20"/>
                <w:szCs w:val="20"/>
              </w:rPr>
              <w:t>30.06.2024.</w:t>
            </w:r>
          </w:p>
        </w:tc>
        <w:tc>
          <w:tcPr>
            <w:tcW w:w="1573" w:type="dxa"/>
            <w:noWrap/>
            <w:vAlign w:val="bottom"/>
            <w:hideMark/>
          </w:tcPr>
          <w:p w14:paraId="7AA62D6B" w14:textId="77777777" w:rsidR="00346BE3" w:rsidRPr="00C23A32" w:rsidRDefault="00346BE3" w:rsidP="00437131">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55.16%</w:t>
            </w:r>
          </w:p>
        </w:tc>
        <w:tc>
          <w:tcPr>
            <w:tcW w:w="1661" w:type="dxa"/>
            <w:noWrap/>
            <w:vAlign w:val="bottom"/>
            <w:hideMark/>
          </w:tcPr>
          <w:p w14:paraId="542969B7" w14:textId="77777777" w:rsidR="00346BE3" w:rsidRPr="00C23A32" w:rsidRDefault="00346BE3" w:rsidP="00437131">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5.21%</w:t>
            </w:r>
          </w:p>
        </w:tc>
        <w:tc>
          <w:tcPr>
            <w:tcW w:w="1590" w:type="dxa"/>
            <w:noWrap/>
            <w:vAlign w:val="bottom"/>
            <w:hideMark/>
          </w:tcPr>
          <w:p w14:paraId="53C97775" w14:textId="77777777" w:rsidR="00346BE3" w:rsidRPr="00C23A32" w:rsidRDefault="00346BE3" w:rsidP="00437131">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60.</w:t>
            </w:r>
            <w:r>
              <w:rPr>
                <w:rFonts w:ascii="Cambria" w:hAnsi="Cambria" w:cs="Calibri"/>
                <w:color w:val="000000"/>
                <w:sz w:val="20"/>
                <w:szCs w:val="20"/>
              </w:rPr>
              <w:t>38</w:t>
            </w:r>
            <w:r w:rsidRPr="00C23A32">
              <w:rPr>
                <w:rFonts w:ascii="Cambria" w:hAnsi="Cambria" w:cs="Calibri"/>
                <w:color w:val="000000"/>
                <w:sz w:val="20"/>
                <w:szCs w:val="20"/>
              </w:rPr>
              <w:t>%</w:t>
            </w:r>
          </w:p>
        </w:tc>
        <w:tc>
          <w:tcPr>
            <w:tcW w:w="1576" w:type="dxa"/>
            <w:noWrap/>
            <w:vAlign w:val="bottom"/>
            <w:hideMark/>
          </w:tcPr>
          <w:p w14:paraId="72F8A582" w14:textId="77777777" w:rsidR="00346BE3" w:rsidRPr="00C23A32" w:rsidRDefault="00346BE3" w:rsidP="00437131">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0.84%</w:t>
            </w:r>
          </w:p>
        </w:tc>
        <w:tc>
          <w:tcPr>
            <w:tcW w:w="1286" w:type="dxa"/>
            <w:noWrap/>
            <w:vAlign w:val="bottom"/>
            <w:hideMark/>
          </w:tcPr>
          <w:p w14:paraId="47F25C8B" w14:textId="77777777" w:rsidR="00346BE3" w:rsidRPr="00C23A32" w:rsidRDefault="00346BE3" w:rsidP="00437131">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61.2</w:t>
            </w:r>
            <w:r>
              <w:rPr>
                <w:rFonts w:ascii="Cambria" w:hAnsi="Cambria" w:cs="Calibri"/>
                <w:color w:val="000000"/>
                <w:sz w:val="20"/>
                <w:szCs w:val="20"/>
              </w:rPr>
              <w:t>2</w:t>
            </w:r>
            <w:r w:rsidRPr="00C23A32">
              <w:rPr>
                <w:rFonts w:ascii="Cambria" w:hAnsi="Cambria" w:cs="Calibri"/>
                <w:color w:val="000000"/>
                <w:sz w:val="20"/>
                <w:szCs w:val="20"/>
              </w:rPr>
              <w:t>%</w:t>
            </w:r>
          </w:p>
        </w:tc>
      </w:tr>
      <w:tr w:rsidR="00346BE3" w:rsidRPr="00C23A32" w14:paraId="5ECF9DAF" w14:textId="77777777" w:rsidTr="00437131">
        <w:trPr>
          <w:trHeight w:val="307"/>
        </w:trPr>
        <w:tc>
          <w:tcPr>
            <w:cnfStyle w:val="001000000000" w:firstRow="0" w:lastRow="0" w:firstColumn="1" w:lastColumn="0" w:oddVBand="0" w:evenVBand="0" w:oddHBand="0" w:evenHBand="0" w:firstRowFirstColumn="0" w:firstRowLastColumn="0" w:lastRowFirstColumn="0" w:lastRowLastColumn="0"/>
            <w:tcW w:w="1701" w:type="dxa"/>
            <w:noWrap/>
            <w:hideMark/>
          </w:tcPr>
          <w:p w14:paraId="06FE144B" w14:textId="77777777" w:rsidR="00346BE3" w:rsidRPr="00C23A32" w:rsidRDefault="00346BE3" w:rsidP="00437131">
            <w:pPr>
              <w:jc w:val="center"/>
              <w:rPr>
                <w:rFonts w:ascii="Cambria" w:hAnsi="Cambria"/>
                <w:sz w:val="20"/>
                <w:szCs w:val="20"/>
              </w:rPr>
            </w:pPr>
            <w:r w:rsidRPr="00C23A32">
              <w:rPr>
                <w:rFonts w:ascii="Cambria" w:hAnsi="Cambria"/>
                <w:sz w:val="20"/>
                <w:szCs w:val="20"/>
              </w:rPr>
              <w:t>30.09.2024.</w:t>
            </w:r>
          </w:p>
        </w:tc>
        <w:tc>
          <w:tcPr>
            <w:tcW w:w="1573" w:type="dxa"/>
            <w:noWrap/>
            <w:vAlign w:val="bottom"/>
            <w:hideMark/>
          </w:tcPr>
          <w:p w14:paraId="5C5D48A7"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54.55%</w:t>
            </w:r>
          </w:p>
        </w:tc>
        <w:tc>
          <w:tcPr>
            <w:tcW w:w="1661" w:type="dxa"/>
            <w:noWrap/>
            <w:vAlign w:val="bottom"/>
            <w:hideMark/>
          </w:tcPr>
          <w:p w14:paraId="01B90C7B"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4.81%</w:t>
            </w:r>
          </w:p>
        </w:tc>
        <w:tc>
          <w:tcPr>
            <w:tcW w:w="1590" w:type="dxa"/>
            <w:noWrap/>
            <w:vAlign w:val="bottom"/>
            <w:hideMark/>
          </w:tcPr>
          <w:p w14:paraId="33208E0C"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59.</w:t>
            </w:r>
            <w:r>
              <w:rPr>
                <w:rFonts w:ascii="Cambria" w:hAnsi="Cambria" w:cs="Calibri"/>
                <w:color w:val="000000"/>
                <w:sz w:val="20"/>
                <w:szCs w:val="20"/>
              </w:rPr>
              <w:t>36</w:t>
            </w:r>
            <w:r w:rsidRPr="00C23A32">
              <w:rPr>
                <w:rFonts w:ascii="Cambria" w:hAnsi="Cambria" w:cs="Calibri"/>
                <w:color w:val="000000"/>
                <w:sz w:val="20"/>
                <w:szCs w:val="20"/>
              </w:rPr>
              <w:t>%</w:t>
            </w:r>
          </w:p>
        </w:tc>
        <w:tc>
          <w:tcPr>
            <w:tcW w:w="1576" w:type="dxa"/>
            <w:noWrap/>
            <w:vAlign w:val="bottom"/>
            <w:hideMark/>
          </w:tcPr>
          <w:p w14:paraId="02F62128"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0.83%</w:t>
            </w:r>
          </w:p>
        </w:tc>
        <w:tc>
          <w:tcPr>
            <w:tcW w:w="1286" w:type="dxa"/>
            <w:noWrap/>
            <w:vAlign w:val="bottom"/>
            <w:hideMark/>
          </w:tcPr>
          <w:p w14:paraId="3762A7E4"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3A32">
              <w:rPr>
                <w:rFonts w:ascii="Cambria" w:hAnsi="Cambria" w:cs="Calibri"/>
                <w:color w:val="000000"/>
                <w:sz w:val="20"/>
                <w:szCs w:val="20"/>
              </w:rPr>
              <w:t>60.</w:t>
            </w:r>
            <w:r>
              <w:rPr>
                <w:rFonts w:ascii="Cambria" w:hAnsi="Cambria" w:cs="Calibri"/>
                <w:color w:val="000000"/>
                <w:sz w:val="20"/>
                <w:szCs w:val="20"/>
              </w:rPr>
              <w:t>19</w:t>
            </w:r>
            <w:r w:rsidRPr="00C23A32">
              <w:rPr>
                <w:rFonts w:ascii="Cambria" w:hAnsi="Cambria" w:cs="Calibri"/>
                <w:color w:val="000000"/>
                <w:sz w:val="20"/>
                <w:szCs w:val="20"/>
              </w:rPr>
              <w:t>%</w:t>
            </w:r>
          </w:p>
        </w:tc>
      </w:tr>
    </w:tbl>
    <w:p w14:paraId="5DE13AD5" w14:textId="77777777" w:rsidR="00346BE3" w:rsidRPr="00C23A32" w:rsidRDefault="00346BE3" w:rsidP="00346BE3">
      <w:pPr>
        <w:rPr>
          <w:rFonts w:ascii="Cambria" w:eastAsia="Calibri" w:hAnsi="Cambria"/>
          <w:lang w:val="sr-Latn-ME"/>
        </w:rPr>
      </w:pPr>
      <w:r w:rsidRPr="00C23A32">
        <w:rPr>
          <w:rFonts w:ascii="Cambria" w:hAnsi="Cambria"/>
        </w:rPr>
        <w:fldChar w:fldCharType="end"/>
      </w:r>
    </w:p>
    <w:p w14:paraId="249AEBAD" w14:textId="77777777" w:rsidR="00346BE3" w:rsidRPr="00437131" w:rsidRDefault="00346BE3" w:rsidP="00437131">
      <w:pPr>
        <w:jc w:val="both"/>
        <w:rPr>
          <w:sz w:val="24"/>
          <w:szCs w:val="24"/>
          <w:lang w:val="sr-Latn-ME"/>
        </w:rPr>
      </w:pPr>
      <w:r w:rsidRPr="00437131">
        <w:rPr>
          <w:sz w:val="24"/>
          <w:szCs w:val="24"/>
          <w:lang w:val="sr-Latn-ME"/>
        </w:rPr>
        <w:t>U strukturi spoljnjeg duga, koji je na kraju trećeg kvartala iznosio 4.046.1 miliona eura, dug kod međunarodnih finansijskih institucija</w:t>
      </w:r>
      <w:r w:rsidRPr="00437131">
        <w:rPr>
          <w:rStyle w:val="FootnoteReference"/>
          <w:rFonts w:ascii="Cambria" w:hAnsi="Cambria"/>
          <w:sz w:val="24"/>
          <w:szCs w:val="24"/>
          <w:lang w:val="sr-Latn-ME"/>
        </w:rPr>
        <w:footnoteReference w:id="9"/>
      </w:r>
      <w:r w:rsidRPr="00437131">
        <w:rPr>
          <w:sz w:val="24"/>
          <w:szCs w:val="24"/>
          <w:lang w:val="sr-Latn-ME"/>
        </w:rPr>
        <w:t xml:space="preserve"> iznosio je oko 12,7%, dug po bilateralnim (mekim) zajmovima</w:t>
      </w:r>
      <w:r w:rsidRPr="00437131">
        <w:rPr>
          <w:rStyle w:val="FootnoteReference"/>
          <w:rFonts w:ascii="Cambria" w:hAnsi="Cambria"/>
          <w:sz w:val="24"/>
          <w:szCs w:val="24"/>
          <w:lang w:val="sr-Latn-ME"/>
        </w:rPr>
        <w:footnoteReference w:id="10"/>
      </w:r>
      <w:r w:rsidRPr="00437131">
        <w:rPr>
          <w:sz w:val="24"/>
          <w:szCs w:val="24"/>
          <w:lang w:val="sr-Latn-ME"/>
        </w:rPr>
        <w:t xml:space="preserve">  iznosio je oko 18,1%, dug po osnovu komercijalnih kreditnih aranžmana za potrebe finansiranja budžeta iznosio je oko 8,9%, dok je dug po osnovu euroobveznica iznosio oko 60,2% ukupnog spoljnjeg duga. </w:t>
      </w:r>
    </w:p>
    <w:p w14:paraId="66500DB5" w14:textId="77777777" w:rsidR="00346BE3" w:rsidRDefault="00346BE3" w:rsidP="00346BE3">
      <w:pPr>
        <w:rPr>
          <w:rFonts w:ascii="Cambria" w:hAnsi="Cambria"/>
          <w:lang w:val="sr-Latn-ME"/>
        </w:rPr>
      </w:pPr>
      <w:r w:rsidRPr="00C23A32">
        <w:rPr>
          <w:rFonts w:ascii="Cambria" w:hAnsi="Cambria"/>
          <w:lang w:val="sr-Latn-ME"/>
        </w:rPr>
        <w:lastRenderedPageBreak/>
        <w:t xml:space="preserve">                           </w:t>
      </w:r>
      <w:r w:rsidRPr="00C23A32">
        <w:rPr>
          <w:rFonts w:ascii="Cambria" w:hAnsi="Cambria"/>
          <w:noProof/>
          <w:lang w:val="en-GB" w:eastAsia="en-GB"/>
        </w:rPr>
        <w:drawing>
          <wp:inline distT="0" distB="0" distL="0" distR="0" wp14:anchorId="4B0D9346" wp14:editId="62D7CA8E">
            <wp:extent cx="4362450" cy="2286000"/>
            <wp:effectExtent l="0" t="0" r="0" b="0"/>
            <wp:docPr id="17" name="Chart 17">
              <a:extLst xmlns:a="http://schemas.openxmlformats.org/drawingml/2006/main">
                <a:ext uri="{FF2B5EF4-FFF2-40B4-BE49-F238E27FC236}">
                  <a16:creationId xmlns:a16="http://schemas.microsoft.com/office/drawing/2014/main" id="{C03257E0-B1B1-4039-A25E-F009C3979E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82ACBFF" w14:textId="77777777" w:rsidR="00346BE3" w:rsidRPr="00437131" w:rsidRDefault="00346BE3" w:rsidP="00437131">
      <w:pPr>
        <w:jc w:val="both"/>
        <w:rPr>
          <w:sz w:val="24"/>
          <w:szCs w:val="24"/>
          <w:lang w:val="sr-Latn-ME"/>
        </w:rPr>
      </w:pPr>
      <w:r w:rsidRPr="00437131">
        <w:rPr>
          <w:sz w:val="24"/>
          <w:szCs w:val="24"/>
          <w:lang w:val="sr-Latn-ME"/>
        </w:rPr>
        <w:t xml:space="preserve">U iznos spoljnjeg duga nisu uključene obaveze po osnovu neriješenih dužničko-povjerilačkih pitanja prema Libiji i Kuvajtu, u visini od oko 1% BDP-a. Dug prema vladama ove dvije zemlje Crnoj Gori je pripao po osnovu raspodjele nealociranog duga (5,88% od 38% za Srbiju i Crnu Goru), i shodno Sporazumu o pitanjima sukcesije iz Beča 29. juna 2001. godine, rješava se usaglašenim stavovima u okviru Komiteta za podjelu finansijske aktive i pasive bivše SFRJ. </w:t>
      </w:r>
    </w:p>
    <w:p w14:paraId="0CE0B70D" w14:textId="77777777" w:rsidR="00346BE3" w:rsidRPr="00437131" w:rsidRDefault="00346BE3" w:rsidP="00437131">
      <w:pPr>
        <w:jc w:val="both"/>
        <w:rPr>
          <w:sz w:val="24"/>
          <w:szCs w:val="24"/>
          <w:lang w:val="sr-Latn-ME"/>
        </w:rPr>
      </w:pPr>
      <w:r w:rsidRPr="00437131">
        <w:rPr>
          <w:sz w:val="24"/>
          <w:szCs w:val="24"/>
          <w:lang w:val="sr-Latn-ME"/>
        </w:rPr>
        <w:t xml:space="preserve">Kada govorimo o strukturi unutrašnjeg duga, koji je na kraju trećeg kvartala tekuće godine iznosio 356,5 miliona eura, najveće učešće su imale obaveze po osnovu kredita kod domaćih komercijalnih banaka sa učešćem u unutrašnjem dugu od 53,7%, domaće obveznice sa učešćem od 14,0%, dok se na obaveze pravnih lica i privrednih društava odnosilo 7,9%. Ostale obaveze iz unutrašnjeg duga odnose se na obaveze iz prethodnog perioda po osnovu stare devizne štednje, restitucije i zaostalih penzija i čine oko 24.5% ukupnog unutrašnjeg duga. </w:t>
      </w:r>
    </w:p>
    <w:p w14:paraId="01F1499F" w14:textId="77777777" w:rsidR="00437131" w:rsidRDefault="00346BE3" w:rsidP="00437131">
      <w:pPr>
        <w:jc w:val="both"/>
        <w:rPr>
          <w:rFonts w:ascii="Cambria" w:hAnsi="Cambria"/>
          <w:lang w:val="sr-Latn-ME"/>
        </w:rPr>
      </w:pPr>
      <w:r w:rsidRPr="00C23A32">
        <w:rPr>
          <w:rFonts w:ascii="Cambria" w:hAnsi="Cambria"/>
          <w:lang w:val="sr-Latn-ME"/>
        </w:rPr>
        <w:t xml:space="preserve">                                </w:t>
      </w:r>
      <w:r w:rsidRPr="00C23A32">
        <w:rPr>
          <w:rFonts w:ascii="Cambria" w:hAnsi="Cambria"/>
          <w:noProof/>
          <w:lang w:val="en-GB" w:eastAsia="en-GB"/>
        </w:rPr>
        <w:drawing>
          <wp:inline distT="0" distB="0" distL="0" distR="0" wp14:anchorId="0B829988" wp14:editId="2C48B81F">
            <wp:extent cx="4724400" cy="2743200"/>
            <wp:effectExtent l="0" t="0" r="0" b="0"/>
            <wp:docPr id="22" name="Chart 22">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3DB3728" w14:textId="4F621CA2" w:rsidR="00346BE3" w:rsidRPr="00437131" w:rsidRDefault="00346BE3" w:rsidP="00437131">
      <w:pPr>
        <w:jc w:val="both"/>
        <w:rPr>
          <w:sz w:val="24"/>
          <w:szCs w:val="24"/>
          <w:lang w:val="sr-Latn-ME"/>
        </w:rPr>
      </w:pPr>
      <w:r w:rsidRPr="00437131">
        <w:rPr>
          <w:sz w:val="24"/>
          <w:szCs w:val="24"/>
          <w:lang w:val="sr-Latn-ME"/>
        </w:rPr>
        <w:lastRenderedPageBreak/>
        <w:t xml:space="preserve">Dug lokalne samouprave je, tokom 2024. godine, pokazao trend blagog pada i ne očekuju se značajnija odstupanja. </w:t>
      </w:r>
    </w:p>
    <w:p w14:paraId="2BDFAD4F" w14:textId="77777777" w:rsidR="00346BE3" w:rsidRPr="00437131" w:rsidRDefault="00346BE3" w:rsidP="00437131">
      <w:pPr>
        <w:jc w:val="both"/>
        <w:rPr>
          <w:sz w:val="24"/>
          <w:szCs w:val="24"/>
          <w:lang w:val="sr-Latn-ME"/>
        </w:rPr>
      </w:pPr>
      <w:r w:rsidRPr="00437131">
        <w:rPr>
          <w:sz w:val="24"/>
          <w:szCs w:val="24"/>
          <w:lang w:val="sr-Latn-ME"/>
        </w:rPr>
        <w:t xml:space="preserve">Kada govorimo o otplati državnog duga tokom 2024. godine, ista je iznosila ukupno 489.1 miliona eura, od čega se 395,0 miliona eura odnosilo na otplatu glavnice, dok se 94,1 miliona eura odnosilo na otplatu kamate. Pored otplate državnog duga, tokom 2024. godine Ministarstvo finansija je otplatilo i 5,9 miliona eura po osnovu izdatih državnih garancija. </w:t>
      </w:r>
    </w:p>
    <w:p w14:paraId="3F0876E2" w14:textId="77777777" w:rsidR="00346BE3" w:rsidRPr="00C23A32" w:rsidRDefault="00346BE3" w:rsidP="00346BE3">
      <w:pPr>
        <w:rPr>
          <w:rFonts w:ascii="Cambria" w:hAnsi="Cambria"/>
          <w:b/>
          <w:sz w:val="18"/>
          <w:szCs w:val="18"/>
          <w:lang w:val="sr-Latn-ME"/>
        </w:rPr>
      </w:pPr>
      <w:r w:rsidRPr="00C23A32">
        <w:rPr>
          <w:rFonts w:ascii="Cambria" w:hAnsi="Cambria"/>
          <w:b/>
          <w:sz w:val="18"/>
          <w:szCs w:val="18"/>
        </w:rPr>
        <w:t>Tabela 3: Otplata dr</w:t>
      </w:r>
      <w:r w:rsidRPr="00C23A32">
        <w:rPr>
          <w:rFonts w:ascii="Cambria" w:hAnsi="Cambria"/>
          <w:b/>
          <w:sz w:val="18"/>
          <w:szCs w:val="18"/>
          <w:lang w:val="sr-Latn-ME"/>
        </w:rPr>
        <w:t>ž</w:t>
      </w:r>
      <w:r w:rsidRPr="00C23A32">
        <w:rPr>
          <w:rFonts w:ascii="Cambria" w:hAnsi="Cambria"/>
          <w:b/>
          <w:sz w:val="18"/>
          <w:szCs w:val="18"/>
        </w:rPr>
        <w:t>avnog duga i duga po osnovu državnih garancija tokom prva tri kvartala 2024. godine</w:t>
      </w:r>
    </w:p>
    <w:tbl>
      <w:tblPr>
        <w:tblStyle w:val="GridTable1Light-Accent2"/>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0"/>
        <w:gridCol w:w="1780"/>
      </w:tblGrid>
      <w:tr w:rsidR="00346BE3" w:rsidRPr="00C23A32" w14:paraId="5C4FB8CE" w14:textId="77777777" w:rsidTr="0043713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048" w:type="pct"/>
            <w:tcBorders>
              <w:bottom w:val="none" w:sz="0" w:space="0" w:color="auto"/>
            </w:tcBorders>
            <w:shd w:val="clear" w:color="auto" w:fill="FFE599" w:themeFill="accent4" w:themeFillTint="66"/>
            <w:noWrap/>
            <w:hideMark/>
          </w:tcPr>
          <w:p w14:paraId="42C58502" w14:textId="77777777" w:rsidR="00346BE3" w:rsidRPr="00C23A32" w:rsidRDefault="00346BE3" w:rsidP="00437131">
            <w:pPr>
              <w:rPr>
                <w:rFonts w:ascii="Cambria" w:hAnsi="Cambria"/>
                <w:sz w:val="20"/>
                <w:szCs w:val="20"/>
                <w:lang w:val="sr-Latn-ME"/>
              </w:rPr>
            </w:pPr>
            <w:r w:rsidRPr="00C23A32">
              <w:rPr>
                <w:rFonts w:ascii="Cambria" w:hAnsi="Cambria"/>
                <w:sz w:val="20"/>
                <w:szCs w:val="20"/>
                <w:lang w:val="sr-Latn-ME"/>
              </w:rPr>
              <w:t>Kategorija</w:t>
            </w:r>
          </w:p>
        </w:tc>
        <w:tc>
          <w:tcPr>
            <w:tcW w:w="952" w:type="pct"/>
            <w:tcBorders>
              <w:bottom w:val="none" w:sz="0" w:space="0" w:color="auto"/>
            </w:tcBorders>
            <w:shd w:val="clear" w:color="auto" w:fill="FFE599" w:themeFill="accent4" w:themeFillTint="66"/>
            <w:noWrap/>
            <w:hideMark/>
          </w:tcPr>
          <w:p w14:paraId="2E8C6D74" w14:textId="77777777" w:rsidR="00346BE3" w:rsidRPr="00C23A32" w:rsidRDefault="00346BE3" w:rsidP="00437131">
            <w:pPr>
              <w:jc w:val="center"/>
              <w:cnfStyle w:val="100000000000" w:firstRow="1" w:lastRow="0" w:firstColumn="0" w:lastColumn="0" w:oddVBand="0" w:evenVBand="0" w:oddHBand="0" w:evenHBand="0" w:firstRowFirstColumn="0" w:firstRowLastColumn="0" w:lastRowFirstColumn="0" w:lastRowLastColumn="0"/>
              <w:rPr>
                <w:rFonts w:ascii="Cambria" w:hAnsi="Cambria"/>
                <w:sz w:val="20"/>
                <w:szCs w:val="20"/>
                <w:lang w:val="sr-Latn-ME"/>
              </w:rPr>
            </w:pPr>
            <w:r w:rsidRPr="00C23A32">
              <w:rPr>
                <w:rFonts w:ascii="Cambria" w:hAnsi="Cambria"/>
                <w:sz w:val="20"/>
                <w:szCs w:val="20"/>
                <w:lang w:val="sr-Latn-ME"/>
              </w:rPr>
              <w:t>30.09.2024</w:t>
            </w:r>
            <w:r>
              <w:rPr>
                <w:rFonts w:ascii="Cambria" w:hAnsi="Cambria"/>
                <w:sz w:val="20"/>
                <w:szCs w:val="20"/>
                <w:lang w:val="sr-Latn-ME"/>
              </w:rPr>
              <w:t>.</w:t>
            </w:r>
          </w:p>
        </w:tc>
      </w:tr>
      <w:tr w:rsidR="00346BE3" w:rsidRPr="00C23A32" w14:paraId="78EBB056" w14:textId="77777777" w:rsidTr="00437131">
        <w:trPr>
          <w:trHeight w:val="330"/>
        </w:trPr>
        <w:tc>
          <w:tcPr>
            <w:cnfStyle w:val="001000000000" w:firstRow="0" w:lastRow="0" w:firstColumn="1" w:lastColumn="0" w:oddVBand="0" w:evenVBand="0" w:oddHBand="0" w:evenHBand="0" w:firstRowFirstColumn="0" w:firstRowLastColumn="0" w:lastRowFirstColumn="0" w:lastRowLastColumn="0"/>
            <w:tcW w:w="4048" w:type="pct"/>
            <w:noWrap/>
            <w:hideMark/>
          </w:tcPr>
          <w:p w14:paraId="7971A37B" w14:textId="77777777" w:rsidR="00346BE3" w:rsidRPr="00C23A32" w:rsidRDefault="00346BE3" w:rsidP="00437131">
            <w:pPr>
              <w:rPr>
                <w:rFonts w:ascii="Cambria" w:hAnsi="Cambria"/>
                <w:b w:val="0"/>
                <w:sz w:val="20"/>
                <w:szCs w:val="20"/>
                <w:lang w:val="sr-Latn-ME"/>
              </w:rPr>
            </w:pPr>
            <w:r w:rsidRPr="00C23A32">
              <w:rPr>
                <w:rFonts w:ascii="Cambria" w:hAnsi="Cambria"/>
                <w:b w:val="0"/>
                <w:sz w:val="20"/>
                <w:szCs w:val="20"/>
                <w:lang w:val="sr-Latn-ME"/>
              </w:rPr>
              <w:t>Otplata glavnice rezidentima</w:t>
            </w:r>
          </w:p>
        </w:tc>
        <w:tc>
          <w:tcPr>
            <w:tcW w:w="952" w:type="pct"/>
            <w:noWrap/>
            <w:hideMark/>
          </w:tcPr>
          <w:p w14:paraId="17998E10"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bCs/>
                <w:sz w:val="20"/>
                <w:szCs w:val="20"/>
                <w:lang w:val="sr-Latn-ME"/>
              </w:rPr>
            </w:pPr>
            <w:r w:rsidRPr="00C23A32">
              <w:rPr>
                <w:rFonts w:ascii="Cambria" w:hAnsi="Cambria" w:cs="Calibri"/>
                <w:color w:val="000000"/>
              </w:rPr>
              <w:t>180.9</w:t>
            </w:r>
          </w:p>
        </w:tc>
      </w:tr>
      <w:tr w:rsidR="00346BE3" w:rsidRPr="00C23A32" w14:paraId="73E3DAE2" w14:textId="77777777" w:rsidTr="00437131">
        <w:trPr>
          <w:trHeight w:val="315"/>
        </w:trPr>
        <w:tc>
          <w:tcPr>
            <w:cnfStyle w:val="001000000000" w:firstRow="0" w:lastRow="0" w:firstColumn="1" w:lastColumn="0" w:oddVBand="0" w:evenVBand="0" w:oddHBand="0" w:evenHBand="0" w:firstRowFirstColumn="0" w:firstRowLastColumn="0" w:lastRowFirstColumn="0" w:lastRowLastColumn="0"/>
            <w:tcW w:w="4048" w:type="pct"/>
            <w:noWrap/>
            <w:hideMark/>
          </w:tcPr>
          <w:p w14:paraId="04D8B9BF" w14:textId="77777777" w:rsidR="00346BE3" w:rsidRPr="00C23A32" w:rsidRDefault="00346BE3" w:rsidP="00437131">
            <w:pPr>
              <w:rPr>
                <w:rFonts w:ascii="Cambria" w:hAnsi="Cambria"/>
                <w:b w:val="0"/>
                <w:sz w:val="20"/>
                <w:szCs w:val="20"/>
                <w:lang w:val="sr-Latn-ME"/>
              </w:rPr>
            </w:pPr>
            <w:r w:rsidRPr="00C23A32">
              <w:rPr>
                <w:rFonts w:ascii="Cambria" w:hAnsi="Cambria"/>
                <w:b w:val="0"/>
                <w:sz w:val="20"/>
                <w:szCs w:val="20"/>
                <w:lang w:val="sr-Latn-ME"/>
              </w:rPr>
              <w:t>Otplata glavnice nerezidentima</w:t>
            </w:r>
          </w:p>
        </w:tc>
        <w:tc>
          <w:tcPr>
            <w:tcW w:w="952" w:type="pct"/>
            <w:noWrap/>
            <w:hideMark/>
          </w:tcPr>
          <w:p w14:paraId="095A9A73"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bCs/>
                <w:sz w:val="20"/>
                <w:szCs w:val="20"/>
                <w:lang w:val="sr-Latn-ME"/>
              </w:rPr>
            </w:pPr>
            <w:r w:rsidRPr="00C23A32">
              <w:rPr>
                <w:rFonts w:ascii="Cambria" w:hAnsi="Cambria" w:cs="Calibri"/>
                <w:color w:val="000000"/>
              </w:rPr>
              <w:t>214.1</w:t>
            </w:r>
          </w:p>
        </w:tc>
      </w:tr>
      <w:tr w:rsidR="00346BE3" w:rsidRPr="00C23A32" w14:paraId="3DDAA881" w14:textId="77777777" w:rsidTr="00437131">
        <w:trPr>
          <w:trHeight w:val="315"/>
        </w:trPr>
        <w:tc>
          <w:tcPr>
            <w:cnfStyle w:val="001000000000" w:firstRow="0" w:lastRow="0" w:firstColumn="1" w:lastColumn="0" w:oddVBand="0" w:evenVBand="0" w:oddHBand="0" w:evenHBand="0" w:firstRowFirstColumn="0" w:firstRowLastColumn="0" w:lastRowFirstColumn="0" w:lastRowLastColumn="0"/>
            <w:tcW w:w="4048" w:type="pct"/>
            <w:noWrap/>
            <w:hideMark/>
          </w:tcPr>
          <w:p w14:paraId="0750F748" w14:textId="77777777" w:rsidR="00346BE3" w:rsidRPr="00C23A32" w:rsidRDefault="00346BE3" w:rsidP="00437131">
            <w:pPr>
              <w:rPr>
                <w:rFonts w:ascii="Cambria" w:hAnsi="Cambria"/>
                <w:sz w:val="20"/>
                <w:szCs w:val="20"/>
                <w:lang w:val="sr-Latn-ME"/>
              </w:rPr>
            </w:pPr>
            <w:r w:rsidRPr="00C23A32">
              <w:rPr>
                <w:rFonts w:ascii="Cambria" w:hAnsi="Cambria"/>
                <w:sz w:val="20"/>
                <w:szCs w:val="20"/>
                <w:lang w:val="sr-Latn-ME"/>
              </w:rPr>
              <w:t>Ukupna otplata glavnice</w:t>
            </w:r>
          </w:p>
        </w:tc>
        <w:tc>
          <w:tcPr>
            <w:tcW w:w="952" w:type="pct"/>
            <w:noWrap/>
            <w:hideMark/>
          </w:tcPr>
          <w:p w14:paraId="482B3D47"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b/>
                <w:bCs/>
                <w:sz w:val="20"/>
                <w:szCs w:val="20"/>
                <w:lang w:val="sr-Latn-ME"/>
              </w:rPr>
            </w:pPr>
            <w:r w:rsidRPr="00C23A32">
              <w:rPr>
                <w:rFonts w:ascii="Cambria" w:hAnsi="Cambria"/>
                <w:b/>
                <w:bCs/>
                <w:sz w:val="20"/>
                <w:szCs w:val="20"/>
                <w:lang w:val="sr-Latn-ME"/>
              </w:rPr>
              <w:t>395,0</w:t>
            </w:r>
          </w:p>
        </w:tc>
      </w:tr>
      <w:tr w:rsidR="00346BE3" w:rsidRPr="00C23A32" w14:paraId="1F9AE1D6" w14:textId="77777777" w:rsidTr="00437131">
        <w:trPr>
          <w:trHeight w:val="315"/>
        </w:trPr>
        <w:tc>
          <w:tcPr>
            <w:cnfStyle w:val="001000000000" w:firstRow="0" w:lastRow="0" w:firstColumn="1" w:lastColumn="0" w:oddVBand="0" w:evenVBand="0" w:oddHBand="0" w:evenHBand="0" w:firstRowFirstColumn="0" w:firstRowLastColumn="0" w:lastRowFirstColumn="0" w:lastRowLastColumn="0"/>
            <w:tcW w:w="4048" w:type="pct"/>
            <w:noWrap/>
            <w:hideMark/>
          </w:tcPr>
          <w:p w14:paraId="087F434B" w14:textId="77777777" w:rsidR="00346BE3" w:rsidRPr="00C23A32" w:rsidRDefault="00346BE3" w:rsidP="00437131">
            <w:pPr>
              <w:rPr>
                <w:rFonts w:ascii="Cambria" w:hAnsi="Cambria"/>
                <w:b w:val="0"/>
                <w:sz w:val="20"/>
                <w:szCs w:val="20"/>
                <w:lang w:val="sr-Latn-ME"/>
              </w:rPr>
            </w:pPr>
            <w:r w:rsidRPr="00C23A32">
              <w:rPr>
                <w:rFonts w:ascii="Cambria" w:hAnsi="Cambria"/>
                <w:b w:val="0"/>
                <w:sz w:val="20"/>
                <w:szCs w:val="20"/>
                <w:lang w:val="sr-Latn-ME"/>
              </w:rPr>
              <w:t>Otplata kamate rezidentima</w:t>
            </w:r>
          </w:p>
        </w:tc>
        <w:tc>
          <w:tcPr>
            <w:tcW w:w="952" w:type="pct"/>
            <w:noWrap/>
            <w:hideMark/>
          </w:tcPr>
          <w:p w14:paraId="15455357"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bCs/>
                <w:sz w:val="20"/>
                <w:szCs w:val="20"/>
                <w:lang w:val="sr-Latn-ME"/>
              </w:rPr>
            </w:pPr>
            <w:r w:rsidRPr="00C23A32">
              <w:rPr>
                <w:rFonts w:ascii="Cambria" w:hAnsi="Cambria" w:cs="Calibri"/>
                <w:color w:val="000000"/>
              </w:rPr>
              <w:t>14.16</w:t>
            </w:r>
          </w:p>
        </w:tc>
      </w:tr>
      <w:tr w:rsidR="00346BE3" w:rsidRPr="00C23A32" w14:paraId="0CC1B1EE" w14:textId="77777777" w:rsidTr="00437131">
        <w:trPr>
          <w:trHeight w:val="315"/>
        </w:trPr>
        <w:tc>
          <w:tcPr>
            <w:cnfStyle w:val="001000000000" w:firstRow="0" w:lastRow="0" w:firstColumn="1" w:lastColumn="0" w:oddVBand="0" w:evenVBand="0" w:oddHBand="0" w:evenHBand="0" w:firstRowFirstColumn="0" w:firstRowLastColumn="0" w:lastRowFirstColumn="0" w:lastRowLastColumn="0"/>
            <w:tcW w:w="4048" w:type="pct"/>
            <w:noWrap/>
            <w:hideMark/>
          </w:tcPr>
          <w:p w14:paraId="13D68F2F" w14:textId="77777777" w:rsidR="00346BE3" w:rsidRPr="00C23A32" w:rsidRDefault="00346BE3" w:rsidP="00437131">
            <w:pPr>
              <w:rPr>
                <w:rFonts w:ascii="Cambria" w:hAnsi="Cambria"/>
                <w:b w:val="0"/>
                <w:sz w:val="20"/>
                <w:szCs w:val="20"/>
                <w:lang w:val="sr-Latn-ME"/>
              </w:rPr>
            </w:pPr>
            <w:r w:rsidRPr="00C23A32">
              <w:rPr>
                <w:rFonts w:ascii="Cambria" w:hAnsi="Cambria"/>
                <w:b w:val="0"/>
                <w:sz w:val="20"/>
                <w:szCs w:val="20"/>
                <w:lang w:val="sr-Latn-ME"/>
              </w:rPr>
              <w:t>Otplata kamate nerezidentima</w:t>
            </w:r>
          </w:p>
        </w:tc>
        <w:tc>
          <w:tcPr>
            <w:tcW w:w="952" w:type="pct"/>
            <w:noWrap/>
            <w:hideMark/>
          </w:tcPr>
          <w:p w14:paraId="293FB9A5"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bCs/>
                <w:sz w:val="20"/>
                <w:szCs w:val="20"/>
                <w:lang w:val="sr-Latn-ME"/>
              </w:rPr>
            </w:pPr>
            <w:r w:rsidRPr="00C23A32">
              <w:rPr>
                <w:rFonts w:ascii="Cambria" w:hAnsi="Cambria" w:cs="Calibri"/>
                <w:color w:val="000000"/>
              </w:rPr>
              <w:t>79.92</w:t>
            </w:r>
          </w:p>
        </w:tc>
      </w:tr>
      <w:tr w:rsidR="00346BE3" w:rsidRPr="00C23A32" w14:paraId="69BED9A9" w14:textId="77777777" w:rsidTr="00437131">
        <w:trPr>
          <w:trHeight w:val="340"/>
        </w:trPr>
        <w:tc>
          <w:tcPr>
            <w:cnfStyle w:val="001000000000" w:firstRow="0" w:lastRow="0" w:firstColumn="1" w:lastColumn="0" w:oddVBand="0" w:evenVBand="0" w:oddHBand="0" w:evenHBand="0" w:firstRowFirstColumn="0" w:firstRowLastColumn="0" w:lastRowFirstColumn="0" w:lastRowLastColumn="0"/>
            <w:tcW w:w="4048" w:type="pct"/>
            <w:noWrap/>
            <w:hideMark/>
          </w:tcPr>
          <w:p w14:paraId="7DD3B9C5" w14:textId="77777777" w:rsidR="00346BE3" w:rsidRPr="00C23A32" w:rsidRDefault="00346BE3" w:rsidP="00437131">
            <w:pPr>
              <w:rPr>
                <w:rFonts w:ascii="Cambria" w:hAnsi="Cambria"/>
                <w:sz w:val="20"/>
                <w:szCs w:val="20"/>
                <w:lang w:val="sr-Latn-ME"/>
              </w:rPr>
            </w:pPr>
            <w:r w:rsidRPr="00C23A32">
              <w:rPr>
                <w:rFonts w:ascii="Cambria" w:hAnsi="Cambria"/>
                <w:sz w:val="20"/>
                <w:szCs w:val="20"/>
                <w:lang w:val="sr-Latn-ME"/>
              </w:rPr>
              <w:t>Ukupna otplata kamate</w:t>
            </w:r>
          </w:p>
        </w:tc>
        <w:tc>
          <w:tcPr>
            <w:tcW w:w="952" w:type="pct"/>
            <w:noWrap/>
            <w:hideMark/>
          </w:tcPr>
          <w:p w14:paraId="3E8AB141"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b/>
                <w:bCs/>
                <w:sz w:val="20"/>
                <w:szCs w:val="20"/>
                <w:lang w:val="sr-Latn-ME"/>
              </w:rPr>
            </w:pPr>
            <w:r w:rsidRPr="00C23A32">
              <w:rPr>
                <w:rFonts w:ascii="Cambria" w:hAnsi="Cambria"/>
                <w:b/>
                <w:bCs/>
                <w:sz w:val="20"/>
                <w:szCs w:val="20"/>
                <w:lang w:val="sr-Latn-ME"/>
              </w:rPr>
              <w:t>94,1</w:t>
            </w:r>
          </w:p>
        </w:tc>
      </w:tr>
      <w:tr w:rsidR="00346BE3" w:rsidRPr="00C23A32" w14:paraId="6A1134AA" w14:textId="77777777" w:rsidTr="00437131">
        <w:trPr>
          <w:trHeight w:val="315"/>
        </w:trPr>
        <w:tc>
          <w:tcPr>
            <w:cnfStyle w:val="001000000000" w:firstRow="0" w:lastRow="0" w:firstColumn="1" w:lastColumn="0" w:oddVBand="0" w:evenVBand="0" w:oddHBand="0" w:evenHBand="0" w:firstRowFirstColumn="0" w:firstRowLastColumn="0" w:lastRowFirstColumn="0" w:lastRowLastColumn="0"/>
            <w:tcW w:w="4048" w:type="pct"/>
            <w:noWrap/>
            <w:hideMark/>
          </w:tcPr>
          <w:p w14:paraId="59B11A6F" w14:textId="77777777" w:rsidR="00346BE3" w:rsidRPr="00C23A32" w:rsidRDefault="00346BE3" w:rsidP="00437131">
            <w:pPr>
              <w:rPr>
                <w:rFonts w:ascii="Cambria" w:hAnsi="Cambria"/>
                <w:b w:val="0"/>
                <w:sz w:val="20"/>
                <w:szCs w:val="20"/>
                <w:lang w:val="sr-Latn-ME"/>
              </w:rPr>
            </w:pPr>
            <w:r w:rsidRPr="00C23A32">
              <w:rPr>
                <w:rFonts w:ascii="Cambria" w:hAnsi="Cambria"/>
                <w:sz w:val="20"/>
                <w:szCs w:val="20"/>
                <w:lang w:val="sr-Latn-ME"/>
              </w:rPr>
              <w:t>Otplata ino državnih garancija</w:t>
            </w:r>
          </w:p>
        </w:tc>
        <w:tc>
          <w:tcPr>
            <w:tcW w:w="952" w:type="pct"/>
            <w:noWrap/>
            <w:hideMark/>
          </w:tcPr>
          <w:p w14:paraId="7A4FFFB1"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bCs/>
                <w:sz w:val="20"/>
                <w:szCs w:val="20"/>
                <w:lang w:val="sr-Latn-ME"/>
              </w:rPr>
            </w:pPr>
            <w:r w:rsidRPr="00C23A32">
              <w:rPr>
                <w:rFonts w:ascii="Cambria" w:hAnsi="Cambria" w:cs="Calibri"/>
                <w:color w:val="000000"/>
              </w:rPr>
              <w:t>5.9</w:t>
            </w:r>
          </w:p>
        </w:tc>
      </w:tr>
      <w:tr w:rsidR="00346BE3" w:rsidRPr="00C23A32" w14:paraId="7DAD8154" w14:textId="77777777" w:rsidTr="00437131">
        <w:trPr>
          <w:trHeight w:val="315"/>
        </w:trPr>
        <w:tc>
          <w:tcPr>
            <w:cnfStyle w:val="001000000000" w:firstRow="0" w:lastRow="0" w:firstColumn="1" w:lastColumn="0" w:oddVBand="0" w:evenVBand="0" w:oddHBand="0" w:evenHBand="0" w:firstRowFirstColumn="0" w:firstRowLastColumn="0" w:lastRowFirstColumn="0" w:lastRowLastColumn="0"/>
            <w:tcW w:w="4048" w:type="pct"/>
            <w:noWrap/>
            <w:hideMark/>
          </w:tcPr>
          <w:p w14:paraId="311E5844" w14:textId="77777777" w:rsidR="00346BE3" w:rsidRPr="00C23A32" w:rsidRDefault="00346BE3" w:rsidP="00437131">
            <w:pPr>
              <w:rPr>
                <w:rFonts w:ascii="Cambria" w:hAnsi="Cambria"/>
                <w:sz w:val="20"/>
                <w:szCs w:val="20"/>
                <w:lang w:val="sr-Latn-ME"/>
              </w:rPr>
            </w:pPr>
            <w:r w:rsidRPr="00C23A32">
              <w:rPr>
                <w:rFonts w:ascii="Cambria" w:hAnsi="Cambria"/>
                <w:sz w:val="20"/>
                <w:szCs w:val="20"/>
                <w:lang w:val="sr-Latn-ME"/>
              </w:rPr>
              <w:t>UKUPNO</w:t>
            </w:r>
          </w:p>
        </w:tc>
        <w:tc>
          <w:tcPr>
            <w:tcW w:w="952" w:type="pct"/>
            <w:noWrap/>
            <w:hideMark/>
          </w:tcPr>
          <w:p w14:paraId="742D01DD" w14:textId="77777777" w:rsidR="00346BE3" w:rsidRPr="00C23A32" w:rsidRDefault="00346BE3" w:rsidP="00437131">
            <w:pPr>
              <w:jc w:val="center"/>
              <w:cnfStyle w:val="000000000000" w:firstRow="0" w:lastRow="0" w:firstColumn="0" w:lastColumn="0" w:oddVBand="0" w:evenVBand="0" w:oddHBand="0" w:evenHBand="0" w:firstRowFirstColumn="0" w:firstRowLastColumn="0" w:lastRowFirstColumn="0" w:lastRowLastColumn="0"/>
              <w:rPr>
                <w:rFonts w:ascii="Cambria" w:hAnsi="Cambria"/>
                <w:b/>
                <w:bCs/>
                <w:sz w:val="20"/>
                <w:szCs w:val="20"/>
                <w:lang w:val="sr-Latn-ME"/>
              </w:rPr>
            </w:pPr>
            <w:r w:rsidRPr="00C23A32">
              <w:rPr>
                <w:rFonts w:ascii="Cambria" w:hAnsi="Cambria"/>
                <w:b/>
                <w:bCs/>
                <w:sz w:val="20"/>
                <w:szCs w:val="20"/>
                <w:lang w:val="sr-Latn-ME"/>
              </w:rPr>
              <w:t>495,0</w:t>
            </w:r>
          </w:p>
        </w:tc>
      </w:tr>
    </w:tbl>
    <w:p w14:paraId="04477213" w14:textId="77777777" w:rsidR="00346BE3" w:rsidRPr="00437131" w:rsidRDefault="00346BE3" w:rsidP="00346BE3">
      <w:pPr>
        <w:rPr>
          <w:sz w:val="24"/>
          <w:szCs w:val="24"/>
          <w:lang w:val="sr-Latn-ME"/>
        </w:rPr>
      </w:pPr>
      <w:r w:rsidRPr="00437131">
        <w:rPr>
          <w:sz w:val="24"/>
          <w:szCs w:val="24"/>
          <w:lang w:val="sr-Latn-ME"/>
        </w:rPr>
        <w:t xml:space="preserve">Zaključno sa 30. septembrom 2024. godine zaključeni su sledeći kreditni aranžmani sa ino kreditorima:  </w:t>
      </w:r>
    </w:p>
    <w:p w14:paraId="43EFEE70" w14:textId="77777777" w:rsidR="00346BE3" w:rsidRPr="00437131" w:rsidRDefault="00346BE3" w:rsidP="00437131">
      <w:pPr>
        <w:pStyle w:val="ListParagraph"/>
        <w:numPr>
          <w:ilvl w:val="0"/>
          <w:numId w:val="12"/>
        </w:numPr>
        <w:jc w:val="both"/>
        <w:rPr>
          <w:b/>
          <w:sz w:val="24"/>
          <w:szCs w:val="24"/>
          <w:lang w:val="sr-Latn-ME"/>
        </w:rPr>
      </w:pPr>
      <w:r w:rsidRPr="00437131">
        <w:rPr>
          <w:sz w:val="24"/>
          <w:szCs w:val="24"/>
        </w:rPr>
        <w:t xml:space="preserve">Ugovor o kreditu sa Evropskom investicinom bankom (EIB) za finansiranje </w:t>
      </w:r>
      <w:r w:rsidRPr="00437131">
        <w:rPr>
          <w:b/>
          <w:color w:val="2F5496" w:themeColor="accent1" w:themeShade="BF"/>
          <w:sz w:val="24"/>
          <w:szCs w:val="24"/>
          <w:lang w:val="sr-Latn-ME"/>
        </w:rPr>
        <w:t>Projekta unapređenja crnogorske željeznice</w:t>
      </w:r>
      <w:r w:rsidRPr="00437131">
        <w:rPr>
          <w:sz w:val="24"/>
          <w:szCs w:val="24"/>
        </w:rPr>
        <w:t xml:space="preserve"> u iznosu od 40 miliona eura Ukupan iznos projekta, koji će realizovati Željeznička infrastruktura Crne Gore, procijenjen je na 80 miliona eura od čega je 35,5 miliona eura dodijeljeno kao grant u okviru Investicionog okvira za Zapadni Balkan (WBIF), dok je iznos od 40 miliona eura Crna Gora je obezbijedila kroz kreditni aranžman EIB-om. </w:t>
      </w:r>
    </w:p>
    <w:p w14:paraId="669B069E" w14:textId="77777777" w:rsidR="00346BE3" w:rsidRPr="00437131" w:rsidRDefault="00346BE3" w:rsidP="00437131">
      <w:pPr>
        <w:pStyle w:val="ListParagraph"/>
        <w:numPr>
          <w:ilvl w:val="0"/>
          <w:numId w:val="12"/>
        </w:numPr>
        <w:jc w:val="both"/>
        <w:rPr>
          <w:b/>
          <w:sz w:val="24"/>
          <w:szCs w:val="24"/>
          <w:lang w:val="sr-Latn-ME"/>
        </w:rPr>
      </w:pPr>
      <w:r w:rsidRPr="00437131">
        <w:rPr>
          <w:sz w:val="24"/>
          <w:szCs w:val="24"/>
        </w:rPr>
        <w:t xml:space="preserve">Ugovor o kreditu sa Evropskom bankom za obnovu i razvoj (EBRD) za potrebe finansiranja </w:t>
      </w:r>
      <w:r w:rsidRPr="00437131">
        <w:rPr>
          <w:b/>
          <w:color w:val="2F5496" w:themeColor="accent1" w:themeShade="BF"/>
          <w:sz w:val="24"/>
          <w:szCs w:val="24"/>
          <w:lang w:val="sr-Latn-ME"/>
        </w:rPr>
        <w:t>Projekta rekonstrukcije javnih zdravstvenih ustanova Kliničkog centra Crne Gore, Opšte bolnice Bijelo Polje i Opšte bolnice Cetinje</w:t>
      </w:r>
      <w:r w:rsidRPr="00437131">
        <w:rPr>
          <w:sz w:val="24"/>
          <w:szCs w:val="24"/>
        </w:rPr>
        <w:t xml:space="preserve">, u iznosu od 12 miliona eura, a u cilju unapređenja energetske efikasnosti pomenutih objekata. </w:t>
      </w:r>
    </w:p>
    <w:p w14:paraId="6459C39F" w14:textId="77777777" w:rsidR="00346BE3" w:rsidRPr="00437131" w:rsidRDefault="00346BE3" w:rsidP="00437131">
      <w:pPr>
        <w:jc w:val="both"/>
        <w:rPr>
          <w:sz w:val="24"/>
          <w:szCs w:val="24"/>
          <w:lang w:val="sr-Latn-ME"/>
        </w:rPr>
      </w:pPr>
      <w:r w:rsidRPr="00437131">
        <w:rPr>
          <w:sz w:val="24"/>
          <w:szCs w:val="24"/>
          <w:lang w:val="sr-Latn-ME"/>
        </w:rPr>
        <w:t>Potrebno je naglasiti da je tokom četvrtog kvartala 2024. godine finalizovan proces zaključivanja ugovora sa Svjetskom bankom, Francuskom Razvojnom agencijom i OPEC fondom za međunarodni razvoj u vezi sa zajmom zasnovanim na razvojnim politikama (DPL</w:t>
      </w:r>
      <w:r w:rsidRPr="00437131">
        <w:rPr>
          <w:sz w:val="24"/>
          <w:szCs w:val="24"/>
        </w:rPr>
        <w:t xml:space="preserve">) u iznosu od 180 miliona eura, a očekuje se zaključivanje i određenog broja kreditnih aranžmana za razvojne projekte </w:t>
      </w:r>
      <w:r w:rsidRPr="00437131">
        <w:rPr>
          <w:sz w:val="24"/>
          <w:szCs w:val="24"/>
          <w:lang w:val="sr-Latn-ME"/>
        </w:rPr>
        <w:t xml:space="preserve">u skladu sa Zakonom o budžetu za 2024. godinu. </w:t>
      </w:r>
    </w:p>
    <w:p w14:paraId="62B29E00" w14:textId="77777777" w:rsidR="00346BE3" w:rsidRPr="00437131" w:rsidRDefault="00346BE3" w:rsidP="00437131">
      <w:pPr>
        <w:pStyle w:val="Heading3"/>
        <w:jc w:val="both"/>
        <w:rPr>
          <w:lang w:val="sr-Latn-ME"/>
        </w:rPr>
      </w:pPr>
      <w:r w:rsidRPr="00437131">
        <w:rPr>
          <w:lang w:val="sr-Latn-ME"/>
        </w:rPr>
        <w:lastRenderedPageBreak/>
        <w:t xml:space="preserve">Upravljanje dugom tokom 2024. godine </w:t>
      </w:r>
    </w:p>
    <w:p w14:paraId="79644DC6" w14:textId="77777777" w:rsidR="00346BE3" w:rsidRPr="00437131" w:rsidRDefault="00346BE3" w:rsidP="00437131">
      <w:pPr>
        <w:jc w:val="both"/>
        <w:rPr>
          <w:sz w:val="24"/>
          <w:szCs w:val="24"/>
          <w:lang w:val="sr-Latn-ME"/>
        </w:rPr>
      </w:pPr>
      <w:r w:rsidRPr="00437131">
        <w:rPr>
          <w:sz w:val="24"/>
          <w:szCs w:val="24"/>
          <w:lang w:val="sr-Latn-ME"/>
        </w:rPr>
        <w:t>Nakon izlasla iz hedžing aranžmana vezanog za dolarski dug sa Exim Kina bankom, u 2023. godini, kada je po osnovu pozitivnog mark to marketa prihodovano oko 64,0 miliona američkih dolara, Ministarstvo finansija je, u januaru 2024. godine, ponovo zaključilo hedžing aranžman za pomenuti dug. Tom prilikom je cjelokupan iznos duga prema Exim Kina banci od 754,1 miliona američkih dolara konvertovan u eure, po</w:t>
      </w:r>
      <w:r w:rsidRPr="00C23A32">
        <w:rPr>
          <w:lang w:val="sr-Latn-ME"/>
        </w:rPr>
        <w:t xml:space="preserve"> </w:t>
      </w:r>
      <w:r w:rsidRPr="00437131">
        <w:rPr>
          <w:sz w:val="24"/>
          <w:szCs w:val="24"/>
          <w:lang w:val="sr-Latn-ME"/>
        </w:rPr>
        <w:t>kursu EUR/USD 1,087, a dolarska kamatna stopa od 2% zamijenjena je eurskom kamatnom stopom od 0,98%.</w:t>
      </w:r>
    </w:p>
    <w:p w14:paraId="180894BA" w14:textId="77777777" w:rsidR="00346BE3" w:rsidRPr="00437131" w:rsidRDefault="00346BE3" w:rsidP="00437131">
      <w:pPr>
        <w:jc w:val="both"/>
        <w:rPr>
          <w:sz w:val="24"/>
          <w:szCs w:val="24"/>
          <w:lang w:val="sr-Latn-ME"/>
        </w:rPr>
      </w:pPr>
      <w:r w:rsidRPr="00437131">
        <w:rPr>
          <w:sz w:val="24"/>
          <w:szCs w:val="24"/>
          <w:lang w:val="sr-Latn-ME"/>
        </w:rPr>
        <w:t xml:space="preserve">Osim toga, vodeći se najboljom međunarodnom praksom aktivnog upravljanja javnim dugom, realizovana je hedžing transkacija, odnosno transkacija unakrsnog valutnog svopa, kojom je dug po osnovu dolarske obveznice emitovane u martu 2024. godine konvertovan iz američkih dolara u eure, po kursu EUR/USD od </w:t>
      </w:r>
      <w:r w:rsidRPr="00437131">
        <w:rPr>
          <w:sz w:val="24"/>
          <w:szCs w:val="24"/>
        </w:rPr>
        <w:t>1,0905</w:t>
      </w:r>
      <w:r w:rsidRPr="00437131">
        <w:rPr>
          <w:sz w:val="24"/>
          <w:szCs w:val="24"/>
          <w:lang w:val="sr-Latn-ME"/>
        </w:rPr>
        <w:t xml:space="preserve">. Istovremeno, dolarska kamatna stopa od 7,25% zamijenjena je eurskom kamatnom stopom iz hedžinga od 5,88%. </w:t>
      </w:r>
    </w:p>
    <w:p w14:paraId="1C3E5759" w14:textId="77777777" w:rsidR="00346BE3" w:rsidRPr="00437131" w:rsidRDefault="00346BE3" w:rsidP="00346BE3">
      <w:pPr>
        <w:rPr>
          <w:sz w:val="24"/>
          <w:szCs w:val="24"/>
          <w:lang w:val="sr-Latn-ME"/>
        </w:rPr>
      </w:pPr>
      <w:r w:rsidRPr="00437131">
        <w:rPr>
          <w:sz w:val="24"/>
          <w:szCs w:val="24"/>
          <w:lang w:val="sr-Latn-ME"/>
        </w:rPr>
        <w:t xml:space="preserve">Osim što su predmetne transakcije doprinijele smanjenju valutnog rizika, značajno su uticale i na poboljšanje valutne strukture državnog duga, pa je na kraju trećeg kvartala 2024. godine, učešće eurskog u državnom dugu iznosilo čak 99,0%, što je za 17,7 procentnih poena više u odnosu na kraj 2023. godine.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627"/>
      </w:tblGrid>
      <w:tr w:rsidR="00346BE3" w:rsidRPr="00C23A32" w14:paraId="737B8FA5" w14:textId="77777777" w:rsidTr="00437131">
        <w:tc>
          <w:tcPr>
            <w:tcW w:w="4508" w:type="dxa"/>
          </w:tcPr>
          <w:p w14:paraId="1EA9B884" w14:textId="77777777" w:rsidR="00346BE3" w:rsidRPr="00C23A32" w:rsidRDefault="00346BE3" w:rsidP="00437131">
            <w:pPr>
              <w:rPr>
                <w:rFonts w:ascii="Cambria" w:hAnsi="Cambria"/>
                <w:lang w:val="sr-Latn-ME"/>
              </w:rPr>
            </w:pPr>
            <w:r w:rsidRPr="00C23A32">
              <w:rPr>
                <w:rFonts w:ascii="Cambria" w:hAnsi="Cambria"/>
                <w:noProof/>
                <w:lang w:val="en-GB" w:eastAsia="en-GB"/>
              </w:rPr>
              <w:drawing>
                <wp:inline distT="0" distB="0" distL="0" distR="0" wp14:anchorId="7CCC3C33" wp14:editId="422E608C">
                  <wp:extent cx="2631440" cy="2703443"/>
                  <wp:effectExtent l="0" t="0" r="0" b="1905"/>
                  <wp:docPr id="20" name="Chart 20">
                    <a:extLst xmlns:a="http://schemas.openxmlformats.org/drawingml/2006/main">
                      <a:ext uri="{FF2B5EF4-FFF2-40B4-BE49-F238E27FC236}">
                        <a16:creationId xmlns:a16="http://schemas.microsoft.com/office/drawing/2014/main" id="{8E205A21-1551-439E-BD1D-01FBFB0F46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508" w:type="dxa"/>
          </w:tcPr>
          <w:p w14:paraId="701868DB" w14:textId="77777777" w:rsidR="00346BE3" w:rsidRPr="00C23A32" w:rsidRDefault="00346BE3" w:rsidP="00437131">
            <w:pPr>
              <w:rPr>
                <w:rFonts w:ascii="Cambria" w:hAnsi="Cambria"/>
                <w:lang w:val="sr-Latn-ME"/>
              </w:rPr>
            </w:pPr>
            <w:r w:rsidRPr="00C23A32">
              <w:rPr>
                <w:rFonts w:ascii="Cambria" w:hAnsi="Cambria"/>
                <w:noProof/>
                <w:lang w:val="en-GB" w:eastAsia="en-GB"/>
              </w:rPr>
              <w:drawing>
                <wp:inline distT="0" distB="0" distL="0" distR="0" wp14:anchorId="083AA39E" wp14:editId="4CA3A62F">
                  <wp:extent cx="2801234" cy="2679590"/>
                  <wp:effectExtent l="0" t="0" r="0" b="6985"/>
                  <wp:docPr id="21" name="Chart 21">
                    <a:extLst xmlns:a="http://schemas.openxmlformats.org/drawingml/2006/main">
                      <a:ext uri="{FF2B5EF4-FFF2-40B4-BE49-F238E27FC236}">
                        <a16:creationId xmlns:a16="http://schemas.microsoft.com/office/drawing/2014/main" id="{B0536E41-945E-4A88-A193-DA19A30D74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bl>
    <w:p w14:paraId="664290F8" w14:textId="77777777" w:rsidR="00346BE3" w:rsidRPr="00437131" w:rsidRDefault="00346BE3" w:rsidP="00346BE3">
      <w:pPr>
        <w:rPr>
          <w:sz w:val="24"/>
          <w:szCs w:val="24"/>
          <w:lang w:val="sr-Latn-ME"/>
        </w:rPr>
      </w:pPr>
      <w:r w:rsidRPr="00437131">
        <w:rPr>
          <w:sz w:val="24"/>
          <w:szCs w:val="24"/>
          <w:lang w:val="sr-Latn-ME"/>
        </w:rPr>
        <w:t xml:space="preserve">Kada govorimo o kamatnoj strukturi duga, dominantno je učešće duga sa fiksnom kamatnom stopom, koje čini oko 84,5% ukupnog državnog duga.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1"/>
        <w:gridCol w:w="4986"/>
      </w:tblGrid>
      <w:tr w:rsidR="00346BE3" w:rsidRPr="00C23A32" w14:paraId="746F22F8" w14:textId="77777777" w:rsidTr="00437131">
        <w:trPr>
          <w:trHeight w:val="3870"/>
        </w:trPr>
        <w:tc>
          <w:tcPr>
            <w:tcW w:w="4030" w:type="dxa"/>
          </w:tcPr>
          <w:p w14:paraId="22C066D1" w14:textId="77777777" w:rsidR="00346BE3" w:rsidRPr="00C23A32" w:rsidRDefault="00346BE3" w:rsidP="00437131">
            <w:pPr>
              <w:outlineLvl w:val="0"/>
              <w:rPr>
                <w:rFonts w:ascii="Cambria" w:hAnsi="Cambria"/>
                <w:lang w:val="sr-Latn-ME"/>
              </w:rPr>
            </w:pPr>
            <w:r w:rsidRPr="00C23A32">
              <w:rPr>
                <w:rFonts w:ascii="Cambria" w:hAnsi="Cambria"/>
                <w:noProof/>
                <w:lang w:val="en-GB" w:eastAsia="en-GB"/>
              </w:rPr>
              <w:lastRenderedPageBreak/>
              <w:drawing>
                <wp:inline distT="0" distB="0" distL="0" distR="0" wp14:anchorId="3D2B4559" wp14:editId="40102CDE">
                  <wp:extent cx="2600325" cy="2447925"/>
                  <wp:effectExtent l="0" t="0" r="0" b="0"/>
                  <wp:docPr id="23" name="Chart 23">
                    <a:extLst xmlns:a="http://schemas.openxmlformats.org/drawingml/2006/main">
                      <a:ext uri="{FF2B5EF4-FFF2-40B4-BE49-F238E27FC236}">
                        <a16:creationId xmlns:a16="http://schemas.microsoft.com/office/drawing/2014/main" id="{A60CCCE5-524A-493C-A1F4-B7E597AED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986" w:type="dxa"/>
          </w:tcPr>
          <w:p w14:paraId="4A3528E8" w14:textId="77777777" w:rsidR="00346BE3" w:rsidRPr="00C23A32" w:rsidRDefault="00346BE3" w:rsidP="00437131">
            <w:pPr>
              <w:outlineLvl w:val="0"/>
              <w:rPr>
                <w:rFonts w:ascii="Cambria" w:hAnsi="Cambria"/>
                <w:lang w:val="sr-Latn-ME"/>
              </w:rPr>
            </w:pPr>
            <w:r w:rsidRPr="00C23A32">
              <w:rPr>
                <w:rFonts w:ascii="Cambria" w:hAnsi="Cambria"/>
                <w:noProof/>
                <w:lang w:val="en-GB" w:eastAsia="en-GB"/>
              </w:rPr>
              <w:drawing>
                <wp:inline distT="0" distB="0" distL="0" distR="0" wp14:anchorId="479609B4" wp14:editId="61FF1C0D">
                  <wp:extent cx="2724150" cy="2466975"/>
                  <wp:effectExtent l="0" t="0" r="0" b="0"/>
                  <wp:docPr id="16" name="Chart 16">
                    <a:extLst xmlns:a="http://schemas.openxmlformats.org/drawingml/2006/main">
                      <a:ext uri="{FF2B5EF4-FFF2-40B4-BE49-F238E27FC236}">
                        <a16:creationId xmlns:a16="http://schemas.microsoft.com/office/drawing/2014/main" id="{B14A45FA-D0FF-4788-8152-67CCAC85FC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669D8A5D" w14:textId="77777777" w:rsidR="00346BE3" w:rsidRPr="00437131" w:rsidRDefault="00346BE3" w:rsidP="00437131">
      <w:pPr>
        <w:jc w:val="both"/>
        <w:rPr>
          <w:sz w:val="24"/>
          <w:szCs w:val="24"/>
          <w:lang w:val="sr-Latn-ME"/>
        </w:rPr>
      </w:pPr>
      <w:r w:rsidRPr="00437131">
        <w:rPr>
          <w:sz w:val="24"/>
          <w:szCs w:val="24"/>
          <w:lang w:val="sr-Latn-ME"/>
        </w:rPr>
        <w:t xml:space="preserve">Do kraja 2024. godine očekuje se i usvajanje Srednjoročne strategija za upravljanje dugom Crne Gore, u okviru koje će biti definisane smjernice za upravljanje dugom u narednom trogodišnjem periodu. Namjera je da se strategija usmjeri na identifikovanje i prevazilaženje ključnih rizika u upravljanju dugom, koji se ogledaju u riziku refinansiranja, te uprvaljanja valutnim i kamatnim rizikom duga. </w:t>
      </w:r>
    </w:p>
    <w:p w14:paraId="44D1FECE" w14:textId="77777777" w:rsidR="00346BE3" w:rsidRPr="00437131" w:rsidRDefault="00346BE3" w:rsidP="00437131">
      <w:pPr>
        <w:jc w:val="both"/>
        <w:rPr>
          <w:b/>
          <w:sz w:val="24"/>
          <w:szCs w:val="24"/>
          <w:u w:val="single"/>
          <w:lang w:val="sr-Latn-ME"/>
        </w:rPr>
      </w:pPr>
      <w:bookmarkStart w:id="72" w:name="_Toc109632947"/>
      <w:r w:rsidRPr="00437131">
        <w:rPr>
          <w:b/>
          <w:sz w:val="24"/>
          <w:szCs w:val="24"/>
          <w:u w:val="single"/>
          <w:lang w:val="sr-Latn-ME"/>
        </w:rPr>
        <w:t>Projekcije kretanja državnog i javnog duga u periodu 2024-2027. godine</w:t>
      </w:r>
      <w:bookmarkEnd w:id="72"/>
      <w:r w:rsidRPr="00437131">
        <w:rPr>
          <w:b/>
          <w:sz w:val="24"/>
          <w:szCs w:val="24"/>
          <w:u w:val="single"/>
          <w:lang w:val="sr-Latn-ME"/>
        </w:rPr>
        <w:t xml:space="preserve"> </w:t>
      </w:r>
    </w:p>
    <w:p w14:paraId="472909B0" w14:textId="77777777" w:rsidR="00346BE3" w:rsidRPr="00437131" w:rsidRDefault="00346BE3" w:rsidP="00437131">
      <w:pPr>
        <w:jc w:val="both"/>
        <w:rPr>
          <w:sz w:val="24"/>
          <w:szCs w:val="24"/>
        </w:rPr>
      </w:pPr>
      <w:r w:rsidRPr="00437131">
        <w:rPr>
          <w:sz w:val="24"/>
          <w:szCs w:val="24"/>
        </w:rPr>
        <w:t xml:space="preserve">Projekcije kretanja državnog i javnog duga u narednom četvorogodišnjem periodu zasnivaju se na projekcijama kretanja fiskalnih parametara definisanih u Fiskalnoj strategiji Crne Gore za period 2024-2027. godine. Na nivo zaduživanja u predstojećem periodu prevashodno će uticati iznosi nedostajućih sredstava definisanih u fiskalnom okviru 2024-2027. godine, koji pokazuju da će se u narednom periodu Država zaduživati samo za potrebe otplate duga i finansiranje kapitalnog budžeta. </w:t>
      </w:r>
    </w:p>
    <w:p w14:paraId="0C659183" w14:textId="77777777" w:rsidR="00346BE3" w:rsidRPr="00C23A32" w:rsidRDefault="00346BE3" w:rsidP="00437131">
      <w:pPr>
        <w:jc w:val="both"/>
        <w:rPr>
          <w:rFonts w:ascii="Cambria" w:hAnsi="Cambria"/>
          <w:b/>
          <w:sz w:val="18"/>
          <w:szCs w:val="18"/>
        </w:rPr>
      </w:pPr>
      <w:r w:rsidRPr="00C23A32">
        <w:rPr>
          <w:rFonts w:ascii="Cambria" w:hAnsi="Cambria"/>
          <w:b/>
          <w:sz w:val="18"/>
          <w:szCs w:val="18"/>
        </w:rPr>
        <w:t xml:space="preserve">Tabela 4: Struktura nedostajućih sredstava u periodu 2024-2027. godine, u milionima eura    </w:t>
      </w:r>
    </w:p>
    <w:tbl>
      <w:tblPr>
        <w:tblStyle w:val="ListTable6Colorful-Accent4"/>
        <w:tblW w:w="0" w:type="auto"/>
        <w:tblLook w:val="04A0" w:firstRow="1" w:lastRow="0" w:firstColumn="1" w:lastColumn="0" w:noHBand="0" w:noVBand="1"/>
      </w:tblPr>
      <w:tblGrid>
        <w:gridCol w:w="360"/>
        <w:gridCol w:w="1469"/>
        <w:gridCol w:w="1501"/>
        <w:gridCol w:w="1130"/>
        <w:gridCol w:w="1533"/>
        <w:gridCol w:w="1500"/>
        <w:gridCol w:w="1533"/>
      </w:tblGrid>
      <w:tr w:rsidR="00346BE3" w:rsidRPr="00C23A32" w14:paraId="4031DB82" w14:textId="77777777" w:rsidTr="004371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dxa"/>
            <w:gridSpan w:val="2"/>
            <w:tcBorders>
              <w:bottom w:val="nil"/>
            </w:tcBorders>
            <w:shd w:val="clear" w:color="auto" w:fill="FFE599" w:themeFill="accent4" w:themeFillTint="66"/>
          </w:tcPr>
          <w:p w14:paraId="2F8C09A2" w14:textId="77777777" w:rsidR="00346BE3" w:rsidRPr="00C23A32" w:rsidRDefault="00346BE3" w:rsidP="00437131">
            <w:pPr>
              <w:shd w:val="clear" w:color="auto" w:fill="FFE599" w:themeFill="accent4" w:themeFillTint="66"/>
              <w:jc w:val="both"/>
              <w:rPr>
                <w:rFonts w:ascii="Cambria" w:hAnsi="Cambria"/>
                <w:b w:val="0"/>
                <w:color w:val="1F3864" w:themeColor="accent1" w:themeShade="80"/>
                <w:sz w:val="20"/>
                <w:szCs w:val="20"/>
              </w:rPr>
            </w:pPr>
          </w:p>
        </w:tc>
        <w:tc>
          <w:tcPr>
            <w:tcW w:w="1501" w:type="dxa"/>
            <w:tcBorders>
              <w:bottom w:val="nil"/>
            </w:tcBorders>
            <w:shd w:val="clear" w:color="auto" w:fill="FFE599" w:themeFill="accent4" w:themeFillTint="66"/>
          </w:tcPr>
          <w:p w14:paraId="2A5A6ACA" w14:textId="77777777" w:rsidR="00346BE3" w:rsidRPr="00C23A32" w:rsidRDefault="00346BE3" w:rsidP="00437131">
            <w:pPr>
              <w:shd w:val="clear" w:color="auto" w:fill="FFE599" w:themeFill="accent4" w:themeFillTint="66"/>
              <w:jc w:val="both"/>
              <w:cnfStyle w:val="100000000000" w:firstRow="1" w:lastRow="0" w:firstColumn="0" w:lastColumn="0" w:oddVBand="0" w:evenVBand="0" w:oddHBand="0" w:evenHBand="0" w:firstRowFirstColumn="0" w:firstRowLastColumn="0" w:lastRowFirstColumn="0" w:lastRowLastColumn="0"/>
              <w:rPr>
                <w:rFonts w:ascii="Cambria" w:hAnsi="Cambria"/>
                <w:color w:val="1F3864" w:themeColor="accent1" w:themeShade="80"/>
                <w:sz w:val="20"/>
                <w:szCs w:val="20"/>
              </w:rPr>
            </w:pPr>
          </w:p>
        </w:tc>
        <w:tc>
          <w:tcPr>
            <w:tcW w:w="1130" w:type="dxa"/>
            <w:tcBorders>
              <w:bottom w:val="nil"/>
            </w:tcBorders>
            <w:shd w:val="clear" w:color="auto" w:fill="FFE599" w:themeFill="accent4" w:themeFillTint="66"/>
          </w:tcPr>
          <w:p w14:paraId="69BF802D" w14:textId="77777777" w:rsidR="00346BE3" w:rsidRPr="00C23A32" w:rsidRDefault="00346BE3" w:rsidP="00437131">
            <w:pPr>
              <w:shd w:val="clear" w:color="auto" w:fill="FFE599" w:themeFill="accent4" w:themeFillTint="66"/>
              <w:jc w:val="both"/>
              <w:cnfStyle w:val="100000000000" w:firstRow="1" w:lastRow="0" w:firstColumn="0" w:lastColumn="0" w:oddVBand="0" w:evenVBand="0" w:oddHBand="0" w:evenHBand="0" w:firstRowFirstColumn="0" w:firstRowLastColumn="0" w:lastRowFirstColumn="0" w:lastRowLastColumn="0"/>
              <w:rPr>
                <w:rFonts w:ascii="Cambria" w:hAnsi="Cambria"/>
                <w:color w:val="1F3864" w:themeColor="accent1" w:themeShade="80"/>
                <w:sz w:val="20"/>
                <w:szCs w:val="20"/>
              </w:rPr>
            </w:pPr>
            <w:r w:rsidRPr="00C23A32">
              <w:rPr>
                <w:rFonts w:ascii="Cambria" w:hAnsi="Cambria"/>
                <w:color w:val="1F3864" w:themeColor="accent1" w:themeShade="80"/>
                <w:sz w:val="20"/>
                <w:szCs w:val="20"/>
              </w:rPr>
              <w:t>2024.</w:t>
            </w:r>
          </w:p>
        </w:tc>
        <w:tc>
          <w:tcPr>
            <w:tcW w:w="1533" w:type="dxa"/>
            <w:tcBorders>
              <w:bottom w:val="nil"/>
            </w:tcBorders>
            <w:shd w:val="clear" w:color="auto" w:fill="FFE599" w:themeFill="accent4" w:themeFillTint="66"/>
          </w:tcPr>
          <w:p w14:paraId="72A53269" w14:textId="77777777" w:rsidR="00346BE3" w:rsidRPr="00C23A32" w:rsidRDefault="00346BE3" w:rsidP="00437131">
            <w:pPr>
              <w:shd w:val="clear" w:color="auto" w:fill="FFE599" w:themeFill="accent4" w:themeFillTint="66"/>
              <w:jc w:val="both"/>
              <w:cnfStyle w:val="100000000000" w:firstRow="1" w:lastRow="0" w:firstColumn="0" w:lastColumn="0" w:oddVBand="0" w:evenVBand="0" w:oddHBand="0" w:evenHBand="0" w:firstRowFirstColumn="0" w:firstRowLastColumn="0" w:lastRowFirstColumn="0" w:lastRowLastColumn="0"/>
              <w:rPr>
                <w:rFonts w:ascii="Cambria" w:hAnsi="Cambria"/>
                <w:color w:val="1F3864" w:themeColor="accent1" w:themeShade="80"/>
                <w:sz w:val="20"/>
                <w:szCs w:val="20"/>
              </w:rPr>
            </w:pPr>
            <w:r w:rsidRPr="00C23A32">
              <w:rPr>
                <w:rFonts w:ascii="Cambria" w:hAnsi="Cambria"/>
                <w:color w:val="1F3864" w:themeColor="accent1" w:themeShade="80"/>
                <w:sz w:val="20"/>
                <w:szCs w:val="20"/>
              </w:rPr>
              <w:t>2025.</w:t>
            </w:r>
          </w:p>
        </w:tc>
        <w:tc>
          <w:tcPr>
            <w:tcW w:w="1500" w:type="dxa"/>
            <w:tcBorders>
              <w:bottom w:val="nil"/>
            </w:tcBorders>
            <w:shd w:val="clear" w:color="auto" w:fill="FFE599" w:themeFill="accent4" w:themeFillTint="66"/>
          </w:tcPr>
          <w:p w14:paraId="468BCDD8" w14:textId="77777777" w:rsidR="00346BE3" w:rsidRPr="00C23A32" w:rsidRDefault="00346BE3" w:rsidP="00437131">
            <w:pPr>
              <w:shd w:val="clear" w:color="auto" w:fill="FFE599" w:themeFill="accent4" w:themeFillTint="66"/>
              <w:jc w:val="both"/>
              <w:cnfStyle w:val="100000000000" w:firstRow="1" w:lastRow="0" w:firstColumn="0" w:lastColumn="0" w:oddVBand="0" w:evenVBand="0" w:oddHBand="0" w:evenHBand="0" w:firstRowFirstColumn="0" w:firstRowLastColumn="0" w:lastRowFirstColumn="0" w:lastRowLastColumn="0"/>
              <w:rPr>
                <w:rFonts w:ascii="Cambria" w:hAnsi="Cambria"/>
                <w:color w:val="1F3864" w:themeColor="accent1" w:themeShade="80"/>
                <w:sz w:val="20"/>
                <w:szCs w:val="20"/>
              </w:rPr>
            </w:pPr>
            <w:r w:rsidRPr="00C23A32">
              <w:rPr>
                <w:rFonts w:ascii="Cambria" w:hAnsi="Cambria"/>
                <w:color w:val="1F3864" w:themeColor="accent1" w:themeShade="80"/>
                <w:sz w:val="20"/>
                <w:szCs w:val="20"/>
              </w:rPr>
              <w:t>2026.</w:t>
            </w:r>
          </w:p>
        </w:tc>
        <w:tc>
          <w:tcPr>
            <w:tcW w:w="1533" w:type="dxa"/>
            <w:tcBorders>
              <w:bottom w:val="nil"/>
            </w:tcBorders>
            <w:shd w:val="clear" w:color="auto" w:fill="FFE599" w:themeFill="accent4" w:themeFillTint="66"/>
          </w:tcPr>
          <w:p w14:paraId="7C64C04A" w14:textId="77777777" w:rsidR="00346BE3" w:rsidRPr="00C23A32" w:rsidRDefault="00346BE3" w:rsidP="00437131">
            <w:pPr>
              <w:shd w:val="clear" w:color="auto" w:fill="FFE599" w:themeFill="accent4" w:themeFillTint="66"/>
              <w:jc w:val="both"/>
              <w:cnfStyle w:val="100000000000" w:firstRow="1" w:lastRow="0" w:firstColumn="0" w:lastColumn="0" w:oddVBand="0" w:evenVBand="0" w:oddHBand="0" w:evenHBand="0" w:firstRowFirstColumn="0" w:firstRowLastColumn="0" w:lastRowFirstColumn="0" w:lastRowLastColumn="0"/>
              <w:rPr>
                <w:rFonts w:ascii="Cambria" w:hAnsi="Cambria"/>
                <w:color w:val="1F3864" w:themeColor="accent1" w:themeShade="80"/>
                <w:sz w:val="20"/>
                <w:szCs w:val="20"/>
              </w:rPr>
            </w:pPr>
            <w:r w:rsidRPr="00C23A32">
              <w:rPr>
                <w:rFonts w:ascii="Cambria" w:hAnsi="Cambria"/>
                <w:color w:val="1F3864" w:themeColor="accent1" w:themeShade="80"/>
                <w:sz w:val="20"/>
                <w:szCs w:val="20"/>
              </w:rPr>
              <w:t>2027.</w:t>
            </w:r>
          </w:p>
        </w:tc>
      </w:tr>
      <w:tr w:rsidR="00346BE3" w:rsidRPr="00C23A32" w14:paraId="532CF6FB" w14:textId="77777777" w:rsidTr="00437131">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60" w:type="dxa"/>
            <w:tcBorders>
              <w:top w:val="nil"/>
              <w:bottom w:val="dotted" w:sz="4" w:space="0" w:color="auto"/>
            </w:tcBorders>
            <w:shd w:val="clear" w:color="auto" w:fill="auto"/>
          </w:tcPr>
          <w:p w14:paraId="53BED12F" w14:textId="77777777" w:rsidR="00346BE3" w:rsidRPr="00C23A32" w:rsidRDefault="00346BE3" w:rsidP="00437131">
            <w:pPr>
              <w:jc w:val="both"/>
              <w:rPr>
                <w:rFonts w:ascii="Cambria" w:hAnsi="Cambria"/>
                <w:b w:val="0"/>
                <w:color w:val="1F3864" w:themeColor="accent1" w:themeShade="80"/>
                <w:sz w:val="20"/>
                <w:szCs w:val="20"/>
              </w:rPr>
            </w:pPr>
            <w:r w:rsidRPr="00C23A32">
              <w:rPr>
                <w:rFonts w:ascii="Cambria" w:hAnsi="Cambria"/>
                <w:b w:val="0"/>
                <w:color w:val="1F3864" w:themeColor="accent1" w:themeShade="80"/>
                <w:sz w:val="20"/>
                <w:szCs w:val="20"/>
              </w:rPr>
              <w:t>1</w:t>
            </w:r>
          </w:p>
        </w:tc>
        <w:tc>
          <w:tcPr>
            <w:tcW w:w="2970" w:type="dxa"/>
            <w:gridSpan w:val="2"/>
            <w:tcBorders>
              <w:top w:val="nil"/>
              <w:bottom w:val="dotted" w:sz="4" w:space="0" w:color="auto"/>
            </w:tcBorders>
            <w:shd w:val="clear" w:color="auto" w:fill="auto"/>
          </w:tcPr>
          <w:p w14:paraId="5A6BD270" w14:textId="77777777" w:rsidR="00346BE3" w:rsidRPr="00C23A32" w:rsidRDefault="00346BE3" w:rsidP="00437131">
            <w:pPr>
              <w:jc w:val="both"/>
              <w:cnfStyle w:val="000000100000" w:firstRow="0" w:lastRow="0" w:firstColumn="0" w:lastColumn="0" w:oddVBand="0" w:evenVBand="0" w:oddHBand="1" w:evenHBand="0" w:firstRowFirstColumn="0" w:firstRowLastColumn="0" w:lastRowFirstColumn="0" w:lastRowLastColumn="0"/>
              <w:rPr>
                <w:rFonts w:ascii="Cambria" w:hAnsi="Cambria" w:cs="Calibri"/>
                <w:bCs/>
                <w:color w:val="1F3864"/>
                <w:sz w:val="20"/>
                <w:szCs w:val="20"/>
              </w:rPr>
            </w:pPr>
            <w:r w:rsidRPr="00C23A32">
              <w:rPr>
                <w:rFonts w:ascii="Cambria" w:hAnsi="Cambria"/>
                <w:color w:val="1F3864" w:themeColor="accent1" w:themeShade="80"/>
                <w:sz w:val="20"/>
                <w:szCs w:val="20"/>
              </w:rPr>
              <w:t>Otplata duga</w:t>
            </w:r>
          </w:p>
        </w:tc>
        <w:tc>
          <w:tcPr>
            <w:tcW w:w="1130" w:type="dxa"/>
            <w:tcBorders>
              <w:top w:val="nil"/>
              <w:bottom w:val="dotted" w:sz="4" w:space="0" w:color="auto"/>
            </w:tcBorders>
            <w:shd w:val="clear" w:color="auto" w:fill="auto"/>
          </w:tcPr>
          <w:p w14:paraId="7574EEC5" w14:textId="77777777" w:rsidR="00346BE3" w:rsidRPr="00C23A32" w:rsidRDefault="00346BE3" w:rsidP="00437131">
            <w:pPr>
              <w:jc w:val="both"/>
              <w:cnfStyle w:val="000000100000" w:firstRow="0" w:lastRow="0" w:firstColumn="0" w:lastColumn="0" w:oddVBand="0" w:evenVBand="0" w:oddHBand="1" w:evenHBand="0" w:firstRowFirstColumn="0" w:firstRowLastColumn="0" w:lastRowFirstColumn="0" w:lastRowLastColumn="0"/>
              <w:rPr>
                <w:rFonts w:ascii="Cambria" w:hAnsi="Cambria"/>
                <w:color w:val="1F3864" w:themeColor="accent1" w:themeShade="80"/>
                <w:sz w:val="20"/>
                <w:szCs w:val="20"/>
              </w:rPr>
            </w:pPr>
            <w:r w:rsidRPr="00C23A32">
              <w:rPr>
                <w:rFonts w:ascii="Cambria" w:hAnsi="Cambria" w:cs="Calibri"/>
                <w:bCs/>
                <w:color w:val="1F3864"/>
                <w:sz w:val="20"/>
                <w:szCs w:val="20"/>
              </w:rPr>
              <w:t>504,5</w:t>
            </w:r>
          </w:p>
        </w:tc>
        <w:tc>
          <w:tcPr>
            <w:tcW w:w="1533" w:type="dxa"/>
            <w:tcBorders>
              <w:top w:val="nil"/>
              <w:bottom w:val="dotted" w:sz="4" w:space="0" w:color="auto"/>
            </w:tcBorders>
            <w:shd w:val="clear" w:color="auto" w:fill="auto"/>
          </w:tcPr>
          <w:p w14:paraId="21F904D6" w14:textId="77777777" w:rsidR="00346BE3" w:rsidRPr="00C23A32" w:rsidRDefault="00346BE3" w:rsidP="00437131">
            <w:pPr>
              <w:jc w:val="both"/>
              <w:cnfStyle w:val="000000100000" w:firstRow="0" w:lastRow="0" w:firstColumn="0" w:lastColumn="0" w:oddVBand="0" w:evenVBand="0" w:oddHBand="1" w:evenHBand="0" w:firstRowFirstColumn="0" w:firstRowLastColumn="0" w:lastRowFirstColumn="0" w:lastRowLastColumn="0"/>
              <w:rPr>
                <w:rFonts w:ascii="Cambria" w:hAnsi="Cambria"/>
                <w:color w:val="1F3864" w:themeColor="accent1" w:themeShade="80"/>
                <w:sz w:val="20"/>
                <w:szCs w:val="20"/>
              </w:rPr>
            </w:pPr>
            <w:r w:rsidRPr="00C23A32">
              <w:rPr>
                <w:rFonts w:ascii="Cambria" w:hAnsi="Cambria" w:cs="Calibri"/>
                <w:bCs/>
                <w:color w:val="1F3864"/>
                <w:sz w:val="20"/>
                <w:szCs w:val="20"/>
              </w:rPr>
              <w:t>820,9</w:t>
            </w:r>
          </w:p>
        </w:tc>
        <w:tc>
          <w:tcPr>
            <w:tcW w:w="1500" w:type="dxa"/>
            <w:tcBorders>
              <w:top w:val="nil"/>
              <w:bottom w:val="dotted" w:sz="4" w:space="0" w:color="auto"/>
            </w:tcBorders>
            <w:shd w:val="clear" w:color="auto" w:fill="auto"/>
          </w:tcPr>
          <w:p w14:paraId="693B5696" w14:textId="77777777" w:rsidR="00346BE3" w:rsidRPr="00C23A32" w:rsidRDefault="00346BE3" w:rsidP="00437131">
            <w:pPr>
              <w:jc w:val="both"/>
              <w:cnfStyle w:val="000000100000" w:firstRow="0" w:lastRow="0" w:firstColumn="0" w:lastColumn="0" w:oddVBand="0" w:evenVBand="0" w:oddHBand="1" w:evenHBand="0" w:firstRowFirstColumn="0" w:firstRowLastColumn="0" w:lastRowFirstColumn="0" w:lastRowLastColumn="0"/>
              <w:rPr>
                <w:rFonts w:ascii="Cambria" w:hAnsi="Cambria"/>
                <w:color w:val="1F3864" w:themeColor="accent1" w:themeShade="80"/>
                <w:sz w:val="20"/>
                <w:szCs w:val="20"/>
              </w:rPr>
            </w:pPr>
            <w:r w:rsidRPr="00C23A32">
              <w:rPr>
                <w:rFonts w:ascii="Cambria" w:hAnsi="Cambria" w:cs="Calibri"/>
                <w:bCs/>
                <w:color w:val="1F3864"/>
                <w:sz w:val="20"/>
                <w:szCs w:val="20"/>
              </w:rPr>
              <w:t>353,1</w:t>
            </w:r>
          </w:p>
        </w:tc>
        <w:tc>
          <w:tcPr>
            <w:tcW w:w="1533" w:type="dxa"/>
            <w:tcBorders>
              <w:top w:val="nil"/>
              <w:bottom w:val="dotted" w:sz="4" w:space="0" w:color="auto"/>
            </w:tcBorders>
            <w:shd w:val="clear" w:color="auto" w:fill="auto"/>
          </w:tcPr>
          <w:p w14:paraId="2475B852" w14:textId="77777777" w:rsidR="00346BE3" w:rsidRPr="00C23A32" w:rsidRDefault="00346BE3" w:rsidP="00437131">
            <w:pPr>
              <w:jc w:val="both"/>
              <w:cnfStyle w:val="000000100000" w:firstRow="0" w:lastRow="0" w:firstColumn="0" w:lastColumn="0" w:oddVBand="0" w:evenVBand="0" w:oddHBand="1" w:evenHBand="0" w:firstRowFirstColumn="0" w:firstRowLastColumn="0" w:lastRowFirstColumn="0" w:lastRowLastColumn="0"/>
              <w:rPr>
                <w:rFonts w:ascii="Cambria" w:hAnsi="Cambria"/>
                <w:color w:val="1F3864" w:themeColor="accent1" w:themeShade="80"/>
                <w:sz w:val="20"/>
                <w:szCs w:val="20"/>
              </w:rPr>
            </w:pPr>
            <w:r w:rsidRPr="00C23A32">
              <w:rPr>
                <w:rFonts w:ascii="Cambria" w:hAnsi="Cambria" w:cs="Calibri"/>
                <w:bCs/>
                <w:color w:val="1F3864"/>
                <w:sz w:val="20"/>
                <w:szCs w:val="20"/>
              </w:rPr>
              <w:t>971,7</w:t>
            </w:r>
          </w:p>
        </w:tc>
      </w:tr>
      <w:tr w:rsidR="00346BE3" w:rsidRPr="00C23A32" w14:paraId="009C76C1" w14:textId="77777777" w:rsidTr="00437131">
        <w:tc>
          <w:tcPr>
            <w:cnfStyle w:val="001000000000" w:firstRow="0" w:lastRow="0" w:firstColumn="1" w:lastColumn="0" w:oddVBand="0" w:evenVBand="0" w:oddHBand="0" w:evenHBand="0" w:firstRowFirstColumn="0" w:firstRowLastColumn="0" w:lastRowFirstColumn="0" w:lastRowLastColumn="0"/>
            <w:tcW w:w="360" w:type="dxa"/>
            <w:tcBorders>
              <w:top w:val="dotted" w:sz="4" w:space="0" w:color="auto"/>
              <w:bottom w:val="nil"/>
            </w:tcBorders>
          </w:tcPr>
          <w:p w14:paraId="7F0BE92D" w14:textId="77777777" w:rsidR="00346BE3" w:rsidRPr="00C23A32" w:rsidRDefault="00346BE3" w:rsidP="00437131">
            <w:pPr>
              <w:jc w:val="both"/>
              <w:rPr>
                <w:rFonts w:ascii="Cambria" w:hAnsi="Cambria"/>
                <w:b w:val="0"/>
                <w:color w:val="1F3864" w:themeColor="accent1" w:themeShade="80"/>
                <w:sz w:val="20"/>
                <w:szCs w:val="20"/>
              </w:rPr>
            </w:pPr>
            <w:r w:rsidRPr="00C23A32">
              <w:rPr>
                <w:rFonts w:ascii="Cambria" w:hAnsi="Cambria"/>
                <w:b w:val="0"/>
                <w:color w:val="1F3864" w:themeColor="accent1" w:themeShade="80"/>
                <w:sz w:val="20"/>
                <w:szCs w:val="20"/>
              </w:rPr>
              <w:t>2</w:t>
            </w:r>
          </w:p>
        </w:tc>
        <w:tc>
          <w:tcPr>
            <w:tcW w:w="2970" w:type="dxa"/>
            <w:gridSpan w:val="2"/>
            <w:tcBorders>
              <w:top w:val="dotted" w:sz="4" w:space="0" w:color="auto"/>
              <w:bottom w:val="nil"/>
            </w:tcBorders>
          </w:tcPr>
          <w:p w14:paraId="06FD5611" w14:textId="77777777" w:rsidR="00346BE3" w:rsidRPr="00C23A32" w:rsidRDefault="00346BE3" w:rsidP="00437131">
            <w:pPr>
              <w:jc w:val="both"/>
              <w:cnfStyle w:val="000000000000" w:firstRow="0" w:lastRow="0" w:firstColumn="0" w:lastColumn="0" w:oddVBand="0" w:evenVBand="0" w:oddHBand="0" w:evenHBand="0" w:firstRowFirstColumn="0" w:firstRowLastColumn="0" w:lastRowFirstColumn="0" w:lastRowLastColumn="0"/>
              <w:rPr>
                <w:rFonts w:ascii="Cambria" w:hAnsi="Cambria" w:cs="Calibri"/>
                <w:bCs/>
                <w:color w:val="1F3864"/>
                <w:sz w:val="20"/>
                <w:szCs w:val="20"/>
              </w:rPr>
            </w:pPr>
            <w:r w:rsidRPr="00C23A32">
              <w:rPr>
                <w:rFonts w:ascii="Cambria" w:hAnsi="Cambria"/>
                <w:color w:val="1F3864" w:themeColor="accent1" w:themeShade="80"/>
                <w:sz w:val="20"/>
                <w:szCs w:val="20"/>
              </w:rPr>
              <w:t>Kapitalni izdaci</w:t>
            </w:r>
          </w:p>
        </w:tc>
        <w:tc>
          <w:tcPr>
            <w:tcW w:w="1130" w:type="dxa"/>
            <w:tcBorders>
              <w:top w:val="dotted" w:sz="4" w:space="0" w:color="auto"/>
              <w:bottom w:val="nil"/>
            </w:tcBorders>
          </w:tcPr>
          <w:p w14:paraId="3FDB8140" w14:textId="77777777" w:rsidR="00346BE3" w:rsidRPr="00C23A32" w:rsidRDefault="00346BE3" w:rsidP="00437131">
            <w:pPr>
              <w:jc w:val="both"/>
              <w:cnfStyle w:val="000000000000" w:firstRow="0" w:lastRow="0" w:firstColumn="0" w:lastColumn="0" w:oddVBand="0" w:evenVBand="0" w:oddHBand="0" w:evenHBand="0" w:firstRowFirstColumn="0" w:firstRowLastColumn="0" w:lastRowFirstColumn="0" w:lastRowLastColumn="0"/>
              <w:rPr>
                <w:rFonts w:ascii="Cambria" w:hAnsi="Cambria"/>
                <w:color w:val="1F3864" w:themeColor="accent1" w:themeShade="80"/>
                <w:sz w:val="20"/>
                <w:szCs w:val="20"/>
              </w:rPr>
            </w:pPr>
            <w:r w:rsidRPr="00C23A32">
              <w:rPr>
                <w:rFonts w:ascii="Cambria" w:hAnsi="Cambria" w:cs="Calibri"/>
                <w:bCs/>
                <w:color w:val="1F3864"/>
                <w:sz w:val="20"/>
                <w:szCs w:val="20"/>
              </w:rPr>
              <w:t>244,2</w:t>
            </w:r>
          </w:p>
        </w:tc>
        <w:tc>
          <w:tcPr>
            <w:tcW w:w="1533" w:type="dxa"/>
            <w:tcBorders>
              <w:top w:val="dotted" w:sz="4" w:space="0" w:color="auto"/>
              <w:bottom w:val="nil"/>
            </w:tcBorders>
          </w:tcPr>
          <w:p w14:paraId="62FA3B21" w14:textId="77777777" w:rsidR="00346BE3" w:rsidRPr="00C23A32" w:rsidRDefault="00346BE3" w:rsidP="00437131">
            <w:pPr>
              <w:jc w:val="both"/>
              <w:cnfStyle w:val="000000000000" w:firstRow="0" w:lastRow="0" w:firstColumn="0" w:lastColumn="0" w:oddVBand="0" w:evenVBand="0" w:oddHBand="0" w:evenHBand="0" w:firstRowFirstColumn="0" w:firstRowLastColumn="0" w:lastRowFirstColumn="0" w:lastRowLastColumn="0"/>
              <w:rPr>
                <w:rFonts w:ascii="Cambria" w:hAnsi="Cambria"/>
                <w:color w:val="1F3864" w:themeColor="accent1" w:themeShade="80"/>
                <w:sz w:val="20"/>
                <w:szCs w:val="20"/>
              </w:rPr>
            </w:pPr>
            <w:r w:rsidRPr="00C23A32">
              <w:rPr>
                <w:rFonts w:ascii="Cambria" w:hAnsi="Cambria" w:cs="Calibri"/>
                <w:bCs/>
                <w:color w:val="1F3864"/>
                <w:sz w:val="20"/>
                <w:szCs w:val="20"/>
              </w:rPr>
              <w:t>319,8</w:t>
            </w:r>
          </w:p>
        </w:tc>
        <w:tc>
          <w:tcPr>
            <w:tcW w:w="1500" w:type="dxa"/>
            <w:tcBorders>
              <w:top w:val="dotted" w:sz="4" w:space="0" w:color="auto"/>
              <w:bottom w:val="nil"/>
            </w:tcBorders>
          </w:tcPr>
          <w:p w14:paraId="34BB5ABF" w14:textId="77777777" w:rsidR="00346BE3" w:rsidRPr="00C23A32" w:rsidRDefault="00346BE3" w:rsidP="00437131">
            <w:pPr>
              <w:jc w:val="both"/>
              <w:cnfStyle w:val="000000000000" w:firstRow="0" w:lastRow="0" w:firstColumn="0" w:lastColumn="0" w:oddVBand="0" w:evenVBand="0" w:oddHBand="0" w:evenHBand="0" w:firstRowFirstColumn="0" w:firstRowLastColumn="0" w:lastRowFirstColumn="0" w:lastRowLastColumn="0"/>
              <w:rPr>
                <w:rFonts w:ascii="Cambria" w:hAnsi="Cambria"/>
                <w:color w:val="1F3864" w:themeColor="accent1" w:themeShade="80"/>
                <w:sz w:val="20"/>
                <w:szCs w:val="20"/>
              </w:rPr>
            </w:pPr>
            <w:r w:rsidRPr="00C23A32">
              <w:rPr>
                <w:rFonts w:ascii="Cambria" w:hAnsi="Cambria" w:cs="Calibri"/>
                <w:bCs/>
                <w:color w:val="1F3864"/>
                <w:sz w:val="20"/>
                <w:szCs w:val="20"/>
              </w:rPr>
              <w:t>276,7</w:t>
            </w:r>
          </w:p>
        </w:tc>
        <w:tc>
          <w:tcPr>
            <w:tcW w:w="1533" w:type="dxa"/>
            <w:tcBorders>
              <w:top w:val="dotted" w:sz="4" w:space="0" w:color="auto"/>
              <w:bottom w:val="nil"/>
            </w:tcBorders>
          </w:tcPr>
          <w:p w14:paraId="12953199" w14:textId="77777777" w:rsidR="00346BE3" w:rsidRPr="00C23A32" w:rsidRDefault="00346BE3" w:rsidP="00437131">
            <w:pPr>
              <w:jc w:val="both"/>
              <w:cnfStyle w:val="000000000000" w:firstRow="0" w:lastRow="0" w:firstColumn="0" w:lastColumn="0" w:oddVBand="0" w:evenVBand="0" w:oddHBand="0" w:evenHBand="0" w:firstRowFirstColumn="0" w:firstRowLastColumn="0" w:lastRowFirstColumn="0" w:lastRowLastColumn="0"/>
              <w:rPr>
                <w:rFonts w:ascii="Cambria" w:hAnsi="Cambria"/>
                <w:color w:val="1F3864" w:themeColor="accent1" w:themeShade="80"/>
                <w:sz w:val="20"/>
                <w:szCs w:val="20"/>
              </w:rPr>
            </w:pPr>
            <w:r w:rsidRPr="00C23A32">
              <w:rPr>
                <w:rFonts w:ascii="Cambria" w:hAnsi="Cambria" w:cs="Calibri"/>
                <w:bCs/>
                <w:color w:val="1F3864"/>
                <w:sz w:val="20"/>
                <w:szCs w:val="20"/>
              </w:rPr>
              <w:t>289,6</w:t>
            </w:r>
          </w:p>
        </w:tc>
      </w:tr>
      <w:tr w:rsidR="00346BE3" w:rsidRPr="00C23A32" w14:paraId="3D30F2B2" w14:textId="77777777" w:rsidTr="004371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 w:type="dxa"/>
            <w:tcBorders>
              <w:top w:val="nil"/>
              <w:bottom w:val="single" w:sz="4" w:space="0" w:color="FFC000" w:themeColor="accent4"/>
            </w:tcBorders>
            <w:shd w:val="clear" w:color="auto" w:fill="FFE599" w:themeFill="accent4" w:themeFillTint="66"/>
          </w:tcPr>
          <w:p w14:paraId="0D84781F" w14:textId="77777777" w:rsidR="00346BE3" w:rsidRPr="00C23A32" w:rsidRDefault="00346BE3" w:rsidP="00437131">
            <w:pPr>
              <w:jc w:val="both"/>
              <w:rPr>
                <w:rFonts w:ascii="Cambria" w:hAnsi="Cambria"/>
                <w:color w:val="1F3864" w:themeColor="accent1" w:themeShade="80"/>
                <w:sz w:val="20"/>
                <w:szCs w:val="20"/>
              </w:rPr>
            </w:pPr>
            <w:r w:rsidRPr="00C23A32">
              <w:rPr>
                <w:rFonts w:ascii="Cambria" w:hAnsi="Cambria"/>
                <w:color w:val="1F3864" w:themeColor="accent1" w:themeShade="80"/>
                <w:sz w:val="20"/>
                <w:szCs w:val="20"/>
              </w:rPr>
              <w:t>3</w:t>
            </w:r>
          </w:p>
        </w:tc>
        <w:tc>
          <w:tcPr>
            <w:tcW w:w="2970" w:type="dxa"/>
            <w:gridSpan w:val="2"/>
            <w:tcBorders>
              <w:top w:val="nil"/>
              <w:bottom w:val="single" w:sz="4" w:space="0" w:color="FFC000" w:themeColor="accent4"/>
            </w:tcBorders>
            <w:shd w:val="clear" w:color="auto" w:fill="FFE599" w:themeFill="accent4" w:themeFillTint="66"/>
          </w:tcPr>
          <w:p w14:paraId="2E0104F8" w14:textId="77777777" w:rsidR="00346BE3" w:rsidRPr="00C23A32" w:rsidRDefault="00346BE3" w:rsidP="00437131">
            <w:pPr>
              <w:jc w:val="both"/>
              <w:cnfStyle w:val="000000100000" w:firstRow="0" w:lastRow="0" w:firstColumn="0" w:lastColumn="0" w:oddVBand="0" w:evenVBand="0" w:oddHBand="1" w:evenHBand="0" w:firstRowFirstColumn="0" w:firstRowLastColumn="0" w:lastRowFirstColumn="0" w:lastRowLastColumn="0"/>
              <w:rPr>
                <w:rFonts w:ascii="Cambria" w:hAnsi="Cambria" w:cs="Calibri"/>
                <w:b/>
                <w:bCs/>
                <w:color w:val="1F3864"/>
                <w:sz w:val="20"/>
                <w:szCs w:val="20"/>
              </w:rPr>
            </w:pPr>
            <w:r w:rsidRPr="00C23A32">
              <w:rPr>
                <w:rFonts w:ascii="Cambria" w:hAnsi="Cambria"/>
                <w:b/>
                <w:color w:val="1F3864" w:themeColor="accent1" w:themeShade="80"/>
                <w:sz w:val="20"/>
                <w:szCs w:val="20"/>
              </w:rPr>
              <w:t>Nedostajuća sredstva (1+2)</w:t>
            </w:r>
          </w:p>
        </w:tc>
        <w:tc>
          <w:tcPr>
            <w:tcW w:w="1130" w:type="dxa"/>
            <w:tcBorders>
              <w:top w:val="nil"/>
              <w:bottom w:val="single" w:sz="4" w:space="0" w:color="FFC000" w:themeColor="accent4"/>
            </w:tcBorders>
            <w:shd w:val="clear" w:color="auto" w:fill="FFE599" w:themeFill="accent4" w:themeFillTint="66"/>
          </w:tcPr>
          <w:p w14:paraId="78287CEA" w14:textId="77777777" w:rsidR="00346BE3" w:rsidRPr="00C23A32" w:rsidRDefault="00346BE3" w:rsidP="00437131">
            <w:pPr>
              <w:jc w:val="both"/>
              <w:cnfStyle w:val="000000100000" w:firstRow="0" w:lastRow="0" w:firstColumn="0" w:lastColumn="0" w:oddVBand="0" w:evenVBand="0" w:oddHBand="1" w:evenHBand="0" w:firstRowFirstColumn="0" w:firstRowLastColumn="0" w:lastRowFirstColumn="0" w:lastRowLastColumn="0"/>
              <w:rPr>
                <w:rFonts w:ascii="Cambria" w:hAnsi="Cambria"/>
                <w:b/>
                <w:color w:val="1F3864" w:themeColor="accent1" w:themeShade="80"/>
                <w:sz w:val="20"/>
                <w:szCs w:val="20"/>
              </w:rPr>
            </w:pPr>
            <w:r w:rsidRPr="00C23A32">
              <w:rPr>
                <w:rFonts w:ascii="Cambria" w:hAnsi="Cambria" w:cs="Calibri"/>
                <w:b/>
                <w:bCs/>
                <w:color w:val="1F3864"/>
                <w:sz w:val="20"/>
                <w:szCs w:val="20"/>
              </w:rPr>
              <w:t>748,7</w:t>
            </w:r>
          </w:p>
        </w:tc>
        <w:tc>
          <w:tcPr>
            <w:tcW w:w="1533" w:type="dxa"/>
            <w:tcBorders>
              <w:top w:val="nil"/>
              <w:bottom w:val="single" w:sz="4" w:space="0" w:color="FFC000" w:themeColor="accent4"/>
            </w:tcBorders>
            <w:shd w:val="clear" w:color="auto" w:fill="FFE599" w:themeFill="accent4" w:themeFillTint="66"/>
          </w:tcPr>
          <w:p w14:paraId="444D04E5" w14:textId="77777777" w:rsidR="00346BE3" w:rsidRPr="00C23A32" w:rsidRDefault="00346BE3" w:rsidP="00437131">
            <w:pPr>
              <w:jc w:val="both"/>
              <w:cnfStyle w:val="000000100000" w:firstRow="0" w:lastRow="0" w:firstColumn="0" w:lastColumn="0" w:oddVBand="0" w:evenVBand="0" w:oddHBand="1" w:evenHBand="0" w:firstRowFirstColumn="0" w:firstRowLastColumn="0" w:lastRowFirstColumn="0" w:lastRowLastColumn="0"/>
              <w:rPr>
                <w:rFonts w:ascii="Cambria" w:hAnsi="Cambria"/>
                <w:b/>
                <w:color w:val="1F3864" w:themeColor="accent1" w:themeShade="80"/>
                <w:sz w:val="20"/>
                <w:szCs w:val="20"/>
              </w:rPr>
            </w:pPr>
            <w:r w:rsidRPr="00C23A32">
              <w:rPr>
                <w:rFonts w:ascii="Cambria" w:hAnsi="Cambria" w:cs="Calibri"/>
                <w:b/>
                <w:bCs/>
                <w:color w:val="1F3864"/>
                <w:sz w:val="20"/>
                <w:szCs w:val="20"/>
              </w:rPr>
              <w:t>1.140,7</w:t>
            </w:r>
          </w:p>
        </w:tc>
        <w:tc>
          <w:tcPr>
            <w:tcW w:w="1500" w:type="dxa"/>
            <w:tcBorders>
              <w:top w:val="nil"/>
              <w:bottom w:val="single" w:sz="4" w:space="0" w:color="FFC000" w:themeColor="accent4"/>
            </w:tcBorders>
            <w:shd w:val="clear" w:color="auto" w:fill="FFE599" w:themeFill="accent4" w:themeFillTint="66"/>
          </w:tcPr>
          <w:p w14:paraId="59C1AC5E" w14:textId="77777777" w:rsidR="00346BE3" w:rsidRPr="00C23A32" w:rsidRDefault="00346BE3" w:rsidP="00437131">
            <w:pPr>
              <w:jc w:val="both"/>
              <w:cnfStyle w:val="000000100000" w:firstRow="0" w:lastRow="0" w:firstColumn="0" w:lastColumn="0" w:oddVBand="0" w:evenVBand="0" w:oddHBand="1" w:evenHBand="0" w:firstRowFirstColumn="0" w:firstRowLastColumn="0" w:lastRowFirstColumn="0" w:lastRowLastColumn="0"/>
              <w:rPr>
                <w:rFonts w:ascii="Cambria" w:hAnsi="Cambria"/>
                <w:b/>
                <w:color w:val="1F3864" w:themeColor="accent1" w:themeShade="80"/>
                <w:sz w:val="20"/>
                <w:szCs w:val="20"/>
              </w:rPr>
            </w:pPr>
            <w:r w:rsidRPr="00C23A32">
              <w:rPr>
                <w:rFonts w:ascii="Cambria" w:hAnsi="Cambria" w:cs="Calibri"/>
                <w:b/>
                <w:bCs/>
                <w:color w:val="1F3864"/>
                <w:sz w:val="20"/>
                <w:szCs w:val="20"/>
              </w:rPr>
              <w:t>629,8</w:t>
            </w:r>
          </w:p>
        </w:tc>
        <w:tc>
          <w:tcPr>
            <w:tcW w:w="1533" w:type="dxa"/>
            <w:tcBorders>
              <w:top w:val="nil"/>
              <w:bottom w:val="single" w:sz="4" w:space="0" w:color="FFC000" w:themeColor="accent4"/>
            </w:tcBorders>
            <w:shd w:val="clear" w:color="auto" w:fill="FFE599" w:themeFill="accent4" w:themeFillTint="66"/>
          </w:tcPr>
          <w:p w14:paraId="75FE708E" w14:textId="77777777" w:rsidR="00346BE3" w:rsidRPr="00C23A32" w:rsidRDefault="00346BE3" w:rsidP="00437131">
            <w:pPr>
              <w:jc w:val="both"/>
              <w:cnfStyle w:val="000000100000" w:firstRow="0" w:lastRow="0" w:firstColumn="0" w:lastColumn="0" w:oddVBand="0" w:evenVBand="0" w:oddHBand="1" w:evenHBand="0" w:firstRowFirstColumn="0" w:firstRowLastColumn="0" w:lastRowFirstColumn="0" w:lastRowLastColumn="0"/>
              <w:rPr>
                <w:rFonts w:ascii="Cambria" w:hAnsi="Cambria"/>
                <w:b/>
                <w:color w:val="1F3864" w:themeColor="accent1" w:themeShade="80"/>
                <w:sz w:val="20"/>
                <w:szCs w:val="20"/>
              </w:rPr>
            </w:pPr>
            <w:r w:rsidRPr="00C23A32">
              <w:rPr>
                <w:rFonts w:ascii="Cambria" w:hAnsi="Cambria" w:cs="Calibri"/>
                <w:b/>
                <w:bCs/>
                <w:color w:val="1F3864"/>
                <w:sz w:val="20"/>
                <w:szCs w:val="20"/>
              </w:rPr>
              <w:t>1.261,3</w:t>
            </w:r>
          </w:p>
        </w:tc>
      </w:tr>
    </w:tbl>
    <w:p w14:paraId="19DB5AED" w14:textId="77777777" w:rsidR="00346BE3" w:rsidRPr="00C23A32" w:rsidRDefault="00346BE3" w:rsidP="00437131">
      <w:pPr>
        <w:jc w:val="both"/>
        <w:rPr>
          <w:rFonts w:ascii="Cambria" w:hAnsi="Cambria"/>
          <w:lang w:val="sr-Latn-ME"/>
        </w:rPr>
      </w:pPr>
    </w:p>
    <w:p w14:paraId="0F3BFBC9" w14:textId="77777777" w:rsidR="00346BE3" w:rsidRPr="00437131" w:rsidRDefault="00346BE3" w:rsidP="00437131">
      <w:pPr>
        <w:jc w:val="both"/>
        <w:rPr>
          <w:sz w:val="24"/>
          <w:szCs w:val="24"/>
          <w:lang w:val="sr-Latn-ME"/>
        </w:rPr>
      </w:pPr>
      <w:r w:rsidRPr="00437131">
        <w:rPr>
          <w:sz w:val="24"/>
          <w:szCs w:val="24"/>
          <w:lang w:val="sr-Latn-ME"/>
        </w:rPr>
        <w:t xml:space="preserve">U strukturi dugova koje treba otplatiti u narednim godinama, najveće učešće imaju obaveze po osnovu ino i domaćih obveznica, otplate kredita kod Exim Kina banke za izgradnju prve dionice autoputa Bar-Boljare, PBG aranžmani sa Svjetskom bankom iz 2018. i 2020. godine i  kredit kod Dojče banke iz 2023. godine. Najveće jednokratne otplate, čiji je uticaj na iznos otplate najznačajniji, odnose se na euroobveznice koje dospijevaju 2025. godine u iznosu od 500 miliona eura, domaće obveznice koje dospijevaju 2026. godine u iznosu od 50 miliona eura, kao i euroobveznice koje dospijevaju 2027. godine u iznosu od 750 miliona eura. </w:t>
      </w:r>
    </w:p>
    <w:p w14:paraId="0B36FEA7" w14:textId="35A0EDD2" w:rsidR="00346BE3" w:rsidRPr="00437131" w:rsidRDefault="00346BE3" w:rsidP="00437131">
      <w:pPr>
        <w:jc w:val="both"/>
        <w:rPr>
          <w:sz w:val="24"/>
          <w:szCs w:val="24"/>
          <w:lang w:val="sr-Latn-ME"/>
        </w:rPr>
      </w:pPr>
      <w:r w:rsidRPr="00AB5341">
        <w:rPr>
          <w:sz w:val="24"/>
          <w:szCs w:val="24"/>
          <w:lang w:val="sr-Latn-ME"/>
        </w:rPr>
        <w:lastRenderedPageBreak/>
        <w:t>Fisk</w:t>
      </w:r>
      <w:r w:rsidR="00AB5341" w:rsidRPr="00AB5341">
        <w:rPr>
          <w:sz w:val="24"/>
          <w:szCs w:val="24"/>
          <w:lang w:val="sr-Latn-ME"/>
        </w:rPr>
        <w:t>al</w:t>
      </w:r>
      <w:r w:rsidRPr="00AB5341">
        <w:rPr>
          <w:sz w:val="24"/>
          <w:szCs w:val="24"/>
          <w:lang w:val="sr-Latn-ME"/>
        </w:rPr>
        <w:t>n</w:t>
      </w:r>
      <w:r w:rsidRPr="00437131">
        <w:rPr>
          <w:sz w:val="24"/>
          <w:szCs w:val="24"/>
          <w:lang w:val="sr-Latn-ME"/>
        </w:rPr>
        <w:t xml:space="preserve">om strategijom nedostajuća sredstva za 2025. godinu procijenjena su na iznos od 1.109,2 miliona eura, dok je Predlogom Zakona o budžetu za 2025. godinu predviđeno blago povećanje nedostajućih sredstava na iznos od 1.140,0 miliona eura, što se značajno ne odražava na projekcije kretanja državnog i javnog duga. U cilju obezbjeđenja nedostajućih sredstava za 2025. godinu, Ministarstvo finansija je zaključilo DPL aranžman vrijedan 180,0 miliona eura, od kojih je 80,0 miliona eura obezbijeđeno od strane Svjetske banke, dok je preostali dio obezbijeđen od strane Francuske razvojne agencije (AFD) i OPEC međunarodnog fonda, sa iznosima od po 50,0 miliona eura. </w:t>
      </w:r>
    </w:p>
    <w:p w14:paraId="57D3FBB9" w14:textId="77777777" w:rsidR="00346BE3" w:rsidRPr="00437131" w:rsidRDefault="00346BE3" w:rsidP="00437131">
      <w:pPr>
        <w:jc w:val="both"/>
        <w:rPr>
          <w:sz w:val="24"/>
          <w:szCs w:val="24"/>
          <w:lang w:val="sr-Latn-ME"/>
        </w:rPr>
      </w:pPr>
      <w:r w:rsidRPr="00437131">
        <w:rPr>
          <w:sz w:val="24"/>
          <w:szCs w:val="24"/>
          <w:lang w:val="sr-Latn-ME"/>
        </w:rPr>
        <w:t xml:space="preserve">Ministarstvo finansija pregovara sa Svjetskom bankom i o mogućnosti da, umjesto druge planirane tranše DPL-a u iznosu do 80 miliona eura za 2025. godinu, potencijalno dobije garanciju Svjetske banke koja je zasnovana na razvojnoj politici (PBG - Policy based Guarantee), a kojom bi se se obezbijedila osnova za kreditni aranžman sa komercijalnim bankama u iznosu do 250,0 miliona eura u 2025. godini. Očekuje se da će ovaj kredit biti značajno povoljniji od standardnih komercijanih kredita, kako sa aspekta troškova finansiranja, tako i sa aspekta ročnosti, a pri tome bi se obezbijedio mnogo veći obim sredstava u odnosu na standardni DPL aranžman.  </w:t>
      </w:r>
    </w:p>
    <w:p w14:paraId="7A6CC4BD" w14:textId="77777777" w:rsidR="00346BE3" w:rsidRPr="00437131" w:rsidRDefault="00346BE3" w:rsidP="00437131">
      <w:pPr>
        <w:jc w:val="both"/>
        <w:rPr>
          <w:sz w:val="24"/>
          <w:szCs w:val="24"/>
          <w:lang w:val="sr-Latn-ME"/>
        </w:rPr>
      </w:pPr>
      <w:r w:rsidRPr="00437131">
        <w:rPr>
          <w:sz w:val="24"/>
          <w:szCs w:val="24"/>
          <w:lang w:val="sr-Latn-ME"/>
        </w:rPr>
        <w:t xml:space="preserve">Osim navedenog, Država namjerava da se fokusira na razvoj domaćeg tržišta državnih obveznica gdje će, pored institucionalnih investitora, svoje mjesto naći i građani kroz obveznice za stanovništvo (retail obveznice). Na taj način će se omogućiti diverzifikacija izvora finansiranja i smanjenje zavisnosti od spoljnih izvora finansiranja. Ministarstvo finansija razmatra mogućnost emitovanja obveznica za stanovništvo, u 2024. godini, u iznosu do 50 miliona eura, sa rokom dospijeća od 2 do 3 godine. Emisijom ovih obveznica, Država bi omogućila građanima da plasiraju višak novčanih sredstava po povoljnijim uslovima i ostvare veći prinos na sredstva koja se sada nalaze na depozitima kod banaka. Ukoliko procijeni da bi to bilo efikasnije sa aspekta uspješnosti emisije, Ministarstvo finansija će ovu transakciju realizovati početkom 2025. godine. </w:t>
      </w:r>
    </w:p>
    <w:p w14:paraId="39C49360" w14:textId="77777777" w:rsidR="00346BE3" w:rsidRPr="00437131" w:rsidRDefault="00346BE3" w:rsidP="00437131">
      <w:pPr>
        <w:jc w:val="both"/>
        <w:rPr>
          <w:rFonts w:ascii="Cambria" w:hAnsi="Cambria"/>
          <w:sz w:val="24"/>
          <w:szCs w:val="24"/>
          <w:lang w:val="sr-Latn-ME"/>
        </w:rPr>
      </w:pPr>
      <w:r w:rsidRPr="00437131">
        <w:rPr>
          <w:rFonts w:ascii="Cambria" w:hAnsi="Cambria"/>
          <w:sz w:val="24"/>
          <w:szCs w:val="24"/>
          <w:lang w:val="sr-Latn-ME"/>
        </w:rPr>
        <w:t xml:space="preserve">Ostatak nedostajućih sredstava za finansiranje 2025. godine, Ministarstvo finansija namjerava da obezbijedi emisijom obveznica na inostranom i domaćem tržištu. </w:t>
      </w:r>
    </w:p>
    <w:p w14:paraId="4556A882" w14:textId="77777777" w:rsidR="00346BE3" w:rsidRPr="00437131" w:rsidRDefault="00346BE3" w:rsidP="00437131">
      <w:pPr>
        <w:jc w:val="both"/>
        <w:rPr>
          <w:sz w:val="24"/>
          <w:szCs w:val="24"/>
          <w:lang w:val="sr-Latn-ME"/>
        </w:rPr>
      </w:pPr>
      <w:r w:rsidRPr="00437131">
        <w:rPr>
          <w:sz w:val="24"/>
          <w:szCs w:val="24"/>
          <w:lang w:val="sr-Latn-ME"/>
        </w:rPr>
        <w:t xml:space="preserve">U 2026. godini za otplatu duga potrebno je obezbjediti oko 353 miliona eura, koja se u najvećem dijelu odnose na redovnu otplatu kredita kod Exim Kina banke iz 2014. godine, isplatu domaće obveznice iz 2019. godine, u iznosu od 50 miliona eura, redovnu otplatu kredita kod Svjetske banke (PBG 1 i PBG 2) iz 2018. i 2020. godine i Dojče banke iz 2023. godine. </w:t>
      </w:r>
    </w:p>
    <w:p w14:paraId="288B6CE1" w14:textId="2F8DE3D1" w:rsidR="00346BE3" w:rsidRPr="00437131" w:rsidRDefault="00346BE3" w:rsidP="00437131">
      <w:pPr>
        <w:jc w:val="both"/>
        <w:rPr>
          <w:sz w:val="24"/>
          <w:szCs w:val="24"/>
          <w:lang w:val="sr-Latn-ME"/>
        </w:rPr>
      </w:pPr>
      <w:r w:rsidRPr="00437131">
        <w:rPr>
          <w:sz w:val="24"/>
          <w:szCs w:val="24"/>
          <w:lang w:val="sr-Latn-ME"/>
        </w:rPr>
        <w:t xml:space="preserve">Međutim, u 2027. godini za otplatu duga iz prethodnog perioda potrebno je obezbjediti oko 972 miliona eura, od čega se najveći dio odnosi na isplatu obveznice iz 2020. godine, u iznosu od 750 miliona eura, </w:t>
      </w:r>
      <w:r w:rsidRPr="00AB5341">
        <w:rPr>
          <w:sz w:val="24"/>
          <w:szCs w:val="24"/>
          <w:lang w:val="sr-Latn-ME"/>
        </w:rPr>
        <w:t>redovnu otplatu</w:t>
      </w:r>
      <w:r w:rsidRPr="00437131">
        <w:rPr>
          <w:sz w:val="24"/>
          <w:szCs w:val="24"/>
          <w:lang w:val="sr-Latn-ME"/>
        </w:rPr>
        <w:t xml:space="preserve"> kredita kod Exim Kina banke iz 2014. godine i kredita kod Svjetske banke (PBG 2) iz 2020. godine. Stoga, projektovano je obezbjeđivanje većeg iznosa depozita u 2026. godini u cilju rasterećenja potreba za zaduženjem u 2027. godini, odnosno stvaranja fiskalne rezerve za narednu godinu.</w:t>
      </w:r>
    </w:p>
    <w:p w14:paraId="07DCAB90" w14:textId="77777777" w:rsidR="00346BE3" w:rsidRPr="00437131" w:rsidRDefault="00346BE3" w:rsidP="00437131">
      <w:pPr>
        <w:jc w:val="both"/>
        <w:rPr>
          <w:sz w:val="24"/>
          <w:szCs w:val="24"/>
          <w:lang w:val="sr-Latn-ME"/>
        </w:rPr>
      </w:pPr>
      <w:r w:rsidRPr="00437131">
        <w:rPr>
          <w:sz w:val="24"/>
          <w:szCs w:val="24"/>
          <w:lang w:val="sr-Latn-ME"/>
        </w:rPr>
        <w:lastRenderedPageBreak/>
        <w:t xml:space="preserve">Vrlo je važno naglasiti da će na kretanje duga u velikoj mjeri uticati finansiranje infrastrukturnih i razvojnih projekata. U tom pogledu planirana su kreditna zaduženja za razvojne i infrastrukturne projekte iz oblasti obrazovanja, zdravstva, odbrane, putne i željezničke infrastrukture, komunalne infrastrukture, energetike, digitalne infrastrukture, zaštitne životne sredine itd. Kroz </w:t>
      </w:r>
      <w:bookmarkStart w:id="73" w:name="_Hlk170982356"/>
      <w:r w:rsidRPr="00437131">
        <w:rPr>
          <w:sz w:val="24"/>
          <w:szCs w:val="24"/>
          <w:lang w:val="sr-Latn-ME"/>
        </w:rPr>
        <w:t xml:space="preserve">Instrument EU za reformu i rast za region </w:t>
      </w:r>
      <w:bookmarkEnd w:id="73"/>
      <w:r w:rsidRPr="00437131">
        <w:rPr>
          <w:sz w:val="24"/>
          <w:szCs w:val="24"/>
          <w:lang w:val="sr-Latn-ME"/>
        </w:rPr>
        <w:t>Crnoj Gori je dodijeljeno oko 383 miliona eura podrške, od čega se 2/3 predmetnih sredstava odnosi na kreditna</w:t>
      </w:r>
      <w:r w:rsidRPr="00C23A32">
        <w:rPr>
          <w:lang w:val="sr-Latn-ME"/>
        </w:rPr>
        <w:t xml:space="preserve"> </w:t>
      </w:r>
      <w:r w:rsidRPr="00437131">
        <w:rPr>
          <w:sz w:val="24"/>
          <w:szCs w:val="24"/>
          <w:lang w:val="sr-Latn-ME"/>
        </w:rPr>
        <w:t xml:space="preserve">zaduženja namijenjena za razvojne i infrastrukturne projekte, dok će 1/3 iznosa biti opredijeljena kroz bespovratna sredstva. Projekte je potrebno realizovati do kraja 2028. godine. </w:t>
      </w:r>
    </w:p>
    <w:p w14:paraId="37AE7327" w14:textId="77777777" w:rsidR="00346BE3" w:rsidRPr="00C23A32" w:rsidRDefault="00346BE3" w:rsidP="00346BE3">
      <w:pPr>
        <w:rPr>
          <w:rFonts w:ascii="Cambria" w:hAnsi="Cambria"/>
          <w:b/>
          <w:sz w:val="18"/>
          <w:szCs w:val="18"/>
        </w:rPr>
      </w:pPr>
      <w:r w:rsidRPr="00C23A32">
        <w:rPr>
          <w:rFonts w:ascii="Cambria" w:hAnsi="Cambria"/>
          <w:b/>
          <w:sz w:val="18"/>
          <w:szCs w:val="18"/>
        </w:rPr>
        <w:t xml:space="preserve">Tabela 5: Osnovni scenario- Projekcije kretanja državnog i javnog duga u periodu 2024-2027. godine, u mil. eura i % BDP-a </w:t>
      </w:r>
    </w:p>
    <w:tbl>
      <w:tblPr>
        <w:tblStyle w:val="GridTable1Light-Accent2"/>
        <w:tblW w:w="5062" w:type="pct"/>
        <w:tblLook w:val="01E0" w:firstRow="1" w:lastRow="1" w:firstColumn="1" w:lastColumn="1" w:noHBand="0" w:noVBand="0"/>
      </w:tblPr>
      <w:tblGrid>
        <w:gridCol w:w="3584"/>
        <w:gridCol w:w="1515"/>
        <w:gridCol w:w="1560"/>
        <w:gridCol w:w="1463"/>
        <w:gridCol w:w="1344"/>
      </w:tblGrid>
      <w:tr w:rsidR="00346BE3" w:rsidRPr="00C23A32" w14:paraId="02B10B76" w14:textId="77777777" w:rsidTr="00437131">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893" w:type="pct"/>
          </w:tcPr>
          <w:p w14:paraId="3A846FB7" w14:textId="77777777" w:rsidR="00346BE3" w:rsidRPr="00C23A32" w:rsidRDefault="00346BE3" w:rsidP="00437131">
            <w:pPr>
              <w:jc w:val="right"/>
              <w:rPr>
                <w:rFonts w:ascii="Cambria" w:hAnsi="Cambria"/>
                <w:b w:val="0"/>
                <w:bCs w:val="0"/>
                <w:sz w:val="20"/>
                <w:szCs w:val="20"/>
                <w:lang w:val="en-GB"/>
              </w:rPr>
            </w:pPr>
          </w:p>
        </w:tc>
        <w:tc>
          <w:tcPr>
            <w:tcW w:w="800" w:type="pct"/>
          </w:tcPr>
          <w:p w14:paraId="05BEA370" w14:textId="77777777" w:rsidR="00346BE3" w:rsidRPr="00C23A32" w:rsidRDefault="00346BE3" w:rsidP="00437131">
            <w:pPr>
              <w:jc w:val="right"/>
              <w:cnfStyle w:val="100000000000" w:firstRow="1" w:lastRow="0" w:firstColumn="0" w:lastColumn="0" w:oddVBand="0" w:evenVBand="0" w:oddHBand="0" w:evenHBand="0" w:firstRowFirstColumn="0" w:firstRowLastColumn="0" w:lastRowFirstColumn="0" w:lastRowLastColumn="0"/>
              <w:rPr>
                <w:rFonts w:ascii="Cambria" w:hAnsi="Cambria"/>
                <w:bCs w:val="0"/>
                <w:sz w:val="20"/>
                <w:szCs w:val="20"/>
                <w:lang w:val="en-GB"/>
              </w:rPr>
            </w:pPr>
            <w:r w:rsidRPr="00C23A32">
              <w:rPr>
                <w:rFonts w:ascii="Cambria" w:hAnsi="Cambria"/>
                <w:bCs w:val="0"/>
                <w:sz w:val="20"/>
                <w:szCs w:val="20"/>
                <w:lang w:val="en-GB"/>
              </w:rPr>
              <w:t>2024.</w:t>
            </w:r>
          </w:p>
        </w:tc>
        <w:tc>
          <w:tcPr>
            <w:tcW w:w="824" w:type="pct"/>
          </w:tcPr>
          <w:p w14:paraId="7D90BF00" w14:textId="77777777" w:rsidR="00346BE3" w:rsidRPr="00C23A32" w:rsidRDefault="00346BE3" w:rsidP="00437131">
            <w:pPr>
              <w:jc w:val="right"/>
              <w:cnfStyle w:val="100000000000" w:firstRow="1" w:lastRow="0" w:firstColumn="0" w:lastColumn="0" w:oddVBand="0" w:evenVBand="0" w:oddHBand="0" w:evenHBand="0" w:firstRowFirstColumn="0" w:firstRowLastColumn="0" w:lastRowFirstColumn="0" w:lastRowLastColumn="0"/>
              <w:rPr>
                <w:rFonts w:ascii="Cambria" w:hAnsi="Cambria"/>
                <w:bCs w:val="0"/>
                <w:sz w:val="20"/>
                <w:szCs w:val="20"/>
                <w:lang w:val="en-GB"/>
              </w:rPr>
            </w:pPr>
            <w:r w:rsidRPr="00C23A32">
              <w:rPr>
                <w:rFonts w:ascii="Cambria" w:hAnsi="Cambria"/>
                <w:bCs w:val="0"/>
                <w:sz w:val="20"/>
                <w:szCs w:val="20"/>
                <w:lang w:val="en-GB"/>
              </w:rPr>
              <w:t>2025.</w:t>
            </w:r>
          </w:p>
        </w:tc>
        <w:tc>
          <w:tcPr>
            <w:tcW w:w="773" w:type="pct"/>
          </w:tcPr>
          <w:p w14:paraId="34FC4F7F" w14:textId="77777777" w:rsidR="00346BE3" w:rsidRPr="00C23A32" w:rsidRDefault="00346BE3" w:rsidP="00437131">
            <w:pPr>
              <w:jc w:val="right"/>
              <w:cnfStyle w:val="100000000000" w:firstRow="1" w:lastRow="0" w:firstColumn="0" w:lastColumn="0" w:oddVBand="0" w:evenVBand="0" w:oddHBand="0" w:evenHBand="0" w:firstRowFirstColumn="0" w:firstRowLastColumn="0" w:lastRowFirstColumn="0" w:lastRowLastColumn="0"/>
              <w:rPr>
                <w:rFonts w:ascii="Cambria" w:hAnsi="Cambria"/>
                <w:bCs w:val="0"/>
                <w:sz w:val="20"/>
                <w:szCs w:val="20"/>
                <w:lang w:val="en-GB"/>
              </w:rPr>
            </w:pPr>
            <w:r w:rsidRPr="00C23A32">
              <w:rPr>
                <w:rFonts w:ascii="Cambria" w:hAnsi="Cambria"/>
                <w:bCs w:val="0"/>
                <w:sz w:val="20"/>
                <w:szCs w:val="20"/>
                <w:lang w:val="en-GB"/>
              </w:rPr>
              <w:t>2026.</w:t>
            </w:r>
          </w:p>
        </w:tc>
        <w:tc>
          <w:tcPr>
            <w:cnfStyle w:val="000100000000" w:firstRow="0" w:lastRow="0" w:firstColumn="0" w:lastColumn="1" w:oddVBand="0" w:evenVBand="0" w:oddHBand="0" w:evenHBand="0" w:firstRowFirstColumn="0" w:firstRowLastColumn="0" w:lastRowFirstColumn="0" w:lastRowLastColumn="0"/>
            <w:tcW w:w="710" w:type="pct"/>
          </w:tcPr>
          <w:p w14:paraId="4E829593" w14:textId="77777777" w:rsidR="00346BE3" w:rsidRPr="00C23A32" w:rsidRDefault="00346BE3" w:rsidP="00437131">
            <w:pPr>
              <w:jc w:val="right"/>
              <w:rPr>
                <w:rFonts w:ascii="Cambria" w:hAnsi="Cambria"/>
                <w:bCs w:val="0"/>
                <w:sz w:val="20"/>
                <w:szCs w:val="20"/>
                <w:lang w:val="en-GB"/>
              </w:rPr>
            </w:pPr>
            <w:r w:rsidRPr="00C23A32">
              <w:rPr>
                <w:rFonts w:ascii="Cambria" w:hAnsi="Cambria"/>
                <w:bCs w:val="0"/>
                <w:sz w:val="20"/>
                <w:szCs w:val="20"/>
                <w:lang w:val="en-GB"/>
              </w:rPr>
              <w:t>2027.</w:t>
            </w:r>
          </w:p>
        </w:tc>
      </w:tr>
      <w:tr w:rsidR="00346BE3" w:rsidRPr="00C23A32" w14:paraId="472DF57B" w14:textId="77777777" w:rsidTr="00437131">
        <w:trPr>
          <w:trHeight w:val="204"/>
        </w:trPr>
        <w:tc>
          <w:tcPr>
            <w:cnfStyle w:val="001000000000" w:firstRow="0" w:lastRow="0" w:firstColumn="1" w:lastColumn="0" w:oddVBand="0" w:evenVBand="0" w:oddHBand="0" w:evenHBand="0" w:firstRowFirstColumn="0" w:firstRowLastColumn="0" w:lastRowFirstColumn="0" w:lastRowLastColumn="0"/>
            <w:tcW w:w="1893" w:type="pct"/>
          </w:tcPr>
          <w:p w14:paraId="5D116649" w14:textId="77777777" w:rsidR="00346BE3" w:rsidRPr="004473B2" w:rsidRDefault="00346BE3" w:rsidP="00437131">
            <w:pPr>
              <w:rPr>
                <w:rFonts w:ascii="Cambria" w:hAnsi="Cambria"/>
                <w:b w:val="0"/>
                <w:sz w:val="20"/>
                <w:szCs w:val="20"/>
                <w:lang w:val="en-GB"/>
              </w:rPr>
            </w:pPr>
            <w:r w:rsidRPr="004473B2">
              <w:rPr>
                <w:rFonts w:ascii="Cambria" w:hAnsi="Cambria"/>
                <w:b w:val="0"/>
                <w:sz w:val="20"/>
                <w:szCs w:val="20"/>
                <w:lang w:val="en-GB"/>
              </w:rPr>
              <w:t>BDP</w:t>
            </w:r>
            <w:r w:rsidRPr="004473B2">
              <w:rPr>
                <w:rStyle w:val="FootnoteReference"/>
                <w:rFonts w:ascii="Cambria" w:hAnsi="Cambria"/>
                <w:b w:val="0"/>
                <w:bCs w:val="0"/>
                <w:sz w:val="20"/>
                <w:szCs w:val="20"/>
              </w:rPr>
              <w:footnoteReference w:id="11"/>
            </w:r>
          </w:p>
        </w:tc>
        <w:tc>
          <w:tcPr>
            <w:tcW w:w="800" w:type="pct"/>
          </w:tcPr>
          <w:p w14:paraId="7F8DF61B" w14:textId="77777777" w:rsidR="00346BE3" w:rsidRPr="004473B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4473B2">
              <w:rPr>
                <w:rFonts w:ascii="Cambria" w:hAnsi="Cambria"/>
                <w:sz w:val="20"/>
                <w:szCs w:val="20"/>
              </w:rPr>
              <w:t>7.416,70</w:t>
            </w:r>
          </w:p>
        </w:tc>
        <w:tc>
          <w:tcPr>
            <w:tcW w:w="824" w:type="pct"/>
          </w:tcPr>
          <w:p w14:paraId="042756C2" w14:textId="77777777" w:rsidR="00346BE3" w:rsidRPr="004473B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4473B2">
              <w:rPr>
                <w:rFonts w:ascii="Cambria" w:hAnsi="Cambria"/>
                <w:sz w:val="20"/>
                <w:szCs w:val="20"/>
              </w:rPr>
              <w:t>7.964,40</w:t>
            </w:r>
          </w:p>
        </w:tc>
        <w:tc>
          <w:tcPr>
            <w:tcW w:w="773" w:type="pct"/>
          </w:tcPr>
          <w:p w14:paraId="74380825" w14:textId="77777777" w:rsidR="00346BE3" w:rsidRPr="004473B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4473B2">
              <w:rPr>
                <w:rFonts w:ascii="Cambria" w:hAnsi="Cambria"/>
                <w:sz w:val="20"/>
                <w:szCs w:val="20"/>
              </w:rPr>
              <w:t>8.372,80</w:t>
            </w:r>
          </w:p>
        </w:tc>
        <w:tc>
          <w:tcPr>
            <w:cnfStyle w:val="000100000000" w:firstRow="0" w:lastRow="0" w:firstColumn="0" w:lastColumn="1" w:oddVBand="0" w:evenVBand="0" w:oddHBand="0" w:evenHBand="0" w:firstRowFirstColumn="0" w:firstRowLastColumn="0" w:lastRowFirstColumn="0" w:lastRowLastColumn="0"/>
            <w:tcW w:w="710" w:type="pct"/>
          </w:tcPr>
          <w:p w14:paraId="249D7212" w14:textId="77777777" w:rsidR="00346BE3" w:rsidRPr="004473B2" w:rsidRDefault="00346BE3" w:rsidP="00437131">
            <w:pPr>
              <w:jc w:val="right"/>
              <w:rPr>
                <w:rFonts w:ascii="Cambria" w:hAnsi="Cambria"/>
                <w:b w:val="0"/>
                <w:sz w:val="20"/>
                <w:szCs w:val="20"/>
                <w:lang w:val="en-GB"/>
              </w:rPr>
            </w:pPr>
            <w:r w:rsidRPr="004473B2">
              <w:rPr>
                <w:rFonts w:ascii="Cambria" w:hAnsi="Cambria"/>
                <w:b w:val="0"/>
                <w:sz w:val="20"/>
                <w:szCs w:val="20"/>
              </w:rPr>
              <w:t>8.757,50</w:t>
            </w:r>
          </w:p>
        </w:tc>
      </w:tr>
      <w:tr w:rsidR="00346BE3" w:rsidRPr="00C23A32" w14:paraId="7EEAE5DD" w14:textId="77777777" w:rsidTr="00437131">
        <w:trPr>
          <w:trHeight w:val="188"/>
        </w:trPr>
        <w:tc>
          <w:tcPr>
            <w:cnfStyle w:val="001000000000" w:firstRow="0" w:lastRow="0" w:firstColumn="1" w:lastColumn="0" w:oddVBand="0" w:evenVBand="0" w:oddHBand="0" w:evenHBand="0" w:firstRowFirstColumn="0" w:firstRowLastColumn="0" w:lastRowFirstColumn="0" w:lastRowLastColumn="0"/>
            <w:tcW w:w="1893" w:type="pct"/>
          </w:tcPr>
          <w:p w14:paraId="492F3A76" w14:textId="77777777" w:rsidR="00346BE3" w:rsidRPr="00C23A32" w:rsidRDefault="00346BE3" w:rsidP="00437131">
            <w:pPr>
              <w:rPr>
                <w:rFonts w:ascii="Cambria" w:hAnsi="Cambria"/>
                <w:b w:val="0"/>
                <w:sz w:val="20"/>
                <w:szCs w:val="20"/>
                <w:lang w:val="en-GB"/>
              </w:rPr>
            </w:pPr>
            <w:r w:rsidRPr="00C23A32">
              <w:rPr>
                <w:rFonts w:ascii="Cambria" w:hAnsi="Cambria"/>
                <w:b w:val="0"/>
                <w:sz w:val="20"/>
                <w:szCs w:val="20"/>
                <w:lang w:val="en-GB"/>
              </w:rPr>
              <w:t>Državni dug</w:t>
            </w:r>
          </w:p>
        </w:tc>
        <w:tc>
          <w:tcPr>
            <w:tcW w:w="800" w:type="pct"/>
          </w:tcPr>
          <w:p w14:paraId="33E2A559"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4,541,51</w:t>
            </w:r>
          </w:p>
        </w:tc>
        <w:tc>
          <w:tcPr>
            <w:tcW w:w="824" w:type="pct"/>
          </w:tcPr>
          <w:p w14:paraId="18EE1110"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4,770,35</w:t>
            </w:r>
          </w:p>
        </w:tc>
        <w:tc>
          <w:tcPr>
            <w:tcW w:w="773" w:type="pct"/>
          </w:tcPr>
          <w:p w14:paraId="00116277"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5,286,04</w:t>
            </w:r>
          </w:p>
        </w:tc>
        <w:tc>
          <w:tcPr>
            <w:cnfStyle w:val="000100000000" w:firstRow="0" w:lastRow="0" w:firstColumn="0" w:lastColumn="1" w:oddVBand="0" w:evenVBand="0" w:oddHBand="0" w:evenHBand="0" w:firstRowFirstColumn="0" w:firstRowLastColumn="0" w:lastRowFirstColumn="0" w:lastRowLastColumn="0"/>
            <w:tcW w:w="710" w:type="pct"/>
          </w:tcPr>
          <w:p w14:paraId="35FB25EE" w14:textId="77777777" w:rsidR="00346BE3" w:rsidRPr="00C23A32" w:rsidRDefault="00346BE3" w:rsidP="00437131">
            <w:pPr>
              <w:jc w:val="right"/>
              <w:rPr>
                <w:rFonts w:ascii="Cambria" w:hAnsi="Cambria"/>
                <w:b w:val="0"/>
                <w:sz w:val="20"/>
                <w:szCs w:val="20"/>
                <w:lang w:val="en-GB"/>
              </w:rPr>
            </w:pPr>
            <w:r w:rsidRPr="00C23A32">
              <w:rPr>
                <w:rFonts w:ascii="Cambria" w:hAnsi="Cambria"/>
                <w:b w:val="0"/>
                <w:sz w:val="20"/>
                <w:szCs w:val="20"/>
                <w:lang w:val="en-GB"/>
              </w:rPr>
              <w:t>5,546.05</w:t>
            </w:r>
          </w:p>
        </w:tc>
      </w:tr>
      <w:tr w:rsidR="00346BE3" w:rsidRPr="00C23A32" w14:paraId="40572CA8" w14:textId="77777777" w:rsidTr="00437131">
        <w:trPr>
          <w:trHeight w:val="224"/>
        </w:trPr>
        <w:tc>
          <w:tcPr>
            <w:cnfStyle w:val="001000000000" w:firstRow="0" w:lastRow="0" w:firstColumn="1" w:lastColumn="0" w:oddVBand="0" w:evenVBand="0" w:oddHBand="0" w:evenHBand="0" w:firstRowFirstColumn="0" w:firstRowLastColumn="0" w:lastRowFirstColumn="0" w:lastRowLastColumn="0"/>
            <w:tcW w:w="1893" w:type="pct"/>
            <w:shd w:val="clear" w:color="auto" w:fill="E7E6E6" w:themeFill="background2"/>
          </w:tcPr>
          <w:p w14:paraId="148144ED" w14:textId="77777777" w:rsidR="00346BE3" w:rsidRPr="00C23A32" w:rsidRDefault="00346BE3" w:rsidP="00437131">
            <w:pPr>
              <w:rPr>
                <w:rFonts w:ascii="Cambria" w:hAnsi="Cambria"/>
                <w:sz w:val="20"/>
                <w:szCs w:val="20"/>
                <w:lang w:val="en-GB"/>
              </w:rPr>
            </w:pPr>
            <w:r w:rsidRPr="00C23A32">
              <w:rPr>
                <w:rFonts w:ascii="Cambria" w:hAnsi="Cambria"/>
                <w:sz w:val="20"/>
                <w:szCs w:val="20"/>
                <w:lang w:val="en-GB"/>
              </w:rPr>
              <w:t>Državni dug % BDP</w:t>
            </w:r>
          </w:p>
        </w:tc>
        <w:tc>
          <w:tcPr>
            <w:tcW w:w="800" w:type="pct"/>
            <w:shd w:val="clear" w:color="auto" w:fill="E7E6E6" w:themeFill="background2"/>
          </w:tcPr>
          <w:p w14:paraId="3E3DF278"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b/>
                <w:sz w:val="20"/>
                <w:szCs w:val="20"/>
                <w:lang w:val="en-GB"/>
              </w:rPr>
            </w:pPr>
            <w:r w:rsidRPr="00C23A32">
              <w:rPr>
                <w:rFonts w:ascii="Cambria" w:hAnsi="Cambria"/>
                <w:sz w:val="20"/>
                <w:szCs w:val="20"/>
              </w:rPr>
              <w:t>61,23</w:t>
            </w:r>
          </w:p>
        </w:tc>
        <w:tc>
          <w:tcPr>
            <w:tcW w:w="824" w:type="pct"/>
            <w:shd w:val="clear" w:color="auto" w:fill="E7E6E6" w:themeFill="background2"/>
          </w:tcPr>
          <w:p w14:paraId="698BAC2D"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b/>
                <w:sz w:val="20"/>
                <w:szCs w:val="20"/>
                <w:lang w:val="en-GB"/>
              </w:rPr>
            </w:pPr>
            <w:r w:rsidRPr="00C23A32">
              <w:rPr>
                <w:rFonts w:ascii="Cambria" w:hAnsi="Cambria"/>
                <w:sz w:val="20"/>
                <w:szCs w:val="20"/>
              </w:rPr>
              <w:t>59,90</w:t>
            </w:r>
          </w:p>
        </w:tc>
        <w:tc>
          <w:tcPr>
            <w:tcW w:w="773" w:type="pct"/>
            <w:shd w:val="clear" w:color="auto" w:fill="E7E6E6" w:themeFill="background2"/>
          </w:tcPr>
          <w:p w14:paraId="2E59183C"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b/>
                <w:sz w:val="20"/>
                <w:szCs w:val="20"/>
                <w:lang w:val="en-GB"/>
              </w:rPr>
            </w:pPr>
            <w:r w:rsidRPr="00C23A32">
              <w:rPr>
                <w:rFonts w:ascii="Cambria" w:hAnsi="Cambria"/>
                <w:sz w:val="20"/>
                <w:szCs w:val="20"/>
              </w:rPr>
              <w:t>63,13</w:t>
            </w:r>
          </w:p>
        </w:tc>
        <w:tc>
          <w:tcPr>
            <w:cnfStyle w:val="000100000000" w:firstRow="0" w:lastRow="0" w:firstColumn="0" w:lastColumn="1" w:oddVBand="0" w:evenVBand="0" w:oddHBand="0" w:evenHBand="0" w:firstRowFirstColumn="0" w:firstRowLastColumn="0" w:lastRowFirstColumn="0" w:lastRowLastColumn="0"/>
            <w:tcW w:w="710" w:type="pct"/>
            <w:shd w:val="clear" w:color="auto" w:fill="E7E6E6" w:themeFill="background2"/>
          </w:tcPr>
          <w:p w14:paraId="2B038021" w14:textId="77777777" w:rsidR="00346BE3" w:rsidRPr="00C23A32" w:rsidRDefault="00346BE3" w:rsidP="00437131">
            <w:pPr>
              <w:jc w:val="right"/>
              <w:rPr>
                <w:rFonts w:ascii="Cambria" w:hAnsi="Cambria"/>
                <w:sz w:val="20"/>
                <w:szCs w:val="20"/>
                <w:lang w:val="en-GB"/>
              </w:rPr>
            </w:pPr>
            <w:r w:rsidRPr="00C23A32">
              <w:rPr>
                <w:rFonts w:ascii="Cambria" w:hAnsi="Cambria"/>
                <w:sz w:val="20"/>
                <w:szCs w:val="20"/>
              </w:rPr>
              <w:t>63,33</w:t>
            </w:r>
          </w:p>
        </w:tc>
      </w:tr>
      <w:tr w:rsidR="00346BE3" w:rsidRPr="00C23A32" w14:paraId="38ADBFE6" w14:textId="77777777" w:rsidTr="00437131">
        <w:trPr>
          <w:trHeight w:val="242"/>
        </w:trPr>
        <w:tc>
          <w:tcPr>
            <w:cnfStyle w:val="001000000000" w:firstRow="0" w:lastRow="0" w:firstColumn="1" w:lastColumn="0" w:oddVBand="0" w:evenVBand="0" w:oddHBand="0" w:evenHBand="0" w:firstRowFirstColumn="0" w:firstRowLastColumn="0" w:lastRowFirstColumn="0" w:lastRowLastColumn="0"/>
            <w:tcW w:w="1893" w:type="pct"/>
          </w:tcPr>
          <w:p w14:paraId="6B590B7C" w14:textId="77777777" w:rsidR="00346BE3" w:rsidRPr="00C23A32" w:rsidRDefault="00346BE3" w:rsidP="00437131">
            <w:pPr>
              <w:rPr>
                <w:rFonts w:ascii="Cambria" w:hAnsi="Cambria"/>
                <w:b w:val="0"/>
                <w:sz w:val="20"/>
                <w:szCs w:val="20"/>
                <w:lang w:val="en-GB"/>
              </w:rPr>
            </w:pPr>
            <w:r w:rsidRPr="00C23A32">
              <w:rPr>
                <w:rFonts w:ascii="Cambria" w:hAnsi="Cambria"/>
                <w:b w:val="0"/>
                <w:sz w:val="20"/>
                <w:szCs w:val="20"/>
                <w:lang w:val="en-GB"/>
              </w:rPr>
              <w:t>Dug lokalnih samouprava</w:t>
            </w:r>
          </w:p>
        </w:tc>
        <w:tc>
          <w:tcPr>
            <w:tcW w:w="800" w:type="pct"/>
          </w:tcPr>
          <w:p w14:paraId="521A87CF"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65,00</w:t>
            </w:r>
          </w:p>
        </w:tc>
        <w:tc>
          <w:tcPr>
            <w:tcW w:w="824" w:type="pct"/>
          </w:tcPr>
          <w:p w14:paraId="5ED90277"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65,00</w:t>
            </w:r>
          </w:p>
        </w:tc>
        <w:tc>
          <w:tcPr>
            <w:tcW w:w="773" w:type="pct"/>
          </w:tcPr>
          <w:p w14:paraId="46406925"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65,00</w:t>
            </w:r>
          </w:p>
        </w:tc>
        <w:tc>
          <w:tcPr>
            <w:cnfStyle w:val="000100000000" w:firstRow="0" w:lastRow="0" w:firstColumn="0" w:lastColumn="1" w:oddVBand="0" w:evenVBand="0" w:oddHBand="0" w:evenHBand="0" w:firstRowFirstColumn="0" w:firstRowLastColumn="0" w:lastRowFirstColumn="0" w:lastRowLastColumn="0"/>
            <w:tcW w:w="710" w:type="pct"/>
          </w:tcPr>
          <w:p w14:paraId="300E8915" w14:textId="77777777" w:rsidR="00346BE3" w:rsidRPr="00C23A32" w:rsidRDefault="00346BE3" w:rsidP="00437131">
            <w:pPr>
              <w:jc w:val="right"/>
              <w:rPr>
                <w:rFonts w:ascii="Cambria" w:hAnsi="Cambria"/>
                <w:b w:val="0"/>
                <w:sz w:val="20"/>
                <w:szCs w:val="20"/>
                <w:lang w:val="en-GB"/>
              </w:rPr>
            </w:pPr>
            <w:r w:rsidRPr="00C23A32">
              <w:rPr>
                <w:rFonts w:ascii="Cambria" w:hAnsi="Cambria"/>
                <w:b w:val="0"/>
                <w:sz w:val="20"/>
                <w:szCs w:val="20"/>
                <w:lang w:val="en-GB"/>
              </w:rPr>
              <w:t>65,00</w:t>
            </w:r>
          </w:p>
        </w:tc>
      </w:tr>
      <w:tr w:rsidR="00346BE3" w:rsidRPr="00C23A32" w14:paraId="42D8AE49" w14:textId="77777777" w:rsidTr="00437131">
        <w:trPr>
          <w:trHeight w:val="188"/>
        </w:trPr>
        <w:tc>
          <w:tcPr>
            <w:cnfStyle w:val="001000000000" w:firstRow="0" w:lastRow="0" w:firstColumn="1" w:lastColumn="0" w:oddVBand="0" w:evenVBand="0" w:oddHBand="0" w:evenHBand="0" w:firstRowFirstColumn="0" w:firstRowLastColumn="0" w:lastRowFirstColumn="0" w:lastRowLastColumn="0"/>
            <w:tcW w:w="1893" w:type="pct"/>
          </w:tcPr>
          <w:p w14:paraId="7CA7A927" w14:textId="77777777" w:rsidR="00346BE3" w:rsidRPr="00C23A32" w:rsidRDefault="00346BE3" w:rsidP="00437131">
            <w:pPr>
              <w:rPr>
                <w:rFonts w:ascii="Cambria" w:hAnsi="Cambria"/>
                <w:b w:val="0"/>
                <w:sz w:val="20"/>
                <w:szCs w:val="20"/>
                <w:lang w:val="en-GB"/>
              </w:rPr>
            </w:pPr>
            <w:r w:rsidRPr="00C23A32">
              <w:rPr>
                <w:rFonts w:ascii="Cambria" w:hAnsi="Cambria"/>
                <w:b w:val="0"/>
                <w:sz w:val="20"/>
                <w:szCs w:val="20"/>
                <w:lang w:val="en-GB"/>
              </w:rPr>
              <w:t>Javni dug</w:t>
            </w:r>
          </w:p>
        </w:tc>
        <w:tc>
          <w:tcPr>
            <w:tcW w:w="800" w:type="pct"/>
            <w:vAlign w:val="bottom"/>
          </w:tcPr>
          <w:p w14:paraId="47112BC3"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cs="Calibri"/>
                <w:color w:val="000000"/>
                <w:sz w:val="20"/>
                <w:szCs w:val="20"/>
              </w:rPr>
              <w:t>4.606,51</w:t>
            </w:r>
          </w:p>
        </w:tc>
        <w:tc>
          <w:tcPr>
            <w:tcW w:w="824" w:type="pct"/>
            <w:vAlign w:val="bottom"/>
          </w:tcPr>
          <w:p w14:paraId="78C8B592"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cs="Calibri"/>
                <w:color w:val="000000"/>
                <w:sz w:val="20"/>
                <w:szCs w:val="20"/>
              </w:rPr>
              <w:t>4.835,35</w:t>
            </w:r>
          </w:p>
        </w:tc>
        <w:tc>
          <w:tcPr>
            <w:tcW w:w="773" w:type="pct"/>
            <w:vAlign w:val="bottom"/>
          </w:tcPr>
          <w:p w14:paraId="46EAAB28"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cs="Calibri"/>
                <w:color w:val="000000"/>
                <w:sz w:val="20"/>
                <w:szCs w:val="20"/>
              </w:rPr>
              <w:t>5.351,04</w:t>
            </w:r>
          </w:p>
        </w:tc>
        <w:tc>
          <w:tcPr>
            <w:cnfStyle w:val="000100000000" w:firstRow="0" w:lastRow="0" w:firstColumn="0" w:lastColumn="1" w:oddVBand="0" w:evenVBand="0" w:oddHBand="0" w:evenHBand="0" w:firstRowFirstColumn="0" w:firstRowLastColumn="0" w:lastRowFirstColumn="0" w:lastRowLastColumn="0"/>
            <w:tcW w:w="710" w:type="pct"/>
            <w:vAlign w:val="bottom"/>
          </w:tcPr>
          <w:p w14:paraId="33B506F5" w14:textId="77777777" w:rsidR="00346BE3" w:rsidRPr="00C23A32" w:rsidRDefault="00346BE3" w:rsidP="00437131">
            <w:pPr>
              <w:jc w:val="right"/>
              <w:rPr>
                <w:rFonts w:ascii="Cambria" w:hAnsi="Cambria"/>
                <w:b w:val="0"/>
                <w:sz w:val="20"/>
                <w:szCs w:val="20"/>
                <w:lang w:val="en-GB"/>
              </w:rPr>
            </w:pPr>
            <w:r w:rsidRPr="00C23A32">
              <w:rPr>
                <w:rFonts w:ascii="Cambria" w:hAnsi="Cambria" w:cs="Calibri"/>
                <w:color w:val="000000"/>
                <w:sz w:val="20"/>
                <w:szCs w:val="20"/>
              </w:rPr>
              <w:t>5.611,05</w:t>
            </w:r>
          </w:p>
        </w:tc>
      </w:tr>
      <w:tr w:rsidR="00346BE3" w:rsidRPr="00C23A32" w14:paraId="535B4934" w14:textId="77777777" w:rsidTr="00437131">
        <w:trPr>
          <w:trHeight w:val="224"/>
        </w:trPr>
        <w:tc>
          <w:tcPr>
            <w:cnfStyle w:val="001000000000" w:firstRow="0" w:lastRow="0" w:firstColumn="1" w:lastColumn="0" w:oddVBand="0" w:evenVBand="0" w:oddHBand="0" w:evenHBand="0" w:firstRowFirstColumn="0" w:firstRowLastColumn="0" w:lastRowFirstColumn="0" w:lastRowLastColumn="0"/>
            <w:tcW w:w="1893" w:type="pct"/>
            <w:shd w:val="clear" w:color="auto" w:fill="E7E6E6" w:themeFill="background2"/>
          </w:tcPr>
          <w:p w14:paraId="0DA2F2BA" w14:textId="77777777" w:rsidR="00346BE3" w:rsidRPr="00C23A32" w:rsidRDefault="00346BE3" w:rsidP="00437131">
            <w:pPr>
              <w:rPr>
                <w:rFonts w:ascii="Cambria" w:hAnsi="Cambria"/>
                <w:sz w:val="20"/>
                <w:szCs w:val="20"/>
                <w:lang w:val="en-GB"/>
              </w:rPr>
            </w:pPr>
            <w:r w:rsidRPr="00C23A32">
              <w:rPr>
                <w:rFonts w:ascii="Cambria" w:hAnsi="Cambria"/>
                <w:sz w:val="20"/>
                <w:szCs w:val="20"/>
                <w:lang w:val="en-GB"/>
              </w:rPr>
              <w:t>Javni dug % BDP</w:t>
            </w:r>
          </w:p>
        </w:tc>
        <w:tc>
          <w:tcPr>
            <w:tcW w:w="800" w:type="pct"/>
            <w:shd w:val="clear" w:color="auto" w:fill="E7E6E6" w:themeFill="background2"/>
            <w:vAlign w:val="bottom"/>
          </w:tcPr>
          <w:p w14:paraId="3F4672A2"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b/>
                <w:sz w:val="20"/>
                <w:szCs w:val="20"/>
                <w:lang w:val="en-GB"/>
              </w:rPr>
            </w:pPr>
            <w:r w:rsidRPr="00C23A32">
              <w:rPr>
                <w:rFonts w:ascii="Cambria" w:hAnsi="Cambria" w:cs="Calibri"/>
                <w:b/>
                <w:bCs/>
                <w:sz w:val="20"/>
                <w:szCs w:val="20"/>
              </w:rPr>
              <w:t>62,11</w:t>
            </w:r>
          </w:p>
        </w:tc>
        <w:tc>
          <w:tcPr>
            <w:tcW w:w="824" w:type="pct"/>
            <w:shd w:val="clear" w:color="auto" w:fill="E7E6E6" w:themeFill="background2"/>
            <w:vAlign w:val="bottom"/>
          </w:tcPr>
          <w:p w14:paraId="0CA87903"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b/>
                <w:sz w:val="20"/>
                <w:szCs w:val="20"/>
                <w:lang w:val="en-GB"/>
              </w:rPr>
            </w:pPr>
            <w:r w:rsidRPr="00C23A32">
              <w:rPr>
                <w:rFonts w:ascii="Cambria" w:hAnsi="Cambria" w:cs="Calibri"/>
                <w:b/>
                <w:bCs/>
                <w:sz w:val="20"/>
                <w:szCs w:val="20"/>
              </w:rPr>
              <w:t>60,71</w:t>
            </w:r>
          </w:p>
        </w:tc>
        <w:tc>
          <w:tcPr>
            <w:tcW w:w="773" w:type="pct"/>
            <w:shd w:val="clear" w:color="auto" w:fill="E7E6E6" w:themeFill="background2"/>
            <w:vAlign w:val="bottom"/>
          </w:tcPr>
          <w:p w14:paraId="3637187F"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b/>
                <w:sz w:val="20"/>
                <w:szCs w:val="20"/>
                <w:lang w:val="en-GB"/>
              </w:rPr>
            </w:pPr>
            <w:r w:rsidRPr="00C23A32">
              <w:rPr>
                <w:rFonts w:ascii="Cambria" w:hAnsi="Cambria" w:cs="Calibri"/>
                <w:b/>
                <w:bCs/>
                <w:sz w:val="20"/>
                <w:szCs w:val="20"/>
              </w:rPr>
              <w:t>63,91</w:t>
            </w:r>
          </w:p>
        </w:tc>
        <w:tc>
          <w:tcPr>
            <w:cnfStyle w:val="000100000000" w:firstRow="0" w:lastRow="0" w:firstColumn="0" w:lastColumn="1" w:oddVBand="0" w:evenVBand="0" w:oddHBand="0" w:evenHBand="0" w:firstRowFirstColumn="0" w:firstRowLastColumn="0" w:lastRowFirstColumn="0" w:lastRowLastColumn="0"/>
            <w:tcW w:w="710" w:type="pct"/>
            <w:shd w:val="clear" w:color="auto" w:fill="E7E6E6" w:themeFill="background2"/>
            <w:vAlign w:val="bottom"/>
          </w:tcPr>
          <w:p w14:paraId="7AB380A6" w14:textId="77777777" w:rsidR="00346BE3" w:rsidRPr="00C23A32" w:rsidRDefault="00346BE3" w:rsidP="00437131">
            <w:pPr>
              <w:jc w:val="right"/>
              <w:rPr>
                <w:rFonts w:ascii="Cambria" w:hAnsi="Cambria"/>
                <w:sz w:val="20"/>
                <w:szCs w:val="20"/>
                <w:lang w:val="en-GB"/>
              </w:rPr>
            </w:pPr>
            <w:r w:rsidRPr="00C23A32">
              <w:rPr>
                <w:rFonts w:ascii="Cambria" w:hAnsi="Cambria" w:cs="Calibri"/>
                <w:bCs w:val="0"/>
                <w:sz w:val="20"/>
                <w:szCs w:val="20"/>
              </w:rPr>
              <w:t>64,07</w:t>
            </w:r>
          </w:p>
        </w:tc>
      </w:tr>
      <w:tr w:rsidR="00346BE3" w:rsidRPr="00C23A32" w14:paraId="4A1C050D" w14:textId="77777777" w:rsidTr="00437131">
        <w:trPr>
          <w:trHeight w:val="260"/>
        </w:trPr>
        <w:tc>
          <w:tcPr>
            <w:cnfStyle w:val="001000000000" w:firstRow="0" w:lastRow="0" w:firstColumn="1" w:lastColumn="0" w:oddVBand="0" w:evenVBand="0" w:oddHBand="0" w:evenHBand="0" w:firstRowFirstColumn="0" w:firstRowLastColumn="0" w:lastRowFirstColumn="0" w:lastRowLastColumn="0"/>
            <w:tcW w:w="1893" w:type="pct"/>
          </w:tcPr>
          <w:p w14:paraId="7014351E" w14:textId="77777777" w:rsidR="00346BE3" w:rsidRPr="00C23A32" w:rsidRDefault="00346BE3" w:rsidP="00437131">
            <w:pPr>
              <w:rPr>
                <w:rFonts w:ascii="Cambria" w:hAnsi="Cambria"/>
                <w:b w:val="0"/>
                <w:sz w:val="20"/>
                <w:szCs w:val="20"/>
                <w:lang w:val="en-GB"/>
              </w:rPr>
            </w:pPr>
            <w:r w:rsidRPr="00C23A32">
              <w:rPr>
                <w:rFonts w:ascii="Cambria" w:hAnsi="Cambria"/>
                <w:b w:val="0"/>
                <w:sz w:val="20"/>
                <w:szCs w:val="20"/>
                <w:lang w:val="en-GB"/>
              </w:rPr>
              <w:t>Depoziti</w:t>
            </w:r>
            <w:r w:rsidRPr="00C23A32">
              <w:rPr>
                <w:rStyle w:val="FootnoteReference"/>
                <w:rFonts w:ascii="Cambria" w:hAnsi="Cambria"/>
                <w:bCs w:val="0"/>
                <w:sz w:val="20"/>
                <w:szCs w:val="20"/>
              </w:rPr>
              <w:footnoteReference w:id="12"/>
            </w:r>
          </w:p>
        </w:tc>
        <w:tc>
          <w:tcPr>
            <w:tcW w:w="800" w:type="pct"/>
          </w:tcPr>
          <w:p w14:paraId="5246A8F2"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334,34</w:t>
            </w:r>
          </w:p>
        </w:tc>
        <w:tc>
          <w:tcPr>
            <w:tcW w:w="824" w:type="pct"/>
          </w:tcPr>
          <w:p w14:paraId="7BCC3F3A"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125,17</w:t>
            </w:r>
          </w:p>
        </w:tc>
        <w:tc>
          <w:tcPr>
            <w:tcW w:w="773" w:type="pct"/>
          </w:tcPr>
          <w:p w14:paraId="65A282D0"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225,39</w:t>
            </w:r>
          </w:p>
        </w:tc>
        <w:tc>
          <w:tcPr>
            <w:cnfStyle w:val="000100000000" w:firstRow="0" w:lastRow="0" w:firstColumn="0" w:lastColumn="1" w:oddVBand="0" w:evenVBand="0" w:oddHBand="0" w:evenHBand="0" w:firstRowFirstColumn="0" w:firstRowLastColumn="0" w:lastRowFirstColumn="0" w:lastRowLastColumn="0"/>
            <w:tcW w:w="710" w:type="pct"/>
          </w:tcPr>
          <w:p w14:paraId="26815163" w14:textId="77777777" w:rsidR="00346BE3" w:rsidRPr="00C23A32" w:rsidRDefault="00346BE3" w:rsidP="00437131">
            <w:pPr>
              <w:jc w:val="right"/>
              <w:rPr>
                <w:rFonts w:ascii="Cambria" w:hAnsi="Cambria"/>
                <w:b w:val="0"/>
                <w:sz w:val="20"/>
                <w:szCs w:val="20"/>
                <w:lang w:val="en-GB"/>
              </w:rPr>
            </w:pPr>
            <w:r w:rsidRPr="00C23A32">
              <w:rPr>
                <w:rFonts w:ascii="Cambria" w:hAnsi="Cambria"/>
                <w:b w:val="0"/>
                <w:sz w:val="20"/>
                <w:szCs w:val="20"/>
                <w:lang w:val="en-GB"/>
              </w:rPr>
              <w:t>104,05</w:t>
            </w:r>
          </w:p>
        </w:tc>
      </w:tr>
      <w:tr w:rsidR="00346BE3" w:rsidRPr="00C23A32" w14:paraId="764D4766" w14:textId="77777777" w:rsidTr="00437131">
        <w:trPr>
          <w:trHeight w:val="179"/>
        </w:trPr>
        <w:tc>
          <w:tcPr>
            <w:cnfStyle w:val="001000000000" w:firstRow="0" w:lastRow="0" w:firstColumn="1" w:lastColumn="0" w:oddVBand="0" w:evenVBand="0" w:oddHBand="0" w:evenHBand="0" w:firstRowFirstColumn="0" w:firstRowLastColumn="0" w:lastRowFirstColumn="0" w:lastRowLastColumn="0"/>
            <w:tcW w:w="1893" w:type="pct"/>
          </w:tcPr>
          <w:p w14:paraId="2FFAA581" w14:textId="77777777" w:rsidR="00346BE3" w:rsidRPr="00C23A32" w:rsidRDefault="00346BE3" w:rsidP="00437131">
            <w:pPr>
              <w:rPr>
                <w:rFonts w:ascii="Cambria" w:hAnsi="Cambria"/>
                <w:b w:val="0"/>
                <w:sz w:val="20"/>
                <w:szCs w:val="20"/>
                <w:lang w:val="en-GB"/>
              </w:rPr>
            </w:pPr>
            <w:r w:rsidRPr="00C23A32">
              <w:rPr>
                <w:rFonts w:ascii="Cambria" w:hAnsi="Cambria"/>
                <w:b w:val="0"/>
                <w:sz w:val="20"/>
                <w:szCs w:val="20"/>
                <w:lang w:val="en-GB"/>
              </w:rPr>
              <w:t>Neto državni dug</w:t>
            </w:r>
          </w:p>
        </w:tc>
        <w:tc>
          <w:tcPr>
            <w:tcW w:w="800" w:type="pct"/>
          </w:tcPr>
          <w:p w14:paraId="3DAC2147"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4,207.17</w:t>
            </w:r>
          </w:p>
        </w:tc>
        <w:tc>
          <w:tcPr>
            <w:tcW w:w="824" w:type="pct"/>
          </w:tcPr>
          <w:p w14:paraId="0F856B5A"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4,645,18</w:t>
            </w:r>
          </w:p>
        </w:tc>
        <w:tc>
          <w:tcPr>
            <w:tcW w:w="773" w:type="pct"/>
          </w:tcPr>
          <w:p w14:paraId="0C7404E9"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5.060,65</w:t>
            </w:r>
          </w:p>
        </w:tc>
        <w:tc>
          <w:tcPr>
            <w:cnfStyle w:val="000100000000" w:firstRow="0" w:lastRow="0" w:firstColumn="0" w:lastColumn="1" w:oddVBand="0" w:evenVBand="0" w:oddHBand="0" w:evenHBand="0" w:firstRowFirstColumn="0" w:firstRowLastColumn="0" w:lastRowFirstColumn="0" w:lastRowLastColumn="0"/>
            <w:tcW w:w="710" w:type="pct"/>
          </w:tcPr>
          <w:p w14:paraId="59ED0E5F" w14:textId="77777777" w:rsidR="00346BE3" w:rsidRPr="00C23A32" w:rsidRDefault="00346BE3" w:rsidP="00437131">
            <w:pPr>
              <w:jc w:val="right"/>
              <w:rPr>
                <w:rFonts w:ascii="Cambria" w:hAnsi="Cambria"/>
                <w:b w:val="0"/>
                <w:sz w:val="20"/>
                <w:szCs w:val="20"/>
                <w:lang w:val="en-GB"/>
              </w:rPr>
            </w:pPr>
            <w:r w:rsidRPr="00C23A32">
              <w:rPr>
                <w:rFonts w:ascii="Cambria" w:hAnsi="Cambria"/>
                <w:b w:val="0"/>
                <w:sz w:val="20"/>
                <w:szCs w:val="20"/>
                <w:lang w:val="en-GB"/>
              </w:rPr>
              <w:t>5.442,00</w:t>
            </w:r>
          </w:p>
        </w:tc>
      </w:tr>
      <w:tr w:rsidR="00346BE3" w:rsidRPr="00C23A32" w14:paraId="470B4C2A" w14:textId="77777777" w:rsidTr="00437131">
        <w:trPr>
          <w:trHeight w:val="215"/>
        </w:trPr>
        <w:tc>
          <w:tcPr>
            <w:cnfStyle w:val="001000000000" w:firstRow="0" w:lastRow="0" w:firstColumn="1" w:lastColumn="0" w:oddVBand="0" w:evenVBand="0" w:oddHBand="0" w:evenHBand="0" w:firstRowFirstColumn="0" w:firstRowLastColumn="0" w:lastRowFirstColumn="0" w:lastRowLastColumn="0"/>
            <w:tcW w:w="1893" w:type="pct"/>
            <w:shd w:val="clear" w:color="auto" w:fill="E7E6E6" w:themeFill="background2"/>
          </w:tcPr>
          <w:p w14:paraId="0DB8FBAF" w14:textId="77777777" w:rsidR="00346BE3" w:rsidRPr="00C23A32" w:rsidRDefault="00346BE3" w:rsidP="00437131">
            <w:pPr>
              <w:rPr>
                <w:rFonts w:ascii="Cambria" w:hAnsi="Cambria"/>
                <w:sz w:val="20"/>
                <w:szCs w:val="20"/>
                <w:lang w:val="en-GB"/>
              </w:rPr>
            </w:pPr>
            <w:r w:rsidRPr="00C23A32">
              <w:rPr>
                <w:rFonts w:ascii="Cambria" w:hAnsi="Cambria"/>
                <w:sz w:val="20"/>
                <w:szCs w:val="20"/>
                <w:lang w:val="en-GB"/>
              </w:rPr>
              <w:t>Neto državni dug % BDP</w:t>
            </w:r>
          </w:p>
        </w:tc>
        <w:tc>
          <w:tcPr>
            <w:tcW w:w="800" w:type="pct"/>
            <w:shd w:val="clear" w:color="auto" w:fill="E7E6E6" w:themeFill="background2"/>
          </w:tcPr>
          <w:p w14:paraId="0C9C2425"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b/>
                <w:sz w:val="20"/>
                <w:szCs w:val="20"/>
                <w:lang w:val="en-GB"/>
              </w:rPr>
            </w:pPr>
            <w:r w:rsidRPr="00C23A32">
              <w:rPr>
                <w:rFonts w:ascii="Cambria" w:hAnsi="Cambria"/>
                <w:b/>
                <w:sz w:val="20"/>
                <w:szCs w:val="20"/>
              </w:rPr>
              <w:t>56,73</w:t>
            </w:r>
          </w:p>
        </w:tc>
        <w:tc>
          <w:tcPr>
            <w:tcW w:w="824" w:type="pct"/>
            <w:shd w:val="clear" w:color="auto" w:fill="E7E6E6" w:themeFill="background2"/>
          </w:tcPr>
          <w:p w14:paraId="5D23626D"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b/>
                <w:sz w:val="20"/>
                <w:szCs w:val="20"/>
                <w:lang w:val="en-GB"/>
              </w:rPr>
            </w:pPr>
            <w:r w:rsidRPr="00C23A32">
              <w:rPr>
                <w:rFonts w:ascii="Cambria" w:hAnsi="Cambria"/>
                <w:b/>
                <w:sz w:val="20"/>
                <w:szCs w:val="20"/>
              </w:rPr>
              <w:t>58,32</w:t>
            </w:r>
          </w:p>
        </w:tc>
        <w:tc>
          <w:tcPr>
            <w:tcW w:w="773" w:type="pct"/>
            <w:shd w:val="clear" w:color="auto" w:fill="E7E6E6" w:themeFill="background2"/>
          </w:tcPr>
          <w:p w14:paraId="3183D846"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b/>
                <w:sz w:val="20"/>
                <w:szCs w:val="20"/>
                <w:lang w:val="en-GB"/>
              </w:rPr>
            </w:pPr>
            <w:r w:rsidRPr="00C23A32">
              <w:rPr>
                <w:rFonts w:ascii="Cambria" w:hAnsi="Cambria"/>
                <w:b/>
                <w:sz w:val="20"/>
                <w:szCs w:val="20"/>
              </w:rPr>
              <w:t>60,44</w:t>
            </w:r>
          </w:p>
        </w:tc>
        <w:tc>
          <w:tcPr>
            <w:cnfStyle w:val="000100000000" w:firstRow="0" w:lastRow="0" w:firstColumn="0" w:lastColumn="1" w:oddVBand="0" w:evenVBand="0" w:oddHBand="0" w:evenHBand="0" w:firstRowFirstColumn="0" w:firstRowLastColumn="0" w:lastRowFirstColumn="0" w:lastRowLastColumn="0"/>
            <w:tcW w:w="710" w:type="pct"/>
            <w:shd w:val="clear" w:color="auto" w:fill="E7E6E6" w:themeFill="background2"/>
          </w:tcPr>
          <w:p w14:paraId="2A0CC5C1" w14:textId="77777777" w:rsidR="00346BE3" w:rsidRPr="00C23A32" w:rsidRDefault="00346BE3" w:rsidP="00437131">
            <w:pPr>
              <w:jc w:val="right"/>
              <w:rPr>
                <w:rFonts w:ascii="Cambria" w:hAnsi="Cambria"/>
                <w:sz w:val="20"/>
                <w:szCs w:val="20"/>
                <w:lang w:val="en-GB"/>
              </w:rPr>
            </w:pPr>
            <w:r w:rsidRPr="00C23A32">
              <w:rPr>
                <w:rFonts w:ascii="Cambria" w:hAnsi="Cambria"/>
                <w:sz w:val="20"/>
                <w:szCs w:val="20"/>
              </w:rPr>
              <w:t>62,14</w:t>
            </w:r>
          </w:p>
        </w:tc>
      </w:tr>
      <w:tr w:rsidR="00346BE3" w:rsidRPr="00C23A32" w14:paraId="33ACAFD5" w14:textId="77777777" w:rsidTr="00437131">
        <w:trPr>
          <w:trHeight w:val="242"/>
        </w:trPr>
        <w:tc>
          <w:tcPr>
            <w:cnfStyle w:val="001000000000" w:firstRow="0" w:lastRow="0" w:firstColumn="1" w:lastColumn="0" w:oddVBand="0" w:evenVBand="0" w:oddHBand="0" w:evenHBand="0" w:firstRowFirstColumn="0" w:firstRowLastColumn="0" w:lastRowFirstColumn="0" w:lastRowLastColumn="0"/>
            <w:tcW w:w="1893" w:type="pct"/>
          </w:tcPr>
          <w:p w14:paraId="1775B2F0" w14:textId="77777777" w:rsidR="00346BE3" w:rsidRPr="00C23A32" w:rsidRDefault="00346BE3" w:rsidP="00437131">
            <w:pPr>
              <w:rPr>
                <w:rFonts w:ascii="Cambria" w:hAnsi="Cambria"/>
                <w:b w:val="0"/>
                <w:sz w:val="20"/>
                <w:szCs w:val="20"/>
                <w:lang w:val="en-GB"/>
              </w:rPr>
            </w:pPr>
            <w:r w:rsidRPr="00C23A32">
              <w:rPr>
                <w:rFonts w:ascii="Cambria" w:hAnsi="Cambria"/>
                <w:b w:val="0"/>
                <w:sz w:val="20"/>
                <w:szCs w:val="20"/>
                <w:lang w:val="en-GB"/>
              </w:rPr>
              <w:t>Neto javni dug</w:t>
            </w:r>
          </w:p>
        </w:tc>
        <w:tc>
          <w:tcPr>
            <w:tcW w:w="800" w:type="pct"/>
          </w:tcPr>
          <w:p w14:paraId="195E6633"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4,272.17</w:t>
            </w:r>
          </w:p>
        </w:tc>
        <w:tc>
          <w:tcPr>
            <w:tcW w:w="824" w:type="pct"/>
          </w:tcPr>
          <w:p w14:paraId="5583712B"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4,710.18</w:t>
            </w:r>
          </w:p>
        </w:tc>
        <w:tc>
          <w:tcPr>
            <w:tcW w:w="773" w:type="pct"/>
          </w:tcPr>
          <w:p w14:paraId="2E9952C4"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5,125.65</w:t>
            </w:r>
          </w:p>
        </w:tc>
        <w:tc>
          <w:tcPr>
            <w:cnfStyle w:val="000100000000" w:firstRow="0" w:lastRow="0" w:firstColumn="0" w:lastColumn="1" w:oddVBand="0" w:evenVBand="0" w:oddHBand="0" w:evenHBand="0" w:firstRowFirstColumn="0" w:firstRowLastColumn="0" w:lastRowFirstColumn="0" w:lastRowLastColumn="0"/>
            <w:tcW w:w="710" w:type="pct"/>
          </w:tcPr>
          <w:p w14:paraId="4B09025E" w14:textId="77777777" w:rsidR="00346BE3" w:rsidRPr="00C23A32" w:rsidRDefault="00346BE3" w:rsidP="00437131">
            <w:pPr>
              <w:jc w:val="right"/>
              <w:rPr>
                <w:rFonts w:ascii="Cambria" w:hAnsi="Cambria"/>
                <w:b w:val="0"/>
                <w:sz w:val="20"/>
                <w:szCs w:val="20"/>
                <w:lang w:val="en-GB"/>
              </w:rPr>
            </w:pPr>
            <w:r w:rsidRPr="00C23A32">
              <w:rPr>
                <w:rFonts w:ascii="Cambria" w:hAnsi="Cambria"/>
                <w:b w:val="0"/>
                <w:sz w:val="20"/>
                <w:szCs w:val="20"/>
                <w:lang w:val="en-GB"/>
              </w:rPr>
              <w:t>5,507.00</w:t>
            </w:r>
          </w:p>
        </w:tc>
      </w:tr>
      <w:tr w:rsidR="00346BE3" w:rsidRPr="00C23A32" w14:paraId="2D01BA6F" w14:textId="77777777" w:rsidTr="00437131">
        <w:trPr>
          <w:cnfStyle w:val="010000000000" w:firstRow="0" w:lastRow="1"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893" w:type="pct"/>
            <w:shd w:val="clear" w:color="auto" w:fill="E7E6E6" w:themeFill="background2"/>
          </w:tcPr>
          <w:p w14:paraId="02E25680" w14:textId="77777777" w:rsidR="00346BE3" w:rsidRPr="00C23A32" w:rsidRDefault="00346BE3" w:rsidP="00437131">
            <w:pPr>
              <w:rPr>
                <w:rFonts w:ascii="Cambria" w:hAnsi="Cambria"/>
                <w:bCs w:val="0"/>
                <w:sz w:val="20"/>
                <w:szCs w:val="20"/>
                <w:lang w:val="en-GB"/>
              </w:rPr>
            </w:pPr>
            <w:r w:rsidRPr="00C23A32">
              <w:rPr>
                <w:rFonts w:ascii="Cambria" w:hAnsi="Cambria"/>
                <w:bCs w:val="0"/>
                <w:sz w:val="20"/>
                <w:szCs w:val="20"/>
                <w:lang w:val="en-GB"/>
              </w:rPr>
              <w:t>Neto javni dug % BDP</w:t>
            </w:r>
          </w:p>
        </w:tc>
        <w:tc>
          <w:tcPr>
            <w:tcW w:w="800" w:type="pct"/>
            <w:shd w:val="clear" w:color="auto" w:fill="E7E6E6" w:themeFill="background2"/>
          </w:tcPr>
          <w:p w14:paraId="401D10FE" w14:textId="77777777" w:rsidR="00346BE3" w:rsidRPr="00C23A32" w:rsidRDefault="00346BE3" w:rsidP="00437131">
            <w:pPr>
              <w:jc w:val="right"/>
              <w:cnfStyle w:val="010000000000" w:firstRow="0" w:lastRow="1" w:firstColumn="0" w:lastColumn="0" w:oddVBand="0" w:evenVBand="0" w:oddHBand="0" w:evenHBand="0" w:firstRowFirstColumn="0" w:firstRowLastColumn="0" w:lastRowFirstColumn="0" w:lastRowLastColumn="0"/>
              <w:rPr>
                <w:rFonts w:ascii="Cambria" w:hAnsi="Cambria"/>
                <w:bCs w:val="0"/>
                <w:sz w:val="20"/>
                <w:szCs w:val="20"/>
                <w:lang w:val="en-GB"/>
              </w:rPr>
            </w:pPr>
            <w:r w:rsidRPr="00C23A32">
              <w:rPr>
                <w:rFonts w:ascii="Cambria" w:hAnsi="Cambria"/>
                <w:sz w:val="20"/>
                <w:szCs w:val="20"/>
              </w:rPr>
              <w:t>57,60</w:t>
            </w:r>
          </w:p>
        </w:tc>
        <w:tc>
          <w:tcPr>
            <w:tcW w:w="824" w:type="pct"/>
            <w:shd w:val="clear" w:color="auto" w:fill="E7E6E6" w:themeFill="background2"/>
          </w:tcPr>
          <w:p w14:paraId="3621A55C" w14:textId="77777777" w:rsidR="00346BE3" w:rsidRPr="00C23A32" w:rsidRDefault="00346BE3" w:rsidP="00437131">
            <w:pPr>
              <w:jc w:val="right"/>
              <w:cnfStyle w:val="010000000000" w:firstRow="0" w:lastRow="1" w:firstColumn="0" w:lastColumn="0" w:oddVBand="0" w:evenVBand="0" w:oddHBand="0" w:evenHBand="0" w:firstRowFirstColumn="0" w:firstRowLastColumn="0" w:lastRowFirstColumn="0" w:lastRowLastColumn="0"/>
              <w:rPr>
                <w:rFonts w:ascii="Cambria" w:hAnsi="Cambria"/>
                <w:bCs w:val="0"/>
                <w:sz w:val="20"/>
                <w:szCs w:val="20"/>
                <w:lang w:val="en-GB"/>
              </w:rPr>
            </w:pPr>
            <w:r w:rsidRPr="00C23A32">
              <w:rPr>
                <w:rFonts w:ascii="Cambria" w:hAnsi="Cambria"/>
                <w:sz w:val="20"/>
                <w:szCs w:val="20"/>
              </w:rPr>
              <w:t>59,14</w:t>
            </w:r>
          </w:p>
        </w:tc>
        <w:tc>
          <w:tcPr>
            <w:tcW w:w="773" w:type="pct"/>
            <w:shd w:val="clear" w:color="auto" w:fill="E7E6E6" w:themeFill="background2"/>
          </w:tcPr>
          <w:p w14:paraId="43D19709" w14:textId="77777777" w:rsidR="00346BE3" w:rsidRPr="00C23A32" w:rsidRDefault="00346BE3" w:rsidP="00437131">
            <w:pPr>
              <w:jc w:val="right"/>
              <w:cnfStyle w:val="010000000000" w:firstRow="0" w:lastRow="1" w:firstColumn="0" w:lastColumn="0" w:oddVBand="0" w:evenVBand="0" w:oddHBand="0" w:evenHBand="0" w:firstRowFirstColumn="0" w:firstRowLastColumn="0" w:lastRowFirstColumn="0" w:lastRowLastColumn="0"/>
              <w:rPr>
                <w:rFonts w:ascii="Cambria" w:hAnsi="Cambria"/>
                <w:bCs w:val="0"/>
                <w:sz w:val="20"/>
                <w:szCs w:val="20"/>
                <w:lang w:val="en-GB"/>
              </w:rPr>
            </w:pPr>
            <w:r w:rsidRPr="00C23A32">
              <w:rPr>
                <w:rFonts w:ascii="Cambria" w:hAnsi="Cambria"/>
                <w:sz w:val="20"/>
                <w:szCs w:val="20"/>
              </w:rPr>
              <w:t>61,22</w:t>
            </w:r>
          </w:p>
        </w:tc>
        <w:tc>
          <w:tcPr>
            <w:cnfStyle w:val="000100000000" w:firstRow="0" w:lastRow="0" w:firstColumn="0" w:lastColumn="1" w:oddVBand="0" w:evenVBand="0" w:oddHBand="0" w:evenHBand="0" w:firstRowFirstColumn="0" w:firstRowLastColumn="0" w:lastRowFirstColumn="0" w:lastRowLastColumn="0"/>
            <w:tcW w:w="710" w:type="pct"/>
            <w:shd w:val="clear" w:color="auto" w:fill="E7E6E6" w:themeFill="background2"/>
          </w:tcPr>
          <w:p w14:paraId="5A9BFB3A" w14:textId="77777777" w:rsidR="00346BE3" w:rsidRPr="00C23A32" w:rsidRDefault="00346BE3" w:rsidP="00437131">
            <w:pPr>
              <w:jc w:val="right"/>
              <w:rPr>
                <w:rFonts w:ascii="Cambria" w:hAnsi="Cambria"/>
                <w:bCs w:val="0"/>
                <w:sz w:val="20"/>
                <w:szCs w:val="20"/>
                <w:lang w:val="en-GB"/>
              </w:rPr>
            </w:pPr>
            <w:r w:rsidRPr="00C23A32">
              <w:rPr>
                <w:rFonts w:ascii="Cambria" w:hAnsi="Cambria"/>
                <w:sz w:val="20"/>
                <w:szCs w:val="20"/>
              </w:rPr>
              <w:t>62,88</w:t>
            </w:r>
          </w:p>
        </w:tc>
      </w:tr>
    </w:tbl>
    <w:p w14:paraId="365A1069" w14:textId="77777777" w:rsidR="00346BE3" w:rsidRPr="00C23A32" w:rsidRDefault="00346BE3" w:rsidP="00346BE3">
      <w:pPr>
        <w:rPr>
          <w:rFonts w:ascii="Cambria" w:hAnsi="Cambria"/>
          <w:b/>
          <w:sz w:val="20"/>
          <w:szCs w:val="20"/>
          <w:u w:val="single"/>
          <w:lang w:val="sr-Latn-ME"/>
        </w:rPr>
      </w:pPr>
    </w:p>
    <w:p w14:paraId="38346F0D" w14:textId="77777777" w:rsidR="00346BE3" w:rsidRPr="00437131" w:rsidRDefault="00346BE3" w:rsidP="00437131">
      <w:pPr>
        <w:jc w:val="both"/>
        <w:rPr>
          <w:sz w:val="24"/>
          <w:szCs w:val="24"/>
          <w:lang w:val="sr-Latn-ME"/>
        </w:rPr>
      </w:pPr>
      <w:r w:rsidRPr="00437131">
        <w:rPr>
          <w:sz w:val="24"/>
          <w:szCs w:val="24"/>
          <w:lang w:val="sr-Latn-ME"/>
        </w:rPr>
        <w:t>Shodno navedenom, tokom 2025. godine očekuje se povećanje državnog duga u apsolutnom iznosu u odnosu na kraj 2024. godine za oko 228,8 miliona eura, dok će u odnosu na BDP doći do smanjenja državnog duga za 1,34 procentnih poena. U 2026. godini se očekuje povećanje državnog duga u apsolutnom iznosu u odnosu na kraj 2025. godine za oko 515,7 miliona eura, dok je povećanje istog u odnosu na BDP 3,2 procentna poena. Tokom 2027. godine očekuje se povećanje državnog duga u apsolutnom iznosu u odnosu na kraj 2026. godine za oko 260 miliona eura, dok je očekivano povećanje istog u odnosu na BDP 0,20 procentnih poena.</w:t>
      </w:r>
    </w:p>
    <w:p w14:paraId="4E951692" w14:textId="77777777" w:rsidR="00346BE3" w:rsidRPr="00437131" w:rsidRDefault="00346BE3" w:rsidP="00437131">
      <w:pPr>
        <w:jc w:val="both"/>
        <w:rPr>
          <w:sz w:val="24"/>
          <w:szCs w:val="24"/>
          <w:lang w:val="sr-Latn-ME"/>
        </w:rPr>
      </w:pPr>
      <w:r w:rsidRPr="00437131">
        <w:rPr>
          <w:sz w:val="24"/>
          <w:szCs w:val="24"/>
          <w:lang w:val="sr-Latn-ME"/>
        </w:rPr>
        <w:t>Politika upravljanja dugom temelji se na posvećenosti da svako buduće zaduženje bude usmjereno ka unapređenju kvaliteta portfolija duga, sa naglaskom na smanjenje troškova zaduživanja i optimizaciju profila otplate. Cilj je da se smanji godišnje opterećenja budžeta po osnovu otplate duga.</w:t>
      </w:r>
    </w:p>
    <w:p w14:paraId="488FB881" w14:textId="77777777" w:rsidR="00346BE3" w:rsidRPr="00437131" w:rsidRDefault="00346BE3" w:rsidP="00437131">
      <w:pPr>
        <w:jc w:val="both"/>
        <w:rPr>
          <w:b/>
          <w:sz w:val="24"/>
          <w:szCs w:val="24"/>
          <w:u w:val="single"/>
          <w:lang w:val="sr-Latn-ME"/>
        </w:rPr>
      </w:pPr>
      <w:r w:rsidRPr="00437131">
        <w:rPr>
          <w:b/>
          <w:sz w:val="24"/>
          <w:szCs w:val="24"/>
          <w:u w:val="single"/>
          <w:lang w:val="sr-Latn-ME"/>
        </w:rPr>
        <w:t>Scenario nižeg rasta</w:t>
      </w:r>
    </w:p>
    <w:p w14:paraId="4CA6020E" w14:textId="77777777" w:rsidR="00346BE3" w:rsidRPr="00437131" w:rsidRDefault="00346BE3" w:rsidP="00437131">
      <w:pPr>
        <w:jc w:val="both"/>
        <w:rPr>
          <w:sz w:val="24"/>
          <w:szCs w:val="24"/>
          <w:lang w:val="sr-Latn-ME"/>
        </w:rPr>
      </w:pPr>
      <w:r w:rsidRPr="00437131">
        <w:rPr>
          <w:sz w:val="24"/>
          <w:szCs w:val="24"/>
          <w:lang w:val="sr-Latn-ME"/>
        </w:rPr>
        <w:lastRenderedPageBreak/>
        <w:t xml:space="preserve">Ukoliko dođe do usporavanja ekonomskog rasta i smanjivanja nivoa prihoda, u skladu sa scenarijom nižeg rasta, doći će do promjena u projekcijama državnog i javnog duga u srednjem roku, usled potrebe za dodatnim zaduživanjem koje će biti potrebno radi pokrića budžetskih potreba. </w:t>
      </w:r>
    </w:p>
    <w:p w14:paraId="17A9C115" w14:textId="77777777" w:rsidR="00346BE3" w:rsidRPr="00C23A32" w:rsidRDefault="00346BE3" w:rsidP="00346BE3">
      <w:pPr>
        <w:rPr>
          <w:rFonts w:ascii="Cambria" w:hAnsi="Cambria"/>
          <w:b/>
          <w:sz w:val="20"/>
          <w:szCs w:val="20"/>
        </w:rPr>
      </w:pPr>
      <w:r w:rsidRPr="00C23A32">
        <w:rPr>
          <w:rFonts w:ascii="Cambria" w:hAnsi="Cambria"/>
          <w:b/>
          <w:sz w:val="20"/>
          <w:szCs w:val="20"/>
        </w:rPr>
        <w:t xml:space="preserve">Tabela 6: Scenario nižeg rasta-Projekcije kretanja državnog i javnog duga u periodu 2024-2027. godine, </w:t>
      </w:r>
      <w:r w:rsidRPr="00C23A32">
        <w:rPr>
          <w:rFonts w:ascii="Cambria" w:hAnsi="Cambria"/>
          <w:b/>
          <w:sz w:val="18"/>
          <w:szCs w:val="18"/>
        </w:rPr>
        <w:t>u</w:t>
      </w:r>
      <w:r w:rsidRPr="00C23A32">
        <w:rPr>
          <w:rFonts w:ascii="Cambria" w:hAnsi="Cambria"/>
          <w:b/>
          <w:sz w:val="20"/>
          <w:szCs w:val="20"/>
        </w:rPr>
        <w:t xml:space="preserve"> mil. eura i % BDP-a </w:t>
      </w:r>
    </w:p>
    <w:tbl>
      <w:tblPr>
        <w:tblStyle w:val="GridTable1Light-Accent2"/>
        <w:tblW w:w="5062" w:type="pct"/>
        <w:tblLook w:val="01E0" w:firstRow="1" w:lastRow="1" w:firstColumn="1" w:lastColumn="1" w:noHBand="0" w:noVBand="0"/>
      </w:tblPr>
      <w:tblGrid>
        <w:gridCol w:w="3584"/>
        <w:gridCol w:w="1515"/>
        <w:gridCol w:w="1560"/>
        <w:gridCol w:w="1463"/>
        <w:gridCol w:w="1344"/>
      </w:tblGrid>
      <w:tr w:rsidR="00346BE3" w:rsidRPr="00C23A32" w14:paraId="5FD46503" w14:textId="77777777" w:rsidTr="00437131">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893" w:type="pct"/>
          </w:tcPr>
          <w:p w14:paraId="66610EFB" w14:textId="77777777" w:rsidR="00346BE3" w:rsidRPr="00C23A32" w:rsidRDefault="00346BE3" w:rsidP="00437131">
            <w:pPr>
              <w:jc w:val="right"/>
              <w:rPr>
                <w:rFonts w:ascii="Cambria" w:hAnsi="Cambria"/>
                <w:b w:val="0"/>
                <w:bCs w:val="0"/>
                <w:sz w:val="20"/>
                <w:szCs w:val="20"/>
                <w:lang w:val="en-GB"/>
              </w:rPr>
            </w:pPr>
          </w:p>
        </w:tc>
        <w:tc>
          <w:tcPr>
            <w:tcW w:w="800" w:type="pct"/>
          </w:tcPr>
          <w:p w14:paraId="3488908C" w14:textId="77777777" w:rsidR="00346BE3" w:rsidRPr="00C23A32" w:rsidRDefault="00346BE3" w:rsidP="00437131">
            <w:pPr>
              <w:jc w:val="right"/>
              <w:cnfStyle w:val="100000000000" w:firstRow="1" w:lastRow="0" w:firstColumn="0" w:lastColumn="0" w:oddVBand="0" w:evenVBand="0" w:oddHBand="0" w:evenHBand="0" w:firstRowFirstColumn="0" w:firstRowLastColumn="0" w:lastRowFirstColumn="0" w:lastRowLastColumn="0"/>
              <w:rPr>
                <w:rFonts w:ascii="Cambria" w:hAnsi="Cambria"/>
                <w:bCs w:val="0"/>
                <w:sz w:val="20"/>
                <w:szCs w:val="20"/>
                <w:lang w:val="en-GB"/>
              </w:rPr>
            </w:pPr>
            <w:r w:rsidRPr="00C23A32">
              <w:rPr>
                <w:rFonts w:ascii="Cambria" w:hAnsi="Cambria"/>
                <w:bCs w:val="0"/>
                <w:sz w:val="20"/>
                <w:szCs w:val="20"/>
                <w:lang w:val="en-GB"/>
              </w:rPr>
              <w:t>2024.</w:t>
            </w:r>
          </w:p>
        </w:tc>
        <w:tc>
          <w:tcPr>
            <w:tcW w:w="824" w:type="pct"/>
          </w:tcPr>
          <w:p w14:paraId="761E0AC5" w14:textId="77777777" w:rsidR="00346BE3" w:rsidRPr="00C23A32" w:rsidRDefault="00346BE3" w:rsidP="00437131">
            <w:pPr>
              <w:jc w:val="right"/>
              <w:cnfStyle w:val="100000000000" w:firstRow="1" w:lastRow="0" w:firstColumn="0" w:lastColumn="0" w:oddVBand="0" w:evenVBand="0" w:oddHBand="0" w:evenHBand="0" w:firstRowFirstColumn="0" w:firstRowLastColumn="0" w:lastRowFirstColumn="0" w:lastRowLastColumn="0"/>
              <w:rPr>
                <w:rFonts w:ascii="Cambria" w:hAnsi="Cambria"/>
                <w:bCs w:val="0"/>
                <w:sz w:val="20"/>
                <w:szCs w:val="20"/>
                <w:lang w:val="en-GB"/>
              </w:rPr>
            </w:pPr>
            <w:r w:rsidRPr="00C23A32">
              <w:rPr>
                <w:rFonts w:ascii="Cambria" w:hAnsi="Cambria"/>
                <w:bCs w:val="0"/>
                <w:sz w:val="20"/>
                <w:szCs w:val="20"/>
                <w:lang w:val="en-GB"/>
              </w:rPr>
              <w:t>2025.</w:t>
            </w:r>
          </w:p>
        </w:tc>
        <w:tc>
          <w:tcPr>
            <w:tcW w:w="773" w:type="pct"/>
          </w:tcPr>
          <w:p w14:paraId="79902571" w14:textId="77777777" w:rsidR="00346BE3" w:rsidRPr="00C23A32" w:rsidRDefault="00346BE3" w:rsidP="00437131">
            <w:pPr>
              <w:jc w:val="right"/>
              <w:cnfStyle w:val="100000000000" w:firstRow="1" w:lastRow="0" w:firstColumn="0" w:lastColumn="0" w:oddVBand="0" w:evenVBand="0" w:oddHBand="0" w:evenHBand="0" w:firstRowFirstColumn="0" w:firstRowLastColumn="0" w:lastRowFirstColumn="0" w:lastRowLastColumn="0"/>
              <w:rPr>
                <w:rFonts w:ascii="Cambria" w:hAnsi="Cambria"/>
                <w:bCs w:val="0"/>
                <w:sz w:val="20"/>
                <w:szCs w:val="20"/>
                <w:lang w:val="en-GB"/>
              </w:rPr>
            </w:pPr>
            <w:r w:rsidRPr="00C23A32">
              <w:rPr>
                <w:rFonts w:ascii="Cambria" w:hAnsi="Cambria"/>
                <w:bCs w:val="0"/>
                <w:sz w:val="20"/>
                <w:szCs w:val="20"/>
                <w:lang w:val="en-GB"/>
              </w:rPr>
              <w:t>2026.</w:t>
            </w:r>
          </w:p>
        </w:tc>
        <w:tc>
          <w:tcPr>
            <w:cnfStyle w:val="000100000000" w:firstRow="0" w:lastRow="0" w:firstColumn="0" w:lastColumn="1" w:oddVBand="0" w:evenVBand="0" w:oddHBand="0" w:evenHBand="0" w:firstRowFirstColumn="0" w:firstRowLastColumn="0" w:lastRowFirstColumn="0" w:lastRowLastColumn="0"/>
            <w:tcW w:w="710" w:type="pct"/>
          </w:tcPr>
          <w:p w14:paraId="29F96640" w14:textId="77777777" w:rsidR="00346BE3" w:rsidRPr="00C23A32" w:rsidRDefault="00346BE3" w:rsidP="00437131">
            <w:pPr>
              <w:jc w:val="right"/>
              <w:rPr>
                <w:rFonts w:ascii="Cambria" w:hAnsi="Cambria"/>
                <w:bCs w:val="0"/>
                <w:sz w:val="20"/>
                <w:szCs w:val="20"/>
                <w:lang w:val="en-GB"/>
              </w:rPr>
            </w:pPr>
            <w:r w:rsidRPr="00C23A32">
              <w:rPr>
                <w:rFonts w:ascii="Cambria" w:hAnsi="Cambria"/>
                <w:bCs w:val="0"/>
                <w:sz w:val="20"/>
                <w:szCs w:val="20"/>
                <w:lang w:val="en-GB"/>
              </w:rPr>
              <w:t>2027.</w:t>
            </w:r>
          </w:p>
        </w:tc>
      </w:tr>
      <w:tr w:rsidR="00346BE3" w:rsidRPr="00C23A32" w14:paraId="3CE03C05" w14:textId="77777777" w:rsidTr="00437131">
        <w:trPr>
          <w:trHeight w:val="204"/>
        </w:trPr>
        <w:tc>
          <w:tcPr>
            <w:cnfStyle w:val="001000000000" w:firstRow="0" w:lastRow="0" w:firstColumn="1" w:lastColumn="0" w:oddVBand="0" w:evenVBand="0" w:oddHBand="0" w:evenHBand="0" w:firstRowFirstColumn="0" w:firstRowLastColumn="0" w:lastRowFirstColumn="0" w:lastRowLastColumn="0"/>
            <w:tcW w:w="1893" w:type="pct"/>
            <w:shd w:val="clear" w:color="auto" w:fill="auto"/>
          </w:tcPr>
          <w:p w14:paraId="72341408" w14:textId="77777777" w:rsidR="00346BE3" w:rsidRPr="00C23A32" w:rsidRDefault="00346BE3" w:rsidP="00437131">
            <w:pPr>
              <w:rPr>
                <w:rFonts w:ascii="Cambria" w:hAnsi="Cambria"/>
                <w:b w:val="0"/>
                <w:sz w:val="20"/>
                <w:szCs w:val="20"/>
                <w:lang w:val="en-GB"/>
              </w:rPr>
            </w:pPr>
            <w:r w:rsidRPr="00C23A32">
              <w:rPr>
                <w:rFonts w:ascii="Cambria" w:hAnsi="Cambria"/>
                <w:b w:val="0"/>
                <w:sz w:val="20"/>
                <w:szCs w:val="20"/>
                <w:lang w:val="en-GB"/>
              </w:rPr>
              <w:t>BDP</w:t>
            </w:r>
            <w:r w:rsidRPr="00C23A32">
              <w:rPr>
                <w:rStyle w:val="FootnoteReference"/>
                <w:rFonts w:ascii="Cambria" w:hAnsi="Cambria"/>
                <w:b w:val="0"/>
                <w:bCs w:val="0"/>
                <w:sz w:val="20"/>
                <w:szCs w:val="20"/>
              </w:rPr>
              <w:footnoteReference w:id="13"/>
            </w:r>
          </w:p>
        </w:tc>
        <w:tc>
          <w:tcPr>
            <w:tcW w:w="800" w:type="pct"/>
            <w:shd w:val="clear" w:color="auto" w:fill="auto"/>
          </w:tcPr>
          <w:p w14:paraId="52F15EFB"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7,416.70</w:t>
            </w:r>
          </w:p>
        </w:tc>
        <w:tc>
          <w:tcPr>
            <w:tcW w:w="824" w:type="pct"/>
            <w:shd w:val="clear" w:color="auto" w:fill="auto"/>
          </w:tcPr>
          <w:p w14:paraId="10D5A891"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rPr>
              <w:t>7.836,8</w:t>
            </w:r>
          </w:p>
        </w:tc>
        <w:tc>
          <w:tcPr>
            <w:tcW w:w="773" w:type="pct"/>
            <w:shd w:val="clear" w:color="auto" w:fill="auto"/>
          </w:tcPr>
          <w:p w14:paraId="6FB06CEF"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rPr>
              <w:t>8.154,4</w:t>
            </w:r>
          </w:p>
        </w:tc>
        <w:tc>
          <w:tcPr>
            <w:cnfStyle w:val="000100000000" w:firstRow="0" w:lastRow="0" w:firstColumn="0" w:lastColumn="1" w:oddVBand="0" w:evenVBand="0" w:oddHBand="0" w:evenHBand="0" w:firstRowFirstColumn="0" w:firstRowLastColumn="0" w:lastRowFirstColumn="0" w:lastRowLastColumn="0"/>
            <w:tcW w:w="710" w:type="pct"/>
            <w:shd w:val="clear" w:color="auto" w:fill="auto"/>
          </w:tcPr>
          <w:p w14:paraId="5E4FF7BF" w14:textId="77777777" w:rsidR="00346BE3" w:rsidRPr="00C23A32" w:rsidRDefault="00346BE3" w:rsidP="00437131">
            <w:pPr>
              <w:jc w:val="right"/>
              <w:rPr>
                <w:rFonts w:ascii="Cambria" w:hAnsi="Cambria"/>
                <w:b w:val="0"/>
                <w:sz w:val="20"/>
                <w:szCs w:val="20"/>
                <w:lang w:val="en-GB"/>
              </w:rPr>
            </w:pPr>
            <w:r w:rsidRPr="00C23A32">
              <w:rPr>
                <w:rFonts w:ascii="Cambria" w:hAnsi="Cambria"/>
                <w:b w:val="0"/>
                <w:sz w:val="20"/>
                <w:szCs w:val="20"/>
              </w:rPr>
              <w:t>8.466,7</w:t>
            </w:r>
          </w:p>
        </w:tc>
      </w:tr>
      <w:tr w:rsidR="00346BE3" w:rsidRPr="00C23A32" w14:paraId="41F14020" w14:textId="77777777" w:rsidTr="00437131">
        <w:trPr>
          <w:trHeight w:val="188"/>
        </w:trPr>
        <w:tc>
          <w:tcPr>
            <w:cnfStyle w:val="001000000000" w:firstRow="0" w:lastRow="0" w:firstColumn="1" w:lastColumn="0" w:oddVBand="0" w:evenVBand="0" w:oddHBand="0" w:evenHBand="0" w:firstRowFirstColumn="0" w:firstRowLastColumn="0" w:lastRowFirstColumn="0" w:lastRowLastColumn="0"/>
            <w:tcW w:w="1893" w:type="pct"/>
          </w:tcPr>
          <w:p w14:paraId="016B594C" w14:textId="77777777" w:rsidR="00346BE3" w:rsidRPr="00C23A32" w:rsidRDefault="00346BE3" w:rsidP="00437131">
            <w:pPr>
              <w:rPr>
                <w:rFonts w:ascii="Cambria" w:hAnsi="Cambria"/>
                <w:b w:val="0"/>
                <w:sz w:val="20"/>
                <w:szCs w:val="20"/>
                <w:lang w:val="en-GB"/>
              </w:rPr>
            </w:pPr>
            <w:r w:rsidRPr="00C23A32">
              <w:rPr>
                <w:rFonts w:ascii="Cambria" w:hAnsi="Cambria"/>
                <w:b w:val="0"/>
                <w:sz w:val="20"/>
                <w:szCs w:val="20"/>
                <w:lang w:val="en-GB"/>
              </w:rPr>
              <w:t>Državni dug</w:t>
            </w:r>
          </w:p>
        </w:tc>
        <w:tc>
          <w:tcPr>
            <w:tcW w:w="800" w:type="pct"/>
          </w:tcPr>
          <w:p w14:paraId="0E4D650C"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4.541,51</w:t>
            </w:r>
          </w:p>
        </w:tc>
        <w:tc>
          <w:tcPr>
            <w:tcW w:w="824" w:type="pct"/>
            <w:vAlign w:val="bottom"/>
          </w:tcPr>
          <w:p w14:paraId="4A2A25D2"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cs="Calibri"/>
                <w:sz w:val="20"/>
                <w:szCs w:val="20"/>
              </w:rPr>
              <w:t>4.820,35</w:t>
            </w:r>
          </w:p>
        </w:tc>
        <w:tc>
          <w:tcPr>
            <w:tcW w:w="773" w:type="pct"/>
            <w:vAlign w:val="bottom"/>
          </w:tcPr>
          <w:p w14:paraId="4DF9D1ED"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cs="Calibri"/>
                <w:sz w:val="20"/>
                <w:szCs w:val="20"/>
              </w:rPr>
              <w:t>5.336,04</w:t>
            </w:r>
          </w:p>
        </w:tc>
        <w:tc>
          <w:tcPr>
            <w:cnfStyle w:val="000100000000" w:firstRow="0" w:lastRow="0" w:firstColumn="0" w:lastColumn="1" w:oddVBand="0" w:evenVBand="0" w:oddHBand="0" w:evenHBand="0" w:firstRowFirstColumn="0" w:firstRowLastColumn="0" w:lastRowFirstColumn="0" w:lastRowLastColumn="0"/>
            <w:tcW w:w="710" w:type="pct"/>
            <w:vAlign w:val="bottom"/>
          </w:tcPr>
          <w:p w14:paraId="03F75129" w14:textId="77777777" w:rsidR="00346BE3" w:rsidRPr="00C23A32" w:rsidRDefault="00346BE3" w:rsidP="00437131">
            <w:pPr>
              <w:jc w:val="right"/>
              <w:rPr>
                <w:rFonts w:ascii="Cambria" w:hAnsi="Cambria"/>
                <w:b w:val="0"/>
                <w:sz w:val="20"/>
                <w:szCs w:val="20"/>
                <w:lang w:val="en-GB"/>
              </w:rPr>
            </w:pPr>
            <w:r w:rsidRPr="00C23A32">
              <w:rPr>
                <w:rFonts w:ascii="Cambria" w:hAnsi="Cambria" w:cs="Calibri"/>
                <w:sz w:val="20"/>
                <w:szCs w:val="20"/>
              </w:rPr>
              <w:t>5.756,05</w:t>
            </w:r>
          </w:p>
        </w:tc>
      </w:tr>
      <w:tr w:rsidR="00346BE3" w:rsidRPr="00C23A32" w14:paraId="3B6E73B6" w14:textId="77777777" w:rsidTr="00437131">
        <w:trPr>
          <w:trHeight w:val="224"/>
        </w:trPr>
        <w:tc>
          <w:tcPr>
            <w:cnfStyle w:val="001000000000" w:firstRow="0" w:lastRow="0" w:firstColumn="1" w:lastColumn="0" w:oddVBand="0" w:evenVBand="0" w:oddHBand="0" w:evenHBand="0" w:firstRowFirstColumn="0" w:firstRowLastColumn="0" w:lastRowFirstColumn="0" w:lastRowLastColumn="0"/>
            <w:tcW w:w="1893" w:type="pct"/>
            <w:shd w:val="clear" w:color="auto" w:fill="E7E6E6" w:themeFill="background2"/>
          </w:tcPr>
          <w:p w14:paraId="5F35E83C" w14:textId="77777777" w:rsidR="00346BE3" w:rsidRPr="00C23A32" w:rsidRDefault="00346BE3" w:rsidP="00437131">
            <w:pPr>
              <w:rPr>
                <w:rFonts w:ascii="Cambria" w:hAnsi="Cambria"/>
                <w:sz w:val="20"/>
                <w:szCs w:val="20"/>
                <w:lang w:val="en-GB"/>
              </w:rPr>
            </w:pPr>
            <w:r w:rsidRPr="00C23A32">
              <w:rPr>
                <w:rFonts w:ascii="Cambria" w:hAnsi="Cambria"/>
                <w:sz w:val="20"/>
                <w:szCs w:val="20"/>
                <w:lang w:val="en-GB"/>
              </w:rPr>
              <w:t>Državni dug % BDP</w:t>
            </w:r>
          </w:p>
        </w:tc>
        <w:tc>
          <w:tcPr>
            <w:tcW w:w="800" w:type="pct"/>
            <w:shd w:val="clear" w:color="auto" w:fill="E7E6E6" w:themeFill="background2"/>
          </w:tcPr>
          <w:p w14:paraId="321B331E"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b/>
                <w:sz w:val="20"/>
                <w:szCs w:val="20"/>
              </w:rPr>
            </w:pPr>
            <w:r w:rsidRPr="00C23A32">
              <w:rPr>
                <w:rFonts w:ascii="Cambria" w:hAnsi="Cambria"/>
                <w:b/>
                <w:sz w:val="20"/>
                <w:szCs w:val="20"/>
              </w:rPr>
              <w:t>61,23</w:t>
            </w:r>
          </w:p>
        </w:tc>
        <w:tc>
          <w:tcPr>
            <w:tcW w:w="824" w:type="pct"/>
            <w:shd w:val="clear" w:color="auto" w:fill="E7E6E6" w:themeFill="background2"/>
          </w:tcPr>
          <w:p w14:paraId="5884E043"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b/>
                <w:sz w:val="20"/>
                <w:szCs w:val="20"/>
              </w:rPr>
            </w:pPr>
            <w:r w:rsidRPr="00C23A32">
              <w:rPr>
                <w:rFonts w:ascii="Cambria" w:hAnsi="Cambria"/>
                <w:b/>
                <w:sz w:val="20"/>
                <w:szCs w:val="20"/>
              </w:rPr>
              <w:t>61,51</w:t>
            </w:r>
          </w:p>
        </w:tc>
        <w:tc>
          <w:tcPr>
            <w:tcW w:w="773" w:type="pct"/>
            <w:shd w:val="clear" w:color="auto" w:fill="E7E6E6" w:themeFill="background2"/>
          </w:tcPr>
          <w:p w14:paraId="7C9C466C"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b/>
                <w:sz w:val="20"/>
                <w:szCs w:val="20"/>
              </w:rPr>
            </w:pPr>
            <w:r w:rsidRPr="00C23A32">
              <w:rPr>
                <w:rFonts w:ascii="Cambria" w:hAnsi="Cambria"/>
                <w:b/>
                <w:sz w:val="20"/>
                <w:szCs w:val="20"/>
              </w:rPr>
              <w:t>65,44</w:t>
            </w:r>
          </w:p>
        </w:tc>
        <w:tc>
          <w:tcPr>
            <w:cnfStyle w:val="000100000000" w:firstRow="0" w:lastRow="0" w:firstColumn="0" w:lastColumn="1" w:oddVBand="0" w:evenVBand="0" w:oddHBand="0" w:evenHBand="0" w:firstRowFirstColumn="0" w:firstRowLastColumn="0" w:lastRowFirstColumn="0" w:lastRowLastColumn="0"/>
            <w:tcW w:w="710" w:type="pct"/>
            <w:shd w:val="clear" w:color="auto" w:fill="E7E6E6" w:themeFill="background2"/>
          </w:tcPr>
          <w:p w14:paraId="1246A682" w14:textId="77777777" w:rsidR="00346BE3" w:rsidRPr="00C23A32" w:rsidRDefault="00346BE3" w:rsidP="00437131">
            <w:pPr>
              <w:jc w:val="right"/>
              <w:rPr>
                <w:rFonts w:ascii="Cambria" w:hAnsi="Cambria"/>
                <w:sz w:val="20"/>
                <w:szCs w:val="20"/>
              </w:rPr>
            </w:pPr>
            <w:r w:rsidRPr="00C23A32">
              <w:rPr>
                <w:rFonts w:ascii="Cambria" w:hAnsi="Cambria"/>
                <w:sz w:val="20"/>
                <w:szCs w:val="20"/>
              </w:rPr>
              <w:t>67,98</w:t>
            </w:r>
          </w:p>
        </w:tc>
      </w:tr>
      <w:tr w:rsidR="00346BE3" w:rsidRPr="00C23A32" w14:paraId="46BC4329" w14:textId="77777777" w:rsidTr="00437131">
        <w:trPr>
          <w:trHeight w:val="242"/>
        </w:trPr>
        <w:tc>
          <w:tcPr>
            <w:cnfStyle w:val="001000000000" w:firstRow="0" w:lastRow="0" w:firstColumn="1" w:lastColumn="0" w:oddVBand="0" w:evenVBand="0" w:oddHBand="0" w:evenHBand="0" w:firstRowFirstColumn="0" w:firstRowLastColumn="0" w:lastRowFirstColumn="0" w:lastRowLastColumn="0"/>
            <w:tcW w:w="1893" w:type="pct"/>
          </w:tcPr>
          <w:p w14:paraId="1759E696" w14:textId="77777777" w:rsidR="00346BE3" w:rsidRPr="00C23A32" w:rsidRDefault="00346BE3" w:rsidP="00437131">
            <w:pPr>
              <w:rPr>
                <w:rFonts w:ascii="Cambria" w:hAnsi="Cambria"/>
                <w:b w:val="0"/>
                <w:sz w:val="20"/>
                <w:szCs w:val="20"/>
                <w:lang w:val="en-GB"/>
              </w:rPr>
            </w:pPr>
            <w:r w:rsidRPr="00C23A32">
              <w:rPr>
                <w:rFonts w:ascii="Cambria" w:hAnsi="Cambria"/>
                <w:b w:val="0"/>
                <w:sz w:val="20"/>
                <w:szCs w:val="20"/>
                <w:lang w:val="en-GB"/>
              </w:rPr>
              <w:t>Dug lokalnih samouprava</w:t>
            </w:r>
          </w:p>
        </w:tc>
        <w:tc>
          <w:tcPr>
            <w:tcW w:w="800" w:type="pct"/>
          </w:tcPr>
          <w:p w14:paraId="6EEFB752"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65,00</w:t>
            </w:r>
          </w:p>
        </w:tc>
        <w:tc>
          <w:tcPr>
            <w:tcW w:w="824" w:type="pct"/>
          </w:tcPr>
          <w:p w14:paraId="7D58B2C8"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65,00</w:t>
            </w:r>
          </w:p>
        </w:tc>
        <w:tc>
          <w:tcPr>
            <w:tcW w:w="773" w:type="pct"/>
          </w:tcPr>
          <w:p w14:paraId="4ECF955F"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65,00</w:t>
            </w:r>
          </w:p>
        </w:tc>
        <w:tc>
          <w:tcPr>
            <w:cnfStyle w:val="000100000000" w:firstRow="0" w:lastRow="0" w:firstColumn="0" w:lastColumn="1" w:oddVBand="0" w:evenVBand="0" w:oddHBand="0" w:evenHBand="0" w:firstRowFirstColumn="0" w:firstRowLastColumn="0" w:lastRowFirstColumn="0" w:lastRowLastColumn="0"/>
            <w:tcW w:w="710" w:type="pct"/>
          </w:tcPr>
          <w:p w14:paraId="0CA23AF3" w14:textId="77777777" w:rsidR="00346BE3" w:rsidRPr="00C23A32" w:rsidRDefault="00346BE3" w:rsidP="00437131">
            <w:pPr>
              <w:jc w:val="right"/>
              <w:rPr>
                <w:rFonts w:ascii="Cambria" w:hAnsi="Cambria"/>
                <w:b w:val="0"/>
                <w:sz w:val="20"/>
                <w:szCs w:val="20"/>
                <w:lang w:val="en-GB"/>
              </w:rPr>
            </w:pPr>
            <w:r w:rsidRPr="00C23A32">
              <w:rPr>
                <w:rFonts w:ascii="Cambria" w:hAnsi="Cambria"/>
                <w:b w:val="0"/>
                <w:sz w:val="20"/>
                <w:szCs w:val="20"/>
                <w:lang w:val="en-GB"/>
              </w:rPr>
              <w:t>65,00</w:t>
            </w:r>
          </w:p>
        </w:tc>
      </w:tr>
      <w:tr w:rsidR="00346BE3" w:rsidRPr="00C23A32" w14:paraId="1C49A9D7" w14:textId="77777777" w:rsidTr="00437131">
        <w:trPr>
          <w:trHeight w:val="188"/>
        </w:trPr>
        <w:tc>
          <w:tcPr>
            <w:cnfStyle w:val="001000000000" w:firstRow="0" w:lastRow="0" w:firstColumn="1" w:lastColumn="0" w:oddVBand="0" w:evenVBand="0" w:oddHBand="0" w:evenHBand="0" w:firstRowFirstColumn="0" w:firstRowLastColumn="0" w:lastRowFirstColumn="0" w:lastRowLastColumn="0"/>
            <w:tcW w:w="1893" w:type="pct"/>
          </w:tcPr>
          <w:p w14:paraId="3F694F4A" w14:textId="77777777" w:rsidR="00346BE3" w:rsidRPr="00C23A32" w:rsidRDefault="00346BE3" w:rsidP="00437131">
            <w:pPr>
              <w:rPr>
                <w:rFonts w:ascii="Cambria" w:hAnsi="Cambria"/>
                <w:b w:val="0"/>
                <w:sz w:val="20"/>
                <w:szCs w:val="20"/>
                <w:lang w:val="en-GB"/>
              </w:rPr>
            </w:pPr>
            <w:r w:rsidRPr="00C23A32">
              <w:rPr>
                <w:rFonts w:ascii="Cambria" w:hAnsi="Cambria"/>
                <w:b w:val="0"/>
                <w:sz w:val="20"/>
                <w:szCs w:val="20"/>
                <w:lang w:val="en-GB"/>
              </w:rPr>
              <w:t>Javni dug</w:t>
            </w:r>
          </w:p>
        </w:tc>
        <w:tc>
          <w:tcPr>
            <w:tcW w:w="800" w:type="pct"/>
          </w:tcPr>
          <w:p w14:paraId="4613AA17"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4,606.51</w:t>
            </w:r>
          </w:p>
        </w:tc>
        <w:tc>
          <w:tcPr>
            <w:tcW w:w="824" w:type="pct"/>
            <w:vAlign w:val="bottom"/>
          </w:tcPr>
          <w:p w14:paraId="7B7116E2"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cs="Calibri"/>
                <w:sz w:val="20"/>
                <w:szCs w:val="20"/>
              </w:rPr>
              <w:t>4,885,35</w:t>
            </w:r>
          </w:p>
        </w:tc>
        <w:tc>
          <w:tcPr>
            <w:tcW w:w="773" w:type="pct"/>
            <w:vAlign w:val="bottom"/>
          </w:tcPr>
          <w:p w14:paraId="3C87D6D6"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cs="Calibri"/>
                <w:sz w:val="20"/>
                <w:szCs w:val="20"/>
              </w:rPr>
              <w:t>5.401,04</w:t>
            </w:r>
          </w:p>
        </w:tc>
        <w:tc>
          <w:tcPr>
            <w:cnfStyle w:val="000100000000" w:firstRow="0" w:lastRow="0" w:firstColumn="0" w:lastColumn="1" w:oddVBand="0" w:evenVBand="0" w:oddHBand="0" w:evenHBand="0" w:firstRowFirstColumn="0" w:firstRowLastColumn="0" w:lastRowFirstColumn="0" w:lastRowLastColumn="0"/>
            <w:tcW w:w="710" w:type="pct"/>
            <w:vAlign w:val="bottom"/>
          </w:tcPr>
          <w:p w14:paraId="42499799" w14:textId="77777777" w:rsidR="00346BE3" w:rsidRPr="00C23A32" w:rsidRDefault="00346BE3" w:rsidP="00437131">
            <w:pPr>
              <w:jc w:val="right"/>
              <w:rPr>
                <w:rFonts w:ascii="Cambria" w:hAnsi="Cambria"/>
                <w:b w:val="0"/>
                <w:sz w:val="20"/>
                <w:szCs w:val="20"/>
                <w:lang w:val="en-GB"/>
              </w:rPr>
            </w:pPr>
            <w:r w:rsidRPr="00C23A32">
              <w:rPr>
                <w:rFonts w:ascii="Cambria" w:hAnsi="Cambria" w:cs="Calibri"/>
                <w:b w:val="0"/>
                <w:sz w:val="20"/>
                <w:szCs w:val="20"/>
              </w:rPr>
              <w:t>5.821,05</w:t>
            </w:r>
          </w:p>
        </w:tc>
      </w:tr>
      <w:tr w:rsidR="00346BE3" w:rsidRPr="00C23A32" w14:paraId="4E1DF415" w14:textId="77777777" w:rsidTr="00437131">
        <w:trPr>
          <w:trHeight w:val="224"/>
        </w:trPr>
        <w:tc>
          <w:tcPr>
            <w:cnfStyle w:val="001000000000" w:firstRow="0" w:lastRow="0" w:firstColumn="1" w:lastColumn="0" w:oddVBand="0" w:evenVBand="0" w:oddHBand="0" w:evenHBand="0" w:firstRowFirstColumn="0" w:firstRowLastColumn="0" w:lastRowFirstColumn="0" w:lastRowLastColumn="0"/>
            <w:tcW w:w="1893" w:type="pct"/>
            <w:shd w:val="clear" w:color="auto" w:fill="E7E6E6" w:themeFill="background2"/>
          </w:tcPr>
          <w:p w14:paraId="51056E1A" w14:textId="77777777" w:rsidR="00346BE3" w:rsidRPr="00C23A32" w:rsidRDefault="00346BE3" w:rsidP="00437131">
            <w:pPr>
              <w:rPr>
                <w:rFonts w:ascii="Cambria" w:hAnsi="Cambria"/>
                <w:sz w:val="20"/>
                <w:szCs w:val="20"/>
                <w:lang w:val="en-GB"/>
              </w:rPr>
            </w:pPr>
            <w:r w:rsidRPr="00C23A32">
              <w:rPr>
                <w:rFonts w:ascii="Cambria" w:hAnsi="Cambria"/>
                <w:sz w:val="20"/>
                <w:szCs w:val="20"/>
                <w:lang w:val="en-GB"/>
              </w:rPr>
              <w:t>Javni dug % BDP</w:t>
            </w:r>
          </w:p>
        </w:tc>
        <w:tc>
          <w:tcPr>
            <w:tcW w:w="800" w:type="pct"/>
            <w:shd w:val="clear" w:color="auto" w:fill="E7E6E6" w:themeFill="background2"/>
          </w:tcPr>
          <w:p w14:paraId="585DC2D8"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b/>
                <w:sz w:val="20"/>
                <w:szCs w:val="20"/>
              </w:rPr>
            </w:pPr>
            <w:r w:rsidRPr="00C23A32">
              <w:rPr>
                <w:rFonts w:ascii="Cambria" w:hAnsi="Cambria"/>
                <w:b/>
                <w:sz w:val="20"/>
                <w:szCs w:val="20"/>
              </w:rPr>
              <w:t>62,11</w:t>
            </w:r>
          </w:p>
        </w:tc>
        <w:tc>
          <w:tcPr>
            <w:tcW w:w="824" w:type="pct"/>
            <w:shd w:val="clear" w:color="auto" w:fill="E7E6E6" w:themeFill="background2"/>
            <w:vAlign w:val="bottom"/>
          </w:tcPr>
          <w:p w14:paraId="2008CBC9"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b/>
                <w:sz w:val="20"/>
                <w:szCs w:val="20"/>
              </w:rPr>
            </w:pPr>
            <w:r w:rsidRPr="00C23A32">
              <w:rPr>
                <w:rFonts w:ascii="Cambria" w:hAnsi="Cambria" w:cs="Calibri"/>
                <w:b/>
                <w:bCs/>
                <w:sz w:val="20"/>
                <w:szCs w:val="20"/>
              </w:rPr>
              <w:t>62,34</w:t>
            </w:r>
          </w:p>
        </w:tc>
        <w:tc>
          <w:tcPr>
            <w:tcW w:w="773" w:type="pct"/>
            <w:shd w:val="clear" w:color="auto" w:fill="E7E6E6" w:themeFill="background2"/>
            <w:vAlign w:val="bottom"/>
          </w:tcPr>
          <w:p w14:paraId="0C7EA667"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b/>
                <w:sz w:val="20"/>
                <w:szCs w:val="20"/>
              </w:rPr>
            </w:pPr>
            <w:r w:rsidRPr="00C23A32">
              <w:rPr>
                <w:rFonts w:ascii="Cambria" w:hAnsi="Cambria" w:cs="Calibri"/>
                <w:b/>
                <w:bCs/>
                <w:sz w:val="20"/>
                <w:szCs w:val="20"/>
              </w:rPr>
              <w:t>66,23</w:t>
            </w:r>
          </w:p>
        </w:tc>
        <w:tc>
          <w:tcPr>
            <w:cnfStyle w:val="000100000000" w:firstRow="0" w:lastRow="0" w:firstColumn="0" w:lastColumn="1" w:oddVBand="0" w:evenVBand="0" w:oddHBand="0" w:evenHBand="0" w:firstRowFirstColumn="0" w:firstRowLastColumn="0" w:lastRowFirstColumn="0" w:lastRowLastColumn="0"/>
            <w:tcW w:w="710" w:type="pct"/>
            <w:shd w:val="clear" w:color="auto" w:fill="E7E6E6" w:themeFill="background2"/>
            <w:vAlign w:val="bottom"/>
          </w:tcPr>
          <w:p w14:paraId="71C282B9" w14:textId="77777777" w:rsidR="00346BE3" w:rsidRPr="00C23A32" w:rsidRDefault="00346BE3" w:rsidP="00437131">
            <w:pPr>
              <w:jc w:val="right"/>
              <w:rPr>
                <w:rFonts w:ascii="Cambria" w:hAnsi="Cambria"/>
                <w:sz w:val="20"/>
                <w:szCs w:val="20"/>
              </w:rPr>
            </w:pPr>
            <w:r w:rsidRPr="00C23A32">
              <w:rPr>
                <w:rFonts w:ascii="Cambria" w:hAnsi="Cambria" w:cs="Calibri"/>
                <w:bCs w:val="0"/>
                <w:sz w:val="20"/>
                <w:szCs w:val="20"/>
              </w:rPr>
              <w:t>68,75</w:t>
            </w:r>
          </w:p>
        </w:tc>
      </w:tr>
      <w:tr w:rsidR="00346BE3" w:rsidRPr="00C23A32" w14:paraId="1E6B3F0A" w14:textId="77777777" w:rsidTr="00437131">
        <w:trPr>
          <w:trHeight w:val="260"/>
        </w:trPr>
        <w:tc>
          <w:tcPr>
            <w:cnfStyle w:val="001000000000" w:firstRow="0" w:lastRow="0" w:firstColumn="1" w:lastColumn="0" w:oddVBand="0" w:evenVBand="0" w:oddHBand="0" w:evenHBand="0" w:firstRowFirstColumn="0" w:firstRowLastColumn="0" w:lastRowFirstColumn="0" w:lastRowLastColumn="0"/>
            <w:tcW w:w="1893" w:type="pct"/>
          </w:tcPr>
          <w:p w14:paraId="6E29B3A6" w14:textId="77777777" w:rsidR="00346BE3" w:rsidRPr="00C23A32" w:rsidRDefault="00346BE3" w:rsidP="00437131">
            <w:pPr>
              <w:rPr>
                <w:rFonts w:ascii="Cambria" w:hAnsi="Cambria"/>
                <w:b w:val="0"/>
                <w:sz w:val="20"/>
                <w:szCs w:val="20"/>
                <w:lang w:val="en-GB"/>
              </w:rPr>
            </w:pPr>
            <w:r w:rsidRPr="00C23A32">
              <w:rPr>
                <w:rFonts w:ascii="Cambria" w:hAnsi="Cambria"/>
                <w:b w:val="0"/>
                <w:sz w:val="20"/>
                <w:szCs w:val="20"/>
                <w:lang w:val="en-GB"/>
              </w:rPr>
              <w:t>Depoziti</w:t>
            </w:r>
            <w:r w:rsidRPr="00C23A32">
              <w:rPr>
                <w:rStyle w:val="FootnoteReference"/>
                <w:rFonts w:ascii="Cambria" w:hAnsi="Cambria"/>
                <w:b w:val="0"/>
                <w:bCs w:val="0"/>
                <w:sz w:val="20"/>
                <w:szCs w:val="20"/>
              </w:rPr>
              <w:footnoteReference w:id="14"/>
            </w:r>
          </w:p>
        </w:tc>
        <w:tc>
          <w:tcPr>
            <w:tcW w:w="800" w:type="pct"/>
          </w:tcPr>
          <w:p w14:paraId="50DDE855"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334,34</w:t>
            </w:r>
          </w:p>
        </w:tc>
        <w:tc>
          <w:tcPr>
            <w:tcW w:w="824" w:type="pct"/>
          </w:tcPr>
          <w:p w14:paraId="6C26D6A0"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rPr>
              <w:t>107,54</w:t>
            </w:r>
          </w:p>
        </w:tc>
        <w:tc>
          <w:tcPr>
            <w:tcW w:w="773" w:type="pct"/>
          </w:tcPr>
          <w:p w14:paraId="2904987C"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rPr>
              <w:t>145,34</w:t>
            </w:r>
          </w:p>
        </w:tc>
        <w:tc>
          <w:tcPr>
            <w:cnfStyle w:val="000100000000" w:firstRow="0" w:lastRow="0" w:firstColumn="0" w:lastColumn="1" w:oddVBand="0" w:evenVBand="0" w:oddHBand="0" w:evenHBand="0" w:firstRowFirstColumn="0" w:firstRowLastColumn="0" w:lastRowFirstColumn="0" w:lastRowLastColumn="0"/>
            <w:tcW w:w="710" w:type="pct"/>
          </w:tcPr>
          <w:p w14:paraId="305A974D" w14:textId="77777777" w:rsidR="00346BE3" w:rsidRPr="00C23A32" w:rsidRDefault="00346BE3" w:rsidP="00437131">
            <w:pPr>
              <w:jc w:val="right"/>
              <w:rPr>
                <w:rFonts w:ascii="Cambria" w:hAnsi="Cambria"/>
                <w:b w:val="0"/>
                <w:sz w:val="20"/>
                <w:szCs w:val="20"/>
                <w:lang w:val="en-GB"/>
              </w:rPr>
            </w:pPr>
            <w:r w:rsidRPr="00C23A32">
              <w:rPr>
                <w:rFonts w:ascii="Cambria" w:hAnsi="Cambria"/>
                <w:b w:val="0"/>
                <w:sz w:val="20"/>
                <w:szCs w:val="20"/>
              </w:rPr>
              <w:t>129,74</w:t>
            </w:r>
          </w:p>
        </w:tc>
      </w:tr>
      <w:tr w:rsidR="00346BE3" w:rsidRPr="00C23A32" w14:paraId="1AA36B19" w14:textId="77777777" w:rsidTr="00437131">
        <w:trPr>
          <w:trHeight w:val="179"/>
        </w:trPr>
        <w:tc>
          <w:tcPr>
            <w:cnfStyle w:val="001000000000" w:firstRow="0" w:lastRow="0" w:firstColumn="1" w:lastColumn="0" w:oddVBand="0" w:evenVBand="0" w:oddHBand="0" w:evenHBand="0" w:firstRowFirstColumn="0" w:firstRowLastColumn="0" w:lastRowFirstColumn="0" w:lastRowLastColumn="0"/>
            <w:tcW w:w="1893" w:type="pct"/>
          </w:tcPr>
          <w:p w14:paraId="135E22D9" w14:textId="77777777" w:rsidR="00346BE3" w:rsidRPr="00C23A32" w:rsidRDefault="00346BE3" w:rsidP="00437131">
            <w:pPr>
              <w:rPr>
                <w:rFonts w:ascii="Cambria" w:hAnsi="Cambria"/>
                <w:b w:val="0"/>
                <w:sz w:val="20"/>
                <w:szCs w:val="20"/>
                <w:lang w:val="en-GB"/>
              </w:rPr>
            </w:pPr>
            <w:r w:rsidRPr="00C23A32">
              <w:rPr>
                <w:rFonts w:ascii="Cambria" w:hAnsi="Cambria"/>
                <w:b w:val="0"/>
                <w:sz w:val="20"/>
                <w:szCs w:val="20"/>
                <w:lang w:val="en-GB"/>
              </w:rPr>
              <w:t>Neto državni dug</w:t>
            </w:r>
          </w:p>
        </w:tc>
        <w:tc>
          <w:tcPr>
            <w:tcW w:w="800" w:type="pct"/>
          </w:tcPr>
          <w:p w14:paraId="1D6BABDC"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4.207,17</w:t>
            </w:r>
          </w:p>
        </w:tc>
        <w:tc>
          <w:tcPr>
            <w:tcW w:w="824" w:type="pct"/>
          </w:tcPr>
          <w:p w14:paraId="46ACE645"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4.645,18</w:t>
            </w:r>
          </w:p>
        </w:tc>
        <w:tc>
          <w:tcPr>
            <w:tcW w:w="773" w:type="pct"/>
          </w:tcPr>
          <w:p w14:paraId="720ACC9D"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5.060,65</w:t>
            </w:r>
          </w:p>
        </w:tc>
        <w:tc>
          <w:tcPr>
            <w:cnfStyle w:val="000100000000" w:firstRow="0" w:lastRow="0" w:firstColumn="0" w:lastColumn="1" w:oddVBand="0" w:evenVBand="0" w:oddHBand="0" w:evenHBand="0" w:firstRowFirstColumn="0" w:firstRowLastColumn="0" w:lastRowFirstColumn="0" w:lastRowLastColumn="0"/>
            <w:tcW w:w="710" w:type="pct"/>
          </w:tcPr>
          <w:p w14:paraId="2358A44A" w14:textId="77777777" w:rsidR="00346BE3" w:rsidRPr="00C23A32" w:rsidRDefault="00346BE3" w:rsidP="00437131">
            <w:pPr>
              <w:jc w:val="right"/>
              <w:rPr>
                <w:rFonts w:ascii="Cambria" w:hAnsi="Cambria"/>
                <w:b w:val="0"/>
                <w:sz w:val="20"/>
                <w:szCs w:val="20"/>
                <w:lang w:val="en-GB"/>
              </w:rPr>
            </w:pPr>
            <w:r w:rsidRPr="00C23A32">
              <w:rPr>
                <w:rFonts w:ascii="Cambria" w:hAnsi="Cambria"/>
                <w:b w:val="0"/>
                <w:sz w:val="20"/>
                <w:szCs w:val="20"/>
                <w:lang w:val="en-GB"/>
              </w:rPr>
              <w:t>5.442,00</w:t>
            </w:r>
          </w:p>
        </w:tc>
      </w:tr>
      <w:tr w:rsidR="00346BE3" w:rsidRPr="00C23A32" w14:paraId="1405997E" w14:textId="77777777" w:rsidTr="00437131">
        <w:trPr>
          <w:trHeight w:val="215"/>
        </w:trPr>
        <w:tc>
          <w:tcPr>
            <w:cnfStyle w:val="001000000000" w:firstRow="0" w:lastRow="0" w:firstColumn="1" w:lastColumn="0" w:oddVBand="0" w:evenVBand="0" w:oddHBand="0" w:evenHBand="0" w:firstRowFirstColumn="0" w:firstRowLastColumn="0" w:lastRowFirstColumn="0" w:lastRowLastColumn="0"/>
            <w:tcW w:w="1893" w:type="pct"/>
            <w:shd w:val="clear" w:color="auto" w:fill="E7E6E6" w:themeFill="background2"/>
          </w:tcPr>
          <w:p w14:paraId="0A506B1D" w14:textId="77777777" w:rsidR="00346BE3" w:rsidRPr="00C23A32" w:rsidRDefault="00346BE3" w:rsidP="00437131">
            <w:pPr>
              <w:rPr>
                <w:rFonts w:ascii="Cambria" w:hAnsi="Cambria"/>
                <w:sz w:val="20"/>
                <w:szCs w:val="20"/>
                <w:lang w:val="en-GB"/>
              </w:rPr>
            </w:pPr>
            <w:r w:rsidRPr="00C23A32">
              <w:rPr>
                <w:rFonts w:ascii="Cambria" w:hAnsi="Cambria"/>
                <w:sz w:val="20"/>
                <w:szCs w:val="20"/>
                <w:lang w:val="en-GB"/>
              </w:rPr>
              <w:t>Neto državni dug % BDP</w:t>
            </w:r>
          </w:p>
        </w:tc>
        <w:tc>
          <w:tcPr>
            <w:tcW w:w="800" w:type="pct"/>
            <w:shd w:val="clear" w:color="auto" w:fill="E7E6E6" w:themeFill="background2"/>
          </w:tcPr>
          <w:p w14:paraId="4A29E085"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b/>
                <w:sz w:val="20"/>
                <w:szCs w:val="20"/>
                <w:lang w:val="en-GB"/>
              </w:rPr>
            </w:pPr>
            <w:r w:rsidRPr="00C23A32">
              <w:rPr>
                <w:rFonts w:ascii="Cambria" w:hAnsi="Cambria"/>
                <w:b/>
                <w:sz w:val="20"/>
                <w:szCs w:val="20"/>
                <w:lang w:val="en-GB"/>
              </w:rPr>
              <w:t>56,73</w:t>
            </w:r>
          </w:p>
        </w:tc>
        <w:tc>
          <w:tcPr>
            <w:tcW w:w="824" w:type="pct"/>
            <w:shd w:val="clear" w:color="auto" w:fill="E7E6E6" w:themeFill="background2"/>
            <w:vAlign w:val="bottom"/>
          </w:tcPr>
          <w:p w14:paraId="439735DE"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b/>
                <w:sz w:val="20"/>
                <w:szCs w:val="20"/>
                <w:lang w:val="en-GB"/>
              </w:rPr>
            </w:pPr>
            <w:r w:rsidRPr="00C23A32">
              <w:rPr>
                <w:rFonts w:ascii="Cambria" w:hAnsi="Cambria" w:cs="Calibri"/>
                <w:b/>
                <w:bCs/>
                <w:sz w:val="20"/>
                <w:szCs w:val="20"/>
              </w:rPr>
              <w:t>60,14</w:t>
            </w:r>
          </w:p>
        </w:tc>
        <w:tc>
          <w:tcPr>
            <w:tcW w:w="773" w:type="pct"/>
            <w:shd w:val="clear" w:color="auto" w:fill="E7E6E6" w:themeFill="background2"/>
            <w:vAlign w:val="bottom"/>
          </w:tcPr>
          <w:p w14:paraId="1AFA608A"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b/>
                <w:sz w:val="20"/>
                <w:szCs w:val="20"/>
                <w:lang w:val="en-GB"/>
              </w:rPr>
            </w:pPr>
            <w:r w:rsidRPr="00C23A32">
              <w:rPr>
                <w:rFonts w:ascii="Cambria" w:hAnsi="Cambria" w:cs="Calibri"/>
                <w:b/>
                <w:bCs/>
                <w:sz w:val="20"/>
                <w:szCs w:val="20"/>
              </w:rPr>
              <w:t>63,66</w:t>
            </w:r>
          </w:p>
        </w:tc>
        <w:tc>
          <w:tcPr>
            <w:cnfStyle w:val="000100000000" w:firstRow="0" w:lastRow="0" w:firstColumn="0" w:lastColumn="1" w:oddVBand="0" w:evenVBand="0" w:oddHBand="0" w:evenHBand="0" w:firstRowFirstColumn="0" w:firstRowLastColumn="0" w:lastRowFirstColumn="0" w:lastRowLastColumn="0"/>
            <w:tcW w:w="710" w:type="pct"/>
            <w:shd w:val="clear" w:color="auto" w:fill="E7E6E6" w:themeFill="background2"/>
            <w:vAlign w:val="bottom"/>
          </w:tcPr>
          <w:p w14:paraId="12564E46" w14:textId="77777777" w:rsidR="00346BE3" w:rsidRPr="00C23A32" w:rsidRDefault="00346BE3" w:rsidP="00437131">
            <w:pPr>
              <w:jc w:val="right"/>
              <w:rPr>
                <w:rFonts w:ascii="Cambria" w:hAnsi="Cambria"/>
                <w:sz w:val="20"/>
                <w:szCs w:val="20"/>
                <w:lang w:val="en-GB"/>
              </w:rPr>
            </w:pPr>
            <w:r w:rsidRPr="00C23A32">
              <w:rPr>
                <w:rFonts w:ascii="Cambria" w:hAnsi="Cambria" w:cs="Calibri"/>
                <w:bCs w:val="0"/>
                <w:sz w:val="20"/>
                <w:szCs w:val="20"/>
              </w:rPr>
              <w:t>66,45</w:t>
            </w:r>
          </w:p>
        </w:tc>
      </w:tr>
      <w:tr w:rsidR="00346BE3" w:rsidRPr="00C23A32" w14:paraId="509BDB35" w14:textId="77777777" w:rsidTr="00437131">
        <w:trPr>
          <w:trHeight w:val="242"/>
        </w:trPr>
        <w:tc>
          <w:tcPr>
            <w:cnfStyle w:val="001000000000" w:firstRow="0" w:lastRow="0" w:firstColumn="1" w:lastColumn="0" w:oddVBand="0" w:evenVBand="0" w:oddHBand="0" w:evenHBand="0" w:firstRowFirstColumn="0" w:firstRowLastColumn="0" w:lastRowFirstColumn="0" w:lastRowLastColumn="0"/>
            <w:tcW w:w="1893" w:type="pct"/>
          </w:tcPr>
          <w:p w14:paraId="35DE23E2" w14:textId="77777777" w:rsidR="00346BE3" w:rsidRPr="00C23A32" w:rsidRDefault="00346BE3" w:rsidP="00437131">
            <w:pPr>
              <w:rPr>
                <w:rFonts w:ascii="Cambria" w:hAnsi="Cambria"/>
                <w:b w:val="0"/>
                <w:sz w:val="20"/>
                <w:szCs w:val="20"/>
                <w:lang w:val="en-GB"/>
              </w:rPr>
            </w:pPr>
            <w:r w:rsidRPr="00C23A32">
              <w:rPr>
                <w:rFonts w:ascii="Cambria" w:hAnsi="Cambria"/>
                <w:b w:val="0"/>
                <w:sz w:val="20"/>
                <w:szCs w:val="20"/>
                <w:lang w:val="en-GB"/>
              </w:rPr>
              <w:t>Neto javni dug</w:t>
            </w:r>
          </w:p>
        </w:tc>
        <w:tc>
          <w:tcPr>
            <w:tcW w:w="800" w:type="pct"/>
          </w:tcPr>
          <w:p w14:paraId="261355EB"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sz w:val="20"/>
                <w:szCs w:val="20"/>
                <w:lang w:val="en-GB"/>
              </w:rPr>
              <w:t>4.272,17</w:t>
            </w:r>
          </w:p>
        </w:tc>
        <w:tc>
          <w:tcPr>
            <w:tcW w:w="824" w:type="pct"/>
            <w:vAlign w:val="bottom"/>
          </w:tcPr>
          <w:p w14:paraId="4ED3D06B"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cs="Calibri"/>
                <w:sz w:val="20"/>
                <w:szCs w:val="20"/>
              </w:rPr>
              <w:t>4.777,81</w:t>
            </w:r>
          </w:p>
        </w:tc>
        <w:tc>
          <w:tcPr>
            <w:tcW w:w="773" w:type="pct"/>
            <w:vAlign w:val="bottom"/>
          </w:tcPr>
          <w:p w14:paraId="2EEF6D9E" w14:textId="77777777" w:rsidR="00346BE3" w:rsidRPr="00C23A32" w:rsidRDefault="00346BE3" w:rsidP="00437131">
            <w:pPr>
              <w:jc w:val="right"/>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en-GB"/>
              </w:rPr>
            </w:pPr>
            <w:r w:rsidRPr="00C23A32">
              <w:rPr>
                <w:rFonts w:ascii="Cambria" w:hAnsi="Cambria" w:cs="Calibri"/>
                <w:sz w:val="20"/>
                <w:szCs w:val="20"/>
              </w:rPr>
              <w:t>5.255,70</w:t>
            </w:r>
          </w:p>
        </w:tc>
        <w:tc>
          <w:tcPr>
            <w:cnfStyle w:val="000100000000" w:firstRow="0" w:lastRow="0" w:firstColumn="0" w:lastColumn="1" w:oddVBand="0" w:evenVBand="0" w:oddHBand="0" w:evenHBand="0" w:firstRowFirstColumn="0" w:firstRowLastColumn="0" w:lastRowFirstColumn="0" w:lastRowLastColumn="0"/>
            <w:tcW w:w="710" w:type="pct"/>
            <w:vAlign w:val="bottom"/>
          </w:tcPr>
          <w:p w14:paraId="324D0A96" w14:textId="77777777" w:rsidR="00346BE3" w:rsidRPr="00C23A32" w:rsidRDefault="00346BE3" w:rsidP="00437131">
            <w:pPr>
              <w:jc w:val="right"/>
              <w:rPr>
                <w:rFonts w:ascii="Cambria" w:hAnsi="Cambria"/>
                <w:b w:val="0"/>
                <w:sz w:val="20"/>
                <w:szCs w:val="20"/>
                <w:lang w:val="en-GB"/>
              </w:rPr>
            </w:pPr>
            <w:r w:rsidRPr="00C23A32">
              <w:rPr>
                <w:rFonts w:ascii="Cambria" w:hAnsi="Cambria" w:cs="Calibri"/>
                <w:sz w:val="20"/>
                <w:szCs w:val="20"/>
              </w:rPr>
              <w:t>5.691,31</w:t>
            </w:r>
          </w:p>
        </w:tc>
      </w:tr>
      <w:tr w:rsidR="00346BE3" w:rsidRPr="00C23A32" w14:paraId="6E046EA1" w14:textId="77777777" w:rsidTr="00437131">
        <w:trPr>
          <w:cnfStyle w:val="010000000000" w:firstRow="0" w:lastRow="1"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893" w:type="pct"/>
            <w:shd w:val="clear" w:color="auto" w:fill="E7E6E6" w:themeFill="background2"/>
          </w:tcPr>
          <w:p w14:paraId="06355B5F" w14:textId="77777777" w:rsidR="00346BE3" w:rsidRPr="00C23A32" w:rsidRDefault="00346BE3" w:rsidP="00437131">
            <w:pPr>
              <w:rPr>
                <w:rFonts w:ascii="Cambria" w:hAnsi="Cambria"/>
                <w:bCs w:val="0"/>
                <w:sz w:val="20"/>
                <w:szCs w:val="20"/>
                <w:lang w:val="en-GB"/>
              </w:rPr>
            </w:pPr>
            <w:r w:rsidRPr="00C23A32">
              <w:rPr>
                <w:rFonts w:ascii="Cambria" w:hAnsi="Cambria"/>
                <w:bCs w:val="0"/>
                <w:sz w:val="20"/>
                <w:szCs w:val="20"/>
                <w:lang w:val="en-GB"/>
              </w:rPr>
              <w:t>Neto javni dug % BDP</w:t>
            </w:r>
          </w:p>
        </w:tc>
        <w:tc>
          <w:tcPr>
            <w:tcW w:w="800" w:type="pct"/>
            <w:shd w:val="clear" w:color="auto" w:fill="E7E6E6" w:themeFill="background2"/>
          </w:tcPr>
          <w:p w14:paraId="47FEFA31" w14:textId="77777777" w:rsidR="00346BE3" w:rsidRPr="00C23A32" w:rsidRDefault="00346BE3" w:rsidP="00437131">
            <w:pPr>
              <w:tabs>
                <w:tab w:val="center" w:pos="649"/>
                <w:tab w:val="right" w:pos="1299"/>
              </w:tabs>
              <w:cnfStyle w:val="010000000000" w:firstRow="0" w:lastRow="1" w:firstColumn="0" w:lastColumn="0" w:oddVBand="0" w:evenVBand="0" w:oddHBand="0" w:evenHBand="0" w:firstRowFirstColumn="0" w:firstRowLastColumn="0" w:lastRowFirstColumn="0" w:lastRowLastColumn="0"/>
              <w:rPr>
                <w:rFonts w:ascii="Cambria" w:hAnsi="Cambria"/>
                <w:bCs w:val="0"/>
                <w:sz w:val="20"/>
                <w:szCs w:val="20"/>
                <w:lang w:val="en-GB"/>
              </w:rPr>
            </w:pPr>
            <w:r w:rsidRPr="00C23A32">
              <w:rPr>
                <w:rFonts w:ascii="Cambria" w:hAnsi="Cambria"/>
                <w:bCs w:val="0"/>
                <w:sz w:val="20"/>
                <w:szCs w:val="20"/>
                <w:lang w:val="en-GB"/>
              </w:rPr>
              <w:tab/>
            </w:r>
            <w:r w:rsidRPr="00C23A32">
              <w:rPr>
                <w:rFonts w:ascii="Cambria" w:hAnsi="Cambria"/>
                <w:bCs w:val="0"/>
                <w:sz w:val="20"/>
                <w:szCs w:val="20"/>
                <w:lang w:val="en-GB"/>
              </w:rPr>
              <w:tab/>
              <w:t>57,60</w:t>
            </w:r>
          </w:p>
        </w:tc>
        <w:tc>
          <w:tcPr>
            <w:tcW w:w="824" w:type="pct"/>
            <w:shd w:val="clear" w:color="auto" w:fill="E7E6E6" w:themeFill="background2"/>
          </w:tcPr>
          <w:p w14:paraId="1BD109DD" w14:textId="77777777" w:rsidR="00346BE3" w:rsidRPr="00C23A32" w:rsidRDefault="00346BE3" w:rsidP="00437131">
            <w:pPr>
              <w:jc w:val="right"/>
              <w:cnfStyle w:val="010000000000" w:firstRow="0" w:lastRow="1" w:firstColumn="0" w:lastColumn="0" w:oddVBand="0" w:evenVBand="0" w:oddHBand="0" w:evenHBand="0" w:firstRowFirstColumn="0" w:firstRowLastColumn="0" w:lastRowFirstColumn="0" w:lastRowLastColumn="0"/>
              <w:rPr>
                <w:rFonts w:ascii="Cambria" w:hAnsi="Cambria"/>
                <w:bCs w:val="0"/>
                <w:sz w:val="20"/>
                <w:szCs w:val="20"/>
                <w:lang w:val="en-GB"/>
              </w:rPr>
            </w:pPr>
            <w:r w:rsidRPr="00C23A32">
              <w:rPr>
                <w:rFonts w:ascii="Cambria" w:hAnsi="Cambria"/>
                <w:sz w:val="20"/>
                <w:szCs w:val="20"/>
              </w:rPr>
              <w:t>60,97</w:t>
            </w:r>
          </w:p>
        </w:tc>
        <w:tc>
          <w:tcPr>
            <w:tcW w:w="773" w:type="pct"/>
            <w:shd w:val="clear" w:color="auto" w:fill="E7E6E6" w:themeFill="background2"/>
          </w:tcPr>
          <w:p w14:paraId="3D741184" w14:textId="77777777" w:rsidR="00346BE3" w:rsidRPr="00C23A32" w:rsidRDefault="00346BE3" w:rsidP="00437131">
            <w:pPr>
              <w:jc w:val="right"/>
              <w:cnfStyle w:val="010000000000" w:firstRow="0" w:lastRow="1" w:firstColumn="0" w:lastColumn="0" w:oddVBand="0" w:evenVBand="0" w:oddHBand="0" w:evenHBand="0" w:firstRowFirstColumn="0" w:firstRowLastColumn="0" w:lastRowFirstColumn="0" w:lastRowLastColumn="0"/>
              <w:rPr>
                <w:rFonts w:ascii="Cambria" w:hAnsi="Cambria"/>
                <w:bCs w:val="0"/>
                <w:sz w:val="20"/>
                <w:szCs w:val="20"/>
                <w:lang w:val="en-GB"/>
              </w:rPr>
            </w:pPr>
            <w:r w:rsidRPr="00C23A32">
              <w:rPr>
                <w:rFonts w:ascii="Cambria" w:hAnsi="Cambria"/>
                <w:sz w:val="20"/>
                <w:szCs w:val="20"/>
              </w:rPr>
              <w:t>64,45</w:t>
            </w:r>
          </w:p>
        </w:tc>
        <w:tc>
          <w:tcPr>
            <w:cnfStyle w:val="000100000000" w:firstRow="0" w:lastRow="0" w:firstColumn="0" w:lastColumn="1" w:oddVBand="0" w:evenVBand="0" w:oddHBand="0" w:evenHBand="0" w:firstRowFirstColumn="0" w:firstRowLastColumn="0" w:lastRowFirstColumn="0" w:lastRowLastColumn="0"/>
            <w:tcW w:w="710" w:type="pct"/>
            <w:shd w:val="clear" w:color="auto" w:fill="E7E6E6" w:themeFill="background2"/>
          </w:tcPr>
          <w:p w14:paraId="28D0D191" w14:textId="77777777" w:rsidR="00346BE3" w:rsidRPr="00C23A32" w:rsidRDefault="00346BE3" w:rsidP="00437131">
            <w:pPr>
              <w:jc w:val="right"/>
              <w:rPr>
                <w:rFonts w:ascii="Cambria" w:hAnsi="Cambria"/>
                <w:bCs w:val="0"/>
                <w:sz w:val="20"/>
                <w:szCs w:val="20"/>
                <w:lang w:val="en-GB"/>
              </w:rPr>
            </w:pPr>
            <w:r w:rsidRPr="00C23A32">
              <w:rPr>
                <w:rFonts w:ascii="Cambria" w:hAnsi="Cambria"/>
                <w:sz w:val="20"/>
                <w:szCs w:val="20"/>
              </w:rPr>
              <w:t>67,22</w:t>
            </w:r>
          </w:p>
        </w:tc>
      </w:tr>
    </w:tbl>
    <w:p w14:paraId="3B151737" w14:textId="77777777" w:rsidR="00346BE3" w:rsidRPr="00C23A32" w:rsidRDefault="00346BE3" w:rsidP="00346BE3">
      <w:pPr>
        <w:rPr>
          <w:u w:val="single"/>
          <w:lang w:val="sr-Latn-ME"/>
        </w:rPr>
      </w:pPr>
      <w:r w:rsidRPr="00C23A32">
        <w:rPr>
          <w:noProof/>
          <w:lang w:val="en-GB" w:eastAsia="en-GB"/>
        </w:rPr>
        <w:drawing>
          <wp:inline distT="0" distB="0" distL="0" distR="0" wp14:anchorId="12E3FA83" wp14:editId="4F0E3A9F">
            <wp:extent cx="5943600" cy="2867025"/>
            <wp:effectExtent l="0" t="0" r="0" b="0"/>
            <wp:docPr id="24" name="Chart 24">
              <a:extLst xmlns:a="http://schemas.openxmlformats.org/drawingml/2006/main">
                <a:ext uri="{FF2B5EF4-FFF2-40B4-BE49-F238E27FC236}">
                  <a16:creationId xmlns:a16="http://schemas.microsoft.com/office/drawing/2014/main" id="{00000000-0008-0000-08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3287538" w14:textId="77777777" w:rsidR="00346BE3" w:rsidRPr="00437131" w:rsidRDefault="00346BE3" w:rsidP="00346BE3">
      <w:pPr>
        <w:pStyle w:val="Heading3"/>
        <w:rPr>
          <w:b/>
          <w:sz w:val="22"/>
          <w:szCs w:val="22"/>
          <w:lang w:val="sr-Latn-ME"/>
        </w:rPr>
      </w:pPr>
      <w:r w:rsidRPr="00437131">
        <w:rPr>
          <w:b/>
          <w:sz w:val="22"/>
          <w:szCs w:val="22"/>
          <w:lang w:val="sr-Latn-ME"/>
        </w:rPr>
        <w:t xml:space="preserve">Kretanje državnih garancija do 30. septembra 2024. godine </w:t>
      </w:r>
    </w:p>
    <w:p w14:paraId="3225AFD3" w14:textId="77777777" w:rsidR="00346BE3" w:rsidRPr="00437131" w:rsidRDefault="00346BE3" w:rsidP="00437131">
      <w:pPr>
        <w:jc w:val="both"/>
        <w:rPr>
          <w:sz w:val="24"/>
          <w:szCs w:val="24"/>
          <w:lang w:val="sr-Latn-ME"/>
        </w:rPr>
      </w:pPr>
      <w:r w:rsidRPr="00437131">
        <w:rPr>
          <w:sz w:val="24"/>
          <w:szCs w:val="24"/>
          <w:lang w:val="sr-Latn-ME"/>
        </w:rPr>
        <w:t>Ugovoreni  iznos  izdatih  državnih garancija na kraju trećeg kvartala 2024. godine iznosi oko 583,1 miliona  eura. Stanje  duga  na  kraju  septembra 2024.  godine,  po osnovu garancija  izdatih  domaćim i ino kreditorima  iznosi  135,5  miliona  eura, što predstavlja 1,8% BDP-a.</w:t>
      </w:r>
    </w:p>
    <w:p w14:paraId="6AD6FA41" w14:textId="77777777" w:rsidR="00346BE3" w:rsidRPr="00437131" w:rsidRDefault="00346BE3" w:rsidP="00437131">
      <w:pPr>
        <w:jc w:val="both"/>
        <w:rPr>
          <w:sz w:val="24"/>
          <w:szCs w:val="24"/>
          <w:lang w:val="sr-Latn-ME"/>
        </w:rPr>
      </w:pPr>
      <w:r w:rsidRPr="00437131">
        <w:rPr>
          <w:sz w:val="24"/>
          <w:szCs w:val="24"/>
          <w:lang w:val="sr-Latn-ME"/>
        </w:rPr>
        <w:lastRenderedPageBreak/>
        <w:t xml:space="preserve">Izdate garancije najvećim dijelom se odnose na kredite kojima su realizovani različiti infrastrukturni projekti za puteve, željeznice, vodovod i kanalizaciju, električnu energiju, obezbjeđenje podrške razvoju malih i srednjih preduzeća ili restrukturiranje. </w:t>
      </w:r>
    </w:p>
    <w:p w14:paraId="544B9030" w14:textId="77777777" w:rsidR="00346BE3" w:rsidRPr="00437131" w:rsidRDefault="00346BE3" w:rsidP="00437131">
      <w:pPr>
        <w:jc w:val="both"/>
        <w:rPr>
          <w:sz w:val="24"/>
          <w:szCs w:val="24"/>
          <w:lang w:val="sr-Latn-ME"/>
        </w:rPr>
      </w:pPr>
      <w:r w:rsidRPr="00437131">
        <w:rPr>
          <w:sz w:val="24"/>
          <w:szCs w:val="24"/>
          <w:lang w:val="sr-Latn-ME"/>
        </w:rPr>
        <w:t>Stanje duga po osnovu državnih garancija, izdatih inostranim kreditorima iznosi 117,6 miliona eura ili 1,6% BDP-a, dok stanje duga po osnovu garancija izdatih domaćim kreditorima iznosi 17,9 miliona eura ili 0,2% BDP-a.</w:t>
      </w:r>
    </w:p>
    <w:p w14:paraId="71E775F3" w14:textId="77777777" w:rsidR="00346BE3" w:rsidRDefault="00346BE3" w:rsidP="00346BE3">
      <w:pPr>
        <w:rPr>
          <w:rFonts w:ascii="Cambria" w:eastAsia="Calibri" w:hAnsi="Cambria"/>
          <w:lang w:val="sr-Latn-ME"/>
        </w:rPr>
      </w:pPr>
      <w:r w:rsidRPr="00C23A32">
        <w:rPr>
          <w:rFonts w:ascii="Cambria" w:hAnsi="Cambria"/>
          <w:noProof/>
          <w:shd w:val="clear" w:color="auto" w:fill="FFE599" w:themeFill="accent4" w:themeFillTint="66"/>
          <w:lang w:val="en-GB" w:eastAsia="en-GB"/>
        </w:rPr>
        <w:drawing>
          <wp:inline distT="0" distB="0" distL="0" distR="0" wp14:anchorId="6FEBC717" wp14:editId="4341BBAF">
            <wp:extent cx="5000625" cy="2743200"/>
            <wp:effectExtent l="0" t="0" r="0" b="0"/>
            <wp:docPr id="25" name="Chart 25">
              <a:extLst xmlns:a="http://schemas.openxmlformats.org/drawingml/2006/main">
                <a:ext uri="{FF2B5EF4-FFF2-40B4-BE49-F238E27FC236}">
                  <a16:creationId xmlns:a16="http://schemas.microsoft.com/office/drawing/2014/main" id="{14CB009A-2545-450B-B79D-7C3D499840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bookmarkStart w:id="74" w:name="_Hlk148606425"/>
    </w:p>
    <w:p w14:paraId="57A4D66C" w14:textId="77777777" w:rsidR="00346BE3" w:rsidRPr="00437131" w:rsidRDefault="00346BE3" w:rsidP="00346BE3">
      <w:pPr>
        <w:rPr>
          <w:sz w:val="24"/>
          <w:szCs w:val="24"/>
          <w:lang w:val="sr-Latn-ME"/>
        </w:rPr>
      </w:pPr>
      <w:r w:rsidRPr="00437131">
        <w:rPr>
          <w:sz w:val="24"/>
          <w:szCs w:val="24"/>
          <w:lang w:val="sr-Latn-ME"/>
        </w:rPr>
        <w:t xml:space="preserve">Tokom 2024. godine država je izdala 3 državne garancije u ukupnom iznosu od: </w:t>
      </w:r>
    </w:p>
    <w:p w14:paraId="69C2E3D8" w14:textId="77777777" w:rsidR="00346BE3" w:rsidRPr="00437131" w:rsidRDefault="00346BE3" w:rsidP="00346BE3">
      <w:pPr>
        <w:pStyle w:val="ListParagraph"/>
        <w:numPr>
          <w:ilvl w:val="0"/>
          <w:numId w:val="13"/>
        </w:numPr>
        <w:jc w:val="both"/>
        <w:rPr>
          <w:sz w:val="24"/>
          <w:szCs w:val="24"/>
          <w:lang w:val="sr-Latn-ME"/>
        </w:rPr>
      </w:pPr>
      <w:bookmarkStart w:id="75" w:name="_Hlk172551930"/>
      <w:r w:rsidRPr="00437131">
        <w:rPr>
          <w:sz w:val="24"/>
          <w:szCs w:val="24"/>
          <w:lang w:val="sr-Latn-ME"/>
        </w:rPr>
        <w:t xml:space="preserve">Ugovor o garanciji za kreditni aranžman između Željezničkog prevoza Crne Gore A.D. Podgorica (ŽPCG) i Evropske banke za obnovu i razvoj (EBRD), za </w:t>
      </w:r>
      <w:r w:rsidRPr="00437131">
        <w:rPr>
          <w:b/>
          <w:color w:val="2F5496" w:themeColor="accent1" w:themeShade="BF"/>
          <w:sz w:val="24"/>
          <w:szCs w:val="24"/>
          <w:lang w:val="sr-Latn-ME"/>
        </w:rPr>
        <w:t>Projekat finansiranja nabavke novih vozova koji bi se koristili u lokalnom prevozu putnika</w:t>
      </w:r>
      <w:r w:rsidRPr="00437131">
        <w:rPr>
          <w:sz w:val="24"/>
          <w:szCs w:val="24"/>
          <w:lang w:val="sr-Latn-ME"/>
        </w:rPr>
        <w:t>.</w:t>
      </w:r>
      <w:r w:rsidRPr="00437131">
        <w:rPr>
          <w:sz w:val="24"/>
          <w:szCs w:val="24"/>
        </w:rPr>
        <w:t xml:space="preserve"> </w:t>
      </w:r>
      <w:r w:rsidRPr="00437131">
        <w:rPr>
          <w:sz w:val="24"/>
          <w:szCs w:val="24"/>
          <w:lang w:val="sr-Latn-ME"/>
        </w:rPr>
        <w:t xml:space="preserve">Ugovorena vrijednost kredita iznosi 30 miliona eura. </w:t>
      </w:r>
    </w:p>
    <w:p w14:paraId="74ABC3E9" w14:textId="77777777" w:rsidR="00346BE3" w:rsidRPr="00437131" w:rsidRDefault="00346BE3" w:rsidP="00346BE3">
      <w:pPr>
        <w:pStyle w:val="ListParagraph"/>
        <w:numPr>
          <w:ilvl w:val="0"/>
          <w:numId w:val="13"/>
        </w:numPr>
        <w:jc w:val="both"/>
        <w:rPr>
          <w:sz w:val="24"/>
          <w:szCs w:val="24"/>
          <w:lang w:val="sr-Latn-ME"/>
        </w:rPr>
      </w:pPr>
      <w:r w:rsidRPr="00437131">
        <w:rPr>
          <w:sz w:val="24"/>
          <w:szCs w:val="24"/>
          <w:lang w:val="sr-Latn-ME"/>
        </w:rPr>
        <w:t xml:space="preserve">Ugovor o garanciji za kreditni aranžman između Montecargo AD Podgorica i Crnogorske komercijalne banke a.d. Podgorica, za </w:t>
      </w:r>
      <w:r w:rsidRPr="00437131">
        <w:rPr>
          <w:b/>
          <w:color w:val="2F5496" w:themeColor="accent1" w:themeShade="BF"/>
          <w:sz w:val="24"/>
          <w:szCs w:val="24"/>
          <w:lang w:val="sr-Latn-ME"/>
        </w:rPr>
        <w:t>Projekat finansiranja investicionih popravki voznih sredstava (lokomotiva i vagona)</w:t>
      </w:r>
      <w:r w:rsidRPr="00437131">
        <w:rPr>
          <w:sz w:val="24"/>
          <w:szCs w:val="24"/>
          <w:lang w:val="sr-Latn-ME"/>
        </w:rPr>
        <w:t>. Riječ je o kreditu u vrijednosti od 3,00 miliona eura, sa periodom otplate od 72 mjeseca i fiksnom kamatnom stopom od 5,5% godišnje.</w:t>
      </w:r>
      <w:r w:rsidRPr="00437131">
        <w:rPr>
          <w:sz w:val="24"/>
          <w:szCs w:val="24"/>
        </w:rPr>
        <w:t xml:space="preserve"> </w:t>
      </w:r>
      <w:r w:rsidRPr="00437131">
        <w:rPr>
          <w:sz w:val="24"/>
          <w:szCs w:val="24"/>
          <w:lang w:val="sr-Latn-ME"/>
        </w:rPr>
        <w:t>Državna garancija je izdata na 80% iznosa kreditnog zaduženja</w:t>
      </w:r>
      <w:bookmarkEnd w:id="75"/>
      <w:r w:rsidRPr="00437131">
        <w:rPr>
          <w:sz w:val="24"/>
          <w:szCs w:val="24"/>
          <w:lang w:val="sr-Latn-ME"/>
        </w:rPr>
        <w:t>.</w:t>
      </w:r>
    </w:p>
    <w:p w14:paraId="7C87B7CE" w14:textId="77777777" w:rsidR="00346BE3" w:rsidRPr="00437131" w:rsidRDefault="00346BE3" w:rsidP="00346BE3">
      <w:pPr>
        <w:pStyle w:val="ListParagraph"/>
        <w:numPr>
          <w:ilvl w:val="0"/>
          <w:numId w:val="13"/>
        </w:numPr>
        <w:jc w:val="both"/>
        <w:rPr>
          <w:rFonts w:eastAsia="Calibri"/>
          <w:sz w:val="24"/>
          <w:szCs w:val="24"/>
          <w:u w:val="single"/>
        </w:rPr>
      </w:pPr>
      <w:r w:rsidRPr="00437131">
        <w:rPr>
          <w:sz w:val="24"/>
          <w:szCs w:val="24"/>
        </w:rPr>
        <w:t xml:space="preserve">Ugovor o garanciji za kreditni aranžman između Crnogorskog elektroprenosnog sistema AD Podgorica (CGES) i EBRD, a za </w:t>
      </w:r>
      <w:r w:rsidRPr="00437131">
        <w:rPr>
          <w:b/>
          <w:color w:val="2F5496" w:themeColor="accent1" w:themeShade="BF"/>
          <w:sz w:val="24"/>
          <w:szCs w:val="24"/>
          <w:lang w:val="sr-Latn-ME"/>
        </w:rPr>
        <w:t>potrebe finansiranja izgradnje 400/110 kV TS Brezna, u iznosu do 30 miliona eura.</w:t>
      </w:r>
      <w:r w:rsidRPr="00437131">
        <w:rPr>
          <w:b/>
          <w:sz w:val="24"/>
          <w:szCs w:val="24"/>
        </w:rPr>
        <w:t xml:space="preserve"> </w:t>
      </w:r>
      <w:bookmarkEnd w:id="74"/>
    </w:p>
    <w:p w14:paraId="7DA344E8" w14:textId="65B6A0B0" w:rsidR="00346BE3" w:rsidRPr="00437131" w:rsidRDefault="00346BE3" w:rsidP="00346BE3">
      <w:pPr>
        <w:pStyle w:val="Heading3"/>
        <w:rPr>
          <w:b/>
        </w:rPr>
      </w:pPr>
      <w:r w:rsidRPr="00437131">
        <w:rPr>
          <w:b/>
        </w:rPr>
        <w:t xml:space="preserve">Kreditni rejting </w:t>
      </w:r>
      <w:r w:rsidR="00437131" w:rsidRPr="00437131">
        <w:rPr>
          <w:b/>
        </w:rPr>
        <w:t>Crne Gore</w:t>
      </w:r>
    </w:p>
    <w:p w14:paraId="11E2B54C" w14:textId="77777777" w:rsidR="00437131" w:rsidRPr="00437131" w:rsidRDefault="00437131" w:rsidP="00346BE3">
      <w:pPr>
        <w:jc w:val="both"/>
        <w:rPr>
          <w:sz w:val="24"/>
          <w:szCs w:val="24"/>
          <w:lang w:val="hr-HR"/>
        </w:rPr>
      </w:pPr>
    </w:p>
    <w:p w14:paraId="7B9767D9" w14:textId="0F60DBF3" w:rsidR="00346BE3" w:rsidRPr="00437131" w:rsidRDefault="00346BE3" w:rsidP="00346BE3">
      <w:pPr>
        <w:jc w:val="both"/>
        <w:rPr>
          <w:sz w:val="24"/>
          <w:szCs w:val="24"/>
          <w:lang w:val="hr-HR"/>
        </w:rPr>
      </w:pPr>
      <w:r w:rsidRPr="00437131">
        <w:rPr>
          <w:sz w:val="24"/>
          <w:szCs w:val="24"/>
          <w:lang w:val="hr-HR"/>
        </w:rPr>
        <w:lastRenderedPageBreak/>
        <w:t>U toku 2024. godine kreditni rejting Crne Gore je poboljšan od strane agencija za ocjenu kreditnog rejtinga Standard and Poor's (S&amp;P) i Moody's.</w:t>
      </w:r>
    </w:p>
    <w:p w14:paraId="7A77DB80" w14:textId="77777777" w:rsidR="00346BE3" w:rsidRPr="00437131" w:rsidRDefault="00346BE3" w:rsidP="00346BE3">
      <w:pPr>
        <w:jc w:val="both"/>
        <w:rPr>
          <w:sz w:val="24"/>
          <w:szCs w:val="24"/>
          <w:lang w:val="hr-HR"/>
        </w:rPr>
      </w:pPr>
      <w:r w:rsidRPr="00437131">
        <w:rPr>
          <w:sz w:val="24"/>
          <w:szCs w:val="24"/>
          <w:lang w:val="hr-HR"/>
        </w:rPr>
        <w:t>Naime, agencija za ocjenu kreditnog rejtinga Standard and Poor's (S&amp;P)</w:t>
      </w:r>
      <w:r w:rsidRPr="00437131">
        <w:rPr>
          <w:sz w:val="24"/>
          <w:szCs w:val="24"/>
        </w:rPr>
        <w:t xml:space="preserve"> </w:t>
      </w:r>
      <w:r w:rsidRPr="00437131">
        <w:rPr>
          <w:sz w:val="24"/>
          <w:szCs w:val="24"/>
          <w:lang w:val="hr-HR"/>
        </w:rPr>
        <w:t>je u ovoj godini dva puta pozitivno ocijenila kreditni rejting Crne Gore i to, u martu ove godine, poboljšavajući izgled B kreditnog rejtinga iz stabilnog u pozitivan, i u avgustu 2024. godine kada je povećan kreditni rejting Crne Gore iz B u B+ sa stabilnim izgledima.</w:t>
      </w:r>
    </w:p>
    <w:p w14:paraId="632CBE73" w14:textId="77777777" w:rsidR="00346BE3" w:rsidRPr="00437131" w:rsidRDefault="00346BE3" w:rsidP="00346BE3">
      <w:pPr>
        <w:jc w:val="both"/>
        <w:rPr>
          <w:sz w:val="24"/>
          <w:szCs w:val="24"/>
          <w:lang w:val="hr-HR"/>
        </w:rPr>
      </w:pPr>
      <w:r w:rsidRPr="00437131">
        <w:rPr>
          <w:sz w:val="24"/>
          <w:szCs w:val="24"/>
          <w:lang w:val="hr-HR"/>
        </w:rPr>
        <w:t>Povećanje kreditnog rejtinga Crne Gore predstavlja svojevrsnu potvrdu uspješnosti ekonomske politike Vlade Crne Gore, odnosno snažan pokazatelj stabilnosti i napretka koji je Crna Gora ostvarila.</w:t>
      </w:r>
    </w:p>
    <w:p w14:paraId="2E5F5F71" w14:textId="77777777" w:rsidR="00346BE3" w:rsidRPr="00437131" w:rsidRDefault="00346BE3" w:rsidP="00346BE3">
      <w:pPr>
        <w:jc w:val="both"/>
        <w:rPr>
          <w:sz w:val="24"/>
          <w:szCs w:val="24"/>
          <w:lang w:val="hr-HR"/>
        </w:rPr>
      </w:pPr>
      <w:r w:rsidRPr="00437131">
        <w:rPr>
          <w:sz w:val="24"/>
          <w:szCs w:val="24"/>
          <w:lang w:val="hr-HR"/>
        </w:rPr>
        <w:t>Pored S&amp;P-a, u septembru ove godine, i agencija za kreditni rejting Moody's, po prvi put, nakon 2013. godine, povećala je kreditni rejting Crne Gore sa „B1“ na „Ba3“, uz stabilne izglede, čime je potvrdila da Crna Gora poboljšava svoje ekonomske parametre, da ima makroekonomsku stabilnost i da šalje pozitivne signale i sigurnost postojećim i potencijalnim investitorima.</w:t>
      </w:r>
    </w:p>
    <w:p w14:paraId="4F54D83D" w14:textId="7A342560" w:rsidR="00E05341" w:rsidRDefault="00E05341" w:rsidP="00E05341">
      <w:pPr>
        <w:pStyle w:val="Heading2"/>
        <w:rPr>
          <w:rFonts w:asciiTheme="minorHAnsi" w:hAnsiTheme="minorHAnsi" w:cstheme="minorHAnsi"/>
          <w:b/>
          <w:sz w:val="24"/>
          <w:szCs w:val="24"/>
          <w:lang w:val="sr-Latn-ME"/>
        </w:rPr>
      </w:pPr>
      <w:bookmarkStart w:id="76" w:name="_Toc121347501"/>
      <w:bookmarkStart w:id="77" w:name="_Toc184111650"/>
      <w:bookmarkEnd w:id="71"/>
      <w:r w:rsidRPr="00C76B7B">
        <w:rPr>
          <w:rFonts w:asciiTheme="minorHAnsi" w:hAnsiTheme="minorHAnsi" w:cstheme="minorHAnsi"/>
          <w:b/>
          <w:sz w:val="24"/>
          <w:szCs w:val="24"/>
          <w:lang w:val="sr-Latn-ME"/>
        </w:rPr>
        <w:t>4.7</w:t>
      </w:r>
      <w:r w:rsidR="002E35FA">
        <w:rPr>
          <w:rFonts w:asciiTheme="minorHAnsi" w:hAnsiTheme="minorHAnsi" w:cstheme="minorHAnsi"/>
          <w:b/>
          <w:sz w:val="24"/>
          <w:szCs w:val="24"/>
          <w:lang w:val="sr-Latn-ME"/>
        </w:rPr>
        <w:t>.</w:t>
      </w:r>
      <w:r w:rsidRPr="00C76B7B">
        <w:rPr>
          <w:rFonts w:asciiTheme="minorHAnsi" w:hAnsiTheme="minorHAnsi" w:cstheme="minorHAnsi"/>
          <w:b/>
          <w:sz w:val="24"/>
          <w:szCs w:val="24"/>
          <w:lang w:val="sr-Latn-ME"/>
        </w:rPr>
        <w:t xml:space="preserve"> Analiza osjetljivosti i poređenje s prethodnim programom</w:t>
      </w:r>
      <w:bookmarkEnd w:id="69"/>
      <w:bookmarkEnd w:id="76"/>
      <w:bookmarkEnd w:id="77"/>
    </w:p>
    <w:p w14:paraId="4CEA579E" w14:textId="3D8AC159" w:rsidR="00E05341" w:rsidRPr="00C76B7B" w:rsidRDefault="00E05341" w:rsidP="00E05341">
      <w:pPr>
        <w:pStyle w:val="Heading2"/>
        <w:spacing w:after="200"/>
        <w:rPr>
          <w:rFonts w:asciiTheme="minorHAnsi" w:hAnsiTheme="minorHAnsi" w:cstheme="minorHAnsi"/>
          <w:b/>
          <w:sz w:val="24"/>
          <w:szCs w:val="24"/>
          <w:lang w:val="sr-Latn-ME"/>
        </w:rPr>
      </w:pPr>
      <w:bookmarkStart w:id="78" w:name="_Toc500763427"/>
      <w:bookmarkStart w:id="79" w:name="_Toc88031665"/>
      <w:bookmarkStart w:id="80" w:name="_Toc184111651"/>
      <w:r w:rsidRPr="00C76B7B">
        <w:rPr>
          <w:rFonts w:asciiTheme="minorHAnsi" w:hAnsiTheme="minorHAnsi" w:cstheme="minorHAnsi"/>
          <w:b/>
          <w:sz w:val="24"/>
          <w:szCs w:val="24"/>
          <w:lang w:val="sr-Latn-ME"/>
        </w:rPr>
        <w:t>4.7.1</w:t>
      </w:r>
      <w:r w:rsidR="002E35FA">
        <w:rPr>
          <w:rFonts w:asciiTheme="minorHAnsi" w:hAnsiTheme="minorHAnsi" w:cstheme="minorHAnsi"/>
          <w:b/>
          <w:sz w:val="24"/>
          <w:szCs w:val="24"/>
          <w:lang w:val="sr-Latn-ME"/>
        </w:rPr>
        <w:t>.</w:t>
      </w:r>
      <w:r w:rsidRPr="00C76B7B">
        <w:rPr>
          <w:rFonts w:asciiTheme="minorHAnsi" w:hAnsiTheme="minorHAnsi" w:cstheme="minorHAnsi"/>
          <w:b/>
          <w:sz w:val="24"/>
          <w:szCs w:val="24"/>
          <w:lang w:val="sr-Latn-ME"/>
        </w:rPr>
        <w:t xml:space="preserve"> Osjetljivost projekcija javnih finansija na alternativne scenarije rizika</w:t>
      </w:r>
      <w:bookmarkEnd w:id="78"/>
      <w:bookmarkEnd w:id="79"/>
      <w:bookmarkEnd w:id="80"/>
    </w:p>
    <w:bookmarkEnd w:id="70"/>
    <w:p w14:paraId="55302289" w14:textId="77777777" w:rsidR="00E05341" w:rsidRPr="00437131" w:rsidRDefault="00E05341" w:rsidP="00346BE3">
      <w:pPr>
        <w:jc w:val="both"/>
        <w:rPr>
          <w:rFonts w:cstheme="minorHAnsi"/>
          <w:sz w:val="24"/>
          <w:szCs w:val="24"/>
          <w:lang w:val="sr-Latn-ME"/>
        </w:rPr>
      </w:pPr>
      <w:r w:rsidRPr="00437131">
        <w:rPr>
          <w:rFonts w:cstheme="minorHAnsi"/>
          <w:sz w:val="24"/>
          <w:szCs w:val="24"/>
          <w:lang w:val="sr-Latn-ME"/>
        </w:rPr>
        <w:t>Planirano ostvarenje makroekonomskih i fiskalnih pokazatelja u srednjem roku zasnovano je na tekućim planovima i politikama, pretpostavkama privrednog ciklusa u EU, uz predviđene mjere reformi kojima će se ostvariti osnovni scenario prognoziranih kretanja. Ipak, usljed izrazito neizvjesnog konteksta domaćeg i eksternog okruženja u kojima se odvija privredna aktivnost, projektovani makro-fiskalni pokazatelji su podložni promjenama usljed potencijalne materijalizacije identifikovanih rizika po makroekonomsku i finansijsku stabilnost.</w:t>
      </w:r>
    </w:p>
    <w:p w14:paraId="48076931" w14:textId="1A04D04D" w:rsidR="00E05341" w:rsidRPr="00437131" w:rsidRDefault="00E05341" w:rsidP="00346BE3">
      <w:pPr>
        <w:jc w:val="both"/>
        <w:rPr>
          <w:sz w:val="24"/>
          <w:szCs w:val="24"/>
        </w:rPr>
      </w:pPr>
      <w:r w:rsidRPr="00437131">
        <w:rPr>
          <w:sz w:val="24"/>
          <w:szCs w:val="24"/>
        </w:rPr>
        <w:t>Ključni rizici koji bi mogli uticati na prospekte rasta i makroekonomsku stabilnost u narednom periodu su dati u nastavku:</w:t>
      </w:r>
      <w:bookmarkStart w:id="81" w:name="_Toc471829374"/>
      <w:bookmarkStart w:id="82" w:name="_Toc472088173"/>
      <w:bookmarkStart w:id="83" w:name="_Toc472088333"/>
      <w:bookmarkStart w:id="84" w:name="_Toc472147465"/>
      <w:bookmarkStart w:id="85" w:name="_Toc500763428"/>
      <w:bookmarkStart w:id="86" w:name="_Toc88031666"/>
    </w:p>
    <w:p w14:paraId="11B6582A" w14:textId="73514214" w:rsidR="00437131" w:rsidRPr="00CA30DF" w:rsidRDefault="00437131" w:rsidP="00437131">
      <w:pPr>
        <w:rPr>
          <w:rFonts w:cstheme="minorHAnsi"/>
          <w:b/>
          <w:color w:val="2F5496" w:themeColor="accent1" w:themeShade="BF"/>
          <w:sz w:val="20"/>
          <w:szCs w:val="20"/>
          <w:lang w:val="sr-Latn-ME"/>
        </w:rPr>
      </w:pPr>
      <w:r w:rsidRPr="00CA30DF">
        <w:rPr>
          <w:rFonts w:cstheme="minorHAnsi"/>
          <w:b/>
          <w:color w:val="2F5496" w:themeColor="accent1" w:themeShade="BF"/>
          <w:sz w:val="20"/>
          <w:szCs w:val="20"/>
          <w:lang w:val="sr-Latn-ME"/>
        </w:rPr>
        <w:t>Tabela</w:t>
      </w:r>
      <w:r>
        <w:rPr>
          <w:rFonts w:cstheme="minorHAnsi"/>
          <w:b/>
          <w:color w:val="2F5496" w:themeColor="accent1" w:themeShade="BF"/>
          <w:sz w:val="20"/>
          <w:szCs w:val="20"/>
          <w:lang w:val="sr-Latn-ME"/>
        </w:rPr>
        <w:t xml:space="preserve"> 4.7.1: </w:t>
      </w:r>
      <w:r w:rsidRPr="00CA30DF">
        <w:rPr>
          <w:rFonts w:cstheme="minorHAnsi"/>
          <w:b/>
          <w:color w:val="2F5496" w:themeColor="accent1" w:themeShade="BF"/>
          <w:sz w:val="20"/>
          <w:szCs w:val="20"/>
          <w:lang w:val="sr-Latn-ME"/>
        </w:rPr>
        <w:t>Pregled fiskalnih rizika u srednjem roku</w:t>
      </w:r>
    </w:p>
    <w:tbl>
      <w:tblPr>
        <w:tblW w:w="5022" w:type="pct"/>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CellMar>
          <w:top w:w="113" w:type="dxa"/>
          <w:bottom w:w="113" w:type="dxa"/>
        </w:tblCellMar>
        <w:tblLook w:val="04A0" w:firstRow="1" w:lastRow="0" w:firstColumn="1" w:lastColumn="0" w:noHBand="0" w:noVBand="1"/>
      </w:tblPr>
      <w:tblGrid>
        <w:gridCol w:w="583"/>
        <w:gridCol w:w="4246"/>
        <w:gridCol w:w="4526"/>
      </w:tblGrid>
      <w:tr w:rsidR="00346BE3" w:rsidRPr="00CA30DF" w14:paraId="68B4DBE5" w14:textId="77777777" w:rsidTr="00437131">
        <w:trPr>
          <w:tblHeader/>
          <w:jc w:val="center"/>
        </w:trPr>
        <w:tc>
          <w:tcPr>
            <w:tcW w:w="583" w:type="dxa"/>
            <w:tcBorders>
              <w:top w:val="single" w:sz="18" w:space="0" w:color="000000" w:themeColor="text1"/>
              <w:bottom w:val="single" w:sz="18" w:space="0" w:color="000000" w:themeColor="text1"/>
              <w:right w:val="single" w:sz="18" w:space="0" w:color="000000" w:themeColor="text1"/>
            </w:tcBorders>
            <w:shd w:val="clear" w:color="auto" w:fill="D9D9D9" w:themeFill="background1" w:themeFillShade="D9"/>
            <w:vAlign w:val="center"/>
          </w:tcPr>
          <w:p w14:paraId="26F0439F" w14:textId="77777777" w:rsidR="00346BE3" w:rsidRPr="00CA30DF" w:rsidRDefault="00346BE3" w:rsidP="00437131">
            <w:pPr>
              <w:spacing w:after="0"/>
              <w:rPr>
                <w:rFonts w:cstheme="minorHAnsi"/>
                <w:sz w:val="18"/>
                <w:szCs w:val="18"/>
                <w:lang w:val="sr-Latn-ME"/>
              </w:rPr>
            </w:pPr>
            <w:r w:rsidRPr="00CA30DF">
              <w:rPr>
                <w:rFonts w:cstheme="minorHAnsi"/>
                <w:sz w:val="18"/>
                <w:szCs w:val="18"/>
                <w:lang w:val="sr-Latn-ME"/>
              </w:rPr>
              <w:t>RIZIK</w:t>
            </w:r>
          </w:p>
        </w:tc>
        <w:tc>
          <w:tcPr>
            <w:tcW w:w="4246" w:type="dxa"/>
            <w:tcBorders>
              <w:top w:val="single" w:sz="18" w:space="0" w:color="000000" w:themeColor="text1"/>
              <w:left w:val="single" w:sz="18" w:space="0" w:color="000000" w:themeColor="text1"/>
              <w:bottom w:val="single" w:sz="18" w:space="0" w:color="000000" w:themeColor="text1"/>
            </w:tcBorders>
            <w:shd w:val="clear" w:color="auto" w:fill="D9D9D9" w:themeFill="background1" w:themeFillShade="D9"/>
            <w:vAlign w:val="center"/>
          </w:tcPr>
          <w:p w14:paraId="6A5EE3A1" w14:textId="77777777" w:rsidR="00346BE3" w:rsidRPr="00CA30DF" w:rsidRDefault="00346BE3" w:rsidP="00437131">
            <w:pPr>
              <w:spacing w:after="0"/>
              <w:jc w:val="center"/>
              <w:rPr>
                <w:rFonts w:cstheme="minorHAnsi"/>
                <w:sz w:val="18"/>
                <w:szCs w:val="18"/>
                <w:lang w:val="sr-Latn-ME"/>
              </w:rPr>
            </w:pPr>
            <w:r w:rsidRPr="00CA30DF">
              <w:rPr>
                <w:rFonts w:cstheme="minorHAnsi"/>
                <w:sz w:val="18"/>
                <w:szCs w:val="18"/>
                <w:lang w:val="sr-Latn-ME"/>
              </w:rPr>
              <w:t>POZITIVNI</w:t>
            </w:r>
          </w:p>
        </w:tc>
        <w:tc>
          <w:tcPr>
            <w:tcW w:w="4526" w:type="dxa"/>
            <w:tcBorders>
              <w:top w:val="single" w:sz="18" w:space="0" w:color="000000" w:themeColor="text1"/>
              <w:bottom w:val="single" w:sz="18" w:space="0" w:color="000000" w:themeColor="text1"/>
            </w:tcBorders>
            <w:shd w:val="clear" w:color="auto" w:fill="D9D9D9" w:themeFill="background1" w:themeFillShade="D9"/>
            <w:vAlign w:val="center"/>
          </w:tcPr>
          <w:p w14:paraId="554F9285" w14:textId="77777777" w:rsidR="00346BE3" w:rsidRPr="00CA30DF" w:rsidRDefault="00346BE3" w:rsidP="00437131">
            <w:pPr>
              <w:spacing w:after="0"/>
              <w:jc w:val="center"/>
              <w:rPr>
                <w:rFonts w:cstheme="minorHAnsi"/>
                <w:sz w:val="18"/>
                <w:szCs w:val="18"/>
                <w:lang w:val="sr-Latn-ME"/>
              </w:rPr>
            </w:pPr>
            <w:r w:rsidRPr="00CA30DF">
              <w:rPr>
                <w:rFonts w:cstheme="minorHAnsi"/>
                <w:sz w:val="18"/>
                <w:szCs w:val="18"/>
                <w:lang w:val="sr-Latn-ME"/>
              </w:rPr>
              <w:t>NEGATIVNI</w:t>
            </w:r>
          </w:p>
        </w:tc>
      </w:tr>
      <w:tr w:rsidR="00346BE3" w:rsidRPr="00CA30DF" w14:paraId="53323731" w14:textId="77777777" w:rsidTr="00437131">
        <w:trPr>
          <w:jc w:val="center"/>
        </w:trPr>
        <w:tc>
          <w:tcPr>
            <w:tcW w:w="583" w:type="dxa"/>
            <w:tcBorders>
              <w:top w:val="single" w:sz="18" w:space="0" w:color="000000" w:themeColor="text1"/>
              <w:bottom w:val="single" w:sz="2" w:space="0" w:color="000000" w:themeColor="text1"/>
              <w:right w:val="single" w:sz="18" w:space="0" w:color="000000" w:themeColor="text1"/>
            </w:tcBorders>
            <w:shd w:val="clear" w:color="auto" w:fill="D9D9D9" w:themeFill="background1" w:themeFillShade="D9"/>
            <w:textDirection w:val="btLr"/>
          </w:tcPr>
          <w:p w14:paraId="7D64C963" w14:textId="77777777" w:rsidR="00346BE3" w:rsidRPr="00CA30DF" w:rsidRDefault="00346BE3" w:rsidP="00437131">
            <w:pPr>
              <w:spacing w:after="0"/>
              <w:jc w:val="center"/>
              <w:rPr>
                <w:rFonts w:cstheme="minorHAnsi"/>
                <w:sz w:val="18"/>
                <w:szCs w:val="18"/>
                <w:lang w:val="sr-Latn-ME"/>
              </w:rPr>
            </w:pPr>
            <w:r w:rsidRPr="00CA30DF">
              <w:rPr>
                <w:rFonts w:cstheme="minorHAnsi"/>
                <w:sz w:val="18"/>
                <w:szCs w:val="18"/>
                <w:lang w:val="sr-Latn-ME"/>
              </w:rPr>
              <w:t>Politički</w:t>
            </w:r>
          </w:p>
        </w:tc>
        <w:tc>
          <w:tcPr>
            <w:tcW w:w="4246" w:type="dxa"/>
            <w:tcBorders>
              <w:top w:val="single" w:sz="18" w:space="0" w:color="000000" w:themeColor="text1"/>
              <w:left w:val="single" w:sz="18" w:space="0" w:color="000000" w:themeColor="text1"/>
              <w:bottom w:val="single" w:sz="2" w:space="0" w:color="000000" w:themeColor="text1"/>
            </w:tcBorders>
            <w:vAlign w:val="center"/>
          </w:tcPr>
          <w:p w14:paraId="1E8EDC12" w14:textId="77777777" w:rsidR="00346BE3" w:rsidRPr="0073052D" w:rsidRDefault="00346BE3" w:rsidP="00346BE3">
            <w:pPr>
              <w:pStyle w:val="ListParagraph"/>
              <w:numPr>
                <w:ilvl w:val="0"/>
                <w:numId w:val="14"/>
              </w:numPr>
              <w:spacing w:after="0"/>
              <w:contextualSpacing w:val="0"/>
              <w:jc w:val="both"/>
              <w:rPr>
                <w:rFonts w:cstheme="minorHAnsi"/>
                <w:sz w:val="18"/>
                <w:szCs w:val="18"/>
                <w:lang w:val="sr-Latn-ME"/>
              </w:rPr>
            </w:pPr>
            <w:r w:rsidRPr="0073052D">
              <w:rPr>
                <w:rFonts w:cstheme="minorHAnsi"/>
                <w:sz w:val="18"/>
                <w:szCs w:val="18"/>
                <w:lang w:val="sr-Latn-ME"/>
              </w:rPr>
              <w:t xml:space="preserve">Dobijanjem Izvještaja o ocjeni ispunjenosti privremenih mjerila za pregovaračka poglavlja 23 i 24 (IBAR) stvaraju se preduslovi za ubrzavanje procesa pristupanja Crne Gore Evropskoj uniji te smaim tim i dobijanje finansijske pomoći EU Crnoj Gori i korišćenje strukturnih fondova EU, čime se osnažuje ekonomija zemlje i ubrzava implementacija strukturnih reformi, </w:t>
            </w:r>
            <w:r w:rsidRPr="00CA30DF">
              <w:rPr>
                <w:rFonts w:cstheme="minorHAnsi"/>
                <w:sz w:val="18"/>
                <w:szCs w:val="18"/>
                <w:lang w:val="sr-Latn-ME"/>
              </w:rPr>
              <w:t>utiče na rast povjerenja investitora;</w:t>
            </w:r>
          </w:p>
        </w:tc>
        <w:tc>
          <w:tcPr>
            <w:tcW w:w="4526" w:type="dxa"/>
            <w:tcBorders>
              <w:top w:val="single" w:sz="18" w:space="0" w:color="000000" w:themeColor="text1"/>
              <w:bottom w:val="single" w:sz="2" w:space="0" w:color="000000" w:themeColor="text1"/>
            </w:tcBorders>
            <w:vAlign w:val="center"/>
          </w:tcPr>
          <w:p w14:paraId="699D50D0" w14:textId="77777777" w:rsidR="00346BE3" w:rsidRPr="0073052D" w:rsidRDefault="00346BE3" w:rsidP="00346BE3">
            <w:pPr>
              <w:pStyle w:val="ListParagraph"/>
              <w:numPr>
                <w:ilvl w:val="0"/>
                <w:numId w:val="14"/>
              </w:numPr>
              <w:spacing w:after="0"/>
              <w:contextualSpacing w:val="0"/>
              <w:jc w:val="both"/>
              <w:rPr>
                <w:rFonts w:cstheme="minorHAnsi"/>
                <w:sz w:val="18"/>
                <w:szCs w:val="18"/>
                <w:lang w:val="sr-Latn-ME"/>
              </w:rPr>
            </w:pPr>
            <w:r w:rsidRPr="00CA30DF">
              <w:rPr>
                <w:rFonts w:cstheme="minorHAnsi"/>
                <w:sz w:val="18"/>
                <w:szCs w:val="18"/>
                <w:lang w:val="sr-Latn-ME"/>
              </w:rPr>
              <w:t>Geopolitički rizici na globalnom nivou mogu negativno uticati na cjelokupnu svjetsku, a posljedično, na crnogorsku ekonomiju;</w:t>
            </w:r>
          </w:p>
        </w:tc>
      </w:tr>
      <w:tr w:rsidR="00346BE3" w:rsidRPr="00CA30DF" w14:paraId="510603CF" w14:textId="77777777" w:rsidTr="00437131">
        <w:trPr>
          <w:jc w:val="center"/>
        </w:trPr>
        <w:tc>
          <w:tcPr>
            <w:tcW w:w="583" w:type="dxa"/>
            <w:tcBorders>
              <w:top w:val="single" w:sz="2" w:space="0" w:color="000000" w:themeColor="text1"/>
              <w:bottom w:val="single" w:sz="18" w:space="0" w:color="000000" w:themeColor="text1"/>
              <w:right w:val="single" w:sz="18" w:space="0" w:color="000000" w:themeColor="text1"/>
            </w:tcBorders>
            <w:shd w:val="clear" w:color="auto" w:fill="D9D9D9" w:themeFill="background1" w:themeFillShade="D9"/>
            <w:textDirection w:val="btLr"/>
          </w:tcPr>
          <w:p w14:paraId="487C47C3" w14:textId="77777777" w:rsidR="00346BE3" w:rsidRPr="00CA30DF" w:rsidRDefault="00346BE3" w:rsidP="00437131">
            <w:pPr>
              <w:spacing w:after="0"/>
              <w:jc w:val="center"/>
              <w:rPr>
                <w:rFonts w:cstheme="minorHAnsi"/>
                <w:sz w:val="18"/>
                <w:szCs w:val="18"/>
                <w:lang w:val="sr-Latn-ME"/>
              </w:rPr>
            </w:pPr>
            <w:r w:rsidRPr="00CA30DF">
              <w:rPr>
                <w:rFonts w:cstheme="minorHAnsi"/>
                <w:sz w:val="18"/>
                <w:szCs w:val="18"/>
                <w:lang w:val="sr-Latn-ME"/>
              </w:rPr>
              <w:lastRenderedPageBreak/>
              <w:t>Ekonomski</w:t>
            </w:r>
          </w:p>
        </w:tc>
        <w:tc>
          <w:tcPr>
            <w:tcW w:w="4246" w:type="dxa"/>
            <w:tcBorders>
              <w:top w:val="single" w:sz="2" w:space="0" w:color="000000" w:themeColor="text1"/>
              <w:left w:val="single" w:sz="18" w:space="0" w:color="000000" w:themeColor="text1"/>
              <w:bottom w:val="single" w:sz="18" w:space="0" w:color="000000" w:themeColor="text1"/>
            </w:tcBorders>
            <w:vAlign w:val="center"/>
          </w:tcPr>
          <w:p w14:paraId="62D9F26F" w14:textId="77777777" w:rsidR="00346BE3" w:rsidRPr="00CA30DF" w:rsidRDefault="00346BE3" w:rsidP="00346BE3">
            <w:pPr>
              <w:pStyle w:val="ListParagraph"/>
              <w:numPr>
                <w:ilvl w:val="0"/>
                <w:numId w:val="14"/>
              </w:numPr>
              <w:spacing w:after="0"/>
              <w:ind w:left="357" w:hanging="357"/>
              <w:contextualSpacing w:val="0"/>
              <w:jc w:val="both"/>
              <w:rPr>
                <w:rFonts w:cstheme="minorHAnsi"/>
                <w:sz w:val="18"/>
                <w:szCs w:val="18"/>
                <w:lang w:val="sr-Latn-ME"/>
              </w:rPr>
            </w:pPr>
            <w:r w:rsidRPr="00CA30DF">
              <w:rPr>
                <w:rFonts w:cstheme="minorHAnsi"/>
                <w:sz w:val="18"/>
                <w:szCs w:val="18"/>
                <w:lang w:val="sr-Latn-ME"/>
              </w:rPr>
              <w:t>Sprovođenjem Plana rasta za Zapadni Balkan obezbjeđuju se dodatni prihodi za finansiranje reformi</w:t>
            </w:r>
            <w:r w:rsidRPr="0073052D">
              <w:rPr>
                <w:rFonts w:cstheme="minorHAnsi"/>
                <w:sz w:val="18"/>
                <w:szCs w:val="18"/>
                <w:lang w:val="sr-Latn-ME"/>
              </w:rPr>
              <w:t xml:space="preserve"> i obezbijeđuje implementacija i sprovođenje ključnih reformi u prioritentnim oblastima</w:t>
            </w:r>
            <w:r w:rsidRPr="00CA30DF">
              <w:rPr>
                <w:rFonts w:cstheme="minorHAnsi"/>
                <w:sz w:val="18"/>
                <w:szCs w:val="18"/>
                <w:lang w:val="sr-Latn-ME"/>
              </w:rPr>
              <w:t>;</w:t>
            </w:r>
          </w:p>
          <w:p w14:paraId="5E366A0F" w14:textId="77777777" w:rsidR="00346BE3" w:rsidRPr="00CA30DF" w:rsidRDefault="00346BE3" w:rsidP="00346BE3">
            <w:pPr>
              <w:pStyle w:val="ListParagraph"/>
              <w:numPr>
                <w:ilvl w:val="0"/>
                <w:numId w:val="14"/>
              </w:numPr>
              <w:spacing w:after="0"/>
              <w:ind w:left="357" w:hanging="357"/>
              <w:contextualSpacing w:val="0"/>
              <w:jc w:val="both"/>
              <w:rPr>
                <w:rFonts w:cstheme="minorHAnsi"/>
                <w:sz w:val="18"/>
                <w:szCs w:val="18"/>
                <w:lang w:val="sr-Latn-ME"/>
              </w:rPr>
            </w:pPr>
            <w:r w:rsidRPr="00CA30DF">
              <w:rPr>
                <w:rFonts w:cstheme="minorHAnsi"/>
                <w:sz w:val="18"/>
                <w:szCs w:val="18"/>
                <w:lang w:val="sr-Latn-ME"/>
              </w:rPr>
              <w:t xml:space="preserve">Reformom </w:t>
            </w:r>
            <w:r w:rsidRPr="0073052D">
              <w:rPr>
                <w:rFonts w:cstheme="minorHAnsi"/>
                <w:sz w:val="18"/>
                <w:szCs w:val="18"/>
                <w:lang w:val="sr-Latn-ME"/>
              </w:rPr>
              <w:t xml:space="preserve">Poreke uprave i Uprave carina </w:t>
            </w:r>
            <w:r w:rsidRPr="00CA30DF">
              <w:rPr>
                <w:rFonts w:cstheme="minorHAnsi"/>
                <w:sz w:val="18"/>
                <w:szCs w:val="18"/>
                <w:lang w:val="sr-Latn-ME"/>
              </w:rPr>
              <w:t>utiče se na unaprjeđenje poslovnog ambijenta, efikasniju naplatu a samim tim i na povećanje javnih prihoda;</w:t>
            </w:r>
          </w:p>
          <w:p w14:paraId="688FA434" w14:textId="77777777" w:rsidR="00346BE3" w:rsidRPr="00CA30DF" w:rsidRDefault="00346BE3" w:rsidP="00346BE3">
            <w:pPr>
              <w:pStyle w:val="ListParagraph"/>
              <w:numPr>
                <w:ilvl w:val="0"/>
                <w:numId w:val="14"/>
              </w:numPr>
              <w:spacing w:after="0"/>
              <w:contextualSpacing w:val="0"/>
              <w:jc w:val="both"/>
              <w:rPr>
                <w:rFonts w:cstheme="minorHAnsi"/>
                <w:sz w:val="18"/>
                <w:szCs w:val="18"/>
                <w:lang w:val="sr-Latn-ME"/>
              </w:rPr>
            </w:pPr>
            <w:r w:rsidRPr="00CA30DF">
              <w:rPr>
                <w:rFonts w:cstheme="minorHAnsi"/>
                <w:sz w:val="18"/>
                <w:szCs w:val="18"/>
                <w:lang w:val="sr-Latn-ME"/>
              </w:rPr>
              <w:t>Intenziviranje aktivnosti na smanjenju neformalne ekonomije, kroz pojačan inspekcijski nadzor i efikasniju institucionalnu koordinaciju, uticaće pozitivno na javne prihode;</w:t>
            </w:r>
          </w:p>
          <w:p w14:paraId="699B482A" w14:textId="77777777" w:rsidR="00346BE3" w:rsidRPr="00CA30DF" w:rsidRDefault="00346BE3" w:rsidP="00346BE3">
            <w:pPr>
              <w:pStyle w:val="ListParagraph"/>
              <w:numPr>
                <w:ilvl w:val="0"/>
                <w:numId w:val="14"/>
              </w:numPr>
              <w:spacing w:after="0"/>
              <w:ind w:left="357" w:hanging="357"/>
              <w:contextualSpacing w:val="0"/>
              <w:jc w:val="both"/>
              <w:rPr>
                <w:rFonts w:cstheme="minorHAnsi"/>
                <w:sz w:val="18"/>
                <w:szCs w:val="18"/>
                <w:lang w:val="sr-Latn-ME"/>
              </w:rPr>
            </w:pPr>
            <w:r w:rsidRPr="00CA30DF">
              <w:rPr>
                <w:rFonts w:cstheme="minorHAnsi"/>
                <w:sz w:val="18"/>
                <w:szCs w:val="18"/>
                <w:lang w:val="sr-Latn-ME"/>
              </w:rPr>
              <w:t xml:space="preserve">Reformama u procesu budžetiranja i </w:t>
            </w:r>
            <w:r w:rsidRPr="0073052D">
              <w:rPr>
                <w:rFonts w:cstheme="minorHAnsi"/>
                <w:sz w:val="18"/>
                <w:szCs w:val="18"/>
                <w:lang w:val="sr-Latn-ME"/>
              </w:rPr>
              <w:t xml:space="preserve">jačanje budžetske inspekcije </w:t>
            </w:r>
            <w:r w:rsidRPr="00CA30DF">
              <w:rPr>
                <w:rFonts w:cstheme="minorHAnsi"/>
                <w:sz w:val="18"/>
                <w:szCs w:val="18"/>
                <w:lang w:val="sr-Latn-ME"/>
              </w:rPr>
              <w:t>povećava se fiskalna disciplina i transparentnost javnih finansija što se pozitivno odražava na glavne fiskalne pokazatelje;</w:t>
            </w:r>
          </w:p>
          <w:p w14:paraId="052C54F8" w14:textId="77777777" w:rsidR="00346BE3" w:rsidRPr="00CA30DF" w:rsidRDefault="00346BE3" w:rsidP="00346BE3">
            <w:pPr>
              <w:pStyle w:val="ListParagraph"/>
              <w:numPr>
                <w:ilvl w:val="0"/>
                <w:numId w:val="14"/>
              </w:numPr>
              <w:spacing w:after="0"/>
              <w:ind w:left="357" w:hanging="357"/>
              <w:contextualSpacing w:val="0"/>
              <w:jc w:val="both"/>
              <w:rPr>
                <w:rFonts w:cstheme="minorHAnsi"/>
                <w:sz w:val="18"/>
                <w:szCs w:val="18"/>
                <w:lang w:val="sr-Latn-ME"/>
              </w:rPr>
            </w:pPr>
            <w:r w:rsidRPr="00CA30DF">
              <w:rPr>
                <w:rFonts w:cstheme="minorHAnsi"/>
                <w:sz w:val="18"/>
                <w:szCs w:val="18"/>
                <w:lang w:val="sr-Latn-ME"/>
              </w:rPr>
              <w:t>Potencijalna naplata prihoda po osnovu davanja "Aerodroma Crne Gore" AD na dugoročno korišćenje može uticati na uvećanje ukupnih javnih prihoda u srednjem i drugom roku.</w:t>
            </w:r>
          </w:p>
          <w:p w14:paraId="10C45C2E" w14:textId="77777777" w:rsidR="00346BE3" w:rsidRPr="00CA30DF" w:rsidRDefault="00346BE3" w:rsidP="00346BE3">
            <w:pPr>
              <w:pStyle w:val="ListParagraph"/>
              <w:numPr>
                <w:ilvl w:val="0"/>
                <w:numId w:val="14"/>
              </w:numPr>
              <w:spacing w:after="0"/>
              <w:contextualSpacing w:val="0"/>
              <w:jc w:val="both"/>
              <w:rPr>
                <w:rFonts w:cstheme="minorHAnsi"/>
                <w:sz w:val="18"/>
                <w:szCs w:val="18"/>
                <w:lang w:val="sr-Latn-ME"/>
              </w:rPr>
            </w:pPr>
            <w:r w:rsidRPr="00CA30DF">
              <w:rPr>
                <w:rFonts w:cstheme="minorHAnsi"/>
                <w:sz w:val="18"/>
                <w:szCs w:val="18"/>
                <w:lang w:val="sr-Latn-ME"/>
              </w:rPr>
              <w:t>Ukidanjem pojedinih poreskih rashoda za odgovarajuće grupe poreza, stvaraju se uslovi za potencijalno veću naplatu prihoda budžeta;</w:t>
            </w:r>
          </w:p>
          <w:p w14:paraId="5810F905" w14:textId="77777777" w:rsidR="00346BE3" w:rsidRPr="00CA30DF" w:rsidRDefault="00346BE3" w:rsidP="00346BE3">
            <w:pPr>
              <w:pStyle w:val="ListParagraph"/>
              <w:numPr>
                <w:ilvl w:val="0"/>
                <w:numId w:val="14"/>
              </w:numPr>
              <w:spacing w:after="0"/>
              <w:ind w:left="357" w:hanging="357"/>
              <w:contextualSpacing w:val="0"/>
              <w:jc w:val="both"/>
              <w:rPr>
                <w:rFonts w:cstheme="minorHAnsi"/>
                <w:sz w:val="18"/>
                <w:szCs w:val="18"/>
                <w:lang w:val="sr-Latn-ME"/>
              </w:rPr>
            </w:pPr>
            <w:r w:rsidRPr="00CA30DF">
              <w:rPr>
                <w:rFonts w:cstheme="minorHAnsi"/>
                <w:sz w:val="18"/>
                <w:szCs w:val="18"/>
                <w:lang w:val="sr-Latn-ME"/>
              </w:rPr>
              <w:t>Nastavak izgradnje autoputa uticaće pozitivno na bolju povezanost sjeverne sa centralnom i južnom regijom, veću turističku atraktivnost i ekonomsku aktivnost;</w:t>
            </w:r>
          </w:p>
          <w:p w14:paraId="1E2E2A62" w14:textId="77777777" w:rsidR="00346BE3" w:rsidRPr="0073052D" w:rsidRDefault="00346BE3" w:rsidP="00346BE3">
            <w:pPr>
              <w:pStyle w:val="ListParagraph"/>
              <w:numPr>
                <w:ilvl w:val="0"/>
                <w:numId w:val="14"/>
              </w:numPr>
              <w:spacing w:after="0"/>
              <w:contextualSpacing w:val="0"/>
              <w:jc w:val="both"/>
              <w:rPr>
                <w:rFonts w:cstheme="minorHAnsi"/>
                <w:sz w:val="18"/>
                <w:szCs w:val="18"/>
                <w:lang w:val="sr-Latn-ME"/>
              </w:rPr>
            </w:pPr>
            <w:r w:rsidRPr="00CA30DF">
              <w:rPr>
                <w:rFonts w:cstheme="minorHAnsi"/>
                <w:sz w:val="18"/>
                <w:szCs w:val="18"/>
                <w:lang w:val="sr-Latn-ME"/>
              </w:rPr>
              <w:t>Legalizacijom bespravno izgrađenih objekata stvoriće se uslovi za povećanje javnih prihoda i povećati stepen fiskalne i budžetske discipline</w:t>
            </w:r>
          </w:p>
        </w:tc>
        <w:tc>
          <w:tcPr>
            <w:tcW w:w="4526" w:type="dxa"/>
            <w:tcBorders>
              <w:top w:val="single" w:sz="2" w:space="0" w:color="000000" w:themeColor="text1"/>
              <w:bottom w:val="single" w:sz="18" w:space="0" w:color="000000" w:themeColor="text1"/>
            </w:tcBorders>
            <w:shd w:val="clear" w:color="auto" w:fill="auto"/>
            <w:vAlign w:val="center"/>
          </w:tcPr>
          <w:p w14:paraId="6C1CA4DA" w14:textId="77777777" w:rsidR="00346BE3" w:rsidRPr="00CA30DF" w:rsidRDefault="00346BE3" w:rsidP="00346BE3">
            <w:pPr>
              <w:pStyle w:val="ListParagraph"/>
              <w:numPr>
                <w:ilvl w:val="0"/>
                <w:numId w:val="14"/>
              </w:numPr>
              <w:spacing w:after="0"/>
              <w:contextualSpacing w:val="0"/>
              <w:jc w:val="both"/>
              <w:rPr>
                <w:rFonts w:cstheme="minorHAnsi"/>
                <w:sz w:val="18"/>
                <w:szCs w:val="18"/>
                <w:lang w:val="sr-Latn-ME"/>
              </w:rPr>
            </w:pPr>
            <w:r w:rsidRPr="00CA30DF">
              <w:rPr>
                <w:rFonts w:cstheme="minorHAnsi"/>
                <w:sz w:val="18"/>
                <w:szCs w:val="18"/>
                <w:lang w:val="sr-Latn-ME"/>
              </w:rPr>
              <w:t>Kašnjenje u implementaciji pojedinih mjera usmjerenih na povećanje javnih prihoda, može uticati na povećanje projektovanog gotovinskog deficita budžeta i javnog duga u srednjem roku;</w:t>
            </w:r>
          </w:p>
          <w:p w14:paraId="21ED2254" w14:textId="77777777" w:rsidR="00346BE3" w:rsidRPr="00CA30DF" w:rsidRDefault="00346BE3" w:rsidP="00346BE3">
            <w:pPr>
              <w:pStyle w:val="ListParagraph"/>
              <w:numPr>
                <w:ilvl w:val="0"/>
                <w:numId w:val="14"/>
              </w:numPr>
              <w:spacing w:after="0"/>
              <w:contextualSpacing w:val="0"/>
              <w:jc w:val="both"/>
              <w:rPr>
                <w:rFonts w:cstheme="minorHAnsi"/>
                <w:sz w:val="18"/>
                <w:szCs w:val="18"/>
                <w:lang w:val="sr-Latn-ME"/>
              </w:rPr>
            </w:pPr>
            <w:r w:rsidRPr="00CA30DF">
              <w:rPr>
                <w:rFonts w:cstheme="minorHAnsi"/>
                <w:sz w:val="18"/>
                <w:szCs w:val="18"/>
                <w:lang w:val="sr-Latn-ME"/>
              </w:rPr>
              <w:t>Usporavanjem evropske ekonomije i trajućim inflatornim pritiscima na globalnom nivou, ranjivosti domaće ekonomije ostaju snažno izražene.  Efekti značajnijih promjena u privrednim trendovima EU, se dominantno odnose na potencijalno niži rast turizma u Crnoj Gori, investicija i potrošnje, a posljedično i na niži ekonomski rast;</w:t>
            </w:r>
          </w:p>
          <w:p w14:paraId="214AAFFB" w14:textId="77777777" w:rsidR="00346BE3" w:rsidRPr="0073052D" w:rsidRDefault="00346BE3" w:rsidP="00346BE3">
            <w:pPr>
              <w:pStyle w:val="ListParagraph"/>
              <w:numPr>
                <w:ilvl w:val="0"/>
                <w:numId w:val="14"/>
              </w:numPr>
              <w:spacing w:after="0"/>
              <w:contextualSpacing w:val="0"/>
              <w:jc w:val="both"/>
              <w:rPr>
                <w:rFonts w:cstheme="minorHAnsi"/>
                <w:sz w:val="18"/>
                <w:szCs w:val="18"/>
                <w:lang w:val="sr-Latn-ME"/>
              </w:rPr>
            </w:pPr>
            <w:r w:rsidRPr="00CA30DF">
              <w:rPr>
                <w:rFonts w:cstheme="minorHAnsi"/>
                <w:sz w:val="18"/>
                <w:szCs w:val="18"/>
                <w:lang w:val="sr-Latn-ME"/>
              </w:rPr>
              <w:t>Klimatske promjene mogu imati efekte po dinamiku rasta ekonomije u srednjem roku, usljed uticaja na sektore: turizma, poljoprivrede i energetike;</w:t>
            </w:r>
          </w:p>
          <w:p w14:paraId="494E0441" w14:textId="77777777" w:rsidR="00346BE3" w:rsidRPr="0073052D" w:rsidRDefault="00346BE3" w:rsidP="00346BE3">
            <w:pPr>
              <w:pStyle w:val="ListParagraph"/>
              <w:numPr>
                <w:ilvl w:val="0"/>
                <w:numId w:val="14"/>
              </w:numPr>
              <w:spacing w:after="0"/>
              <w:contextualSpacing w:val="0"/>
              <w:jc w:val="both"/>
              <w:rPr>
                <w:rFonts w:cstheme="minorHAnsi"/>
                <w:sz w:val="18"/>
                <w:szCs w:val="18"/>
                <w:lang w:val="sr-Latn-ME"/>
              </w:rPr>
            </w:pPr>
            <w:r w:rsidRPr="00CA30DF">
              <w:rPr>
                <w:rFonts w:cstheme="minorHAnsi"/>
                <w:sz w:val="18"/>
                <w:szCs w:val="18"/>
                <w:lang w:val="sr-Latn-ME"/>
              </w:rPr>
              <w:t>Ograničeni fiskalni prostor, slabija dinamika realizacije planiranih investicija kao i kašnjenje u realizaciji strukturnih reformi mogu negativno uticati na ekonomski rast u srednjem roku</w:t>
            </w:r>
          </w:p>
        </w:tc>
      </w:tr>
    </w:tbl>
    <w:p w14:paraId="5F5B5EBB" w14:textId="77777777" w:rsidR="00E05341" w:rsidRPr="00556791" w:rsidRDefault="00E05341" w:rsidP="00E05341">
      <w:pPr>
        <w:jc w:val="both"/>
        <w:rPr>
          <w:b/>
          <w:sz w:val="8"/>
          <w:szCs w:val="8"/>
        </w:rPr>
      </w:pPr>
    </w:p>
    <w:p w14:paraId="6CF663CD" w14:textId="435F9197" w:rsidR="00346BE3" w:rsidRDefault="00346BE3" w:rsidP="00E05341">
      <w:pPr>
        <w:jc w:val="both"/>
        <w:rPr>
          <w:rFonts w:eastAsiaTheme="majorEastAsia" w:cstheme="minorHAnsi"/>
          <w:b/>
          <w:color w:val="2F5496" w:themeColor="accent1" w:themeShade="BF"/>
          <w:sz w:val="24"/>
          <w:szCs w:val="24"/>
          <w:lang w:val="sr-Latn-ME"/>
        </w:rPr>
      </w:pPr>
    </w:p>
    <w:p w14:paraId="4461357B" w14:textId="77777777" w:rsidR="00346BE3" w:rsidRDefault="00346BE3" w:rsidP="00E05341">
      <w:pPr>
        <w:jc w:val="both"/>
        <w:rPr>
          <w:rFonts w:eastAsiaTheme="majorEastAsia" w:cstheme="minorHAnsi"/>
          <w:b/>
          <w:color w:val="2F5496" w:themeColor="accent1" w:themeShade="BF"/>
          <w:sz w:val="24"/>
          <w:szCs w:val="24"/>
          <w:lang w:val="sr-Latn-ME"/>
        </w:rPr>
      </w:pPr>
    </w:p>
    <w:p w14:paraId="4F4E1548" w14:textId="2A467B56" w:rsidR="00E05341" w:rsidRPr="00C76B7B" w:rsidRDefault="00E05341" w:rsidP="00E05341">
      <w:pPr>
        <w:jc w:val="both"/>
        <w:rPr>
          <w:rFonts w:eastAsiaTheme="majorEastAsia" w:cstheme="minorHAnsi"/>
          <w:b/>
          <w:color w:val="2F5496" w:themeColor="accent1" w:themeShade="BF"/>
          <w:sz w:val="24"/>
          <w:szCs w:val="24"/>
          <w:lang w:val="sr-Latn-ME"/>
        </w:rPr>
      </w:pPr>
      <w:r w:rsidRPr="00C76B7B">
        <w:rPr>
          <w:rFonts w:eastAsiaTheme="majorEastAsia" w:cstheme="minorHAnsi"/>
          <w:b/>
          <w:color w:val="2F5496" w:themeColor="accent1" w:themeShade="BF"/>
          <w:sz w:val="24"/>
          <w:szCs w:val="24"/>
          <w:lang w:val="sr-Latn-ME"/>
        </w:rPr>
        <w:t>4.7.2</w:t>
      </w:r>
      <w:r w:rsidR="002E35FA">
        <w:rPr>
          <w:rFonts w:eastAsiaTheme="majorEastAsia" w:cstheme="minorHAnsi"/>
          <w:b/>
          <w:color w:val="2F5496" w:themeColor="accent1" w:themeShade="BF"/>
          <w:sz w:val="24"/>
          <w:szCs w:val="24"/>
          <w:lang w:val="sr-Latn-ME"/>
        </w:rPr>
        <w:t>.</w:t>
      </w:r>
      <w:r w:rsidRPr="00C76B7B">
        <w:rPr>
          <w:rFonts w:eastAsiaTheme="majorEastAsia" w:cstheme="minorHAnsi"/>
          <w:b/>
          <w:color w:val="2F5496" w:themeColor="accent1" w:themeShade="BF"/>
          <w:sz w:val="24"/>
          <w:szCs w:val="24"/>
          <w:lang w:val="sr-Latn-ME"/>
        </w:rPr>
        <w:t xml:space="preserve"> Upoređivanje sa prethodnim programom</w:t>
      </w:r>
      <w:bookmarkEnd w:id="81"/>
      <w:bookmarkEnd w:id="82"/>
      <w:bookmarkEnd w:id="83"/>
      <w:bookmarkEnd w:id="84"/>
      <w:bookmarkEnd w:id="85"/>
      <w:bookmarkEnd w:id="86"/>
    </w:p>
    <w:p w14:paraId="019353D6" w14:textId="77777777" w:rsidR="00E05341" w:rsidRPr="00556791" w:rsidRDefault="00E05341" w:rsidP="00E05341">
      <w:pPr>
        <w:jc w:val="both"/>
        <w:rPr>
          <w:b/>
        </w:rPr>
      </w:pPr>
      <w:r w:rsidRPr="00556791">
        <w:rPr>
          <w:b/>
        </w:rPr>
        <w:t>Tabela 4.7.2 Upoređivanje sa prethodnim programom, u mil. €</w:t>
      </w:r>
    </w:p>
    <w:tbl>
      <w:tblPr>
        <w:tblW w:w="5000" w:type="pct"/>
        <w:tblLook w:val="04A0" w:firstRow="1" w:lastRow="0" w:firstColumn="1" w:lastColumn="0" w:noHBand="0" w:noVBand="1"/>
      </w:tblPr>
      <w:tblGrid>
        <w:gridCol w:w="3056"/>
        <w:gridCol w:w="3800"/>
        <w:gridCol w:w="859"/>
        <w:gridCol w:w="859"/>
        <w:gridCol w:w="766"/>
      </w:tblGrid>
      <w:tr w:rsidR="00E05341" w:rsidRPr="00346BE3" w14:paraId="4B27E03B" w14:textId="77777777" w:rsidTr="00E05341">
        <w:trPr>
          <w:trHeight w:val="315"/>
        </w:trPr>
        <w:tc>
          <w:tcPr>
            <w:tcW w:w="163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03E2B5" w14:textId="77777777" w:rsidR="00E05341" w:rsidRPr="00346BE3" w:rsidRDefault="00E05341" w:rsidP="00E05341">
            <w:pPr>
              <w:spacing w:after="0" w:line="240" w:lineRule="auto"/>
              <w:rPr>
                <w:rFonts w:eastAsia="Times New Roman" w:cstheme="minorHAnsi"/>
                <w:b/>
                <w:bCs/>
                <w:sz w:val="18"/>
                <w:szCs w:val="18"/>
              </w:rPr>
            </w:pPr>
            <w:r w:rsidRPr="00346BE3">
              <w:rPr>
                <w:rFonts w:eastAsia="Times New Roman" w:cstheme="minorHAnsi"/>
                <w:b/>
                <w:bCs/>
                <w:sz w:val="18"/>
                <w:szCs w:val="18"/>
              </w:rPr>
              <w:t> </w:t>
            </w:r>
          </w:p>
        </w:tc>
        <w:tc>
          <w:tcPr>
            <w:tcW w:w="3364"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0C1CE272" w14:textId="77777777" w:rsidR="00E05341" w:rsidRPr="00346BE3" w:rsidRDefault="00E05341" w:rsidP="00E05341">
            <w:pPr>
              <w:spacing w:after="0" w:line="240" w:lineRule="auto"/>
              <w:jc w:val="center"/>
              <w:rPr>
                <w:rFonts w:eastAsia="Times New Roman" w:cstheme="minorHAnsi"/>
                <w:b/>
                <w:bCs/>
                <w:sz w:val="18"/>
                <w:szCs w:val="18"/>
              </w:rPr>
            </w:pPr>
            <w:r w:rsidRPr="00346BE3">
              <w:rPr>
                <w:rFonts w:eastAsia="Times New Roman" w:cstheme="minorHAnsi"/>
                <w:b/>
                <w:bCs/>
                <w:sz w:val="18"/>
                <w:szCs w:val="18"/>
              </w:rPr>
              <w:t>PER 2024-2026</w:t>
            </w:r>
          </w:p>
        </w:tc>
      </w:tr>
      <w:tr w:rsidR="00E05341" w:rsidRPr="00346BE3" w14:paraId="6D7536B6" w14:textId="77777777" w:rsidTr="00E05341">
        <w:trPr>
          <w:trHeight w:val="315"/>
        </w:trPr>
        <w:tc>
          <w:tcPr>
            <w:tcW w:w="1636" w:type="pct"/>
            <w:tcBorders>
              <w:top w:val="nil"/>
              <w:left w:val="single" w:sz="8" w:space="0" w:color="auto"/>
              <w:bottom w:val="single" w:sz="8" w:space="0" w:color="auto"/>
              <w:right w:val="single" w:sz="8" w:space="0" w:color="auto"/>
            </w:tcBorders>
            <w:shd w:val="clear" w:color="auto" w:fill="auto"/>
            <w:noWrap/>
            <w:vAlign w:val="center"/>
            <w:hideMark/>
          </w:tcPr>
          <w:p w14:paraId="53D20B17" w14:textId="77777777" w:rsidR="00E05341" w:rsidRPr="00346BE3" w:rsidRDefault="00E05341" w:rsidP="00E05341">
            <w:pPr>
              <w:spacing w:after="0" w:line="240" w:lineRule="auto"/>
              <w:rPr>
                <w:rFonts w:eastAsia="Times New Roman" w:cstheme="minorHAnsi"/>
                <w:b/>
                <w:bCs/>
                <w:sz w:val="18"/>
                <w:szCs w:val="18"/>
              </w:rPr>
            </w:pPr>
            <w:r w:rsidRPr="00346BE3">
              <w:rPr>
                <w:rFonts w:eastAsia="Times New Roman" w:cstheme="minorHAnsi"/>
                <w:b/>
                <w:bCs/>
                <w:sz w:val="18"/>
                <w:szCs w:val="18"/>
              </w:rPr>
              <w:t> </w:t>
            </w:r>
          </w:p>
        </w:tc>
        <w:tc>
          <w:tcPr>
            <w:tcW w:w="2034" w:type="pct"/>
            <w:tcBorders>
              <w:top w:val="nil"/>
              <w:left w:val="nil"/>
              <w:bottom w:val="single" w:sz="8" w:space="0" w:color="auto"/>
              <w:right w:val="single" w:sz="8" w:space="0" w:color="auto"/>
            </w:tcBorders>
            <w:shd w:val="clear" w:color="auto" w:fill="auto"/>
            <w:noWrap/>
            <w:vAlign w:val="center"/>
            <w:hideMark/>
          </w:tcPr>
          <w:p w14:paraId="3C0056CF" w14:textId="77777777" w:rsidR="00E05341" w:rsidRPr="00346BE3" w:rsidRDefault="00E05341" w:rsidP="00E05341">
            <w:pPr>
              <w:spacing w:after="0" w:line="240" w:lineRule="auto"/>
              <w:jc w:val="center"/>
              <w:rPr>
                <w:rFonts w:eastAsia="Times New Roman" w:cstheme="minorHAnsi"/>
                <w:b/>
                <w:bCs/>
                <w:sz w:val="18"/>
                <w:szCs w:val="18"/>
              </w:rPr>
            </w:pPr>
            <w:r w:rsidRPr="00346BE3">
              <w:rPr>
                <w:rFonts w:eastAsia="Times New Roman" w:cstheme="minorHAnsi"/>
                <w:b/>
                <w:bCs/>
                <w:sz w:val="18"/>
                <w:szCs w:val="18"/>
              </w:rPr>
              <w:t>2024</w:t>
            </w:r>
          </w:p>
        </w:tc>
        <w:tc>
          <w:tcPr>
            <w:tcW w:w="460" w:type="pct"/>
            <w:tcBorders>
              <w:top w:val="nil"/>
              <w:left w:val="nil"/>
              <w:bottom w:val="single" w:sz="8" w:space="0" w:color="auto"/>
              <w:right w:val="single" w:sz="8" w:space="0" w:color="auto"/>
            </w:tcBorders>
            <w:shd w:val="clear" w:color="auto" w:fill="auto"/>
            <w:noWrap/>
            <w:vAlign w:val="center"/>
            <w:hideMark/>
          </w:tcPr>
          <w:p w14:paraId="740F1ACA" w14:textId="77777777" w:rsidR="00E05341" w:rsidRPr="00346BE3" w:rsidRDefault="00E05341" w:rsidP="00E05341">
            <w:pPr>
              <w:spacing w:after="0" w:line="240" w:lineRule="auto"/>
              <w:jc w:val="center"/>
              <w:rPr>
                <w:rFonts w:eastAsia="Times New Roman" w:cstheme="minorHAnsi"/>
                <w:b/>
                <w:bCs/>
                <w:sz w:val="18"/>
                <w:szCs w:val="18"/>
              </w:rPr>
            </w:pPr>
            <w:r w:rsidRPr="00346BE3">
              <w:rPr>
                <w:rFonts w:eastAsia="Times New Roman" w:cstheme="minorHAnsi"/>
                <w:b/>
                <w:bCs/>
                <w:sz w:val="18"/>
                <w:szCs w:val="18"/>
              </w:rPr>
              <w:t>2025</w:t>
            </w:r>
          </w:p>
        </w:tc>
        <w:tc>
          <w:tcPr>
            <w:tcW w:w="460" w:type="pct"/>
            <w:tcBorders>
              <w:top w:val="nil"/>
              <w:left w:val="nil"/>
              <w:bottom w:val="single" w:sz="8" w:space="0" w:color="auto"/>
              <w:right w:val="single" w:sz="8" w:space="0" w:color="auto"/>
            </w:tcBorders>
            <w:shd w:val="clear" w:color="auto" w:fill="auto"/>
            <w:noWrap/>
            <w:vAlign w:val="center"/>
            <w:hideMark/>
          </w:tcPr>
          <w:p w14:paraId="02839E30" w14:textId="77777777" w:rsidR="00E05341" w:rsidRPr="00346BE3" w:rsidRDefault="00E05341" w:rsidP="00E05341">
            <w:pPr>
              <w:spacing w:after="0" w:line="240" w:lineRule="auto"/>
              <w:jc w:val="center"/>
              <w:rPr>
                <w:rFonts w:eastAsia="Times New Roman" w:cstheme="minorHAnsi"/>
                <w:b/>
                <w:bCs/>
                <w:sz w:val="18"/>
                <w:szCs w:val="18"/>
              </w:rPr>
            </w:pPr>
            <w:r w:rsidRPr="00346BE3">
              <w:rPr>
                <w:rFonts w:eastAsia="Times New Roman" w:cstheme="minorHAnsi"/>
                <w:b/>
                <w:bCs/>
                <w:sz w:val="18"/>
                <w:szCs w:val="18"/>
              </w:rPr>
              <w:t>2026</w:t>
            </w:r>
          </w:p>
        </w:tc>
        <w:tc>
          <w:tcPr>
            <w:tcW w:w="409" w:type="pct"/>
            <w:tcBorders>
              <w:top w:val="nil"/>
              <w:left w:val="nil"/>
              <w:bottom w:val="single" w:sz="8" w:space="0" w:color="auto"/>
              <w:right w:val="single" w:sz="8" w:space="0" w:color="auto"/>
            </w:tcBorders>
            <w:shd w:val="clear" w:color="auto" w:fill="auto"/>
            <w:noWrap/>
            <w:vAlign w:val="center"/>
            <w:hideMark/>
          </w:tcPr>
          <w:p w14:paraId="0E585302" w14:textId="77777777" w:rsidR="00E05341" w:rsidRPr="00346BE3" w:rsidRDefault="00E05341" w:rsidP="00E05341">
            <w:pPr>
              <w:spacing w:after="0" w:line="240" w:lineRule="auto"/>
              <w:jc w:val="center"/>
              <w:rPr>
                <w:rFonts w:eastAsia="Times New Roman" w:cstheme="minorHAnsi"/>
                <w:b/>
                <w:bCs/>
                <w:sz w:val="18"/>
                <w:szCs w:val="18"/>
              </w:rPr>
            </w:pPr>
            <w:r w:rsidRPr="00346BE3">
              <w:rPr>
                <w:rFonts w:eastAsia="Times New Roman" w:cstheme="minorHAnsi"/>
                <w:b/>
                <w:bCs/>
                <w:sz w:val="18"/>
                <w:szCs w:val="18"/>
              </w:rPr>
              <w:t>2027</w:t>
            </w:r>
          </w:p>
        </w:tc>
      </w:tr>
      <w:tr w:rsidR="00E05341" w:rsidRPr="00346BE3" w14:paraId="328BB893" w14:textId="77777777" w:rsidTr="00E05341">
        <w:trPr>
          <w:trHeight w:val="315"/>
        </w:trPr>
        <w:tc>
          <w:tcPr>
            <w:tcW w:w="1636" w:type="pct"/>
            <w:tcBorders>
              <w:top w:val="nil"/>
              <w:left w:val="single" w:sz="8" w:space="0" w:color="auto"/>
              <w:bottom w:val="single" w:sz="8" w:space="0" w:color="auto"/>
              <w:right w:val="single" w:sz="8" w:space="0" w:color="auto"/>
            </w:tcBorders>
            <w:shd w:val="clear" w:color="auto" w:fill="auto"/>
            <w:noWrap/>
            <w:vAlign w:val="center"/>
            <w:hideMark/>
          </w:tcPr>
          <w:p w14:paraId="44C0E3CC"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Javni prihodi</w:t>
            </w:r>
          </w:p>
        </w:tc>
        <w:tc>
          <w:tcPr>
            <w:tcW w:w="2034" w:type="pct"/>
            <w:tcBorders>
              <w:top w:val="nil"/>
              <w:left w:val="nil"/>
              <w:bottom w:val="single" w:sz="8" w:space="0" w:color="auto"/>
              <w:right w:val="single" w:sz="8" w:space="0" w:color="auto"/>
            </w:tcBorders>
            <w:shd w:val="clear" w:color="auto" w:fill="auto"/>
            <w:noWrap/>
            <w:vAlign w:val="center"/>
            <w:hideMark/>
          </w:tcPr>
          <w:p w14:paraId="36EFD05E"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3.119,18</w:t>
            </w:r>
          </w:p>
        </w:tc>
        <w:tc>
          <w:tcPr>
            <w:tcW w:w="460" w:type="pct"/>
            <w:tcBorders>
              <w:top w:val="nil"/>
              <w:left w:val="nil"/>
              <w:bottom w:val="single" w:sz="8" w:space="0" w:color="auto"/>
              <w:right w:val="single" w:sz="8" w:space="0" w:color="auto"/>
            </w:tcBorders>
            <w:shd w:val="clear" w:color="auto" w:fill="auto"/>
            <w:noWrap/>
            <w:vAlign w:val="center"/>
            <w:hideMark/>
          </w:tcPr>
          <w:p w14:paraId="29197606"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3.235,18</w:t>
            </w:r>
          </w:p>
        </w:tc>
        <w:tc>
          <w:tcPr>
            <w:tcW w:w="460" w:type="pct"/>
            <w:tcBorders>
              <w:top w:val="nil"/>
              <w:left w:val="nil"/>
              <w:bottom w:val="single" w:sz="8" w:space="0" w:color="auto"/>
              <w:right w:val="single" w:sz="8" w:space="0" w:color="auto"/>
            </w:tcBorders>
            <w:shd w:val="clear" w:color="auto" w:fill="auto"/>
            <w:noWrap/>
            <w:vAlign w:val="center"/>
            <w:hideMark/>
          </w:tcPr>
          <w:p w14:paraId="50D18FC8"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3.359,3</w:t>
            </w:r>
          </w:p>
        </w:tc>
        <w:tc>
          <w:tcPr>
            <w:tcW w:w="409" w:type="pct"/>
            <w:tcBorders>
              <w:top w:val="nil"/>
              <w:left w:val="nil"/>
              <w:bottom w:val="single" w:sz="8" w:space="0" w:color="auto"/>
              <w:right w:val="single" w:sz="8" w:space="0" w:color="auto"/>
            </w:tcBorders>
            <w:shd w:val="clear" w:color="auto" w:fill="auto"/>
            <w:noWrap/>
            <w:vAlign w:val="center"/>
            <w:hideMark/>
          </w:tcPr>
          <w:p w14:paraId="1285D010" w14:textId="77777777" w:rsidR="00E05341" w:rsidRPr="00346BE3" w:rsidRDefault="00E05341" w:rsidP="00E05341">
            <w:pPr>
              <w:spacing w:after="0" w:line="240" w:lineRule="auto"/>
              <w:rPr>
                <w:rFonts w:eastAsia="Times New Roman" w:cstheme="minorHAnsi"/>
                <w:sz w:val="18"/>
                <w:szCs w:val="18"/>
              </w:rPr>
            </w:pPr>
            <w:r w:rsidRPr="00346BE3">
              <w:rPr>
                <w:rFonts w:eastAsia="Times New Roman" w:cstheme="minorHAnsi"/>
                <w:sz w:val="18"/>
                <w:szCs w:val="18"/>
              </w:rPr>
              <w:t xml:space="preserve">     -</w:t>
            </w:r>
          </w:p>
        </w:tc>
      </w:tr>
      <w:tr w:rsidR="00E05341" w:rsidRPr="00346BE3" w14:paraId="14FDCFFC" w14:textId="77777777" w:rsidTr="00E05341">
        <w:trPr>
          <w:trHeight w:val="315"/>
        </w:trPr>
        <w:tc>
          <w:tcPr>
            <w:tcW w:w="1636" w:type="pct"/>
            <w:tcBorders>
              <w:top w:val="nil"/>
              <w:left w:val="single" w:sz="8" w:space="0" w:color="auto"/>
              <w:bottom w:val="single" w:sz="8" w:space="0" w:color="auto"/>
              <w:right w:val="single" w:sz="8" w:space="0" w:color="auto"/>
            </w:tcBorders>
            <w:shd w:val="clear" w:color="auto" w:fill="auto"/>
            <w:noWrap/>
            <w:vAlign w:val="center"/>
            <w:hideMark/>
          </w:tcPr>
          <w:p w14:paraId="3534B32C"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Javna potrošnja</w:t>
            </w:r>
          </w:p>
        </w:tc>
        <w:tc>
          <w:tcPr>
            <w:tcW w:w="2034" w:type="pct"/>
            <w:tcBorders>
              <w:top w:val="nil"/>
              <w:left w:val="nil"/>
              <w:bottom w:val="single" w:sz="8" w:space="0" w:color="auto"/>
              <w:right w:val="single" w:sz="8" w:space="0" w:color="auto"/>
            </w:tcBorders>
            <w:shd w:val="clear" w:color="auto" w:fill="auto"/>
            <w:noWrap/>
            <w:vAlign w:val="center"/>
            <w:hideMark/>
          </w:tcPr>
          <w:p w14:paraId="41CA7BAC"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3.481,22</w:t>
            </w:r>
          </w:p>
        </w:tc>
        <w:tc>
          <w:tcPr>
            <w:tcW w:w="460" w:type="pct"/>
            <w:tcBorders>
              <w:top w:val="nil"/>
              <w:left w:val="nil"/>
              <w:bottom w:val="single" w:sz="8" w:space="0" w:color="auto"/>
              <w:right w:val="single" w:sz="8" w:space="0" w:color="auto"/>
            </w:tcBorders>
            <w:shd w:val="clear" w:color="auto" w:fill="auto"/>
            <w:noWrap/>
            <w:vAlign w:val="center"/>
            <w:hideMark/>
          </w:tcPr>
          <w:p w14:paraId="0FF7436A"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3.507,04</w:t>
            </w:r>
          </w:p>
        </w:tc>
        <w:tc>
          <w:tcPr>
            <w:tcW w:w="460" w:type="pct"/>
            <w:tcBorders>
              <w:top w:val="nil"/>
              <w:left w:val="nil"/>
              <w:bottom w:val="single" w:sz="8" w:space="0" w:color="auto"/>
              <w:right w:val="single" w:sz="8" w:space="0" w:color="auto"/>
            </w:tcBorders>
            <w:shd w:val="clear" w:color="auto" w:fill="auto"/>
            <w:noWrap/>
            <w:vAlign w:val="center"/>
            <w:hideMark/>
          </w:tcPr>
          <w:p w14:paraId="1BE1E964"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3.584,57</w:t>
            </w:r>
          </w:p>
        </w:tc>
        <w:tc>
          <w:tcPr>
            <w:tcW w:w="409" w:type="pct"/>
            <w:tcBorders>
              <w:top w:val="nil"/>
              <w:left w:val="nil"/>
              <w:bottom w:val="single" w:sz="8" w:space="0" w:color="auto"/>
              <w:right w:val="single" w:sz="8" w:space="0" w:color="auto"/>
            </w:tcBorders>
            <w:shd w:val="clear" w:color="auto" w:fill="auto"/>
            <w:noWrap/>
            <w:vAlign w:val="center"/>
            <w:hideMark/>
          </w:tcPr>
          <w:p w14:paraId="44C3576D" w14:textId="77777777" w:rsidR="00E05341" w:rsidRPr="00346BE3" w:rsidRDefault="00E05341" w:rsidP="00E05341">
            <w:pPr>
              <w:spacing w:after="0" w:line="240" w:lineRule="auto"/>
              <w:rPr>
                <w:rFonts w:eastAsia="Times New Roman" w:cstheme="minorHAnsi"/>
                <w:sz w:val="18"/>
                <w:szCs w:val="18"/>
              </w:rPr>
            </w:pPr>
            <w:r w:rsidRPr="00346BE3">
              <w:rPr>
                <w:rFonts w:eastAsia="Times New Roman" w:cstheme="minorHAnsi"/>
                <w:sz w:val="18"/>
                <w:szCs w:val="18"/>
              </w:rPr>
              <w:t xml:space="preserve">     - </w:t>
            </w:r>
          </w:p>
        </w:tc>
      </w:tr>
      <w:tr w:rsidR="00E05341" w:rsidRPr="00346BE3" w14:paraId="6D46589C" w14:textId="77777777" w:rsidTr="00E05341">
        <w:trPr>
          <w:trHeight w:val="315"/>
        </w:trPr>
        <w:tc>
          <w:tcPr>
            <w:tcW w:w="1636" w:type="pct"/>
            <w:tcBorders>
              <w:top w:val="nil"/>
              <w:left w:val="single" w:sz="8" w:space="0" w:color="auto"/>
              <w:bottom w:val="single" w:sz="8" w:space="0" w:color="auto"/>
              <w:right w:val="single" w:sz="8" w:space="0" w:color="auto"/>
            </w:tcBorders>
            <w:shd w:val="clear" w:color="auto" w:fill="auto"/>
            <w:noWrap/>
            <w:vAlign w:val="center"/>
            <w:hideMark/>
          </w:tcPr>
          <w:p w14:paraId="6820B2C9"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Suficit/deficit javnih finansija</w:t>
            </w:r>
          </w:p>
        </w:tc>
        <w:tc>
          <w:tcPr>
            <w:tcW w:w="2034" w:type="pct"/>
            <w:tcBorders>
              <w:top w:val="nil"/>
              <w:left w:val="nil"/>
              <w:bottom w:val="single" w:sz="8" w:space="0" w:color="auto"/>
              <w:right w:val="single" w:sz="8" w:space="0" w:color="auto"/>
            </w:tcBorders>
            <w:shd w:val="clear" w:color="auto" w:fill="auto"/>
            <w:noWrap/>
            <w:vAlign w:val="center"/>
            <w:hideMark/>
          </w:tcPr>
          <w:p w14:paraId="4977CAB8"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-362.04</w:t>
            </w:r>
          </w:p>
        </w:tc>
        <w:tc>
          <w:tcPr>
            <w:tcW w:w="460" w:type="pct"/>
            <w:tcBorders>
              <w:top w:val="nil"/>
              <w:left w:val="nil"/>
              <w:bottom w:val="single" w:sz="8" w:space="0" w:color="auto"/>
              <w:right w:val="single" w:sz="8" w:space="0" w:color="auto"/>
            </w:tcBorders>
            <w:shd w:val="clear" w:color="auto" w:fill="auto"/>
            <w:noWrap/>
            <w:vAlign w:val="center"/>
            <w:hideMark/>
          </w:tcPr>
          <w:p w14:paraId="13A8DECC"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-271.86</w:t>
            </w:r>
          </w:p>
        </w:tc>
        <w:tc>
          <w:tcPr>
            <w:tcW w:w="460" w:type="pct"/>
            <w:tcBorders>
              <w:top w:val="nil"/>
              <w:left w:val="nil"/>
              <w:bottom w:val="single" w:sz="8" w:space="0" w:color="auto"/>
              <w:right w:val="single" w:sz="8" w:space="0" w:color="auto"/>
            </w:tcBorders>
            <w:shd w:val="clear" w:color="auto" w:fill="auto"/>
            <w:noWrap/>
            <w:vAlign w:val="center"/>
            <w:hideMark/>
          </w:tcPr>
          <w:p w14:paraId="5077E571"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-225.27</w:t>
            </w:r>
          </w:p>
        </w:tc>
        <w:tc>
          <w:tcPr>
            <w:tcW w:w="409" w:type="pct"/>
            <w:tcBorders>
              <w:top w:val="nil"/>
              <w:left w:val="nil"/>
              <w:bottom w:val="single" w:sz="8" w:space="0" w:color="auto"/>
              <w:right w:val="single" w:sz="8" w:space="0" w:color="auto"/>
            </w:tcBorders>
            <w:shd w:val="clear" w:color="auto" w:fill="auto"/>
            <w:noWrap/>
            <w:vAlign w:val="center"/>
            <w:hideMark/>
          </w:tcPr>
          <w:p w14:paraId="22A9F5C5"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 </w:t>
            </w:r>
          </w:p>
        </w:tc>
      </w:tr>
      <w:tr w:rsidR="00E05341" w:rsidRPr="00346BE3" w14:paraId="729B8848" w14:textId="77777777" w:rsidTr="00E05341">
        <w:trPr>
          <w:trHeight w:val="315"/>
        </w:trPr>
        <w:tc>
          <w:tcPr>
            <w:tcW w:w="1636" w:type="pct"/>
            <w:tcBorders>
              <w:top w:val="nil"/>
              <w:left w:val="single" w:sz="8" w:space="0" w:color="auto"/>
              <w:bottom w:val="single" w:sz="8" w:space="0" w:color="auto"/>
              <w:right w:val="single" w:sz="8" w:space="0" w:color="auto"/>
            </w:tcBorders>
            <w:shd w:val="clear" w:color="auto" w:fill="auto"/>
            <w:noWrap/>
            <w:vAlign w:val="center"/>
            <w:hideMark/>
          </w:tcPr>
          <w:p w14:paraId="3EC254E7" w14:textId="77777777" w:rsidR="00E05341" w:rsidRPr="00346BE3" w:rsidRDefault="00E05341" w:rsidP="00E05341">
            <w:pPr>
              <w:spacing w:after="0" w:line="240" w:lineRule="auto"/>
              <w:rPr>
                <w:rFonts w:eastAsia="Times New Roman" w:cstheme="minorHAnsi"/>
                <w:b/>
                <w:bCs/>
                <w:sz w:val="18"/>
                <w:szCs w:val="18"/>
              </w:rPr>
            </w:pPr>
            <w:r w:rsidRPr="00346BE3">
              <w:rPr>
                <w:rFonts w:eastAsia="Times New Roman" w:cstheme="minorHAnsi"/>
                <w:b/>
                <w:bCs/>
                <w:sz w:val="18"/>
                <w:szCs w:val="18"/>
              </w:rPr>
              <w:t> </w:t>
            </w:r>
          </w:p>
        </w:tc>
        <w:tc>
          <w:tcPr>
            <w:tcW w:w="3364"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4040020D" w14:textId="77777777" w:rsidR="00E05341" w:rsidRPr="00346BE3" w:rsidRDefault="00E05341" w:rsidP="00E05341">
            <w:pPr>
              <w:spacing w:after="0" w:line="240" w:lineRule="auto"/>
              <w:jc w:val="center"/>
              <w:rPr>
                <w:rFonts w:eastAsia="Times New Roman" w:cstheme="minorHAnsi"/>
                <w:b/>
                <w:bCs/>
                <w:sz w:val="18"/>
                <w:szCs w:val="18"/>
              </w:rPr>
            </w:pPr>
            <w:r w:rsidRPr="00346BE3">
              <w:rPr>
                <w:rFonts w:eastAsia="Times New Roman" w:cstheme="minorHAnsi"/>
                <w:b/>
                <w:bCs/>
                <w:sz w:val="18"/>
                <w:szCs w:val="18"/>
              </w:rPr>
              <w:t>PER 2025-2027</w:t>
            </w:r>
          </w:p>
        </w:tc>
      </w:tr>
      <w:tr w:rsidR="00E05341" w:rsidRPr="00346BE3" w14:paraId="78A6473A" w14:textId="77777777" w:rsidTr="00E05341">
        <w:trPr>
          <w:trHeight w:val="315"/>
        </w:trPr>
        <w:tc>
          <w:tcPr>
            <w:tcW w:w="1636" w:type="pct"/>
            <w:tcBorders>
              <w:top w:val="nil"/>
              <w:left w:val="single" w:sz="8" w:space="0" w:color="auto"/>
              <w:bottom w:val="single" w:sz="8" w:space="0" w:color="auto"/>
              <w:right w:val="single" w:sz="8" w:space="0" w:color="auto"/>
            </w:tcBorders>
            <w:shd w:val="clear" w:color="auto" w:fill="auto"/>
            <w:noWrap/>
            <w:vAlign w:val="center"/>
            <w:hideMark/>
          </w:tcPr>
          <w:p w14:paraId="53C83102" w14:textId="77777777" w:rsidR="00E05341" w:rsidRPr="00346BE3" w:rsidRDefault="00E05341" w:rsidP="00E05341">
            <w:pPr>
              <w:spacing w:after="0" w:line="240" w:lineRule="auto"/>
              <w:rPr>
                <w:rFonts w:eastAsia="Times New Roman" w:cstheme="minorHAnsi"/>
                <w:sz w:val="18"/>
                <w:szCs w:val="18"/>
              </w:rPr>
            </w:pPr>
            <w:r w:rsidRPr="00346BE3">
              <w:rPr>
                <w:rFonts w:eastAsia="Times New Roman" w:cstheme="minorHAnsi"/>
                <w:sz w:val="18"/>
                <w:szCs w:val="18"/>
              </w:rPr>
              <w:lastRenderedPageBreak/>
              <w:t> </w:t>
            </w:r>
          </w:p>
        </w:tc>
        <w:tc>
          <w:tcPr>
            <w:tcW w:w="2034" w:type="pct"/>
            <w:tcBorders>
              <w:top w:val="nil"/>
              <w:left w:val="nil"/>
              <w:bottom w:val="single" w:sz="8" w:space="0" w:color="auto"/>
              <w:right w:val="single" w:sz="8" w:space="0" w:color="auto"/>
            </w:tcBorders>
            <w:shd w:val="clear" w:color="auto" w:fill="auto"/>
            <w:noWrap/>
            <w:vAlign w:val="center"/>
            <w:hideMark/>
          </w:tcPr>
          <w:p w14:paraId="420D077F" w14:textId="77777777" w:rsidR="00E05341" w:rsidRPr="00346BE3" w:rsidRDefault="00E05341" w:rsidP="00E05341">
            <w:pPr>
              <w:spacing w:after="0" w:line="240" w:lineRule="auto"/>
              <w:jc w:val="center"/>
              <w:rPr>
                <w:rFonts w:eastAsia="Times New Roman" w:cstheme="minorHAnsi"/>
                <w:b/>
                <w:bCs/>
                <w:sz w:val="18"/>
                <w:szCs w:val="18"/>
              </w:rPr>
            </w:pPr>
            <w:r w:rsidRPr="00346BE3">
              <w:rPr>
                <w:rFonts w:eastAsia="Times New Roman" w:cstheme="minorHAnsi"/>
                <w:b/>
                <w:bCs/>
                <w:sz w:val="18"/>
                <w:szCs w:val="18"/>
              </w:rPr>
              <w:t>2024</w:t>
            </w:r>
          </w:p>
        </w:tc>
        <w:tc>
          <w:tcPr>
            <w:tcW w:w="460" w:type="pct"/>
            <w:tcBorders>
              <w:top w:val="nil"/>
              <w:left w:val="nil"/>
              <w:bottom w:val="single" w:sz="8" w:space="0" w:color="auto"/>
              <w:right w:val="single" w:sz="8" w:space="0" w:color="auto"/>
            </w:tcBorders>
            <w:shd w:val="clear" w:color="auto" w:fill="auto"/>
            <w:noWrap/>
            <w:vAlign w:val="center"/>
            <w:hideMark/>
          </w:tcPr>
          <w:p w14:paraId="08E570F3" w14:textId="77777777" w:rsidR="00E05341" w:rsidRPr="00346BE3" w:rsidRDefault="00E05341" w:rsidP="00E05341">
            <w:pPr>
              <w:spacing w:after="0" w:line="240" w:lineRule="auto"/>
              <w:jc w:val="center"/>
              <w:rPr>
                <w:rFonts w:eastAsia="Times New Roman" w:cstheme="minorHAnsi"/>
                <w:b/>
                <w:bCs/>
                <w:sz w:val="18"/>
                <w:szCs w:val="18"/>
              </w:rPr>
            </w:pPr>
            <w:r w:rsidRPr="00346BE3">
              <w:rPr>
                <w:rFonts w:eastAsia="Times New Roman" w:cstheme="minorHAnsi"/>
                <w:b/>
                <w:bCs/>
                <w:sz w:val="18"/>
                <w:szCs w:val="18"/>
              </w:rPr>
              <w:t>2025</w:t>
            </w:r>
          </w:p>
        </w:tc>
        <w:tc>
          <w:tcPr>
            <w:tcW w:w="460" w:type="pct"/>
            <w:tcBorders>
              <w:top w:val="nil"/>
              <w:left w:val="nil"/>
              <w:bottom w:val="single" w:sz="8" w:space="0" w:color="auto"/>
              <w:right w:val="single" w:sz="8" w:space="0" w:color="auto"/>
            </w:tcBorders>
            <w:shd w:val="clear" w:color="auto" w:fill="auto"/>
            <w:noWrap/>
            <w:vAlign w:val="center"/>
            <w:hideMark/>
          </w:tcPr>
          <w:p w14:paraId="652ADDA3" w14:textId="77777777" w:rsidR="00E05341" w:rsidRPr="00346BE3" w:rsidRDefault="00E05341" w:rsidP="00E05341">
            <w:pPr>
              <w:spacing w:after="0" w:line="240" w:lineRule="auto"/>
              <w:jc w:val="center"/>
              <w:rPr>
                <w:rFonts w:eastAsia="Times New Roman" w:cstheme="minorHAnsi"/>
                <w:b/>
                <w:bCs/>
                <w:sz w:val="18"/>
                <w:szCs w:val="18"/>
              </w:rPr>
            </w:pPr>
            <w:r w:rsidRPr="00346BE3">
              <w:rPr>
                <w:rFonts w:eastAsia="Times New Roman" w:cstheme="minorHAnsi"/>
                <w:b/>
                <w:bCs/>
                <w:sz w:val="18"/>
                <w:szCs w:val="18"/>
              </w:rPr>
              <w:t>2026</w:t>
            </w:r>
          </w:p>
        </w:tc>
        <w:tc>
          <w:tcPr>
            <w:tcW w:w="409" w:type="pct"/>
            <w:tcBorders>
              <w:top w:val="nil"/>
              <w:left w:val="nil"/>
              <w:bottom w:val="single" w:sz="8" w:space="0" w:color="auto"/>
              <w:right w:val="single" w:sz="8" w:space="0" w:color="auto"/>
            </w:tcBorders>
            <w:shd w:val="clear" w:color="auto" w:fill="auto"/>
            <w:noWrap/>
            <w:vAlign w:val="center"/>
            <w:hideMark/>
          </w:tcPr>
          <w:p w14:paraId="38859B5E" w14:textId="77777777" w:rsidR="00E05341" w:rsidRPr="00346BE3" w:rsidRDefault="00E05341" w:rsidP="00E05341">
            <w:pPr>
              <w:spacing w:after="0" w:line="240" w:lineRule="auto"/>
              <w:jc w:val="center"/>
              <w:rPr>
                <w:rFonts w:eastAsia="Times New Roman" w:cstheme="minorHAnsi"/>
                <w:b/>
                <w:bCs/>
                <w:sz w:val="18"/>
                <w:szCs w:val="18"/>
              </w:rPr>
            </w:pPr>
            <w:r w:rsidRPr="00346BE3">
              <w:rPr>
                <w:rFonts w:eastAsia="Times New Roman" w:cstheme="minorHAnsi"/>
                <w:b/>
                <w:bCs/>
                <w:sz w:val="18"/>
                <w:szCs w:val="18"/>
              </w:rPr>
              <w:t>2027</w:t>
            </w:r>
          </w:p>
        </w:tc>
      </w:tr>
      <w:tr w:rsidR="00E05341" w:rsidRPr="00346BE3" w14:paraId="3F984FF1" w14:textId="77777777" w:rsidTr="00E05341">
        <w:trPr>
          <w:trHeight w:val="315"/>
        </w:trPr>
        <w:tc>
          <w:tcPr>
            <w:tcW w:w="1636" w:type="pct"/>
            <w:tcBorders>
              <w:top w:val="nil"/>
              <w:left w:val="single" w:sz="8" w:space="0" w:color="auto"/>
              <w:bottom w:val="single" w:sz="8" w:space="0" w:color="auto"/>
              <w:right w:val="single" w:sz="8" w:space="0" w:color="auto"/>
            </w:tcBorders>
            <w:shd w:val="clear" w:color="auto" w:fill="auto"/>
            <w:noWrap/>
            <w:vAlign w:val="center"/>
            <w:hideMark/>
          </w:tcPr>
          <w:p w14:paraId="1E07735C"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Javni prihodi</w:t>
            </w:r>
          </w:p>
        </w:tc>
        <w:tc>
          <w:tcPr>
            <w:tcW w:w="2034" w:type="pct"/>
            <w:tcBorders>
              <w:top w:val="nil"/>
              <w:left w:val="nil"/>
              <w:bottom w:val="single" w:sz="8" w:space="0" w:color="auto"/>
              <w:right w:val="single" w:sz="8" w:space="0" w:color="auto"/>
            </w:tcBorders>
            <w:shd w:val="clear" w:color="auto" w:fill="auto"/>
            <w:noWrap/>
            <w:vAlign w:val="center"/>
            <w:hideMark/>
          </w:tcPr>
          <w:p w14:paraId="1EE14A7E"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3.174,1</w:t>
            </w:r>
          </w:p>
        </w:tc>
        <w:tc>
          <w:tcPr>
            <w:tcW w:w="460" w:type="pct"/>
            <w:tcBorders>
              <w:top w:val="nil"/>
              <w:left w:val="nil"/>
              <w:bottom w:val="single" w:sz="8" w:space="0" w:color="auto"/>
              <w:right w:val="single" w:sz="8" w:space="0" w:color="auto"/>
            </w:tcBorders>
            <w:shd w:val="clear" w:color="auto" w:fill="auto"/>
            <w:noWrap/>
            <w:vAlign w:val="center"/>
            <w:hideMark/>
          </w:tcPr>
          <w:p w14:paraId="43F394D9"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3.283,0</w:t>
            </w:r>
          </w:p>
        </w:tc>
        <w:tc>
          <w:tcPr>
            <w:tcW w:w="460" w:type="pct"/>
            <w:tcBorders>
              <w:top w:val="nil"/>
              <w:left w:val="nil"/>
              <w:bottom w:val="single" w:sz="8" w:space="0" w:color="auto"/>
              <w:right w:val="single" w:sz="8" w:space="0" w:color="auto"/>
            </w:tcBorders>
            <w:shd w:val="clear" w:color="auto" w:fill="auto"/>
            <w:noWrap/>
            <w:vAlign w:val="center"/>
            <w:hideMark/>
          </w:tcPr>
          <w:p w14:paraId="72A210D6"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3.410,3</w:t>
            </w:r>
          </w:p>
        </w:tc>
        <w:tc>
          <w:tcPr>
            <w:tcW w:w="409" w:type="pct"/>
            <w:tcBorders>
              <w:top w:val="nil"/>
              <w:left w:val="nil"/>
              <w:bottom w:val="single" w:sz="8" w:space="0" w:color="auto"/>
              <w:right w:val="single" w:sz="8" w:space="0" w:color="auto"/>
            </w:tcBorders>
            <w:shd w:val="clear" w:color="auto" w:fill="auto"/>
            <w:noWrap/>
            <w:vAlign w:val="center"/>
            <w:hideMark/>
          </w:tcPr>
          <w:p w14:paraId="4E6CD0EF"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3527.2</w:t>
            </w:r>
          </w:p>
        </w:tc>
      </w:tr>
      <w:tr w:rsidR="00E05341" w:rsidRPr="00346BE3" w14:paraId="0EB4EE96" w14:textId="77777777" w:rsidTr="00E05341">
        <w:trPr>
          <w:trHeight w:val="315"/>
        </w:trPr>
        <w:tc>
          <w:tcPr>
            <w:tcW w:w="1636" w:type="pct"/>
            <w:tcBorders>
              <w:top w:val="nil"/>
              <w:left w:val="single" w:sz="8" w:space="0" w:color="auto"/>
              <w:bottom w:val="single" w:sz="8" w:space="0" w:color="auto"/>
              <w:right w:val="single" w:sz="8" w:space="0" w:color="auto"/>
            </w:tcBorders>
            <w:shd w:val="clear" w:color="auto" w:fill="auto"/>
            <w:noWrap/>
            <w:vAlign w:val="center"/>
            <w:hideMark/>
          </w:tcPr>
          <w:p w14:paraId="513FB8B3"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Javna potrošnja</w:t>
            </w:r>
          </w:p>
        </w:tc>
        <w:tc>
          <w:tcPr>
            <w:tcW w:w="2034" w:type="pct"/>
            <w:tcBorders>
              <w:top w:val="nil"/>
              <w:left w:val="nil"/>
              <w:bottom w:val="single" w:sz="8" w:space="0" w:color="auto"/>
              <w:right w:val="single" w:sz="8" w:space="0" w:color="auto"/>
            </w:tcBorders>
            <w:shd w:val="clear" w:color="auto" w:fill="auto"/>
            <w:noWrap/>
            <w:vAlign w:val="center"/>
            <w:hideMark/>
          </w:tcPr>
          <w:p w14:paraId="149D974D"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3.401,2</w:t>
            </w:r>
          </w:p>
        </w:tc>
        <w:tc>
          <w:tcPr>
            <w:tcW w:w="460" w:type="pct"/>
            <w:tcBorders>
              <w:top w:val="nil"/>
              <w:left w:val="nil"/>
              <w:bottom w:val="single" w:sz="8" w:space="0" w:color="auto"/>
              <w:right w:val="single" w:sz="8" w:space="0" w:color="auto"/>
            </w:tcBorders>
            <w:shd w:val="clear" w:color="auto" w:fill="auto"/>
            <w:noWrap/>
            <w:vAlign w:val="center"/>
            <w:hideMark/>
          </w:tcPr>
          <w:p w14:paraId="7CC22A81"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3.560,8</w:t>
            </w:r>
          </w:p>
        </w:tc>
        <w:tc>
          <w:tcPr>
            <w:tcW w:w="460" w:type="pct"/>
            <w:tcBorders>
              <w:top w:val="nil"/>
              <w:left w:val="nil"/>
              <w:bottom w:val="single" w:sz="8" w:space="0" w:color="auto"/>
              <w:right w:val="single" w:sz="8" w:space="0" w:color="auto"/>
            </w:tcBorders>
            <w:shd w:val="clear" w:color="auto" w:fill="auto"/>
            <w:noWrap/>
            <w:vAlign w:val="center"/>
            <w:hideMark/>
          </w:tcPr>
          <w:p w14:paraId="3FE58648"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3.669,6</w:t>
            </w:r>
          </w:p>
        </w:tc>
        <w:tc>
          <w:tcPr>
            <w:tcW w:w="409" w:type="pct"/>
            <w:tcBorders>
              <w:top w:val="nil"/>
              <w:left w:val="nil"/>
              <w:bottom w:val="single" w:sz="8" w:space="0" w:color="auto"/>
              <w:right w:val="single" w:sz="8" w:space="0" w:color="auto"/>
            </w:tcBorders>
            <w:shd w:val="clear" w:color="auto" w:fill="auto"/>
            <w:noWrap/>
            <w:vAlign w:val="center"/>
            <w:hideMark/>
          </w:tcPr>
          <w:p w14:paraId="635D55E4"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3.793,2</w:t>
            </w:r>
          </w:p>
        </w:tc>
      </w:tr>
      <w:tr w:rsidR="00E05341" w:rsidRPr="00346BE3" w14:paraId="6294B853" w14:textId="77777777" w:rsidTr="00E05341">
        <w:trPr>
          <w:trHeight w:val="315"/>
        </w:trPr>
        <w:tc>
          <w:tcPr>
            <w:tcW w:w="1636" w:type="pct"/>
            <w:tcBorders>
              <w:top w:val="nil"/>
              <w:left w:val="single" w:sz="8" w:space="0" w:color="auto"/>
              <w:bottom w:val="single" w:sz="8" w:space="0" w:color="auto"/>
              <w:right w:val="single" w:sz="8" w:space="0" w:color="auto"/>
            </w:tcBorders>
            <w:shd w:val="clear" w:color="auto" w:fill="auto"/>
            <w:noWrap/>
            <w:vAlign w:val="center"/>
            <w:hideMark/>
          </w:tcPr>
          <w:p w14:paraId="4E31B367"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Suficit/deficit javnih finansija</w:t>
            </w:r>
          </w:p>
        </w:tc>
        <w:tc>
          <w:tcPr>
            <w:tcW w:w="2034" w:type="pct"/>
            <w:tcBorders>
              <w:top w:val="nil"/>
              <w:left w:val="nil"/>
              <w:bottom w:val="single" w:sz="8" w:space="0" w:color="auto"/>
              <w:right w:val="single" w:sz="8" w:space="0" w:color="auto"/>
            </w:tcBorders>
            <w:shd w:val="clear" w:color="auto" w:fill="auto"/>
            <w:noWrap/>
            <w:vAlign w:val="center"/>
            <w:hideMark/>
          </w:tcPr>
          <w:p w14:paraId="63BC581F"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-227.1</w:t>
            </w:r>
          </w:p>
        </w:tc>
        <w:tc>
          <w:tcPr>
            <w:tcW w:w="460" w:type="pct"/>
            <w:tcBorders>
              <w:top w:val="nil"/>
              <w:left w:val="nil"/>
              <w:bottom w:val="single" w:sz="8" w:space="0" w:color="auto"/>
              <w:right w:val="single" w:sz="8" w:space="0" w:color="auto"/>
            </w:tcBorders>
            <w:shd w:val="clear" w:color="auto" w:fill="auto"/>
            <w:noWrap/>
            <w:vAlign w:val="center"/>
            <w:hideMark/>
          </w:tcPr>
          <w:p w14:paraId="4B8D9812"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-277.8</w:t>
            </w:r>
          </w:p>
        </w:tc>
        <w:tc>
          <w:tcPr>
            <w:tcW w:w="460" w:type="pct"/>
            <w:tcBorders>
              <w:top w:val="nil"/>
              <w:left w:val="nil"/>
              <w:bottom w:val="single" w:sz="8" w:space="0" w:color="auto"/>
              <w:right w:val="single" w:sz="8" w:space="0" w:color="auto"/>
            </w:tcBorders>
            <w:shd w:val="clear" w:color="auto" w:fill="auto"/>
            <w:noWrap/>
            <w:vAlign w:val="center"/>
            <w:hideMark/>
          </w:tcPr>
          <w:p w14:paraId="120FB938"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-259.3</w:t>
            </w:r>
          </w:p>
        </w:tc>
        <w:tc>
          <w:tcPr>
            <w:tcW w:w="409" w:type="pct"/>
            <w:tcBorders>
              <w:top w:val="nil"/>
              <w:left w:val="nil"/>
              <w:bottom w:val="single" w:sz="8" w:space="0" w:color="auto"/>
              <w:right w:val="single" w:sz="8" w:space="0" w:color="auto"/>
            </w:tcBorders>
            <w:shd w:val="clear" w:color="auto" w:fill="auto"/>
            <w:noWrap/>
            <w:vAlign w:val="center"/>
            <w:hideMark/>
          </w:tcPr>
          <w:p w14:paraId="0041422F" w14:textId="6391B5AD"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-266</w:t>
            </w:r>
            <w:r w:rsidR="003B2A43">
              <w:rPr>
                <w:rFonts w:eastAsia="Times New Roman" w:cstheme="minorHAnsi"/>
                <w:sz w:val="18"/>
                <w:szCs w:val="18"/>
              </w:rPr>
              <w:t>.0</w:t>
            </w:r>
          </w:p>
        </w:tc>
      </w:tr>
      <w:tr w:rsidR="00E05341" w:rsidRPr="00346BE3" w14:paraId="23BCF511" w14:textId="77777777" w:rsidTr="00E05341">
        <w:trPr>
          <w:trHeight w:val="315"/>
        </w:trPr>
        <w:tc>
          <w:tcPr>
            <w:tcW w:w="1636" w:type="pct"/>
            <w:tcBorders>
              <w:top w:val="nil"/>
              <w:left w:val="single" w:sz="8" w:space="0" w:color="auto"/>
              <w:bottom w:val="single" w:sz="8" w:space="0" w:color="auto"/>
              <w:right w:val="single" w:sz="8" w:space="0" w:color="auto"/>
            </w:tcBorders>
            <w:shd w:val="clear" w:color="auto" w:fill="auto"/>
            <w:noWrap/>
            <w:vAlign w:val="center"/>
            <w:hideMark/>
          </w:tcPr>
          <w:p w14:paraId="7E702B48" w14:textId="77777777" w:rsidR="00E05341" w:rsidRPr="00346BE3" w:rsidRDefault="00E05341" w:rsidP="00E05341">
            <w:pPr>
              <w:spacing w:after="0" w:line="240" w:lineRule="auto"/>
              <w:rPr>
                <w:rFonts w:eastAsia="Times New Roman" w:cstheme="minorHAnsi"/>
                <w:sz w:val="18"/>
                <w:szCs w:val="18"/>
              </w:rPr>
            </w:pPr>
            <w:r w:rsidRPr="00346BE3">
              <w:rPr>
                <w:rFonts w:eastAsia="Times New Roman" w:cstheme="minorHAnsi"/>
                <w:sz w:val="18"/>
                <w:szCs w:val="18"/>
              </w:rPr>
              <w:t> </w:t>
            </w:r>
          </w:p>
        </w:tc>
        <w:tc>
          <w:tcPr>
            <w:tcW w:w="3364" w:type="pct"/>
            <w:gridSpan w:val="4"/>
            <w:tcBorders>
              <w:top w:val="single" w:sz="8" w:space="0" w:color="auto"/>
              <w:left w:val="nil"/>
              <w:bottom w:val="single" w:sz="8" w:space="0" w:color="auto"/>
              <w:right w:val="single" w:sz="8" w:space="0" w:color="000000"/>
            </w:tcBorders>
            <w:shd w:val="clear" w:color="auto" w:fill="auto"/>
            <w:noWrap/>
            <w:vAlign w:val="center"/>
            <w:hideMark/>
          </w:tcPr>
          <w:p w14:paraId="30395D4C" w14:textId="77777777" w:rsidR="00E05341" w:rsidRPr="00346BE3" w:rsidRDefault="00E05341" w:rsidP="00E05341">
            <w:pPr>
              <w:spacing w:after="0" w:line="240" w:lineRule="auto"/>
              <w:jc w:val="center"/>
              <w:rPr>
                <w:rFonts w:eastAsia="Times New Roman" w:cstheme="minorHAnsi"/>
                <w:b/>
                <w:bCs/>
                <w:sz w:val="18"/>
                <w:szCs w:val="18"/>
              </w:rPr>
            </w:pPr>
            <w:r w:rsidRPr="00346BE3">
              <w:rPr>
                <w:rFonts w:eastAsia="Times New Roman" w:cstheme="minorHAnsi"/>
                <w:b/>
                <w:bCs/>
                <w:sz w:val="18"/>
                <w:szCs w:val="18"/>
              </w:rPr>
              <w:t>RAZLIKA</w:t>
            </w:r>
          </w:p>
        </w:tc>
      </w:tr>
      <w:tr w:rsidR="00E05341" w:rsidRPr="00346BE3" w14:paraId="3179D584" w14:textId="77777777" w:rsidTr="00E05341">
        <w:trPr>
          <w:trHeight w:val="315"/>
        </w:trPr>
        <w:tc>
          <w:tcPr>
            <w:tcW w:w="1636" w:type="pct"/>
            <w:tcBorders>
              <w:top w:val="nil"/>
              <w:left w:val="single" w:sz="8" w:space="0" w:color="auto"/>
              <w:bottom w:val="single" w:sz="8" w:space="0" w:color="auto"/>
              <w:right w:val="single" w:sz="8" w:space="0" w:color="auto"/>
            </w:tcBorders>
            <w:shd w:val="clear" w:color="auto" w:fill="auto"/>
            <w:noWrap/>
            <w:vAlign w:val="center"/>
            <w:hideMark/>
          </w:tcPr>
          <w:p w14:paraId="23125974" w14:textId="77777777" w:rsidR="00E05341" w:rsidRPr="00346BE3" w:rsidRDefault="00E05341" w:rsidP="00E05341">
            <w:pPr>
              <w:spacing w:after="0" w:line="240" w:lineRule="auto"/>
              <w:rPr>
                <w:rFonts w:eastAsia="Times New Roman" w:cstheme="minorHAnsi"/>
                <w:b/>
                <w:bCs/>
                <w:sz w:val="18"/>
                <w:szCs w:val="18"/>
              </w:rPr>
            </w:pPr>
            <w:r w:rsidRPr="00346BE3">
              <w:rPr>
                <w:rFonts w:eastAsia="Times New Roman" w:cstheme="minorHAnsi"/>
                <w:b/>
                <w:bCs/>
                <w:sz w:val="18"/>
                <w:szCs w:val="18"/>
              </w:rPr>
              <w:t> </w:t>
            </w:r>
          </w:p>
        </w:tc>
        <w:tc>
          <w:tcPr>
            <w:tcW w:w="2034" w:type="pct"/>
            <w:tcBorders>
              <w:top w:val="nil"/>
              <w:left w:val="nil"/>
              <w:bottom w:val="single" w:sz="8" w:space="0" w:color="auto"/>
              <w:right w:val="single" w:sz="8" w:space="0" w:color="auto"/>
            </w:tcBorders>
            <w:shd w:val="clear" w:color="auto" w:fill="auto"/>
            <w:noWrap/>
            <w:vAlign w:val="center"/>
            <w:hideMark/>
          </w:tcPr>
          <w:p w14:paraId="11FE8D89" w14:textId="77777777" w:rsidR="00E05341" w:rsidRPr="00346BE3" w:rsidRDefault="00E05341" w:rsidP="00E05341">
            <w:pPr>
              <w:spacing w:after="0" w:line="240" w:lineRule="auto"/>
              <w:jc w:val="center"/>
              <w:rPr>
                <w:rFonts w:eastAsia="Times New Roman" w:cstheme="minorHAnsi"/>
                <w:b/>
                <w:bCs/>
                <w:sz w:val="18"/>
                <w:szCs w:val="18"/>
              </w:rPr>
            </w:pPr>
            <w:r w:rsidRPr="00346BE3">
              <w:rPr>
                <w:rFonts w:eastAsia="Times New Roman" w:cstheme="minorHAnsi"/>
                <w:b/>
                <w:bCs/>
                <w:sz w:val="18"/>
                <w:szCs w:val="18"/>
              </w:rPr>
              <w:t>2024</w:t>
            </w:r>
          </w:p>
        </w:tc>
        <w:tc>
          <w:tcPr>
            <w:tcW w:w="460" w:type="pct"/>
            <w:tcBorders>
              <w:top w:val="nil"/>
              <w:left w:val="nil"/>
              <w:bottom w:val="single" w:sz="8" w:space="0" w:color="auto"/>
              <w:right w:val="single" w:sz="8" w:space="0" w:color="auto"/>
            </w:tcBorders>
            <w:shd w:val="clear" w:color="auto" w:fill="auto"/>
            <w:noWrap/>
            <w:vAlign w:val="center"/>
            <w:hideMark/>
          </w:tcPr>
          <w:p w14:paraId="6D8884CD" w14:textId="77777777" w:rsidR="00E05341" w:rsidRPr="00346BE3" w:rsidRDefault="00E05341" w:rsidP="00E05341">
            <w:pPr>
              <w:spacing w:after="0" w:line="240" w:lineRule="auto"/>
              <w:jc w:val="center"/>
              <w:rPr>
                <w:rFonts w:eastAsia="Times New Roman" w:cstheme="minorHAnsi"/>
                <w:b/>
                <w:bCs/>
                <w:sz w:val="18"/>
                <w:szCs w:val="18"/>
              </w:rPr>
            </w:pPr>
            <w:r w:rsidRPr="00346BE3">
              <w:rPr>
                <w:rFonts w:eastAsia="Times New Roman" w:cstheme="minorHAnsi"/>
                <w:b/>
                <w:bCs/>
                <w:sz w:val="18"/>
                <w:szCs w:val="18"/>
              </w:rPr>
              <w:t>2025</w:t>
            </w:r>
          </w:p>
        </w:tc>
        <w:tc>
          <w:tcPr>
            <w:tcW w:w="460" w:type="pct"/>
            <w:tcBorders>
              <w:top w:val="nil"/>
              <w:left w:val="nil"/>
              <w:bottom w:val="single" w:sz="8" w:space="0" w:color="auto"/>
              <w:right w:val="single" w:sz="8" w:space="0" w:color="auto"/>
            </w:tcBorders>
            <w:shd w:val="clear" w:color="auto" w:fill="auto"/>
            <w:noWrap/>
            <w:vAlign w:val="center"/>
            <w:hideMark/>
          </w:tcPr>
          <w:p w14:paraId="295BA9FB" w14:textId="77777777" w:rsidR="00E05341" w:rsidRPr="00346BE3" w:rsidRDefault="00E05341" w:rsidP="00E05341">
            <w:pPr>
              <w:spacing w:after="0" w:line="240" w:lineRule="auto"/>
              <w:jc w:val="center"/>
              <w:rPr>
                <w:rFonts w:eastAsia="Times New Roman" w:cstheme="minorHAnsi"/>
                <w:b/>
                <w:bCs/>
                <w:sz w:val="18"/>
                <w:szCs w:val="18"/>
              </w:rPr>
            </w:pPr>
            <w:r w:rsidRPr="00346BE3">
              <w:rPr>
                <w:rFonts w:eastAsia="Times New Roman" w:cstheme="minorHAnsi"/>
                <w:b/>
                <w:bCs/>
                <w:sz w:val="18"/>
                <w:szCs w:val="18"/>
              </w:rPr>
              <w:t>2026</w:t>
            </w:r>
          </w:p>
        </w:tc>
        <w:tc>
          <w:tcPr>
            <w:tcW w:w="409" w:type="pct"/>
            <w:tcBorders>
              <w:top w:val="nil"/>
              <w:left w:val="nil"/>
              <w:bottom w:val="single" w:sz="8" w:space="0" w:color="auto"/>
              <w:right w:val="single" w:sz="8" w:space="0" w:color="auto"/>
            </w:tcBorders>
            <w:shd w:val="clear" w:color="auto" w:fill="auto"/>
            <w:noWrap/>
            <w:vAlign w:val="center"/>
            <w:hideMark/>
          </w:tcPr>
          <w:p w14:paraId="3C94BF40" w14:textId="77777777" w:rsidR="00E05341" w:rsidRPr="00346BE3" w:rsidRDefault="00E05341" w:rsidP="00E05341">
            <w:pPr>
              <w:spacing w:after="0" w:line="240" w:lineRule="auto"/>
              <w:jc w:val="center"/>
              <w:rPr>
                <w:rFonts w:eastAsia="Times New Roman" w:cstheme="minorHAnsi"/>
                <w:b/>
                <w:bCs/>
                <w:sz w:val="18"/>
                <w:szCs w:val="18"/>
              </w:rPr>
            </w:pPr>
            <w:r w:rsidRPr="00346BE3">
              <w:rPr>
                <w:rFonts w:eastAsia="Times New Roman" w:cstheme="minorHAnsi"/>
                <w:b/>
                <w:bCs/>
                <w:sz w:val="18"/>
                <w:szCs w:val="18"/>
              </w:rPr>
              <w:t>2027</w:t>
            </w:r>
          </w:p>
        </w:tc>
      </w:tr>
      <w:tr w:rsidR="00E05341" w:rsidRPr="00346BE3" w14:paraId="11CF1B52" w14:textId="77777777" w:rsidTr="00E05341">
        <w:trPr>
          <w:trHeight w:val="315"/>
        </w:trPr>
        <w:tc>
          <w:tcPr>
            <w:tcW w:w="1636" w:type="pct"/>
            <w:tcBorders>
              <w:top w:val="nil"/>
              <w:left w:val="single" w:sz="8" w:space="0" w:color="auto"/>
              <w:bottom w:val="single" w:sz="8" w:space="0" w:color="auto"/>
              <w:right w:val="single" w:sz="8" w:space="0" w:color="auto"/>
            </w:tcBorders>
            <w:shd w:val="clear" w:color="auto" w:fill="auto"/>
            <w:noWrap/>
            <w:vAlign w:val="center"/>
            <w:hideMark/>
          </w:tcPr>
          <w:p w14:paraId="2A00E592"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Javni prihodi</w:t>
            </w:r>
          </w:p>
        </w:tc>
        <w:tc>
          <w:tcPr>
            <w:tcW w:w="2034" w:type="pct"/>
            <w:tcBorders>
              <w:top w:val="nil"/>
              <w:left w:val="nil"/>
              <w:bottom w:val="single" w:sz="8" w:space="0" w:color="auto"/>
              <w:right w:val="single" w:sz="8" w:space="0" w:color="auto"/>
            </w:tcBorders>
            <w:shd w:val="clear" w:color="auto" w:fill="auto"/>
            <w:noWrap/>
            <w:vAlign w:val="center"/>
            <w:hideMark/>
          </w:tcPr>
          <w:p w14:paraId="7F73E9DA"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54.92</w:t>
            </w:r>
          </w:p>
        </w:tc>
        <w:tc>
          <w:tcPr>
            <w:tcW w:w="460" w:type="pct"/>
            <w:tcBorders>
              <w:top w:val="nil"/>
              <w:left w:val="nil"/>
              <w:bottom w:val="single" w:sz="8" w:space="0" w:color="auto"/>
              <w:right w:val="single" w:sz="8" w:space="0" w:color="auto"/>
            </w:tcBorders>
            <w:shd w:val="clear" w:color="auto" w:fill="auto"/>
            <w:noWrap/>
            <w:vAlign w:val="center"/>
            <w:hideMark/>
          </w:tcPr>
          <w:p w14:paraId="1CDF4BE8"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47.82</w:t>
            </w:r>
          </w:p>
        </w:tc>
        <w:tc>
          <w:tcPr>
            <w:tcW w:w="460" w:type="pct"/>
            <w:tcBorders>
              <w:top w:val="nil"/>
              <w:left w:val="nil"/>
              <w:bottom w:val="single" w:sz="8" w:space="0" w:color="auto"/>
              <w:right w:val="single" w:sz="8" w:space="0" w:color="auto"/>
            </w:tcBorders>
            <w:shd w:val="clear" w:color="auto" w:fill="auto"/>
            <w:noWrap/>
            <w:vAlign w:val="center"/>
            <w:hideMark/>
          </w:tcPr>
          <w:p w14:paraId="3D6FB290"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51.00</w:t>
            </w:r>
          </w:p>
        </w:tc>
        <w:tc>
          <w:tcPr>
            <w:tcW w:w="409" w:type="pct"/>
            <w:tcBorders>
              <w:top w:val="nil"/>
              <w:left w:val="nil"/>
              <w:bottom w:val="single" w:sz="8" w:space="0" w:color="auto"/>
              <w:right w:val="single" w:sz="8" w:space="0" w:color="auto"/>
            </w:tcBorders>
            <w:shd w:val="clear" w:color="auto" w:fill="auto"/>
            <w:noWrap/>
            <w:vAlign w:val="center"/>
            <w:hideMark/>
          </w:tcPr>
          <w:p w14:paraId="01220965" w14:textId="77777777" w:rsidR="00E05341" w:rsidRPr="00346BE3" w:rsidRDefault="00E05341" w:rsidP="00E05341">
            <w:pPr>
              <w:spacing w:after="0" w:line="240" w:lineRule="auto"/>
              <w:rPr>
                <w:rFonts w:eastAsia="Times New Roman" w:cstheme="minorHAnsi"/>
                <w:sz w:val="18"/>
                <w:szCs w:val="18"/>
              </w:rPr>
            </w:pPr>
            <w:r w:rsidRPr="00346BE3">
              <w:rPr>
                <w:rFonts w:eastAsia="Times New Roman" w:cstheme="minorHAnsi"/>
                <w:sz w:val="18"/>
                <w:szCs w:val="18"/>
              </w:rPr>
              <w:t>     -</w:t>
            </w:r>
          </w:p>
        </w:tc>
      </w:tr>
      <w:tr w:rsidR="00E05341" w:rsidRPr="00346BE3" w14:paraId="41BA4ADE" w14:textId="77777777" w:rsidTr="00E05341">
        <w:trPr>
          <w:trHeight w:val="315"/>
        </w:trPr>
        <w:tc>
          <w:tcPr>
            <w:tcW w:w="1636" w:type="pct"/>
            <w:tcBorders>
              <w:top w:val="nil"/>
              <w:left w:val="single" w:sz="8" w:space="0" w:color="auto"/>
              <w:bottom w:val="single" w:sz="8" w:space="0" w:color="auto"/>
              <w:right w:val="single" w:sz="8" w:space="0" w:color="auto"/>
            </w:tcBorders>
            <w:shd w:val="clear" w:color="auto" w:fill="auto"/>
            <w:noWrap/>
            <w:vAlign w:val="center"/>
            <w:hideMark/>
          </w:tcPr>
          <w:p w14:paraId="5157D209"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Javna potrošnja</w:t>
            </w:r>
          </w:p>
        </w:tc>
        <w:tc>
          <w:tcPr>
            <w:tcW w:w="2034" w:type="pct"/>
            <w:tcBorders>
              <w:top w:val="nil"/>
              <w:left w:val="nil"/>
              <w:bottom w:val="single" w:sz="8" w:space="0" w:color="auto"/>
              <w:right w:val="single" w:sz="8" w:space="0" w:color="auto"/>
            </w:tcBorders>
            <w:shd w:val="clear" w:color="auto" w:fill="auto"/>
            <w:noWrap/>
            <w:vAlign w:val="center"/>
            <w:hideMark/>
          </w:tcPr>
          <w:p w14:paraId="31217FEB" w14:textId="45600A49"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-80</w:t>
            </w:r>
            <w:r w:rsidR="003B2A43">
              <w:rPr>
                <w:rFonts w:eastAsia="Times New Roman" w:cstheme="minorHAnsi"/>
                <w:sz w:val="18"/>
                <w:szCs w:val="18"/>
              </w:rPr>
              <w:t>.0</w:t>
            </w:r>
            <w:r w:rsidR="00083EE3">
              <w:rPr>
                <w:rFonts w:eastAsia="Times New Roman" w:cstheme="minorHAnsi"/>
                <w:sz w:val="18"/>
                <w:szCs w:val="18"/>
              </w:rPr>
              <w:t>2</w:t>
            </w:r>
          </w:p>
        </w:tc>
        <w:tc>
          <w:tcPr>
            <w:tcW w:w="460" w:type="pct"/>
            <w:tcBorders>
              <w:top w:val="nil"/>
              <w:left w:val="nil"/>
              <w:bottom w:val="single" w:sz="8" w:space="0" w:color="auto"/>
              <w:right w:val="single" w:sz="8" w:space="0" w:color="auto"/>
            </w:tcBorders>
            <w:shd w:val="clear" w:color="auto" w:fill="auto"/>
            <w:noWrap/>
            <w:vAlign w:val="center"/>
            <w:hideMark/>
          </w:tcPr>
          <w:p w14:paraId="6D353807" w14:textId="6BF3AB50"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53.76</w:t>
            </w:r>
          </w:p>
        </w:tc>
        <w:tc>
          <w:tcPr>
            <w:tcW w:w="460" w:type="pct"/>
            <w:tcBorders>
              <w:top w:val="nil"/>
              <w:left w:val="nil"/>
              <w:bottom w:val="single" w:sz="8" w:space="0" w:color="auto"/>
              <w:right w:val="single" w:sz="8" w:space="0" w:color="auto"/>
            </w:tcBorders>
            <w:shd w:val="clear" w:color="auto" w:fill="auto"/>
            <w:noWrap/>
            <w:vAlign w:val="center"/>
            <w:hideMark/>
          </w:tcPr>
          <w:p w14:paraId="2DB366B2"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85.03</w:t>
            </w:r>
          </w:p>
        </w:tc>
        <w:tc>
          <w:tcPr>
            <w:tcW w:w="409" w:type="pct"/>
            <w:tcBorders>
              <w:top w:val="nil"/>
              <w:left w:val="nil"/>
              <w:bottom w:val="single" w:sz="8" w:space="0" w:color="auto"/>
              <w:right w:val="single" w:sz="8" w:space="0" w:color="auto"/>
            </w:tcBorders>
            <w:shd w:val="clear" w:color="auto" w:fill="auto"/>
            <w:noWrap/>
            <w:vAlign w:val="center"/>
            <w:hideMark/>
          </w:tcPr>
          <w:p w14:paraId="567781C5" w14:textId="77777777" w:rsidR="00E05341" w:rsidRPr="00346BE3" w:rsidRDefault="00E05341" w:rsidP="00E05341">
            <w:pPr>
              <w:spacing w:after="0" w:line="240" w:lineRule="auto"/>
              <w:rPr>
                <w:rFonts w:eastAsia="Times New Roman" w:cstheme="minorHAnsi"/>
                <w:b/>
                <w:bCs/>
                <w:sz w:val="18"/>
                <w:szCs w:val="18"/>
              </w:rPr>
            </w:pPr>
            <w:r w:rsidRPr="00346BE3">
              <w:rPr>
                <w:rFonts w:eastAsia="Times New Roman" w:cstheme="minorHAnsi"/>
                <w:sz w:val="18"/>
                <w:szCs w:val="18"/>
              </w:rPr>
              <w:t xml:space="preserve">     -</w:t>
            </w:r>
            <w:r w:rsidRPr="00346BE3">
              <w:rPr>
                <w:rFonts w:eastAsia="Times New Roman" w:cstheme="minorHAnsi"/>
                <w:b/>
                <w:bCs/>
                <w:sz w:val="18"/>
                <w:szCs w:val="18"/>
              </w:rPr>
              <w:t> </w:t>
            </w:r>
          </w:p>
        </w:tc>
      </w:tr>
      <w:tr w:rsidR="00E05341" w:rsidRPr="00346BE3" w14:paraId="74C44C36" w14:textId="77777777" w:rsidTr="00E05341">
        <w:trPr>
          <w:trHeight w:val="315"/>
        </w:trPr>
        <w:tc>
          <w:tcPr>
            <w:tcW w:w="1636" w:type="pct"/>
            <w:tcBorders>
              <w:top w:val="nil"/>
              <w:left w:val="single" w:sz="8" w:space="0" w:color="auto"/>
              <w:bottom w:val="single" w:sz="8" w:space="0" w:color="auto"/>
              <w:right w:val="single" w:sz="8" w:space="0" w:color="auto"/>
            </w:tcBorders>
            <w:shd w:val="clear" w:color="auto" w:fill="auto"/>
            <w:noWrap/>
            <w:vAlign w:val="center"/>
            <w:hideMark/>
          </w:tcPr>
          <w:p w14:paraId="22D6FA7F"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Suficit/deficit javnih finansija</w:t>
            </w:r>
          </w:p>
        </w:tc>
        <w:tc>
          <w:tcPr>
            <w:tcW w:w="2034" w:type="pct"/>
            <w:tcBorders>
              <w:top w:val="nil"/>
              <w:left w:val="nil"/>
              <w:bottom w:val="single" w:sz="8" w:space="0" w:color="auto"/>
              <w:right w:val="single" w:sz="8" w:space="0" w:color="auto"/>
            </w:tcBorders>
            <w:shd w:val="clear" w:color="auto" w:fill="auto"/>
            <w:noWrap/>
            <w:vAlign w:val="center"/>
            <w:hideMark/>
          </w:tcPr>
          <w:p w14:paraId="2C54976E" w14:textId="11176ED5" w:rsidR="00E05341" w:rsidRPr="00346BE3" w:rsidRDefault="003B2A43" w:rsidP="00E05341">
            <w:pPr>
              <w:spacing w:after="0" w:line="240" w:lineRule="auto"/>
              <w:jc w:val="center"/>
              <w:rPr>
                <w:rFonts w:eastAsia="Times New Roman" w:cstheme="minorHAnsi"/>
                <w:sz w:val="18"/>
                <w:szCs w:val="18"/>
              </w:rPr>
            </w:pPr>
            <w:r>
              <w:rPr>
                <w:rFonts w:eastAsia="Times New Roman" w:cstheme="minorHAnsi"/>
                <w:sz w:val="18"/>
                <w:szCs w:val="18"/>
              </w:rPr>
              <w:t>-134.9</w:t>
            </w:r>
            <w:r w:rsidR="00083EE3">
              <w:rPr>
                <w:rFonts w:eastAsia="Times New Roman" w:cstheme="minorHAnsi"/>
                <w:sz w:val="18"/>
                <w:szCs w:val="18"/>
              </w:rPr>
              <w:t>4</w:t>
            </w:r>
          </w:p>
        </w:tc>
        <w:tc>
          <w:tcPr>
            <w:tcW w:w="460" w:type="pct"/>
            <w:tcBorders>
              <w:top w:val="nil"/>
              <w:left w:val="nil"/>
              <w:bottom w:val="single" w:sz="8" w:space="0" w:color="auto"/>
              <w:right w:val="single" w:sz="8" w:space="0" w:color="auto"/>
            </w:tcBorders>
            <w:shd w:val="clear" w:color="auto" w:fill="auto"/>
            <w:noWrap/>
            <w:vAlign w:val="center"/>
            <w:hideMark/>
          </w:tcPr>
          <w:p w14:paraId="444220C4"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5.94</w:t>
            </w:r>
          </w:p>
        </w:tc>
        <w:tc>
          <w:tcPr>
            <w:tcW w:w="460" w:type="pct"/>
            <w:tcBorders>
              <w:top w:val="nil"/>
              <w:left w:val="nil"/>
              <w:bottom w:val="single" w:sz="8" w:space="0" w:color="auto"/>
              <w:right w:val="single" w:sz="8" w:space="0" w:color="auto"/>
            </w:tcBorders>
            <w:shd w:val="clear" w:color="auto" w:fill="auto"/>
            <w:noWrap/>
            <w:vAlign w:val="center"/>
            <w:hideMark/>
          </w:tcPr>
          <w:p w14:paraId="37EFD5D2" w14:textId="77777777" w:rsidR="00E05341" w:rsidRPr="00346BE3" w:rsidRDefault="00E05341" w:rsidP="00E05341">
            <w:pPr>
              <w:spacing w:after="0" w:line="240" w:lineRule="auto"/>
              <w:jc w:val="center"/>
              <w:rPr>
                <w:rFonts w:eastAsia="Times New Roman" w:cstheme="minorHAnsi"/>
                <w:sz w:val="18"/>
                <w:szCs w:val="18"/>
              </w:rPr>
            </w:pPr>
            <w:r w:rsidRPr="00346BE3">
              <w:rPr>
                <w:rFonts w:eastAsia="Times New Roman" w:cstheme="minorHAnsi"/>
                <w:sz w:val="18"/>
                <w:szCs w:val="18"/>
              </w:rPr>
              <w:t>34.03</w:t>
            </w:r>
          </w:p>
        </w:tc>
        <w:tc>
          <w:tcPr>
            <w:tcW w:w="409" w:type="pct"/>
            <w:tcBorders>
              <w:top w:val="nil"/>
              <w:left w:val="nil"/>
              <w:bottom w:val="single" w:sz="8" w:space="0" w:color="auto"/>
              <w:right w:val="single" w:sz="8" w:space="0" w:color="auto"/>
            </w:tcBorders>
            <w:shd w:val="clear" w:color="auto" w:fill="auto"/>
            <w:noWrap/>
            <w:vAlign w:val="center"/>
            <w:hideMark/>
          </w:tcPr>
          <w:p w14:paraId="06EAB23C" w14:textId="77777777" w:rsidR="00E05341" w:rsidRPr="00346BE3" w:rsidRDefault="00E05341" w:rsidP="00E05341">
            <w:pPr>
              <w:spacing w:after="0" w:line="240" w:lineRule="auto"/>
              <w:rPr>
                <w:rFonts w:eastAsia="Times New Roman" w:cstheme="minorHAnsi"/>
                <w:sz w:val="18"/>
                <w:szCs w:val="18"/>
              </w:rPr>
            </w:pPr>
            <w:r w:rsidRPr="00346BE3">
              <w:rPr>
                <w:rFonts w:eastAsia="Times New Roman" w:cstheme="minorHAnsi"/>
                <w:sz w:val="18"/>
                <w:szCs w:val="18"/>
              </w:rPr>
              <w:t>     -</w:t>
            </w:r>
          </w:p>
        </w:tc>
      </w:tr>
    </w:tbl>
    <w:p w14:paraId="29AC9819" w14:textId="71ED8A7D" w:rsidR="00E05341" w:rsidRPr="00B70734" w:rsidRDefault="00B70734" w:rsidP="00E05341">
      <w:pPr>
        <w:jc w:val="both"/>
        <w:rPr>
          <w:i/>
          <w:sz w:val="18"/>
          <w:szCs w:val="24"/>
        </w:rPr>
      </w:pPr>
      <w:r w:rsidRPr="00B70734">
        <w:rPr>
          <w:i/>
          <w:sz w:val="18"/>
          <w:szCs w:val="24"/>
        </w:rPr>
        <w:t>Izvor: Ministarstvo finansija</w:t>
      </w:r>
    </w:p>
    <w:p w14:paraId="5D53C0E3" w14:textId="77777777" w:rsidR="00E05341" w:rsidRPr="00437131" w:rsidRDefault="00E05341" w:rsidP="00E05341">
      <w:pPr>
        <w:jc w:val="both"/>
        <w:rPr>
          <w:sz w:val="24"/>
          <w:szCs w:val="24"/>
        </w:rPr>
      </w:pPr>
      <w:r w:rsidRPr="00437131">
        <w:rPr>
          <w:sz w:val="24"/>
          <w:szCs w:val="24"/>
        </w:rPr>
        <w:t xml:space="preserve">Javni prihodi u svim godinama projekcije će biti ostvareni na višem nivou nego što je to bilo projektovano prethodnim programom. Navedeni rast prihoda ostvariće se prvenstveno usljed implementacije programa Evropa sad 2, značajnih stopa ekonomskog rasta, rasta potrošnje, snažnije borbe protiv sive ekonomije, kao i predviđenim setom mjera na prihodnoj strani. </w:t>
      </w:r>
    </w:p>
    <w:p w14:paraId="711B9B14" w14:textId="77777777" w:rsidR="00E05341" w:rsidRPr="00437131" w:rsidRDefault="00E05341" w:rsidP="00E05341">
      <w:pPr>
        <w:jc w:val="both"/>
        <w:rPr>
          <w:sz w:val="24"/>
          <w:szCs w:val="24"/>
        </w:rPr>
      </w:pPr>
      <w:r w:rsidRPr="00437131">
        <w:rPr>
          <w:sz w:val="24"/>
          <w:szCs w:val="24"/>
        </w:rPr>
        <w:t xml:space="preserve">U tom kontekstu, javni prihoda u srednjem roku kretaće se u intervalu od 3.283,0 mil. € ili 41,2% BDP-a (7.965,4 mil. €) u 2025. godini do 3.527,2 mil. € ili 40,3% BDP-a (8.757,5 mil. €) u 2027. godini. </w:t>
      </w:r>
    </w:p>
    <w:p w14:paraId="4B194D92" w14:textId="77777777" w:rsidR="00E05341" w:rsidRPr="00437131" w:rsidRDefault="00E05341" w:rsidP="00E05341">
      <w:pPr>
        <w:jc w:val="both"/>
        <w:rPr>
          <w:sz w:val="24"/>
          <w:szCs w:val="24"/>
        </w:rPr>
      </w:pPr>
      <w:r w:rsidRPr="00437131">
        <w:rPr>
          <w:sz w:val="24"/>
          <w:szCs w:val="24"/>
        </w:rPr>
        <w:t xml:space="preserve">Gotovo sve glavne kategorije prihoda bilježiće rast u srednjem roku, osim kategorije doprinosa koja će biti manja usljed implementacije programa Evropa sad 2, koji podrazumijeva rast plata i penzija u srednjem roku, a počev već od 2024. godine. </w:t>
      </w:r>
    </w:p>
    <w:p w14:paraId="24C1A4E5" w14:textId="77777777" w:rsidR="00E05341" w:rsidRPr="00437131" w:rsidRDefault="00E05341" w:rsidP="00E05341">
      <w:pPr>
        <w:jc w:val="both"/>
        <w:rPr>
          <w:sz w:val="24"/>
          <w:szCs w:val="24"/>
        </w:rPr>
      </w:pPr>
      <w:r w:rsidRPr="00437131">
        <w:rPr>
          <w:sz w:val="24"/>
          <w:szCs w:val="24"/>
        </w:rPr>
        <w:t xml:space="preserve">Prihodi budžeta po osnovu PDV-a bilježiće rast od oko 7% u srednjem roku uz stabilno učešće od oko 17% BDP-a, najviše kao rezultat ujednačavanja stope PDV-a, ali i kao rezultat rasta potrošnje usljed većeg raspoloživog dohotka građana. </w:t>
      </w:r>
    </w:p>
    <w:p w14:paraId="33DFAA47" w14:textId="77777777" w:rsidR="00E05341" w:rsidRPr="00437131" w:rsidRDefault="00E05341" w:rsidP="00E05341">
      <w:pPr>
        <w:jc w:val="both"/>
        <w:rPr>
          <w:sz w:val="24"/>
          <w:szCs w:val="24"/>
        </w:rPr>
      </w:pPr>
      <w:r w:rsidRPr="00437131">
        <w:rPr>
          <w:sz w:val="24"/>
          <w:szCs w:val="24"/>
        </w:rPr>
        <w:t xml:space="preserve">Prihodi po osnovu poreza na dohodak fizičkih lica ostvariće stopu rasta od oko 7%, njaviše kao efekat implementacije programa Evropa sad 2, kojim se povećavaju zarade zaposlenih i dolazi do jačanja baze po osnovu poreza na dohodak fizičkih lica. </w:t>
      </w:r>
    </w:p>
    <w:p w14:paraId="26942B67" w14:textId="4862DE4A" w:rsidR="00E05341" w:rsidRPr="00437131" w:rsidRDefault="00E05341" w:rsidP="00E05341">
      <w:pPr>
        <w:jc w:val="both"/>
        <w:rPr>
          <w:sz w:val="24"/>
          <w:szCs w:val="24"/>
        </w:rPr>
      </w:pPr>
      <w:r w:rsidRPr="00437131">
        <w:rPr>
          <w:sz w:val="24"/>
          <w:szCs w:val="24"/>
        </w:rPr>
        <w:t>Prihodi budžeta po osnovu poreza na</w:t>
      </w:r>
      <w:r w:rsidR="00291D23">
        <w:rPr>
          <w:sz w:val="24"/>
          <w:szCs w:val="24"/>
        </w:rPr>
        <w:t xml:space="preserve"> </w:t>
      </w:r>
      <w:r w:rsidRPr="00437131">
        <w:rPr>
          <w:sz w:val="24"/>
          <w:szCs w:val="24"/>
        </w:rPr>
        <w:t xml:space="preserve">dobit pravnih lica će rasti po stopi od 6% u srednjem roku, a dominantno usljed rasta ekonomske aktivnosti, ali i daljeg jačanja Poreske discipline, uz započinjanje novog investicionog ciklusa. </w:t>
      </w:r>
    </w:p>
    <w:p w14:paraId="1D51DE72" w14:textId="111DAE08" w:rsidR="00E05341" w:rsidRPr="00437131" w:rsidRDefault="00E05341" w:rsidP="00E05341">
      <w:pPr>
        <w:jc w:val="both"/>
        <w:rPr>
          <w:sz w:val="24"/>
          <w:szCs w:val="24"/>
        </w:rPr>
      </w:pPr>
      <w:r w:rsidRPr="00437131">
        <w:rPr>
          <w:sz w:val="24"/>
          <w:szCs w:val="24"/>
        </w:rPr>
        <w:t xml:space="preserve">Akcize će u srednjem roku ostvariti rast po stopi od oko 6%, prevashodno kao rezultat širenja obuhvata akciznih proizvoda, ali i rasta potrošnje. </w:t>
      </w:r>
    </w:p>
    <w:p w14:paraId="2AF8AE4F" w14:textId="77777777" w:rsidR="00346BE3" w:rsidRPr="00437131" w:rsidRDefault="00346BE3" w:rsidP="00346BE3">
      <w:pPr>
        <w:jc w:val="both"/>
        <w:rPr>
          <w:rFonts w:cstheme="minorHAnsi"/>
          <w:sz w:val="24"/>
          <w:szCs w:val="24"/>
          <w:lang w:val="sr-Latn-ME"/>
        </w:rPr>
      </w:pPr>
      <w:r w:rsidRPr="00437131">
        <w:rPr>
          <w:rFonts w:cstheme="minorHAnsi"/>
          <w:sz w:val="24"/>
          <w:szCs w:val="24"/>
          <w:lang w:val="sr-Latn-ME"/>
        </w:rPr>
        <w:t>Sa druge strane, javna potrošnja u 2025. i 2026. godini je procijenjena na većem nivou nego što je to bilo projektovano prethodnim programom uslovljeno dominantno kretanjima izdataka mandatornog karaktera, i to transfera za socijalnu zaštitu i bruto zrada.</w:t>
      </w:r>
    </w:p>
    <w:p w14:paraId="2143E0B2" w14:textId="77777777" w:rsidR="00346BE3" w:rsidRPr="00437131" w:rsidRDefault="00346BE3" w:rsidP="00346BE3">
      <w:pPr>
        <w:jc w:val="both"/>
        <w:rPr>
          <w:rFonts w:cstheme="minorHAnsi"/>
          <w:sz w:val="24"/>
          <w:szCs w:val="24"/>
          <w:lang w:val="sr-Latn-ME"/>
        </w:rPr>
      </w:pPr>
      <w:r w:rsidRPr="00437131">
        <w:rPr>
          <w:rFonts w:cstheme="minorHAnsi"/>
          <w:sz w:val="24"/>
          <w:szCs w:val="24"/>
          <w:lang w:val="sr-Latn-ME"/>
        </w:rPr>
        <w:lastRenderedPageBreak/>
        <w:t>Imajući u vidu projektovane prihoda i rashode, u 2025. godini očekuje se neznatno viši deficti javne potrošnje u odnosu na prethodni program, posmatrajući nominalni iznos. Međutim, u odnosu na BDP, imajući u vidu očekivani brži rast BDP-a u odnosu na rast deficita, projektovani deficit u 2025. godini je niži za 0.2% BDP u odnosu na prošlogodišnji program. U 2026. godini, deficit se projektuje na većem nivo u odnosu na prošlogodišni program, kako sa aspekta nominlanog rasta, tako i sa aspekta tako i sa aspekta rasta kao % BDP-a (razlika u iznosu od 0.3% BDP-a).</w:t>
      </w:r>
    </w:p>
    <w:p w14:paraId="68CF6E97" w14:textId="14934BC9" w:rsidR="00E05341" w:rsidRPr="00437131" w:rsidRDefault="00E05341" w:rsidP="00E05341">
      <w:pPr>
        <w:pStyle w:val="Heading2"/>
        <w:spacing w:after="200"/>
        <w:rPr>
          <w:rFonts w:asciiTheme="minorHAnsi" w:hAnsiTheme="minorHAnsi" w:cstheme="minorHAnsi"/>
          <w:b/>
          <w:sz w:val="24"/>
          <w:szCs w:val="24"/>
          <w:lang w:val="sr-Latn-ME"/>
        </w:rPr>
      </w:pPr>
      <w:bookmarkStart w:id="87" w:name="_Toc88031667"/>
      <w:bookmarkStart w:id="88" w:name="_Toc121347502"/>
      <w:bookmarkStart w:id="89" w:name="_Toc184111652"/>
      <w:r w:rsidRPr="00437131">
        <w:rPr>
          <w:rFonts w:asciiTheme="minorHAnsi" w:hAnsiTheme="minorHAnsi" w:cstheme="minorHAnsi"/>
          <w:b/>
          <w:sz w:val="24"/>
          <w:szCs w:val="24"/>
          <w:lang w:val="sr-Latn-ME"/>
        </w:rPr>
        <w:t>4.8</w:t>
      </w:r>
      <w:r w:rsidR="002E35FA" w:rsidRPr="00437131">
        <w:rPr>
          <w:rFonts w:asciiTheme="minorHAnsi" w:hAnsiTheme="minorHAnsi" w:cstheme="minorHAnsi"/>
          <w:b/>
          <w:sz w:val="24"/>
          <w:szCs w:val="24"/>
          <w:lang w:val="sr-Latn-ME"/>
        </w:rPr>
        <w:t>.</w:t>
      </w:r>
      <w:r w:rsidRPr="00437131">
        <w:rPr>
          <w:rFonts w:asciiTheme="minorHAnsi" w:hAnsiTheme="minorHAnsi" w:cstheme="minorHAnsi"/>
          <w:b/>
          <w:sz w:val="24"/>
          <w:szCs w:val="24"/>
          <w:lang w:val="sr-Latn-ME"/>
        </w:rPr>
        <w:t xml:space="preserve"> Kvalitet javnih finansija</w:t>
      </w:r>
      <w:bookmarkEnd w:id="87"/>
      <w:bookmarkEnd w:id="88"/>
      <w:bookmarkEnd w:id="89"/>
    </w:p>
    <w:p w14:paraId="78D27304" w14:textId="77777777" w:rsidR="00E05341" w:rsidRPr="00437131" w:rsidRDefault="00E05341" w:rsidP="00346BE3">
      <w:pPr>
        <w:jc w:val="both"/>
        <w:rPr>
          <w:rFonts w:cstheme="minorHAnsi"/>
          <w:sz w:val="24"/>
          <w:szCs w:val="24"/>
        </w:rPr>
      </w:pPr>
      <w:r w:rsidRPr="00437131">
        <w:rPr>
          <w:rFonts w:cstheme="minorHAnsi"/>
          <w:sz w:val="24"/>
          <w:szCs w:val="24"/>
        </w:rPr>
        <w:t>Finansijska situacija je stabilna i povoljna, uz evidentan trend rasta naplate prihoda budžeta u skladu sa projektovanim stopama rasta u makroekonomskom ambijentu.</w:t>
      </w:r>
    </w:p>
    <w:p w14:paraId="3C934A54" w14:textId="77777777" w:rsidR="00E05341" w:rsidRPr="00437131" w:rsidRDefault="00E05341" w:rsidP="00346BE3">
      <w:pPr>
        <w:jc w:val="both"/>
        <w:rPr>
          <w:rFonts w:cstheme="minorHAnsi"/>
          <w:sz w:val="24"/>
          <w:szCs w:val="24"/>
        </w:rPr>
      </w:pPr>
      <w:r w:rsidRPr="00437131">
        <w:rPr>
          <w:rFonts w:cstheme="minorHAnsi"/>
          <w:sz w:val="24"/>
          <w:szCs w:val="24"/>
        </w:rPr>
        <w:t>Prilikom planiranja svih mjera koje će se sprovesti u srednjem roku u Crnoj Gori i izračuna efekata korišćeni su unaprijeđeni makroekonomski model, kao i novi mikrosimulacioni model za izračun efekata promjena poreske politike u domenu poreza na dohodak fizičkih lica i doprinosa za penzijsko indalidsko osiguranje. Uz navedeno, plan prihoda budžeta, pogotovo u dijelu efekata implementacije programa Evropa sad 2, kreiran je uz vrlo konzervativne pretpostavke, što uglavnom i predstavlja pristup Ministarstva finansija. Sa druge strane, sve mjere koje će biti implementirane u srednjem roku usmjerene su na balansiranje poreskog okruženja i uglavnom se odnose na ujednačavanje stopa i eliminisanje dosadašnje situacije koja je u određenoj mjeri dovodila do diskriminacije. Ovo se odnosi na jednistvenu stopu PDV-a za sektore hotelijerstva i ugostiteljstva, između ostalih. Osim toga, dio mjera koji se odnosi na rast zarada i penzija direktno je usmjeren na jačanje kvaliteta života građana i rast njihovog standarda.</w:t>
      </w:r>
    </w:p>
    <w:p w14:paraId="79974550" w14:textId="77777777" w:rsidR="00E05341" w:rsidRPr="00437131" w:rsidRDefault="00E05341" w:rsidP="00346BE3">
      <w:pPr>
        <w:jc w:val="both"/>
        <w:rPr>
          <w:rFonts w:cstheme="minorHAnsi"/>
          <w:sz w:val="24"/>
          <w:szCs w:val="24"/>
        </w:rPr>
      </w:pPr>
      <w:r w:rsidRPr="00437131">
        <w:rPr>
          <w:rFonts w:cstheme="minorHAnsi"/>
          <w:sz w:val="24"/>
          <w:szCs w:val="24"/>
        </w:rPr>
        <w:t>Pored svega navedenog, u Fiskalnoj strategiji i programu Evropa sad 2 sadržan je samo dio reformi koje se sprovode na nacionalnom nivou, koje su prioritizovane u ovom periodu. Osim ovih mjera, u planu je i određeni broj izmjena regulative, počev od Zakona o igrama na sreću, a koje će uticati pozitivno na fiskalni bilans, kao i svih ostalih planiranih mjera, a čiji efekti nisu uračunati u srednjeročnim projekcijama. Uz značajan broj planiranih kapitalnih projekata, realizaciju reformi iz Reformske agende i povlačenja tih finansijskih sredstava, predviđen je pozitivan ishod i rezultati, počev već od 2025. godine godine. Dakle, tu je i značajan broj ostalih poreskih mjera i mjera usmjerenih na poboljšanje poslovnog ambijenta, koje će takođe uticati na kompenzaciju izgubljenih prihoda, u cilju osiguranja potpune stabilnosti u pogledu realizacije javnih prihoda.</w:t>
      </w:r>
    </w:p>
    <w:p w14:paraId="3B4B153C" w14:textId="5260296A" w:rsidR="00E05341" w:rsidRPr="00437131" w:rsidRDefault="00E05341" w:rsidP="00346BE3">
      <w:pPr>
        <w:jc w:val="both"/>
        <w:rPr>
          <w:rFonts w:eastAsiaTheme="majorEastAsia" w:cstheme="minorHAnsi"/>
          <w:b/>
          <w:color w:val="2F5496" w:themeColor="accent1" w:themeShade="BF"/>
          <w:sz w:val="24"/>
          <w:szCs w:val="24"/>
          <w:lang w:val="sr-Latn-ME"/>
        </w:rPr>
      </w:pPr>
      <w:bookmarkStart w:id="90" w:name="_Toc88031668"/>
      <w:bookmarkStart w:id="91" w:name="_Toc121347503"/>
      <w:r w:rsidRPr="00437131">
        <w:rPr>
          <w:rFonts w:eastAsiaTheme="majorEastAsia" w:cstheme="minorHAnsi"/>
          <w:b/>
          <w:color w:val="2F5496" w:themeColor="accent1" w:themeShade="BF"/>
          <w:sz w:val="24"/>
          <w:szCs w:val="24"/>
          <w:lang w:val="sr-Latn-ME"/>
        </w:rPr>
        <w:t>4.9. Fiskalno upravljanje i budžetski okvir</w:t>
      </w:r>
      <w:bookmarkStart w:id="92" w:name="_Toc500763430"/>
      <w:bookmarkEnd w:id="90"/>
      <w:bookmarkEnd w:id="91"/>
    </w:p>
    <w:p w14:paraId="2B646AF9" w14:textId="77777777" w:rsidR="00346BE3" w:rsidRPr="00437131" w:rsidRDefault="00346BE3" w:rsidP="00346BE3">
      <w:pPr>
        <w:spacing w:after="0"/>
        <w:jc w:val="both"/>
        <w:rPr>
          <w:sz w:val="24"/>
          <w:szCs w:val="24"/>
          <w:lang w:val="sr-Latn-ME"/>
        </w:rPr>
      </w:pPr>
      <w:r w:rsidRPr="00437131">
        <w:rPr>
          <w:sz w:val="24"/>
          <w:szCs w:val="24"/>
          <w:lang w:val="sr-Latn-ME"/>
        </w:rPr>
        <w:t xml:space="preserve">Formalni okvir kojim se reguliše planiranje i sprovođenje fiskalne politike u Crnoj Gori, kao i definišu numerička fiskalna pravila, sadržan je u Zakonu o budžetu i fiskalnoj odgovornosti. Naime, u okviru poglavlja Fiskalna politika i odgovornost, definišu se kriterijumi u skaldu sa kojima se fiskalna poltiika I budžet države planiraju i izvršavaju. U narednom periodu, ramotriće se potreba revidiranja definisanih fiskalnih pravila u cilju jačanja i unapređenja sistema odgovornog fiskalnog </w:t>
      </w:r>
      <w:r w:rsidRPr="00437131">
        <w:rPr>
          <w:sz w:val="24"/>
          <w:szCs w:val="24"/>
          <w:lang w:val="sr-Latn-ME"/>
        </w:rPr>
        <w:lastRenderedPageBreak/>
        <w:t>upravljanja javnim finansijama, kroz eventualno uvođenje dodatnih pravila, odnosno osnaživanje postojećih procesa godišnjeg i srednjoročnog planiranja.</w:t>
      </w:r>
    </w:p>
    <w:p w14:paraId="4668973E" w14:textId="77777777" w:rsidR="00346BE3" w:rsidRPr="00437131" w:rsidRDefault="00346BE3" w:rsidP="00346BE3">
      <w:pPr>
        <w:spacing w:after="0"/>
        <w:jc w:val="both"/>
        <w:rPr>
          <w:sz w:val="24"/>
          <w:szCs w:val="24"/>
          <w:lang w:val="sr-Latn-ME"/>
        </w:rPr>
      </w:pPr>
    </w:p>
    <w:p w14:paraId="357EF59F" w14:textId="77777777" w:rsidR="00346BE3" w:rsidRPr="00437131" w:rsidRDefault="00346BE3" w:rsidP="00346BE3">
      <w:pPr>
        <w:spacing w:after="0"/>
        <w:jc w:val="both"/>
        <w:rPr>
          <w:sz w:val="24"/>
          <w:szCs w:val="24"/>
          <w:lang w:val="sr-Latn-ME"/>
        </w:rPr>
      </w:pPr>
      <w:r w:rsidRPr="00437131">
        <w:rPr>
          <w:b/>
          <w:i/>
          <w:color w:val="2F5496" w:themeColor="accent1" w:themeShade="BF"/>
          <w:sz w:val="24"/>
          <w:szCs w:val="24"/>
          <w:lang w:val="sr-Latn-ME"/>
        </w:rPr>
        <w:t>Nezavisne fiskalne institucije</w:t>
      </w:r>
      <w:r w:rsidRPr="00437131">
        <w:rPr>
          <w:color w:val="2F5496" w:themeColor="accent1" w:themeShade="BF"/>
          <w:sz w:val="24"/>
          <w:szCs w:val="24"/>
          <w:lang w:val="sr-Latn-ME"/>
        </w:rPr>
        <w:t xml:space="preserve">: </w:t>
      </w:r>
      <w:r w:rsidRPr="00437131">
        <w:rPr>
          <w:sz w:val="24"/>
          <w:szCs w:val="24"/>
          <w:lang w:val="sr-Latn-ME"/>
        </w:rPr>
        <w:t>Kada je u pitanju praćenje i evaluacija fiskalne politike i ostvarenih rezultata, posebno u dijelu ispunjenosti numeričkih fiskalnih pravila, u dosadašnjem periodu ocjenu istih vršila je Državna revizorska institucija kroz ex post evaluaciju numeričkih fiskalnih pravila, ali i davanje mišljenja na Budžet za tekuću godinu. Kako bi se ojačao nadzor nad sprovođenjem fiskalne politike, posebno u dijelu ex ante ocjene, uz podršku EU, u 2023. godini usvojene su izmjene Zakona o budžetu I fiskalnoj odgovornosti kojim su stvaraju pretpostavke za formiranje Fiskalnog savjeta. Naime, formiranje Fiskalnog savjeta sprovodi se u cilju unapređenja nezavisnosti i objektivnog nadzora nad upravljanjem javnim finansijama, kao i u cilju ispunajvanja obaveza Crne Gore u okviru poglavlja 17 – Ekonomska I monetarna politika, kojim je obuhvaćen prošireni okvir za pravnu tekovinu EU u dijelu ekonomskog, a posebno fiskalnog upravijanja, a koji se sastoji od seta pravnih akata - Paket od sest regulativa (Six-pack), Fiskalni pakt (Fiscal Compact) i Paket od dvije regulative (Two-pack) od kojih svaki sadrzi i odredbe koje se odnose na nacionalne fiskalne savjete. Izmjenama Zakona, Fiskalni savjet će definisan kao posebna, nezavisna institucije koja će davati ocjene o primjeni kriterijuma fiskalne odgovornosti (fiskalna pravila), ocjene makroekonomskih i fiskalnih projekcije, godišnjih zakona o budžetu i njegovih izmjena, kao i ocjene i mišljenja na druge propise i njihov uticaj na fiskalnu stabilnost i primjenu fiskalnih pravila. Shodno navedenoj zakonskoj regulativi, u dosadašnjem periodu Skupština je u tri navrata objavila poziv za prijavljivanje kandidata za izbor 3 člana Fiskalnog savjeta, od kojih su dva poziva bili neuspješni, dok je treći postupak u fazi razmatranja i selekcije kandidata. Očekuje se da će Fiskalni savjet biti formiran u 2025. godini.</w:t>
      </w:r>
    </w:p>
    <w:p w14:paraId="62A1B544" w14:textId="77777777" w:rsidR="00346BE3" w:rsidRPr="00437131" w:rsidRDefault="00346BE3" w:rsidP="00346BE3">
      <w:pPr>
        <w:spacing w:after="0"/>
        <w:jc w:val="both"/>
        <w:rPr>
          <w:sz w:val="24"/>
          <w:szCs w:val="24"/>
          <w:lang w:val="sr-Latn-ME"/>
        </w:rPr>
      </w:pPr>
    </w:p>
    <w:p w14:paraId="70B3F01B" w14:textId="474831F6" w:rsidR="00346BE3" w:rsidRDefault="00346BE3" w:rsidP="00346BE3">
      <w:pPr>
        <w:spacing w:after="0"/>
        <w:jc w:val="both"/>
        <w:rPr>
          <w:sz w:val="24"/>
          <w:szCs w:val="24"/>
          <w:lang w:val="sr-Latn-ME"/>
        </w:rPr>
      </w:pPr>
      <w:r w:rsidRPr="00437131">
        <w:rPr>
          <w:b/>
          <w:i/>
          <w:color w:val="2F5496" w:themeColor="accent1" w:themeShade="BF"/>
          <w:sz w:val="24"/>
          <w:szCs w:val="24"/>
          <w:lang w:val="sr-Latn-ME"/>
        </w:rPr>
        <w:t>Srednjoročni budžetski okviri</w:t>
      </w:r>
      <w:r w:rsidRPr="00437131">
        <w:rPr>
          <w:b/>
          <w:i/>
          <w:sz w:val="24"/>
          <w:szCs w:val="24"/>
          <w:lang w:val="sr-Latn-ME"/>
        </w:rPr>
        <w:t>:</w:t>
      </w:r>
      <w:r w:rsidRPr="00437131">
        <w:rPr>
          <w:sz w:val="24"/>
          <w:szCs w:val="24"/>
          <w:lang w:val="sr-Latn-ME"/>
        </w:rPr>
        <w:t xml:space="preserve"> Srednjoročni budžetski okvir utvrđuje se kroz usvojanje Fiskalne strategije od strana Skupštine, na predlog Vlade, i koji predstavlja krovni dokument Fiskalne politike Vlade koji se odnosi na period trajanja mandata Vlade. Na osnovu Fiskalne strategije, Vlada godišnje donosi Smjernice makroekonomske i fiskalne politike kojim se utvđuju srednhoročne politike I makroekonomske I fiskalne projekcije za trogodišnji period. Vlada je u septembru mjesecu 2024. godine utvrdila teskt Fiskalne stratergije i isti uputila Skupštini Crne Gore na razamatranje i usvajanje. Takođe, nakon usvajanja Predloga Fiskalne strategije, Vlada je takođe u septembru 2024. godine utvrdila Smjernice makroekonomske i fiskalne politike.</w:t>
      </w:r>
    </w:p>
    <w:p w14:paraId="37B18854" w14:textId="77777777" w:rsidR="002F28D2" w:rsidRDefault="002F28D2" w:rsidP="00346BE3">
      <w:pPr>
        <w:spacing w:after="0"/>
        <w:jc w:val="both"/>
        <w:rPr>
          <w:sz w:val="24"/>
          <w:szCs w:val="24"/>
          <w:lang w:val="sr-Latn-ME"/>
        </w:rPr>
      </w:pPr>
    </w:p>
    <w:p w14:paraId="5879DD46" w14:textId="3B990438" w:rsidR="002F28D2" w:rsidRPr="002F28D2" w:rsidRDefault="002F28D2" w:rsidP="002F28D2">
      <w:pPr>
        <w:jc w:val="both"/>
        <w:rPr>
          <w:sz w:val="24"/>
        </w:rPr>
      </w:pPr>
      <w:r w:rsidRPr="002F28D2">
        <w:rPr>
          <w:b/>
          <w:i/>
          <w:color w:val="2F5496" w:themeColor="accent1" w:themeShade="BF"/>
          <w:sz w:val="24"/>
          <w:szCs w:val="24"/>
          <w:lang w:val="sr-Latn-ME"/>
        </w:rPr>
        <w:t xml:space="preserve">Dostupnost i kvalitet fiskalnih podataka i usklađivanje sa ESA standardima: </w:t>
      </w:r>
      <w:r w:rsidRPr="002F28D2">
        <w:rPr>
          <w:sz w:val="24"/>
        </w:rPr>
        <w:t>Ministarstvo finansija u oblasti statistike javnih finansija planira, projektuje i izvještava o realizaciji fiskalnih pokazatelja na: mjesečnom, kvartalnom i godišnjem nivou, u skladu sa nacionalnim okvirom. U oblasti harmonizacije statistike dr</w:t>
      </w:r>
      <w:r w:rsidRPr="002F28D2">
        <w:rPr>
          <w:sz w:val="24"/>
          <w:lang w:val="sr-Latn-ME"/>
        </w:rPr>
        <w:t>žavnih finansija sa međunarodnim standardima i u kontekstu rastućeg značaja GFS podataka, pored</w:t>
      </w:r>
      <w:r w:rsidRPr="002F28D2">
        <w:rPr>
          <w:sz w:val="24"/>
        </w:rPr>
        <w:t xml:space="preserve"> </w:t>
      </w:r>
      <w:r w:rsidRPr="002F28D2">
        <w:rPr>
          <w:sz w:val="24"/>
          <w:lang w:val="sr-Latn-ME"/>
        </w:rPr>
        <w:t xml:space="preserve">uspostavljanja organizacione strukture u Upravi za statistiku, ključno je istaći početak novog trogodišnjeg projekta Eurostata „SP 1.1 Government </w:t>
      </w:r>
      <w:r w:rsidRPr="002F28D2">
        <w:rPr>
          <w:sz w:val="24"/>
          <w:lang w:val="sr-Latn-ME"/>
        </w:rPr>
        <w:lastRenderedPageBreak/>
        <w:t xml:space="preserve">finance and Excessive deficit statistics“. Završetak navedenog projekta, u kojem će pored Ministarstva finansija aktivno učešće, kao proizvođači zvanične statistike, uzeti i Centralna banka Crne Gore i Uprava za statistiku – MONSTAT, planiran je za 2027. godinu. Zbog neophodnog intenziviranja napora na novom projektu, formirana je Radna grupa koja će u kontinuitetu raditi na prilagođavanju podataka ESA2010 metodologiji u oblasti statistike državnih finansija, prevazilaženju gapova i definisanju dodatnih izvora relevantnih podataka. Prva ekspertska misija u okviru projekta, održana od 4. do 7. novembra </w:t>
      </w:r>
      <w:r w:rsidR="00BB02C5">
        <w:rPr>
          <w:sz w:val="24"/>
          <w:lang w:val="sr-Latn-ME"/>
        </w:rPr>
        <w:t>2024.</w:t>
      </w:r>
      <w:r w:rsidRPr="002F28D2">
        <w:rPr>
          <w:sz w:val="24"/>
          <w:lang w:val="sr-Latn-ME"/>
        </w:rPr>
        <w:t xml:space="preserve"> godine, bila je usmjerena na prikupljanje i definisanje izvora podataka za kompilaciju GFS i EDP statistike. U junu </w:t>
      </w:r>
      <w:r w:rsidR="00BB02C5">
        <w:rPr>
          <w:sz w:val="24"/>
          <w:lang w:val="sr-Latn-ME"/>
        </w:rPr>
        <w:t>2024.</w:t>
      </w:r>
      <w:r w:rsidRPr="002F28D2">
        <w:rPr>
          <w:sz w:val="24"/>
          <w:lang w:val="sr-Latn-ME"/>
        </w:rPr>
        <w:t xml:space="preserve"> godine</w:t>
      </w:r>
      <w:r w:rsidR="00BB02C5">
        <w:rPr>
          <w:sz w:val="24"/>
          <w:lang w:val="sr-Latn-ME"/>
        </w:rPr>
        <w:t>,</w:t>
      </w:r>
      <w:r w:rsidRPr="002F28D2">
        <w:rPr>
          <w:sz w:val="24"/>
          <w:lang w:val="sr-Latn-ME"/>
        </w:rPr>
        <w:t xml:space="preserve"> Ministarstvo finansija je Upravi za statistiku dostavilo set podataka koji su bili rezultat projekta IPA 2017, koje je ovaj organ uputio Eurostatu. Takođe, u skladu sa preporukom eksperta, Ministarstvo finansija će </w:t>
      </w:r>
      <w:r w:rsidR="00BB02C5">
        <w:rPr>
          <w:sz w:val="24"/>
          <w:lang w:val="sr-Latn-ME"/>
        </w:rPr>
        <w:t xml:space="preserve">inicirati uspostavljanje adekvatne organizacione strukture za ESA2010 metodologiju, na sistemskom nivou. </w:t>
      </w:r>
      <w:r w:rsidRPr="002F28D2">
        <w:rPr>
          <w:sz w:val="24"/>
        </w:rPr>
        <w:t>Vlada Crne Gore je</w:t>
      </w:r>
      <w:r w:rsidR="00BB02C5">
        <w:rPr>
          <w:sz w:val="24"/>
        </w:rPr>
        <w:t xml:space="preserve"> na sjednici održanoj</w:t>
      </w:r>
      <w:r w:rsidRPr="002F28D2">
        <w:rPr>
          <w:sz w:val="24"/>
        </w:rPr>
        <w:t xml:space="preserve"> 28. novembra 2024. godine</w:t>
      </w:r>
      <w:r w:rsidR="00BB02C5">
        <w:rPr>
          <w:sz w:val="24"/>
        </w:rPr>
        <w:t>,</w:t>
      </w:r>
      <w:r w:rsidRPr="002F28D2">
        <w:rPr>
          <w:sz w:val="24"/>
        </w:rPr>
        <w:t xml:space="preserve"> utvrdila Predlog zakona o izmjenama i dopunama Zakona o zvaničnoj statistici i sistemu zvanične statistike, čime se postiže transfer nadležnosti statistike državnih finansija</w:t>
      </w:r>
      <w:r w:rsidR="00BB02C5">
        <w:rPr>
          <w:sz w:val="24"/>
        </w:rPr>
        <w:t xml:space="preserve"> i primjene ESA2010 metodologije,</w:t>
      </w:r>
      <w:r w:rsidRPr="002F28D2">
        <w:rPr>
          <w:sz w:val="24"/>
        </w:rPr>
        <w:t xml:space="preserve"> sa Ministarstva finansija na Upravu za statistiku, u skladu sa preporukama eksperata sa misije iz februara 2020. godine održane u sklopu projekta „Unaprjeđenje kadrovskih kapaciteta Monstata“. Zakon predstavlja pravni osnov za zaključivanje Sporazuma o saradnji između Uprave za statistiku, Centralne banke Crne Gore i Ministarstva finansija kojim će se jasno i precizno utvrditi odgovornosti svih institucija i sve tehničke pojedinosti u budućem prikupljanju podataka, kako na projektu, tako i na sistemskom nivou. Imajući u vidu potrebu za uspostavljanjem adekvatne organizacione strukture i podjele odgovornosti za efikasno prikupljanje podataka u oblasti ESA2010 metodologije, izrada novog Trilateralnog sporazuma će posljedično stvoriti uslove za zatvaranje završnih mjerila za pregovaračko poglavlje 18 – Statistika.</w:t>
      </w:r>
    </w:p>
    <w:p w14:paraId="5A33D6CE" w14:textId="542331E2" w:rsidR="00346BE3" w:rsidRPr="00437131" w:rsidRDefault="00346BE3" w:rsidP="00346BE3">
      <w:pPr>
        <w:spacing w:after="0"/>
        <w:jc w:val="both"/>
        <w:rPr>
          <w:sz w:val="24"/>
          <w:szCs w:val="24"/>
          <w:lang w:val="sr-Latn-ME"/>
        </w:rPr>
      </w:pPr>
      <w:r w:rsidRPr="00437131">
        <w:rPr>
          <w:sz w:val="24"/>
          <w:szCs w:val="24"/>
          <w:lang w:val="sr-Latn-ME"/>
        </w:rPr>
        <w:t xml:space="preserve">Kada su u pitanju </w:t>
      </w:r>
      <w:r w:rsidRPr="00437131">
        <w:rPr>
          <w:b/>
          <w:i/>
          <w:color w:val="2F5496" w:themeColor="accent1" w:themeShade="BF"/>
          <w:sz w:val="24"/>
          <w:szCs w:val="24"/>
          <w:lang w:val="sr-Latn-ME"/>
        </w:rPr>
        <w:t>primjena</w:t>
      </w:r>
      <w:r w:rsidRPr="00437131">
        <w:rPr>
          <w:color w:val="2F5496" w:themeColor="accent1" w:themeShade="BF"/>
          <w:sz w:val="24"/>
          <w:szCs w:val="24"/>
          <w:lang w:val="sr-Latn-ME"/>
        </w:rPr>
        <w:t xml:space="preserve"> </w:t>
      </w:r>
      <w:r w:rsidRPr="00437131">
        <w:rPr>
          <w:b/>
          <w:i/>
          <w:color w:val="2F5496" w:themeColor="accent1" w:themeShade="BF"/>
          <w:sz w:val="24"/>
          <w:szCs w:val="24"/>
          <w:lang w:val="sr-Latn-ME"/>
        </w:rPr>
        <w:t>numeričkih fiskalnih pravila</w:t>
      </w:r>
      <w:r w:rsidRPr="00437131">
        <w:rPr>
          <w:color w:val="2F5496" w:themeColor="accent1" w:themeShade="BF"/>
          <w:sz w:val="24"/>
          <w:szCs w:val="24"/>
          <w:lang w:val="sr-Latn-ME"/>
        </w:rPr>
        <w:t xml:space="preserve"> </w:t>
      </w:r>
      <w:r w:rsidRPr="00437131">
        <w:rPr>
          <w:sz w:val="24"/>
          <w:szCs w:val="24"/>
          <w:lang w:val="sr-Latn-ME"/>
        </w:rPr>
        <w:t>o ograničenosti deficita op</w:t>
      </w:r>
      <w:r w:rsidR="00C375BB">
        <w:rPr>
          <w:sz w:val="24"/>
          <w:szCs w:val="24"/>
          <w:lang w:val="sr-Latn-ME"/>
        </w:rPr>
        <w:t>š</w:t>
      </w:r>
      <w:r w:rsidRPr="00437131">
        <w:rPr>
          <w:sz w:val="24"/>
          <w:szCs w:val="24"/>
          <w:lang w:val="sr-Latn-ME"/>
        </w:rPr>
        <w:t>te države na nivou ispod 3%, projektovan je postepeni pad deficita potrošnje i približavanje propisanom nivou u 2026. godini. Kada je u pitanju kriterijum javnog duga do nivoa od 60%, u narednom sredn</w:t>
      </w:r>
      <w:r w:rsidR="00C375BB">
        <w:rPr>
          <w:sz w:val="24"/>
          <w:szCs w:val="24"/>
          <w:lang w:val="sr-Latn-ME"/>
        </w:rPr>
        <w:t>j</w:t>
      </w:r>
      <w:r w:rsidRPr="00437131">
        <w:rPr>
          <w:sz w:val="24"/>
          <w:szCs w:val="24"/>
          <w:lang w:val="sr-Latn-ME"/>
        </w:rPr>
        <w:t>oročnom peri</w:t>
      </w:r>
      <w:r w:rsidR="00C375BB">
        <w:rPr>
          <w:sz w:val="24"/>
          <w:szCs w:val="24"/>
          <w:lang w:val="sr-Latn-ME"/>
        </w:rPr>
        <w:t>od</w:t>
      </w:r>
      <w:r w:rsidRPr="00437131">
        <w:rPr>
          <w:sz w:val="24"/>
          <w:szCs w:val="24"/>
          <w:lang w:val="sr-Latn-ME"/>
        </w:rPr>
        <w:t>u očekuje</w:t>
      </w:r>
      <w:r w:rsidR="00C375BB">
        <w:rPr>
          <w:sz w:val="24"/>
          <w:szCs w:val="24"/>
          <w:lang w:val="sr-Latn-ME"/>
        </w:rPr>
        <w:t xml:space="preserve"> se</w:t>
      </w:r>
      <w:r w:rsidRPr="00437131">
        <w:rPr>
          <w:sz w:val="24"/>
          <w:szCs w:val="24"/>
          <w:lang w:val="sr-Latn-ME"/>
        </w:rPr>
        <w:t xml:space="preserve"> stabilan nivo javnog duga </w:t>
      </w:r>
      <w:r w:rsidR="001D4F7A">
        <w:rPr>
          <w:sz w:val="24"/>
          <w:szCs w:val="24"/>
          <w:lang w:val="sr-Latn-ME"/>
        </w:rPr>
        <w:t xml:space="preserve">sa prosječnim učešćem </w:t>
      </w:r>
      <w:r w:rsidR="009376D2">
        <w:rPr>
          <w:sz w:val="24"/>
          <w:szCs w:val="24"/>
          <w:lang w:val="sr-Latn-ME"/>
        </w:rPr>
        <w:t>od 62,7</w:t>
      </w:r>
      <w:r w:rsidRPr="00437131">
        <w:rPr>
          <w:sz w:val="24"/>
          <w:szCs w:val="24"/>
          <w:lang w:val="sr-Latn-ME"/>
        </w:rPr>
        <w:t>%</w:t>
      </w:r>
      <w:r w:rsidR="009376D2">
        <w:rPr>
          <w:sz w:val="24"/>
          <w:szCs w:val="24"/>
          <w:lang w:val="sr-Latn-ME"/>
        </w:rPr>
        <w:t xml:space="preserve"> </w:t>
      </w:r>
      <w:r w:rsidRPr="00437131">
        <w:rPr>
          <w:sz w:val="24"/>
          <w:szCs w:val="24"/>
          <w:lang w:val="sr-Latn-ME"/>
        </w:rPr>
        <w:t>BDP-a</w:t>
      </w:r>
      <w:r w:rsidRPr="00C375BB">
        <w:rPr>
          <w:sz w:val="24"/>
          <w:szCs w:val="24"/>
          <w:lang w:val="sr-Latn-ME"/>
        </w:rPr>
        <w:t>.</w:t>
      </w:r>
    </w:p>
    <w:p w14:paraId="4E21B73A" w14:textId="77777777" w:rsidR="00346BE3" w:rsidRPr="00437131" w:rsidRDefault="00346BE3" w:rsidP="00346BE3">
      <w:pPr>
        <w:jc w:val="both"/>
        <w:rPr>
          <w:rFonts w:eastAsiaTheme="majorEastAsia" w:cstheme="minorHAnsi"/>
          <w:b/>
          <w:color w:val="2F5496" w:themeColor="accent1" w:themeShade="BF"/>
          <w:sz w:val="24"/>
          <w:szCs w:val="24"/>
          <w:lang w:val="sr-Latn-ME"/>
        </w:rPr>
      </w:pPr>
    </w:p>
    <w:p w14:paraId="4A7A6C59" w14:textId="00E08AD0" w:rsidR="00E05341" w:rsidRPr="00437131" w:rsidRDefault="00E05341" w:rsidP="00346BE3">
      <w:pPr>
        <w:jc w:val="both"/>
        <w:rPr>
          <w:rFonts w:eastAsiaTheme="majorEastAsia" w:cstheme="minorHAnsi"/>
          <w:b/>
          <w:color w:val="2F5496" w:themeColor="accent1" w:themeShade="BF"/>
          <w:sz w:val="24"/>
          <w:szCs w:val="24"/>
          <w:lang w:val="sr-Latn-ME"/>
        </w:rPr>
      </w:pPr>
      <w:bookmarkStart w:id="93" w:name="_Toc88031669"/>
      <w:bookmarkStart w:id="94" w:name="_Toc121347504"/>
      <w:r w:rsidRPr="00437131">
        <w:rPr>
          <w:rFonts w:eastAsiaTheme="majorEastAsia" w:cstheme="minorHAnsi"/>
          <w:b/>
          <w:color w:val="2F5496" w:themeColor="accent1" w:themeShade="BF"/>
          <w:sz w:val="24"/>
          <w:szCs w:val="24"/>
          <w:lang w:val="sr-Latn-ME"/>
        </w:rPr>
        <w:t>4.10. Održivost javnih finansija</w:t>
      </w:r>
      <w:bookmarkEnd w:id="92"/>
      <w:bookmarkEnd w:id="93"/>
      <w:bookmarkEnd w:id="94"/>
    </w:p>
    <w:p w14:paraId="6621D284" w14:textId="77777777" w:rsidR="00346BE3" w:rsidRPr="00437131" w:rsidRDefault="00346BE3" w:rsidP="00346BE3">
      <w:pPr>
        <w:jc w:val="both"/>
        <w:rPr>
          <w:rFonts w:cstheme="minorHAnsi"/>
          <w:sz w:val="24"/>
          <w:szCs w:val="24"/>
          <w:lang w:val="sr-Latn-ME"/>
        </w:rPr>
      </w:pPr>
      <w:r w:rsidRPr="00437131">
        <w:rPr>
          <w:rFonts w:cstheme="minorHAnsi"/>
          <w:sz w:val="24"/>
          <w:szCs w:val="24"/>
          <w:lang w:val="sr-Latn-ME"/>
        </w:rPr>
        <w:t>Dobro upravljanje javnim finansijama, jedan je od osnovnih preduslova ukupne makroekonomske i fiskalne stabilnosti, imajući u vidu da Crna Gora ne raspolaže instrumentima monetarne politike, u nedostatku emisione funkcije. Usljed navedenog, transparenta poreska politika, predvidiv i stimulativan poslovni ambijent i racionalno upravljanje troškovima, glavni su ciljevi kada je u pitanju kvalitet javnih finansija.</w:t>
      </w:r>
    </w:p>
    <w:p w14:paraId="3A95F9CE" w14:textId="77777777" w:rsidR="00346BE3" w:rsidRPr="00437131" w:rsidRDefault="00346BE3" w:rsidP="00346BE3">
      <w:pPr>
        <w:jc w:val="both"/>
        <w:rPr>
          <w:rFonts w:cstheme="minorHAnsi"/>
          <w:sz w:val="24"/>
          <w:szCs w:val="24"/>
          <w:lang w:val="sr-Latn-ME"/>
        </w:rPr>
      </w:pPr>
      <w:r w:rsidRPr="00437131">
        <w:rPr>
          <w:rFonts w:cstheme="minorHAnsi"/>
          <w:sz w:val="24"/>
          <w:szCs w:val="24"/>
          <w:lang w:val="sr-Latn-ME"/>
        </w:rPr>
        <w:t xml:space="preserve">Shodno srednjoročnom okviru postiže se stabilizacija ekonomskih tokova kroz projektovano povećanje javnih prihoda, optimizaciju diskrecionih rashoda, što uz projektovano povećanje </w:t>
      </w:r>
      <w:r w:rsidRPr="00437131">
        <w:rPr>
          <w:rFonts w:cstheme="minorHAnsi"/>
          <w:sz w:val="24"/>
          <w:szCs w:val="24"/>
          <w:lang w:val="sr-Latn-ME"/>
        </w:rPr>
        <w:lastRenderedPageBreak/>
        <w:t>investicija i smanjenje inflacije daje doprinos dugoročnoj održivosti javnih finansija. U tom cilju, ostvarivanje suficita tekuće budžetske potrošnje u svim godinama projekcije, otvara prostor da se zaduživanje isključivo vrši za finansiranje infrastrukturnh projekata kojima se generiše nova ekonomska vrijednost i otplatu starih dugova.</w:t>
      </w:r>
    </w:p>
    <w:p w14:paraId="269D243C" w14:textId="77777777" w:rsidR="00346BE3" w:rsidRPr="00437131" w:rsidRDefault="00346BE3" w:rsidP="00346BE3">
      <w:pPr>
        <w:jc w:val="both"/>
        <w:rPr>
          <w:rFonts w:cstheme="minorHAnsi"/>
          <w:sz w:val="24"/>
          <w:szCs w:val="24"/>
          <w:lang w:val="sr-Latn-ME"/>
        </w:rPr>
      </w:pPr>
      <w:r w:rsidRPr="00437131">
        <w:rPr>
          <w:rFonts w:cstheme="minorHAnsi"/>
          <w:sz w:val="24"/>
          <w:szCs w:val="24"/>
          <w:lang w:val="sr-Latn-ME"/>
        </w:rPr>
        <w:t>Dinamične stope ekonomskog rasta doprinose rastu javnih prihoda, što u uslovima značajnog rasta potrošnje mandatornog karaktera nije dovoljno za balansiranje javnih finansija. U vezi sa navedenim, novom Fiskalnom strategijom Vlade formulisane su nove mjere poreske politike i politike upravljanja rashodima kao i nove strukturne mjere koje treba da doprinesu dodatnom ubrzavanju ekonomskog rasta i većoj otpornosti crnogorske ekonomije.</w:t>
      </w:r>
    </w:p>
    <w:p w14:paraId="7583E7D0" w14:textId="77777777" w:rsidR="00346BE3" w:rsidRPr="00437131" w:rsidRDefault="00346BE3" w:rsidP="00346BE3">
      <w:pPr>
        <w:spacing w:after="120"/>
        <w:jc w:val="both"/>
        <w:rPr>
          <w:rFonts w:cstheme="minorHAnsi"/>
          <w:sz w:val="24"/>
          <w:szCs w:val="24"/>
          <w:lang w:val="sr-Latn-ME"/>
        </w:rPr>
      </w:pPr>
      <w:r w:rsidRPr="00437131">
        <w:rPr>
          <w:rFonts w:cstheme="minorHAnsi"/>
          <w:sz w:val="24"/>
          <w:szCs w:val="24"/>
          <w:lang w:val="sr-Latn-ME"/>
        </w:rPr>
        <w:t xml:space="preserve">Stabilnost i dugoročnu održivost javnih finansija u najvećoj mjeri determinišu poreska politika i politika upravljanja javnom potrošnjom. </w:t>
      </w:r>
    </w:p>
    <w:p w14:paraId="6061047B" w14:textId="77777777" w:rsidR="00346BE3" w:rsidRPr="00437131" w:rsidRDefault="00346BE3" w:rsidP="00346BE3">
      <w:pPr>
        <w:spacing w:after="120"/>
        <w:jc w:val="both"/>
        <w:rPr>
          <w:rFonts w:cstheme="minorHAnsi"/>
          <w:sz w:val="24"/>
          <w:szCs w:val="24"/>
          <w:lang w:val="sr-Latn-ME"/>
        </w:rPr>
      </w:pPr>
      <w:r w:rsidRPr="00437131">
        <w:rPr>
          <w:rFonts w:cstheme="minorHAnsi"/>
          <w:sz w:val="24"/>
          <w:szCs w:val="24"/>
          <w:lang w:val="sr-Latn-ME"/>
        </w:rPr>
        <w:t>Glavne karakteristike fiskalne politike u srednjem roku biće:</w:t>
      </w:r>
    </w:p>
    <w:p w14:paraId="04F5CE82" w14:textId="77777777" w:rsidR="00346BE3" w:rsidRPr="00437131" w:rsidRDefault="00346BE3" w:rsidP="00346BE3">
      <w:pPr>
        <w:pStyle w:val="ListParagraph"/>
        <w:numPr>
          <w:ilvl w:val="0"/>
          <w:numId w:val="15"/>
        </w:numPr>
        <w:spacing w:after="120"/>
        <w:jc w:val="both"/>
        <w:rPr>
          <w:rFonts w:cstheme="minorHAnsi"/>
          <w:sz w:val="24"/>
          <w:szCs w:val="24"/>
          <w:lang w:val="sr-Latn-ME"/>
        </w:rPr>
      </w:pPr>
      <w:r w:rsidRPr="00437131">
        <w:rPr>
          <w:rFonts w:cstheme="minorHAnsi"/>
          <w:sz w:val="24"/>
          <w:szCs w:val="24"/>
          <w:lang w:val="sr-Latn-ME"/>
        </w:rPr>
        <w:t>nastavak smanjenja poreskog opterećenja na rad;</w:t>
      </w:r>
    </w:p>
    <w:p w14:paraId="65001350" w14:textId="77777777" w:rsidR="00346BE3" w:rsidRPr="00437131" w:rsidRDefault="00346BE3" w:rsidP="00346BE3">
      <w:pPr>
        <w:pStyle w:val="ListParagraph"/>
        <w:numPr>
          <w:ilvl w:val="0"/>
          <w:numId w:val="15"/>
        </w:numPr>
        <w:spacing w:after="120"/>
        <w:jc w:val="both"/>
        <w:rPr>
          <w:rFonts w:cstheme="minorHAnsi"/>
          <w:sz w:val="24"/>
          <w:szCs w:val="24"/>
          <w:lang w:val="sr-Latn-ME"/>
        </w:rPr>
      </w:pPr>
      <w:r w:rsidRPr="00437131">
        <w:rPr>
          <w:rFonts w:cstheme="minorHAnsi"/>
          <w:sz w:val="24"/>
          <w:szCs w:val="24"/>
          <w:lang w:val="sr-Latn-ME"/>
        </w:rPr>
        <w:t>usklađivanje akcizne politike sa EU direktivama u cilju oporezivanja proizvoda koji negativno utiču na zdravlje stanovništva;</w:t>
      </w:r>
    </w:p>
    <w:p w14:paraId="4EF1C5D8" w14:textId="77777777" w:rsidR="00346BE3" w:rsidRPr="00437131" w:rsidRDefault="00346BE3" w:rsidP="00346BE3">
      <w:pPr>
        <w:pStyle w:val="ListParagraph"/>
        <w:numPr>
          <w:ilvl w:val="0"/>
          <w:numId w:val="15"/>
        </w:numPr>
        <w:spacing w:after="120"/>
        <w:jc w:val="both"/>
        <w:rPr>
          <w:rFonts w:cstheme="minorHAnsi"/>
          <w:sz w:val="24"/>
          <w:szCs w:val="24"/>
          <w:lang w:val="sr-Latn-ME"/>
        </w:rPr>
      </w:pPr>
      <w:r w:rsidRPr="00437131">
        <w:rPr>
          <w:rFonts w:cstheme="minorHAnsi"/>
          <w:sz w:val="24"/>
          <w:szCs w:val="24"/>
          <w:lang w:val="sr-Latn-ME"/>
        </w:rPr>
        <w:t>smanjenje "sive ekonomije" u cilju omogućavanja fer tržišne utakmice odnosno suzbijanja nelojalne konkurencije;</w:t>
      </w:r>
    </w:p>
    <w:p w14:paraId="2C3FCAE2" w14:textId="77777777" w:rsidR="00346BE3" w:rsidRPr="00437131" w:rsidRDefault="00346BE3" w:rsidP="00346BE3">
      <w:pPr>
        <w:pStyle w:val="ListParagraph"/>
        <w:numPr>
          <w:ilvl w:val="0"/>
          <w:numId w:val="15"/>
        </w:numPr>
        <w:spacing w:after="120"/>
        <w:jc w:val="both"/>
        <w:rPr>
          <w:rFonts w:cstheme="minorHAnsi"/>
          <w:sz w:val="24"/>
          <w:szCs w:val="24"/>
          <w:lang w:val="sr-Latn-ME"/>
        </w:rPr>
      </w:pPr>
      <w:r w:rsidRPr="00437131">
        <w:rPr>
          <w:rFonts w:cstheme="minorHAnsi"/>
          <w:sz w:val="24"/>
          <w:szCs w:val="24"/>
          <w:lang w:val="sr-Latn-ME"/>
        </w:rPr>
        <w:t>reforma poreske i carinske administracije;</w:t>
      </w:r>
    </w:p>
    <w:p w14:paraId="26570AA8" w14:textId="77777777" w:rsidR="00346BE3" w:rsidRPr="00437131" w:rsidRDefault="00346BE3" w:rsidP="00346BE3">
      <w:pPr>
        <w:pStyle w:val="ListParagraph"/>
        <w:numPr>
          <w:ilvl w:val="0"/>
          <w:numId w:val="15"/>
        </w:numPr>
        <w:spacing w:after="120"/>
        <w:jc w:val="both"/>
        <w:rPr>
          <w:rFonts w:cstheme="minorHAnsi"/>
          <w:sz w:val="24"/>
          <w:szCs w:val="24"/>
          <w:lang w:val="sr-Latn-ME"/>
        </w:rPr>
      </w:pPr>
      <w:r w:rsidRPr="00437131">
        <w:rPr>
          <w:rFonts w:cstheme="minorHAnsi"/>
          <w:sz w:val="24"/>
          <w:szCs w:val="24"/>
          <w:lang w:val="sr-Latn-ME"/>
        </w:rPr>
        <w:t>uvođenje srednje stope PDV-a u cilju ujednačavanja stope PDV-a u turističkoj djelatnosti;</w:t>
      </w:r>
    </w:p>
    <w:p w14:paraId="74409E9A" w14:textId="77777777" w:rsidR="00346BE3" w:rsidRPr="00437131" w:rsidRDefault="00346BE3" w:rsidP="00346BE3">
      <w:pPr>
        <w:pStyle w:val="ListParagraph"/>
        <w:numPr>
          <w:ilvl w:val="0"/>
          <w:numId w:val="15"/>
        </w:numPr>
        <w:spacing w:after="120"/>
        <w:jc w:val="both"/>
        <w:rPr>
          <w:rFonts w:cstheme="minorHAnsi"/>
          <w:sz w:val="24"/>
          <w:szCs w:val="24"/>
          <w:lang w:val="sr-Latn-ME"/>
        </w:rPr>
      </w:pPr>
      <w:r w:rsidRPr="00437131">
        <w:rPr>
          <w:rFonts w:cstheme="minorHAnsi"/>
          <w:sz w:val="24"/>
          <w:szCs w:val="24"/>
          <w:lang w:val="sr-Latn-ME"/>
        </w:rPr>
        <w:t>bolje upravljanje poreskim dugom.</w:t>
      </w:r>
    </w:p>
    <w:p w14:paraId="6E117666" w14:textId="77777777" w:rsidR="00346BE3" w:rsidRPr="00437131" w:rsidRDefault="00346BE3" w:rsidP="00346BE3">
      <w:pPr>
        <w:jc w:val="both"/>
        <w:rPr>
          <w:rFonts w:cstheme="minorHAnsi"/>
          <w:sz w:val="24"/>
          <w:szCs w:val="24"/>
          <w:lang w:val="sr-Latn-ME"/>
        </w:rPr>
      </w:pPr>
      <w:r w:rsidRPr="00437131">
        <w:rPr>
          <w:rFonts w:cstheme="minorHAnsi"/>
          <w:sz w:val="24"/>
          <w:szCs w:val="24"/>
          <w:lang w:val="sr-Latn-ME"/>
        </w:rPr>
        <w:t xml:space="preserve">Shodno fiskalnom okviru, izvorni prihodi budžeta u periodu 2025-2027. godine, prate pozitivan trend. Stabilnost prihoda i pored značajnog smanjenja poreskog opterećenja na rad obezbjeđuje se kroz implementaciju novih mjera poreske I politike unapređenja poslovnog ambijenta. </w:t>
      </w:r>
    </w:p>
    <w:p w14:paraId="2EF81C05" w14:textId="77777777" w:rsidR="00346BE3" w:rsidRPr="00437131" w:rsidRDefault="00346BE3" w:rsidP="00346BE3">
      <w:pPr>
        <w:jc w:val="both"/>
        <w:rPr>
          <w:rFonts w:cstheme="minorHAnsi"/>
          <w:sz w:val="24"/>
          <w:szCs w:val="24"/>
          <w:lang w:val="sr-Latn-ME"/>
        </w:rPr>
      </w:pPr>
      <w:r w:rsidRPr="00437131">
        <w:rPr>
          <w:rFonts w:cstheme="minorHAnsi"/>
          <w:sz w:val="24"/>
          <w:szCs w:val="24"/>
          <w:lang w:val="sr-Latn-ME"/>
        </w:rPr>
        <w:t>Na drugoj strani, budžetski rashodi centralnog nivoa takođe će se kretati uzlaznom putanjom u navedenom periodu. Nominalni rast rashoda u narednom trogodišnjem periodu prevashodno je uslovljen:</w:t>
      </w:r>
    </w:p>
    <w:p w14:paraId="7F57B41E" w14:textId="77777777" w:rsidR="00346BE3" w:rsidRPr="00437131" w:rsidRDefault="00346BE3" w:rsidP="00346BE3">
      <w:pPr>
        <w:pStyle w:val="ListParagraph"/>
        <w:numPr>
          <w:ilvl w:val="0"/>
          <w:numId w:val="16"/>
        </w:numPr>
        <w:jc w:val="both"/>
        <w:rPr>
          <w:sz w:val="24"/>
          <w:szCs w:val="24"/>
          <w:lang w:val="sr-Latn-ME"/>
        </w:rPr>
      </w:pPr>
      <w:r w:rsidRPr="00437131">
        <w:rPr>
          <w:sz w:val="24"/>
          <w:szCs w:val="24"/>
          <w:lang w:val="sr-Latn-ME"/>
        </w:rPr>
        <w:t>značajnim rastom izdavajanja za finansiranje kapitalnih izdataka kojima se finansiraju infrastrukturni projekti;</w:t>
      </w:r>
    </w:p>
    <w:p w14:paraId="62A5EDF7" w14:textId="77777777" w:rsidR="00346BE3" w:rsidRPr="00437131" w:rsidRDefault="00346BE3" w:rsidP="00346BE3">
      <w:pPr>
        <w:pStyle w:val="ListParagraph"/>
        <w:numPr>
          <w:ilvl w:val="0"/>
          <w:numId w:val="16"/>
        </w:numPr>
        <w:jc w:val="both"/>
        <w:rPr>
          <w:sz w:val="24"/>
          <w:szCs w:val="24"/>
          <w:lang w:val="sr-Latn-ME"/>
        </w:rPr>
      </w:pPr>
      <w:r w:rsidRPr="00437131">
        <w:rPr>
          <w:sz w:val="24"/>
          <w:szCs w:val="24"/>
          <w:lang w:val="sr-Latn-ME"/>
        </w:rPr>
        <w:t>rastom transfera za socijalnu zaštitu (po osnovu projektovanog usklađivanja penzionih i osnovna materijalna davanja iz socijalne i dječje zaštite, a u skladu sa rastom prosječne zarade i inflacije);</w:t>
      </w:r>
    </w:p>
    <w:p w14:paraId="12A6FB5E" w14:textId="77777777" w:rsidR="00346BE3" w:rsidRPr="00437131" w:rsidRDefault="00346BE3" w:rsidP="00346BE3">
      <w:pPr>
        <w:pStyle w:val="ListParagraph"/>
        <w:numPr>
          <w:ilvl w:val="0"/>
          <w:numId w:val="16"/>
        </w:numPr>
        <w:jc w:val="both"/>
        <w:rPr>
          <w:sz w:val="24"/>
          <w:szCs w:val="24"/>
          <w:lang w:val="sr-Latn-ME"/>
        </w:rPr>
      </w:pPr>
      <w:r w:rsidRPr="00437131">
        <w:rPr>
          <w:sz w:val="24"/>
          <w:szCs w:val="24"/>
          <w:lang w:val="sr-Latn-ME"/>
        </w:rPr>
        <w:t>transfera institucijama, pojedincima, NVO i javnom sektoru i to prije svega u dijelu finansiranja sistema zdravstvene zaštite;</w:t>
      </w:r>
    </w:p>
    <w:p w14:paraId="2B060870" w14:textId="77777777" w:rsidR="00346BE3" w:rsidRPr="00437131" w:rsidRDefault="00346BE3" w:rsidP="00346BE3">
      <w:pPr>
        <w:pStyle w:val="ListParagraph"/>
        <w:numPr>
          <w:ilvl w:val="0"/>
          <w:numId w:val="16"/>
        </w:numPr>
        <w:jc w:val="both"/>
        <w:rPr>
          <w:sz w:val="24"/>
          <w:szCs w:val="24"/>
          <w:lang w:val="sr-Latn-ME"/>
        </w:rPr>
      </w:pPr>
      <w:r w:rsidRPr="00437131">
        <w:rPr>
          <w:sz w:val="24"/>
          <w:szCs w:val="24"/>
          <w:lang w:val="sr-Latn-ME"/>
        </w:rPr>
        <w:t>implementacije novih politika (opisane u poglavlju – Mjere na strani rashoda u periodu 2024-2027. godine).</w:t>
      </w:r>
    </w:p>
    <w:p w14:paraId="217E6883" w14:textId="77777777" w:rsidR="00346BE3" w:rsidRPr="00437131" w:rsidRDefault="00346BE3" w:rsidP="00346BE3">
      <w:pPr>
        <w:spacing w:after="120"/>
        <w:jc w:val="both"/>
        <w:rPr>
          <w:rFonts w:cstheme="minorHAnsi"/>
          <w:sz w:val="24"/>
          <w:szCs w:val="24"/>
          <w:lang w:val="sr-Latn-ME"/>
        </w:rPr>
      </w:pPr>
      <w:r w:rsidRPr="00437131">
        <w:rPr>
          <w:rFonts w:cstheme="minorHAnsi"/>
          <w:sz w:val="24"/>
          <w:szCs w:val="24"/>
          <w:lang w:val="sr-Latn-ME"/>
        </w:rPr>
        <w:lastRenderedPageBreak/>
        <w:t>Kada je u pitanju strategija upravljanja javnom potrošnjom strategija politike bazira se na: reformi penzionog i zdravstvenog sistema – u cilju što adekvatnije socijalne zaštite građana, reformi sistema socijalne zaštite u cilju usmjeravanja socijalnih fondova onima kojima je to potrebno, reformi preduzeća u većinskom vlasništvu države, optimizaciji javne uprave kroz sprovođenje funkcionalnih analiza koje treba da identifikuju oblasti u kojima je neophodno izvršiti racionalizaciju broja zaposlenih i onih oblasti koje zahtijevaju dodatno kadrovsko jačanje u kontekstu zahtjeva iz EU agende i kvalitetnijeg pružanja javnih usluga, reformi sistema zarada u javnom sektoru, kao i zadržavanje visokog nivoa izdvajanja za finansiranje kapitalnih projekata i drugih infrastrukturnih projekata kojima se stvaraju uslovi za dugoročni rast i razvoj.</w:t>
      </w:r>
    </w:p>
    <w:p w14:paraId="097C296F" w14:textId="77777777" w:rsidR="00346BE3" w:rsidRPr="00437131" w:rsidRDefault="00346BE3" w:rsidP="00346BE3">
      <w:pPr>
        <w:spacing w:after="120"/>
        <w:jc w:val="both"/>
        <w:rPr>
          <w:sz w:val="24"/>
          <w:szCs w:val="24"/>
          <w:lang w:val="sr-Latn-ME"/>
        </w:rPr>
      </w:pPr>
      <w:r w:rsidRPr="00437131">
        <w:rPr>
          <w:sz w:val="24"/>
          <w:szCs w:val="24"/>
          <w:lang w:val="sr-Latn-ME"/>
        </w:rPr>
        <w:t>Strategija politike u oblasti upravljanja javnom potrošnjom u periodu 2025–2027. godine baziraće se na racionalizaciji tekuće potrošnje, pod uticajem rasta mandatornih rashoda čije se kretanje usklađuje sa zakonskim obavezama (osnovna materijalna davanja iz socijalne i dječje zaštite i davanja iz oblasti penzijsko-invalidskog osiguranja). U posmatranom periodu fokus će biti na preraspodjeli unutar potrošnje u cilju finansiranja prvenstveno rashoda kojima se pozitivno utiče na ekonomski rast i razvoj.</w:t>
      </w:r>
    </w:p>
    <w:p w14:paraId="7B4E3181" w14:textId="77777777" w:rsidR="00346BE3" w:rsidRPr="00437131" w:rsidRDefault="00346BE3" w:rsidP="00346BE3">
      <w:pPr>
        <w:jc w:val="both"/>
        <w:rPr>
          <w:rFonts w:cstheme="minorHAnsi"/>
          <w:sz w:val="24"/>
          <w:szCs w:val="24"/>
          <w:lang w:val="sr-Latn-ME"/>
        </w:rPr>
      </w:pPr>
      <w:r w:rsidRPr="00437131">
        <w:rPr>
          <w:rFonts w:cstheme="minorHAnsi"/>
          <w:sz w:val="24"/>
          <w:szCs w:val="24"/>
          <w:lang w:val="sr-Latn-ME"/>
        </w:rPr>
        <w:t>Bolje poslovno okruženje, povećanje broja preduzeća, formalne zaposlenosti, a samim tim i prihoda države obezbijediće se i implementacijom Programa za suzbijanje neformalne ekonomije uz prateći Akcioni plan za njegovu implementaciju za period 2024-2026. godina. Program za suzbijanje neformalne ekonomije prepoznaje ključne sektore (turizam, trgovina, saobraćaj, građevinarstvo i poljoprivreda) u kojima neformalna ekonomija godinama unazad predstavlja jednu od najvećih barijera za rast ekonomije. Program uključuje postojeće i nove mjere za suzbijanje neformalne ekonomije i pruža set kontrolnih i podsticajnih mjera, kako bi se sa jedne strane vršila efikasnija kontrola i spriječila neformalna ekonomija, a sa druge strane olakšalo poslovanje privredi. Fundamentalni principi na kojima počiva ovaj program i njegovi operativni ciljevi se odnose na princip jednakog tretmana za sve učesnike u ekonomskoj aktivnosti, kroz promovisanje prednosti formalnog poslovanja i smanjenja neformalne ekonomije i njenih negativnih posljedica. Konkretnije, operativni ciljevi apostrofiraju smanjenje neformalne ekonomije u poslovanju registrovanih preduzeća i preduzetnika/preduzetnica, ali i registraciju neregistovanih ekonomskih aktivnosti, odnosno njihovo prevođenje u legalne tokove.</w:t>
      </w:r>
    </w:p>
    <w:p w14:paraId="01CE2C2F" w14:textId="77777777" w:rsidR="00346BE3" w:rsidRPr="00437131" w:rsidRDefault="00346BE3" w:rsidP="00346BE3">
      <w:pPr>
        <w:jc w:val="both"/>
        <w:rPr>
          <w:rFonts w:cstheme="minorHAnsi"/>
          <w:sz w:val="24"/>
          <w:szCs w:val="24"/>
          <w:lang w:val="sr-Latn-ME"/>
        </w:rPr>
      </w:pPr>
      <w:r w:rsidRPr="00437131">
        <w:rPr>
          <w:rFonts w:cstheme="minorHAnsi"/>
          <w:sz w:val="24"/>
          <w:szCs w:val="24"/>
          <w:lang w:val="sr-Latn-ME"/>
        </w:rPr>
        <w:t xml:space="preserve">Pored navedenog jedna od najznačajnijih mjera jeste i reforma preduzeća u većinskom vlasništvu države. Cilj ove reforme je smanjenje fiskalnih rizika poslovanja preduzeća u većinskom vlasništvu države i povećanje njihovog fiskalnog potencijala. Uspostavljanje adekvatnog modela upravljanja i efikasnog sistema nadzora nad sektorom državnih preduzeća je reformska mjera koja ima za cilj definisanje jasne vlasničke politike Države i strateškog pristupa u upravljanju u ovim društvima uz definisanje optimalnog modela i mehanizama nadzora radi poboljšanja poslovnih performansi državnih preduzeća i smanjenja fiskalnih rizika njihovog poslovanja. Ministarstvo finansija je u proteklom periodu sprovelo više aktivnosti koje su bile usmjerene na implementaciju mjere. Od </w:t>
      </w:r>
      <w:r w:rsidRPr="00437131">
        <w:rPr>
          <w:rFonts w:cstheme="minorHAnsi"/>
          <w:sz w:val="24"/>
          <w:szCs w:val="24"/>
          <w:lang w:val="sr-Latn-ME"/>
        </w:rPr>
        <w:lastRenderedPageBreak/>
        <w:t>januara 2024. godine počela je implementacija Projekta koji se odnosi na reformu sektora državnih preduzeća koji finansira Evropska komisija. Predmetni projekat se implementira uzpodršku Svjetske banke koja pruža tehničku pomoć u okviru svog novog Programa izgradnje efektivnog održivog i transformacionog javnog sektora (BEST-javni sektor). Do sada je obezbijeđen prvi rezultat ove pomoći – Brza procjena državnih preduzeća u Crnoj Gori u sektoru energetike i turizma, koja pokriva ključne aspekte finansijskog, fiskalnog i korporativnog upravljanja odabranih kompanija. Ostale aktivnosti koje će biti podržane u okviru BEST programa u narednih 12-24 meseca uključuju: podrška razvoju strategije reforme državnih preduzeća, podrška za sveobuhvatnu analizu pravno-regulatornog okvira u kojem posluju državna preduzeća, pomoć zasnovanu na međunarodnom iskustvu za definisanje centralne vlasničke funkcije i izradu vlasničke politike, podršku strateškom komunikacijskom planu za reformu državnih preduzeća, itd. Kao rezultat sprovođenja reformske mjere, Crna Gora će imati jasno definisan strateški okvir za upravljanje privrednim društvima u većinskom državnom vlasništvu sa akcionim planom dalje reforme u ovoj oblasti kao i jasno definisanu vlasničku politiku Države u ovim društvima.</w:t>
      </w:r>
    </w:p>
    <w:p w14:paraId="5D81C689" w14:textId="77777777" w:rsidR="00346BE3" w:rsidRPr="00437131" w:rsidRDefault="00346BE3" w:rsidP="00346BE3">
      <w:pPr>
        <w:jc w:val="both"/>
        <w:rPr>
          <w:rFonts w:cstheme="minorHAnsi"/>
          <w:sz w:val="24"/>
          <w:szCs w:val="24"/>
          <w:lang w:val="sr-Latn-ME"/>
        </w:rPr>
      </w:pPr>
      <w:r w:rsidRPr="00437131">
        <w:rPr>
          <w:rFonts w:cstheme="minorHAnsi"/>
          <w:sz w:val="24"/>
          <w:szCs w:val="24"/>
          <w:lang w:val="sr-Latn-ME"/>
        </w:rPr>
        <w:t>Kako bi se obezbijedila puna podrška planiranim reformskim procesima i povećala efikasnost rada Poreske uprave, Crna Gora uz podršku Svjetske banke realizuje projekat „Reforma poreske administracije“ koja podrazumijeva uvođenje integrisanog sistema upravljanja prihodima (IRMS), kao i sistema on line fiskalizacije u realnom vremenu, čime je unaprijeđena poreska disciplina što je u velikoj mjeri je doprinijelo ostvarenoj dobroj naplati po osnovu poreza na dodatu vrijednost.</w:t>
      </w:r>
      <w:r w:rsidRPr="00437131">
        <w:rPr>
          <w:sz w:val="24"/>
          <w:szCs w:val="24"/>
          <w:lang w:val="sr-Latn-ME"/>
        </w:rPr>
        <w:t xml:space="preserve"> </w:t>
      </w:r>
      <w:r w:rsidRPr="00437131">
        <w:rPr>
          <w:rFonts w:cstheme="minorHAnsi"/>
          <w:sz w:val="24"/>
          <w:szCs w:val="24"/>
          <w:lang w:val="sr-Latn-ME"/>
        </w:rPr>
        <w:t>Projekat podržava dugoročnu viziju Crne Gore u stvaranju modernizovanih poslovnih procesa i poreske administracije zasnovane na analizi rizika koja doprinosi većem stepenu dobovoljnog poštovanja poreskih propisa i efikasnoj naplati poreza.</w:t>
      </w:r>
    </w:p>
    <w:p w14:paraId="56AA7034" w14:textId="77777777" w:rsidR="00346BE3" w:rsidRPr="00437131" w:rsidRDefault="00346BE3" w:rsidP="00346BE3">
      <w:pPr>
        <w:jc w:val="both"/>
        <w:rPr>
          <w:rFonts w:cstheme="minorHAnsi"/>
          <w:sz w:val="24"/>
          <w:szCs w:val="24"/>
          <w:lang w:val="sr-Latn-ME"/>
        </w:rPr>
      </w:pPr>
      <w:r w:rsidRPr="00437131">
        <w:rPr>
          <w:rFonts w:cstheme="minorHAnsi"/>
          <w:sz w:val="24"/>
          <w:szCs w:val="24"/>
          <w:lang w:val="sr-Latn-ME"/>
        </w:rPr>
        <w:t>Takođe, implementacija novog kompjuterizovanog tranzitnog sistema (NCTS) jedan je od modela unapređenja carinske administracije. Novi kompjuterizovani tranzitni sistem (NCTS) je bespapirni tranzitni sistem koji se zasniva na elektronskom podnošenju tranzitnih deklaracija i elektronskoj razmjeni podataka između carinskih organa potpisnica Konvencije o zajedničkom tranzitu. NCTS omogućava sprovođenje postupka zajedničkog tranzita robe podnošenjem jedne tranzitne deklaracije i jednog obezbjeđenja kod polaznog carinskog organa, koji važe u zemljama potpisnicama Konvencije o zajedničkom tranzitu, odnosno tokom cijelog puta tranzita robe. Primjena NCTS-a, podrazumijeva elektronsko praćenje postupka tranzita, što omogućava brži protok robe i kraće vrijeme potrebno za obavljanje carinskih procedura, a time i uštedu vremena i troškova za privrednike. Osim navedenog u okviru reforme carinske administracije predviđeno je i uspostavljanje “TRACK AND TRACE” sistema u cilju smanjenja nelegalne trgovine duvanskim proizvodima.</w:t>
      </w:r>
    </w:p>
    <w:p w14:paraId="639F6417" w14:textId="77777777" w:rsidR="00346BE3" w:rsidRPr="00437131" w:rsidRDefault="00346BE3" w:rsidP="00346BE3">
      <w:pPr>
        <w:jc w:val="both"/>
        <w:rPr>
          <w:sz w:val="24"/>
          <w:szCs w:val="24"/>
          <w:lang w:val="sr-Latn-ME"/>
        </w:rPr>
      </w:pPr>
      <w:r w:rsidRPr="00437131">
        <w:rPr>
          <w:rFonts w:cstheme="minorHAnsi"/>
          <w:sz w:val="24"/>
          <w:szCs w:val="24"/>
          <w:lang w:val="sr-Latn-ME"/>
        </w:rPr>
        <w:t xml:space="preserve">Jedan od prioriteta u narednom period biće i efikasnije regulisanje i nadzor u oblasti priređivanja igara na sreću. U toku je izrada nacrta novog Zakona o igrama na sreću. Osnovni cilj zakona je da se na sistemski održiv način uredi industrija igara na sreću. To se odnosi na precizno definisanje </w:t>
      </w:r>
      <w:r w:rsidRPr="00437131">
        <w:rPr>
          <w:rFonts w:cstheme="minorHAnsi"/>
          <w:sz w:val="24"/>
          <w:szCs w:val="24"/>
          <w:lang w:val="sr-Latn-ME"/>
        </w:rPr>
        <w:lastRenderedPageBreak/>
        <w:t>uslova pod kojim se može započeti priređivanje svake vrste igara, računajući opšte uslove priređivanja i uslove za svaku vrstu igre pojedinačno. Definisanje uslova se odnosi i na oduzimanje koncesije/odobrenja priređivačima igara na sreću. Ujedno, preciznije će se definisati uloga Uprave za igre na sreću kao nadležnog organa, kao i nadležnosti inspekcije. U cilju smanjenja negativnog uticaja koje klađenja nosi sa sobom, po prvi put će se definisati odredbe koje se odnose na oglašavanje priređivanja, preciznije utvrditi problematika udaljenosti objekata od obrazovnih ustanova, raspodjela prihoda od igara na sreću i slično. Jedan od najvažnijih ciljeva je dalje smanjenje priređivanja koje se sprovodi u “sivoj zoni”. To će se postići kroz zakonsku obavezu prijavljivanja svih igara koje se priređuju, što do sada nije bio slučaj. Usvajanjem navedenih izmjena stvoriće se uslovi za povećanje javnih prihoda koji se ubiraju po ovom osnovu.</w:t>
      </w:r>
    </w:p>
    <w:p w14:paraId="07043FFB" w14:textId="77777777" w:rsidR="00E05341" w:rsidRPr="00437131" w:rsidRDefault="00E05341" w:rsidP="00E05341">
      <w:pPr>
        <w:rPr>
          <w:sz w:val="24"/>
          <w:szCs w:val="24"/>
          <w:lang w:val="sr-Latn-ME"/>
        </w:rPr>
      </w:pPr>
    </w:p>
    <w:p w14:paraId="69EDBAD7" w14:textId="13114964" w:rsidR="00EA0E2C" w:rsidRPr="00437131" w:rsidRDefault="002D19B3" w:rsidP="00E05341">
      <w:pPr>
        <w:pStyle w:val="Heading2"/>
        <w:shd w:val="clear" w:color="auto" w:fill="B4C6E7" w:themeFill="accent1" w:themeFillTint="66"/>
        <w:spacing w:before="0" w:after="240"/>
        <w:jc w:val="both"/>
        <w:rPr>
          <w:rFonts w:ascii="Garamond" w:hAnsi="Garamond" w:cs="Arial"/>
          <w:b/>
          <w:sz w:val="24"/>
          <w:szCs w:val="24"/>
          <w:lang w:val="sr-Latn-ME"/>
        </w:rPr>
      </w:pPr>
      <w:bookmarkStart w:id="95" w:name="_Toc184111653"/>
      <w:r w:rsidRPr="00437131">
        <w:rPr>
          <w:rFonts w:asciiTheme="minorHAnsi" w:hAnsiTheme="minorHAnsi" w:cstheme="minorHAnsi"/>
          <w:b/>
          <w:sz w:val="24"/>
          <w:szCs w:val="24"/>
          <w:lang w:val="sr-Latn-ME"/>
        </w:rPr>
        <w:t>5</w:t>
      </w:r>
      <w:r w:rsidR="00E05341" w:rsidRPr="00437131">
        <w:rPr>
          <w:rFonts w:asciiTheme="minorHAnsi" w:hAnsiTheme="minorHAnsi" w:cstheme="minorHAnsi"/>
          <w:b/>
          <w:sz w:val="24"/>
          <w:szCs w:val="24"/>
          <w:lang w:val="sr-Latn-ME"/>
        </w:rPr>
        <w:t>.</w:t>
      </w:r>
      <w:r w:rsidRPr="00437131">
        <w:rPr>
          <w:rFonts w:asciiTheme="minorHAnsi" w:hAnsiTheme="minorHAnsi" w:cstheme="minorHAnsi"/>
          <w:b/>
          <w:sz w:val="24"/>
          <w:szCs w:val="24"/>
          <w:lang w:val="sr-Latn-ME"/>
        </w:rPr>
        <w:t xml:space="preserve"> </w:t>
      </w:r>
      <w:r w:rsidR="00EA0E2C" w:rsidRPr="00437131">
        <w:rPr>
          <w:rFonts w:asciiTheme="minorHAnsi" w:hAnsiTheme="minorHAnsi" w:cstheme="minorHAnsi"/>
          <w:b/>
          <w:sz w:val="24"/>
          <w:szCs w:val="24"/>
          <w:lang w:val="sr-Latn-ME"/>
        </w:rPr>
        <w:t>REFORMSKA AGENDA CRNE</w:t>
      </w:r>
      <w:r w:rsidR="00EA0E2C" w:rsidRPr="00437131">
        <w:rPr>
          <w:rFonts w:ascii="Garamond" w:hAnsi="Garamond" w:cs="Arial"/>
          <w:b/>
          <w:sz w:val="24"/>
          <w:szCs w:val="24"/>
          <w:lang w:val="sr-Latn-ME"/>
        </w:rPr>
        <w:t xml:space="preserve"> </w:t>
      </w:r>
      <w:r w:rsidR="00EA0E2C" w:rsidRPr="00437131">
        <w:rPr>
          <w:rFonts w:asciiTheme="minorHAnsi" w:hAnsiTheme="minorHAnsi" w:cstheme="minorHAnsi"/>
          <w:b/>
          <w:sz w:val="24"/>
          <w:szCs w:val="24"/>
          <w:lang w:val="sr-Latn-ME"/>
        </w:rPr>
        <w:t>GORE I UVEZANOST SA MAKROEKONOMSKIM OKVIROM</w:t>
      </w:r>
      <w:bookmarkEnd w:id="95"/>
    </w:p>
    <w:p w14:paraId="6025B4F4" w14:textId="003387DD" w:rsidR="00EA0E2C" w:rsidRPr="00437131" w:rsidRDefault="00E05341" w:rsidP="00EA0E2C">
      <w:pPr>
        <w:pStyle w:val="Heading2"/>
        <w:spacing w:before="0" w:after="240"/>
        <w:jc w:val="both"/>
        <w:rPr>
          <w:rFonts w:asciiTheme="minorHAnsi" w:hAnsiTheme="minorHAnsi" w:cstheme="minorHAnsi"/>
          <w:b/>
          <w:sz w:val="24"/>
          <w:szCs w:val="24"/>
          <w:lang w:val="sr-Latn-ME"/>
        </w:rPr>
      </w:pPr>
      <w:bookmarkStart w:id="96" w:name="_Toc184111654"/>
      <w:r w:rsidRPr="00437131">
        <w:rPr>
          <w:rFonts w:asciiTheme="minorHAnsi" w:hAnsiTheme="minorHAnsi" w:cstheme="minorHAnsi"/>
          <w:b/>
          <w:sz w:val="24"/>
          <w:szCs w:val="24"/>
          <w:lang w:val="sr-Latn-ME"/>
        </w:rPr>
        <w:t>5.1. Uvod</w:t>
      </w:r>
      <w:bookmarkEnd w:id="96"/>
    </w:p>
    <w:p w14:paraId="2145D4B6" w14:textId="77777777" w:rsidR="00E05341" w:rsidRPr="00437131" w:rsidRDefault="00E05341" w:rsidP="00E05341">
      <w:pPr>
        <w:jc w:val="both"/>
        <w:rPr>
          <w:rFonts w:cstheme="minorHAnsi"/>
          <w:noProof/>
          <w:sz w:val="24"/>
          <w:szCs w:val="24"/>
        </w:rPr>
      </w:pPr>
      <w:r w:rsidRPr="00437131">
        <w:rPr>
          <w:rFonts w:cstheme="minorHAnsi"/>
          <w:noProof/>
          <w:sz w:val="24"/>
          <w:szCs w:val="24"/>
        </w:rPr>
        <w:t>Reformska agenda Crne Gore 2024-2027 za Instrument EU za reforme i rast u okviru Plana rasta EU za Zapadni Balkan je ključni dokument koji ima za cilj ubrzanje ekonomske konvergencije Crne Gore prema prosjeku Evropske unije i sprovođenje neophodnih reformi kako bi se ubrzala integracija u EU. Evropska komisija (EK) je usvojila regulativu koja se odnosi na Plan rasta za Zapadni Balkan, sa projekcijom da će reforme i finansijska podrška EU imati pozitivan efekat na ekonomski rast država kandidata. Plan predviđa kombinaciju bespovratnih sredstava i povoljnih kredita u ukupnom iznosu od 6 milijardi eura za period 2024-2027, pri čemu je za Crnu Goru alocirano 383,5 miliona eura, od čega 110 miliona eura čine bespovratna sredstva, a 273,5 miliona eura povoljni krediti.</w:t>
      </w:r>
    </w:p>
    <w:p w14:paraId="0EFE0397" w14:textId="77777777" w:rsidR="00E05341" w:rsidRPr="00437131" w:rsidRDefault="00E05341" w:rsidP="00E05341">
      <w:pPr>
        <w:jc w:val="both"/>
        <w:rPr>
          <w:rFonts w:cstheme="minorHAnsi"/>
          <w:noProof/>
          <w:sz w:val="24"/>
          <w:szCs w:val="24"/>
        </w:rPr>
      </w:pPr>
      <w:r w:rsidRPr="00437131">
        <w:rPr>
          <w:rFonts w:cstheme="minorHAnsi"/>
          <w:noProof/>
          <w:sz w:val="24"/>
          <w:szCs w:val="24"/>
        </w:rPr>
        <w:t>Od ukupnog iznosa podrške planirano je da 178,5 miliona eura bude dodijeljeno u vidu budžetske podrške, dok će preostalih 205 miliona eura biti dodijeljeno za finansiranje infrastrukturnih projekata i implementirana kroz mehanizam Zapadnobalkanskog investicionog okvira (ZIO). Shodno najavama Evropske komisije, planirano je da se od ukupnog iznosa 7% sredstava dodijeli na početku sprovođenja Plana rasta, a ostatak u šest polugodišnjih tranši podrške, u zavisnosti od stepena realizacije planiranih reformi.</w:t>
      </w:r>
    </w:p>
    <w:p w14:paraId="41DC778B" w14:textId="77777777" w:rsidR="00E05341" w:rsidRPr="00437131" w:rsidRDefault="00E05341" w:rsidP="00E05341">
      <w:pPr>
        <w:jc w:val="both"/>
        <w:rPr>
          <w:rFonts w:cstheme="minorHAnsi"/>
          <w:noProof/>
          <w:sz w:val="24"/>
          <w:szCs w:val="24"/>
        </w:rPr>
      </w:pPr>
      <w:r w:rsidRPr="00437131">
        <w:rPr>
          <w:rFonts w:cstheme="minorHAnsi"/>
          <w:noProof/>
          <w:sz w:val="24"/>
          <w:szCs w:val="24"/>
        </w:rPr>
        <w:t>Sredstva koja će biti dostupna Crnoj Gori uslovljena su uspješnom implementacijom reformskih mjera definisanih u Reformskoj agendi, zbog čega je ovaj dokument važan za ekonomski i politički razvoj Crne Gore, kao i za ubrzanje evropske integracije.</w:t>
      </w:r>
    </w:p>
    <w:p w14:paraId="41E2F879" w14:textId="77777777" w:rsidR="00E05341" w:rsidRPr="00437131" w:rsidRDefault="00E05341" w:rsidP="00E05341">
      <w:pPr>
        <w:jc w:val="both"/>
        <w:rPr>
          <w:rFonts w:cstheme="minorHAnsi"/>
          <w:noProof/>
          <w:sz w:val="24"/>
          <w:szCs w:val="24"/>
        </w:rPr>
      </w:pPr>
      <w:r w:rsidRPr="00437131">
        <w:rPr>
          <w:rFonts w:cstheme="minorHAnsi"/>
          <w:noProof/>
          <w:sz w:val="24"/>
          <w:szCs w:val="24"/>
        </w:rPr>
        <w:t xml:space="preserve">Imajući u vidu najavljeni pozitivni uticaj Plana rasta na brzinu konvergencije ekonomije sa prosjekom na niovu svih država članica EU, Vlada je strateški definisala prioritetne oblasti politika i proaktivno djelovala prilikom pripreme Reformske agende. U skladu sa postavljenim rokovima i definisanim obrascima od strane EK, Predlog osnovnih reformskih mjera i koraka za Reformsku </w:t>
      </w:r>
      <w:r w:rsidRPr="00437131">
        <w:rPr>
          <w:rFonts w:cstheme="minorHAnsi"/>
          <w:noProof/>
          <w:sz w:val="24"/>
          <w:szCs w:val="24"/>
        </w:rPr>
        <w:lastRenderedPageBreak/>
        <w:t xml:space="preserve">agendu je na tehničkom nivou usaglašen sa Evropskom komisijom sredinom juna, nakon čega je razmotren i usvojen od strane Vlade 20. juna 2024. godine. Nakon pripreme punog formata dokumenta i dodatnih konsultacija Evropskom komisijom tokom avgusta i septembra 2024, usaglašena je finalna verzija Reformske agende, koju je Vlada usvojila 26. septembra 2024. godine. </w:t>
      </w:r>
    </w:p>
    <w:p w14:paraId="3B62FFCA" w14:textId="77777777" w:rsidR="00E05341" w:rsidRPr="00437131" w:rsidRDefault="00E05341" w:rsidP="00E05341">
      <w:pPr>
        <w:jc w:val="both"/>
        <w:rPr>
          <w:rFonts w:cstheme="minorHAnsi"/>
          <w:noProof/>
          <w:sz w:val="24"/>
          <w:szCs w:val="24"/>
        </w:rPr>
      </w:pPr>
      <w:r w:rsidRPr="00437131">
        <w:rPr>
          <w:rFonts w:cstheme="minorHAnsi"/>
          <w:noProof/>
          <w:sz w:val="24"/>
          <w:szCs w:val="24"/>
        </w:rPr>
        <w:t>Finalni dokument sadrži 32 indikativne prioritetne reformske mjere u okviru četiri oblasti politika, 14 podoblasti politika (sektora) i 130 koraka definisanih kao neophodni za ispunjavanje reformi. Definisani koraci ujedno sadrže i pokazatelje uspjeha (indikatore), koji će biti osnov za praćenje napretka u sprovođenju reformskih mjera i procjenu EU o ispunjenosti uslova za dodjelu sredstava.</w:t>
      </w:r>
    </w:p>
    <w:p w14:paraId="5FFBCD4F" w14:textId="7B53F4C7" w:rsidR="00E05341" w:rsidRPr="00437131" w:rsidRDefault="00E05341" w:rsidP="00E05341">
      <w:pPr>
        <w:pStyle w:val="Heading2"/>
        <w:spacing w:before="0" w:after="240"/>
        <w:jc w:val="both"/>
        <w:rPr>
          <w:rFonts w:asciiTheme="minorHAnsi" w:hAnsiTheme="minorHAnsi" w:cstheme="minorHAnsi"/>
          <w:b/>
          <w:sz w:val="24"/>
          <w:szCs w:val="24"/>
          <w:lang w:val="sr-Latn-ME"/>
        </w:rPr>
      </w:pPr>
      <w:bookmarkStart w:id="97" w:name="_Toc184111655"/>
      <w:r w:rsidRPr="00437131">
        <w:rPr>
          <w:rFonts w:asciiTheme="minorHAnsi" w:hAnsiTheme="minorHAnsi" w:cstheme="minorHAnsi"/>
          <w:b/>
          <w:sz w:val="24"/>
          <w:szCs w:val="24"/>
          <w:lang w:val="sr-Latn-ME"/>
        </w:rPr>
        <w:t>5.2. Ciljevi Reformske agende</w:t>
      </w:r>
      <w:bookmarkEnd w:id="97"/>
    </w:p>
    <w:p w14:paraId="5A00433D" w14:textId="77777777" w:rsidR="00E05341" w:rsidRPr="00226383" w:rsidRDefault="00E05341" w:rsidP="00E05341">
      <w:pPr>
        <w:jc w:val="both"/>
        <w:rPr>
          <w:rFonts w:cstheme="minorHAnsi"/>
          <w:noProof/>
          <w:sz w:val="24"/>
          <w:szCs w:val="24"/>
        </w:rPr>
      </w:pPr>
      <w:r w:rsidRPr="00226383">
        <w:rPr>
          <w:rFonts w:cstheme="minorHAnsi"/>
          <w:noProof/>
          <w:sz w:val="24"/>
          <w:szCs w:val="24"/>
        </w:rPr>
        <w:t xml:space="preserve">Imajući u vidu trenutnu situaciju i izazove u kontekstu ekonomskog razvoja, povezanih sa potrebom da se ubrzaju ključne reforme u procesu pristupanja Evropskoj uniji, opšti cilj Reformske agende Crne Gore je da se iskoriste podsticaji Evropske unije dostupni kroz Instrument za reformu i rast za Zapadni Balkan, radi sprovođenja ključnih reformskih mjera u oblastima od strateškog značaja za ubrzanje ekonomskog rasta i konvergencije sa zemljama Evropske unije. Kako bi ostvarila ovaj ambiciozni cilj u pogledu ekonomskog rasta, Vlada Crne Gore je prepoznala i odredila reformske mjere koje se odnose na 4 ključne oblasti politika i to: </w:t>
      </w:r>
      <w:r w:rsidRPr="00226383">
        <w:rPr>
          <w:rFonts w:cstheme="minorHAnsi"/>
          <w:b/>
          <w:i/>
          <w:noProof/>
          <w:sz w:val="24"/>
          <w:szCs w:val="24"/>
        </w:rPr>
        <w:t>poslovnog okruženja i razvoja privatnog sektora, digitalne i energetske/zelene tranzicije, razvoja ljudskog kapitala i temeljnih prava/vladavine prava</w:t>
      </w:r>
      <w:r w:rsidRPr="00226383">
        <w:rPr>
          <w:rFonts w:cstheme="minorHAnsi"/>
          <w:noProof/>
          <w:sz w:val="24"/>
          <w:szCs w:val="24"/>
        </w:rPr>
        <w:t xml:space="preserve">. Uz to, snažna prioritizacija reformi neophodnih za ubrzavanje procesa pristupanja Evropskoj uniji, reformi u temeljnim pravima, uključujući vladavinu prava i borbu protiv korupcije i organizovanog kriminala , predstavljaju međusektorske reforme i od ključne su važnosti za sprovođenje Reformske agende. </w:t>
      </w:r>
    </w:p>
    <w:p w14:paraId="57205872" w14:textId="77777777" w:rsidR="00E05341" w:rsidRPr="00437131" w:rsidRDefault="00E05341" w:rsidP="00E05341">
      <w:pPr>
        <w:jc w:val="both"/>
        <w:rPr>
          <w:rFonts w:cstheme="minorHAnsi"/>
          <w:noProof/>
          <w:sz w:val="24"/>
          <w:szCs w:val="24"/>
        </w:rPr>
      </w:pPr>
      <w:r w:rsidRPr="00226383">
        <w:rPr>
          <w:rFonts w:cstheme="minorHAnsi"/>
          <w:noProof/>
          <w:sz w:val="24"/>
          <w:szCs w:val="24"/>
        </w:rPr>
        <w:t>Imajući u vidu ključne izazove sa kojima se crnogorska ekonomija suočava, sve</w:t>
      </w:r>
      <w:r w:rsidRPr="00437131">
        <w:rPr>
          <w:rFonts w:cstheme="minorHAnsi"/>
          <w:noProof/>
          <w:sz w:val="24"/>
          <w:szCs w:val="24"/>
        </w:rPr>
        <w:t xml:space="preserve"> mjere predložene Reformskom agendom su usklađene sa sljedećim ciljevima: </w:t>
      </w:r>
    </w:p>
    <w:p w14:paraId="0EEDECBA" w14:textId="77777777" w:rsidR="00E05341" w:rsidRPr="00437131" w:rsidRDefault="00E05341" w:rsidP="00E05341">
      <w:pPr>
        <w:pStyle w:val="ListParagraph"/>
        <w:widowControl w:val="0"/>
        <w:numPr>
          <w:ilvl w:val="0"/>
          <w:numId w:val="3"/>
        </w:numPr>
        <w:autoSpaceDE w:val="0"/>
        <w:autoSpaceDN w:val="0"/>
        <w:adjustRightInd w:val="0"/>
        <w:spacing w:after="0" w:line="276" w:lineRule="auto"/>
        <w:ind w:right="130"/>
        <w:contextualSpacing w:val="0"/>
        <w:jc w:val="both"/>
        <w:rPr>
          <w:rFonts w:cstheme="minorHAnsi"/>
          <w:sz w:val="24"/>
          <w:szCs w:val="24"/>
          <w:lang w:val="sr-Latn-ME"/>
        </w:rPr>
      </w:pPr>
      <w:r w:rsidRPr="00437131">
        <w:rPr>
          <w:rFonts w:cstheme="minorHAnsi"/>
          <w:sz w:val="24"/>
          <w:szCs w:val="24"/>
        </w:rPr>
        <w:t>ubrzanje</w:t>
      </w:r>
      <w:r w:rsidRPr="00437131">
        <w:rPr>
          <w:rFonts w:cstheme="minorHAnsi"/>
          <w:sz w:val="24"/>
          <w:szCs w:val="24"/>
          <w:lang w:val="sr-Latn-ME"/>
        </w:rPr>
        <w:t xml:space="preserve"> </w:t>
      </w:r>
      <w:r w:rsidRPr="00437131">
        <w:rPr>
          <w:rFonts w:cstheme="minorHAnsi"/>
          <w:sz w:val="24"/>
          <w:szCs w:val="24"/>
        </w:rPr>
        <w:t>tranzicije</w:t>
      </w:r>
      <w:r w:rsidRPr="00437131">
        <w:rPr>
          <w:rFonts w:cstheme="minorHAnsi"/>
          <w:sz w:val="24"/>
          <w:szCs w:val="24"/>
          <w:lang w:val="sr-Latn-ME"/>
        </w:rPr>
        <w:t xml:space="preserve"> </w:t>
      </w:r>
      <w:r w:rsidRPr="00437131">
        <w:rPr>
          <w:rFonts w:cstheme="minorHAnsi"/>
          <w:sz w:val="24"/>
          <w:szCs w:val="24"/>
        </w:rPr>
        <w:t>korisnika</w:t>
      </w:r>
      <w:r w:rsidRPr="00437131">
        <w:rPr>
          <w:rFonts w:cstheme="minorHAnsi"/>
          <w:sz w:val="24"/>
          <w:szCs w:val="24"/>
          <w:lang w:val="sr-Latn-ME"/>
        </w:rPr>
        <w:t xml:space="preserve"> </w:t>
      </w:r>
      <w:r w:rsidRPr="00437131">
        <w:rPr>
          <w:rFonts w:cstheme="minorHAnsi"/>
          <w:sz w:val="24"/>
          <w:szCs w:val="24"/>
        </w:rPr>
        <w:t>prema</w:t>
      </w:r>
      <w:r w:rsidRPr="00437131">
        <w:rPr>
          <w:rFonts w:cstheme="minorHAnsi"/>
          <w:sz w:val="24"/>
          <w:szCs w:val="24"/>
          <w:lang w:val="sr-Latn-ME"/>
        </w:rPr>
        <w:t xml:space="preserve"> </w:t>
      </w:r>
      <w:r w:rsidRPr="00437131">
        <w:rPr>
          <w:rFonts w:cstheme="minorHAnsi"/>
          <w:sz w:val="24"/>
          <w:szCs w:val="24"/>
        </w:rPr>
        <w:t>odr</w:t>
      </w:r>
      <w:r w:rsidRPr="00437131">
        <w:rPr>
          <w:rFonts w:cstheme="minorHAnsi"/>
          <w:sz w:val="24"/>
          <w:szCs w:val="24"/>
          <w:lang w:val="sr-Latn-ME"/>
        </w:rPr>
        <w:t>ž</w:t>
      </w:r>
      <w:r w:rsidRPr="00437131">
        <w:rPr>
          <w:rFonts w:cstheme="minorHAnsi"/>
          <w:sz w:val="24"/>
          <w:szCs w:val="24"/>
        </w:rPr>
        <w:t>ivim</w:t>
      </w:r>
      <w:r w:rsidRPr="00437131">
        <w:rPr>
          <w:rFonts w:cstheme="minorHAnsi"/>
          <w:sz w:val="24"/>
          <w:szCs w:val="24"/>
          <w:lang w:val="sr-Latn-ME"/>
        </w:rPr>
        <w:t xml:space="preserve"> </w:t>
      </w:r>
      <w:r w:rsidRPr="00437131">
        <w:rPr>
          <w:rFonts w:cstheme="minorHAnsi"/>
          <w:sz w:val="24"/>
          <w:szCs w:val="24"/>
        </w:rPr>
        <w:t>i</w:t>
      </w:r>
      <w:r w:rsidRPr="00437131">
        <w:rPr>
          <w:rFonts w:cstheme="minorHAnsi"/>
          <w:sz w:val="24"/>
          <w:szCs w:val="24"/>
          <w:lang w:val="sr-Latn-ME"/>
        </w:rPr>
        <w:t xml:space="preserve"> </w:t>
      </w:r>
      <w:r w:rsidRPr="00437131">
        <w:rPr>
          <w:rFonts w:cstheme="minorHAnsi"/>
          <w:sz w:val="24"/>
          <w:szCs w:val="24"/>
        </w:rPr>
        <w:t>inkluzivnim</w:t>
      </w:r>
      <w:r w:rsidRPr="00437131">
        <w:rPr>
          <w:rFonts w:cstheme="minorHAnsi"/>
          <w:sz w:val="24"/>
          <w:szCs w:val="24"/>
          <w:lang w:val="sr-Latn-ME"/>
        </w:rPr>
        <w:t xml:space="preserve"> </w:t>
      </w:r>
      <w:r w:rsidRPr="00437131">
        <w:rPr>
          <w:rFonts w:cstheme="minorHAnsi"/>
          <w:sz w:val="24"/>
          <w:szCs w:val="24"/>
        </w:rPr>
        <w:t>ekonomijama</w:t>
      </w:r>
      <w:r w:rsidRPr="00437131">
        <w:rPr>
          <w:rFonts w:cstheme="minorHAnsi"/>
          <w:sz w:val="24"/>
          <w:szCs w:val="24"/>
          <w:lang w:val="sr-Latn-ME"/>
        </w:rPr>
        <w:t xml:space="preserve"> </w:t>
      </w:r>
      <w:r w:rsidRPr="00437131">
        <w:rPr>
          <w:rFonts w:cstheme="minorHAnsi"/>
          <w:sz w:val="24"/>
          <w:szCs w:val="24"/>
        </w:rPr>
        <w:t>koje</w:t>
      </w:r>
      <w:r w:rsidRPr="00437131">
        <w:rPr>
          <w:rFonts w:cstheme="minorHAnsi"/>
          <w:sz w:val="24"/>
          <w:szCs w:val="24"/>
          <w:lang w:val="sr-Latn-ME"/>
        </w:rPr>
        <w:t xml:space="preserve"> </w:t>
      </w:r>
      <w:r w:rsidRPr="00437131">
        <w:rPr>
          <w:rFonts w:cstheme="minorHAnsi"/>
          <w:sz w:val="24"/>
          <w:szCs w:val="24"/>
        </w:rPr>
        <w:t>su</w:t>
      </w:r>
      <w:r w:rsidRPr="00437131">
        <w:rPr>
          <w:rFonts w:cstheme="minorHAnsi"/>
          <w:sz w:val="24"/>
          <w:szCs w:val="24"/>
          <w:lang w:val="sr-Latn-ME"/>
        </w:rPr>
        <w:t xml:space="preserve"> </w:t>
      </w:r>
      <w:r w:rsidRPr="00437131">
        <w:rPr>
          <w:rFonts w:cstheme="minorHAnsi"/>
          <w:sz w:val="24"/>
          <w:szCs w:val="24"/>
        </w:rPr>
        <w:t>sposobne</w:t>
      </w:r>
      <w:r w:rsidRPr="00437131">
        <w:rPr>
          <w:rFonts w:cstheme="minorHAnsi"/>
          <w:sz w:val="24"/>
          <w:szCs w:val="24"/>
          <w:lang w:val="sr-Latn-ME"/>
        </w:rPr>
        <w:t xml:space="preserve"> </w:t>
      </w:r>
      <w:r w:rsidRPr="00437131">
        <w:rPr>
          <w:rFonts w:cstheme="minorHAnsi"/>
          <w:sz w:val="24"/>
          <w:szCs w:val="24"/>
        </w:rPr>
        <w:t>da</w:t>
      </w:r>
      <w:r w:rsidRPr="00437131">
        <w:rPr>
          <w:rFonts w:cstheme="minorHAnsi"/>
          <w:sz w:val="24"/>
          <w:szCs w:val="24"/>
          <w:lang w:val="sr-Latn-ME"/>
        </w:rPr>
        <w:t xml:space="preserve"> </w:t>
      </w:r>
      <w:r w:rsidRPr="00437131">
        <w:rPr>
          <w:rFonts w:cstheme="minorHAnsi"/>
          <w:sz w:val="24"/>
          <w:szCs w:val="24"/>
        </w:rPr>
        <w:t>izdr</w:t>
      </w:r>
      <w:r w:rsidRPr="00437131">
        <w:rPr>
          <w:rFonts w:cstheme="minorHAnsi"/>
          <w:sz w:val="24"/>
          <w:szCs w:val="24"/>
          <w:lang w:val="sr-Latn-ME"/>
        </w:rPr>
        <w:t>ž</w:t>
      </w:r>
      <w:r w:rsidRPr="00437131">
        <w:rPr>
          <w:rFonts w:cstheme="minorHAnsi"/>
          <w:sz w:val="24"/>
          <w:szCs w:val="24"/>
        </w:rPr>
        <w:t>e</w:t>
      </w:r>
      <w:r w:rsidRPr="00437131">
        <w:rPr>
          <w:rFonts w:cstheme="minorHAnsi"/>
          <w:sz w:val="24"/>
          <w:szCs w:val="24"/>
          <w:lang w:val="sr-Latn-ME"/>
        </w:rPr>
        <w:t xml:space="preserve"> </w:t>
      </w:r>
      <w:r w:rsidRPr="00437131">
        <w:rPr>
          <w:rFonts w:cstheme="minorHAnsi"/>
          <w:sz w:val="24"/>
          <w:szCs w:val="24"/>
        </w:rPr>
        <w:t>konkurentske</w:t>
      </w:r>
      <w:r w:rsidRPr="00437131">
        <w:rPr>
          <w:rFonts w:cstheme="minorHAnsi"/>
          <w:sz w:val="24"/>
          <w:szCs w:val="24"/>
          <w:lang w:val="sr-Latn-ME"/>
        </w:rPr>
        <w:t xml:space="preserve"> </w:t>
      </w:r>
      <w:r w:rsidRPr="00437131">
        <w:rPr>
          <w:rFonts w:cstheme="minorHAnsi"/>
          <w:sz w:val="24"/>
          <w:szCs w:val="24"/>
        </w:rPr>
        <w:t>pritiske</w:t>
      </w:r>
      <w:r w:rsidRPr="00437131">
        <w:rPr>
          <w:rFonts w:cstheme="minorHAnsi"/>
          <w:sz w:val="24"/>
          <w:szCs w:val="24"/>
          <w:lang w:val="sr-Latn-ME"/>
        </w:rPr>
        <w:t xml:space="preserve"> </w:t>
      </w:r>
      <w:r w:rsidRPr="00437131">
        <w:rPr>
          <w:rFonts w:cstheme="minorHAnsi"/>
          <w:sz w:val="24"/>
          <w:szCs w:val="24"/>
        </w:rPr>
        <w:t>jedinstvenog</w:t>
      </w:r>
      <w:r w:rsidRPr="00437131">
        <w:rPr>
          <w:rFonts w:cstheme="minorHAnsi"/>
          <w:sz w:val="24"/>
          <w:szCs w:val="24"/>
          <w:lang w:val="sr-Latn-ME"/>
        </w:rPr>
        <w:t xml:space="preserve"> </w:t>
      </w:r>
      <w:r w:rsidRPr="00437131">
        <w:rPr>
          <w:rFonts w:cstheme="minorHAnsi"/>
          <w:sz w:val="24"/>
          <w:szCs w:val="24"/>
        </w:rPr>
        <w:t>tr</w:t>
      </w:r>
      <w:r w:rsidRPr="00437131">
        <w:rPr>
          <w:rFonts w:cstheme="minorHAnsi"/>
          <w:sz w:val="24"/>
          <w:szCs w:val="24"/>
          <w:lang w:val="sr-Latn-ME"/>
        </w:rPr>
        <w:t>ž</w:t>
      </w:r>
      <w:r w:rsidRPr="00437131">
        <w:rPr>
          <w:rFonts w:cstheme="minorHAnsi"/>
          <w:sz w:val="24"/>
          <w:szCs w:val="24"/>
        </w:rPr>
        <w:t>i</w:t>
      </w:r>
      <w:r w:rsidRPr="00437131">
        <w:rPr>
          <w:rFonts w:cstheme="minorHAnsi"/>
          <w:sz w:val="24"/>
          <w:szCs w:val="24"/>
          <w:lang w:val="sr-Latn-ME"/>
        </w:rPr>
        <w:t>š</w:t>
      </w:r>
      <w:r w:rsidRPr="00437131">
        <w:rPr>
          <w:rFonts w:cstheme="minorHAnsi"/>
          <w:sz w:val="24"/>
          <w:szCs w:val="24"/>
        </w:rPr>
        <w:t>ta</w:t>
      </w:r>
      <w:r w:rsidRPr="00437131">
        <w:rPr>
          <w:rFonts w:cstheme="minorHAnsi"/>
          <w:sz w:val="24"/>
          <w:szCs w:val="24"/>
          <w:lang w:val="sr-Latn-ME"/>
        </w:rPr>
        <w:t xml:space="preserve"> </w:t>
      </w:r>
      <w:r w:rsidRPr="00437131">
        <w:rPr>
          <w:rFonts w:cstheme="minorHAnsi"/>
          <w:sz w:val="24"/>
          <w:szCs w:val="24"/>
        </w:rPr>
        <w:t>Unije</w:t>
      </w:r>
      <w:r w:rsidRPr="00437131">
        <w:rPr>
          <w:rFonts w:cstheme="minorHAnsi"/>
          <w:sz w:val="24"/>
          <w:szCs w:val="24"/>
          <w:lang w:val="sr-Latn-ME"/>
        </w:rPr>
        <w:t xml:space="preserve">, </w:t>
      </w:r>
      <w:r w:rsidRPr="00437131">
        <w:rPr>
          <w:rFonts w:cstheme="minorHAnsi"/>
          <w:sz w:val="24"/>
          <w:szCs w:val="24"/>
        </w:rPr>
        <w:t>te</w:t>
      </w:r>
      <w:r w:rsidRPr="00437131">
        <w:rPr>
          <w:rFonts w:cstheme="minorHAnsi"/>
          <w:sz w:val="24"/>
          <w:szCs w:val="24"/>
          <w:lang w:val="sr-Latn-ME"/>
        </w:rPr>
        <w:t xml:space="preserve"> </w:t>
      </w:r>
      <w:r w:rsidRPr="00437131">
        <w:rPr>
          <w:rFonts w:cstheme="minorHAnsi"/>
          <w:sz w:val="24"/>
          <w:szCs w:val="24"/>
        </w:rPr>
        <w:t>prema</w:t>
      </w:r>
      <w:r w:rsidRPr="00437131">
        <w:rPr>
          <w:rFonts w:cstheme="minorHAnsi"/>
          <w:sz w:val="24"/>
          <w:szCs w:val="24"/>
          <w:lang w:val="sr-Latn-ME"/>
        </w:rPr>
        <w:t xml:space="preserve"> </w:t>
      </w:r>
      <w:r w:rsidRPr="00437131">
        <w:rPr>
          <w:rFonts w:cstheme="minorHAnsi"/>
          <w:sz w:val="24"/>
          <w:szCs w:val="24"/>
        </w:rPr>
        <w:t>stabilnom</w:t>
      </w:r>
      <w:r w:rsidRPr="00437131">
        <w:rPr>
          <w:rFonts w:cstheme="minorHAnsi"/>
          <w:sz w:val="24"/>
          <w:szCs w:val="24"/>
          <w:lang w:val="sr-Latn-ME"/>
        </w:rPr>
        <w:t xml:space="preserve"> </w:t>
      </w:r>
      <w:r w:rsidRPr="00437131">
        <w:rPr>
          <w:rFonts w:cstheme="minorHAnsi"/>
          <w:sz w:val="24"/>
          <w:szCs w:val="24"/>
        </w:rPr>
        <w:t>investicionom</w:t>
      </w:r>
      <w:r w:rsidRPr="00437131">
        <w:rPr>
          <w:rFonts w:cstheme="minorHAnsi"/>
          <w:sz w:val="24"/>
          <w:szCs w:val="24"/>
          <w:lang w:val="sr-Latn-ME"/>
        </w:rPr>
        <w:t xml:space="preserve"> </w:t>
      </w:r>
      <w:r w:rsidRPr="00437131">
        <w:rPr>
          <w:rFonts w:cstheme="minorHAnsi"/>
          <w:sz w:val="24"/>
          <w:szCs w:val="24"/>
        </w:rPr>
        <w:t>ambijentu</w:t>
      </w:r>
      <w:r w:rsidRPr="00437131">
        <w:rPr>
          <w:rFonts w:cstheme="minorHAnsi"/>
          <w:sz w:val="24"/>
          <w:szCs w:val="24"/>
          <w:lang w:val="sr-Latn-ME"/>
        </w:rPr>
        <w:t>;</w:t>
      </w:r>
    </w:p>
    <w:p w14:paraId="589F50D8" w14:textId="77777777" w:rsidR="00E05341" w:rsidRPr="00437131" w:rsidRDefault="00E05341" w:rsidP="00E05341">
      <w:pPr>
        <w:pStyle w:val="ListParagraph"/>
        <w:widowControl w:val="0"/>
        <w:numPr>
          <w:ilvl w:val="0"/>
          <w:numId w:val="3"/>
        </w:numPr>
        <w:autoSpaceDE w:val="0"/>
        <w:autoSpaceDN w:val="0"/>
        <w:adjustRightInd w:val="0"/>
        <w:spacing w:after="0" w:line="276" w:lineRule="auto"/>
        <w:ind w:right="130"/>
        <w:contextualSpacing w:val="0"/>
        <w:jc w:val="both"/>
        <w:rPr>
          <w:rFonts w:cstheme="minorHAnsi"/>
          <w:sz w:val="24"/>
          <w:szCs w:val="24"/>
          <w:lang w:val="sr-Latn-ME"/>
        </w:rPr>
      </w:pPr>
      <w:r w:rsidRPr="00437131">
        <w:rPr>
          <w:rFonts w:cstheme="minorHAnsi"/>
          <w:sz w:val="24"/>
          <w:szCs w:val="24"/>
        </w:rPr>
        <w:t>podsticanje</w:t>
      </w:r>
      <w:r w:rsidRPr="00437131">
        <w:rPr>
          <w:rFonts w:cstheme="minorHAnsi"/>
          <w:sz w:val="24"/>
          <w:szCs w:val="24"/>
          <w:lang w:val="sr-Latn-ME"/>
        </w:rPr>
        <w:t xml:space="preserve"> </w:t>
      </w:r>
      <w:r w:rsidRPr="00437131">
        <w:rPr>
          <w:rFonts w:cstheme="minorHAnsi"/>
          <w:sz w:val="24"/>
          <w:szCs w:val="24"/>
        </w:rPr>
        <w:t>regionalnih</w:t>
      </w:r>
      <w:r w:rsidRPr="00437131">
        <w:rPr>
          <w:rFonts w:cstheme="minorHAnsi"/>
          <w:sz w:val="24"/>
          <w:szCs w:val="24"/>
          <w:lang w:val="sr-Latn-ME"/>
        </w:rPr>
        <w:t xml:space="preserve"> </w:t>
      </w:r>
      <w:r w:rsidRPr="00437131">
        <w:rPr>
          <w:rFonts w:cstheme="minorHAnsi"/>
          <w:sz w:val="24"/>
          <w:szCs w:val="24"/>
        </w:rPr>
        <w:t>ekonomskih</w:t>
      </w:r>
      <w:r w:rsidRPr="00437131">
        <w:rPr>
          <w:rFonts w:cstheme="minorHAnsi"/>
          <w:sz w:val="24"/>
          <w:szCs w:val="24"/>
          <w:lang w:val="sr-Latn-ME"/>
        </w:rPr>
        <w:t xml:space="preserve"> </w:t>
      </w:r>
      <w:r w:rsidRPr="00437131">
        <w:rPr>
          <w:rFonts w:cstheme="minorHAnsi"/>
          <w:sz w:val="24"/>
          <w:szCs w:val="24"/>
        </w:rPr>
        <w:t>integracija</w:t>
      </w:r>
      <w:r w:rsidRPr="00437131">
        <w:rPr>
          <w:rFonts w:cstheme="minorHAnsi"/>
          <w:sz w:val="24"/>
          <w:szCs w:val="24"/>
          <w:lang w:val="sr-Latn-ME"/>
        </w:rPr>
        <w:t xml:space="preserve">, </w:t>
      </w:r>
      <w:r w:rsidRPr="00437131">
        <w:rPr>
          <w:rFonts w:cstheme="minorHAnsi"/>
          <w:sz w:val="24"/>
          <w:szCs w:val="24"/>
        </w:rPr>
        <w:t>posebno</w:t>
      </w:r>
      <w:r w:rsidRPr="00437131">
        <w:rPr>
          <w:rFonts w:cstheme="minorHAnsi"/>
          <w:sz w:val="24"/>
          <w:szCs w:val="24"/>
          <w:lang w:val="sr-Latn-ME"/>
        </w:rPr>
        <w:t xml:space="preserve"> </w:t>
      </w:r>
      <w:r w:rsidRPr="00437131">
        <w:rPr>
          <w:rFonts w:cstheme="minorHAnsi"/>
          <w:sz w:val="24"/>
          <w:szCs w:val="24"/>
        </w:rPr>
        <w:t>na</w:t>
      </w:r>
      <w:r w:rsidRPr="00437131">
        <w:rPr>
          <w:rFonts w:cstheme="minorHAnsi"/>
          <w:sz w:val="24"/>
          <w:szCs w:val="24"/>
          <w:lang w:val="sr-Latn-ME"/>
        </w:rPr>
        <w:t xml:space="preserve"> </w:t>
      </w:r>
      <w:r w:rsidRPr="00437131">
        <w:rPr>
          <w:rFonts w:cstheme="minorHAnsi"/>
          <w:sz w:val="24"/>
          <w:szCs w:val="24"/>
        </w:rPr>
        <w:t>osnovu</w:t>
      </w:r>
      <w:r w:rsidRPr="00437131">
        <w:rPr>
          <w:rFonts w:cstheme="minorHAnsi"/>
          <w:sz w:val="24"/>
          <w:szCs w:val="24"/>
          <w:lang w:val="sr-Latn-ME"/>
        </w:rPr>
        <w:t xml:space="preserve"> </w:t>
      </w:r>
      <w:r w:rsidRPr="00437131">
        <w:rPr>
          <w:rFonts w:cstheme="minorHAnsi"/>
          <w:sz w:val="24"/>
          <w:szCs w:val="24"/>
        </w:rPr>
        <w:t>napretka</w:t>
      </w:r>
      <w:r w:rsidRPr="00437131">
        <w:rPr>
          <w:rFonts w:cstheme="minorHAnsi"/>
          <w:sz w:val="24"/>
          <w:szCs w:val="24"/>
          <w:lang w:val="sr-Latn-ME"/>
        </w:rPr>
        <w:t xml:space="preserve"> </w:t>
      </w:r>
      <w:r w:rsidRPr="00437131">
        <w:rPr>
          <w:rFonts w:cstheme="minorHAnsi"/>
          <w:sz w:val="24"/>
          <w:szCs w:val="24"/>
        </w:rPr>
        <w:t>u</w:t>
      </w:r>
      <w:r w:rsidRPr="00437131">
        <w:rPr>
          <w:rFonts w:cstheme="minorHAnsi"/>
          <w:sz w:val="24"/>
          <w:szCs w:val="24"/>
          <w:lang w:val="sr-Latn-ME"/>
        </w:rPr>
        <w:t xml:space="preserve"> </w:t>
      </w:r>
      <w:r w:rsidRPr="00437131">
        <w:rPr>
          <w:rFonts w:cstheme="minorHAnsi"/>
          <w:sz w:val="24"/>
          <w:szCs w:val="24"/>
        </w:rPr>
        <w:t>uspostavljanju</w:t>
      </w:r>
      <w:r w:rsidRPr="00437131">
        <w:rPr>
          <w:rFonts w:cstheme="minorHAnsi"/>
          <w:sz w:val="24"/>
          <w:szCs w:val="24"/>
          <w:lang w:val="sr-Latn-ME"/>
        </w:rPr>
        <w:t xml:space="preserve"> </w:t>
      </w:r>
      <w:r w:rsidRPr="00437131">
        <w:rPr>
          <w:rFonts w:cstheme="minorHAnsi"/>
          <w:sz w:val="24"/>
          <w:szCs w:val="24"/>
        </w:rPr>
        <w:t>zajedni</w:t>
      </w:r>
      <w:r w:rsidRPr="00437131">
        <w:rPr>
          <w:rFonts w:cstheme="minorHAnsi"/>
          <w:sz w:val="24"/>
          <w:szCs w:val="24"/>
          <w:lang w:val="sr-Latn-ME"/>
        </w:rPr>
        <w:t>č</w:t>
      </w:r>
      <w:r w:rsidRPr="00437131">
        <w:rPr>
          <w:rFonts w:cstheme="minorHAnsi"/>
          <w:sz w:val="24"/>
          <w:szCs w:val="24"/>
        </w:rPr>
        <w:t>kog</w:t>
      </w:r>
      <w:r w:rsidRPr="00437131">
        <w:rPr>
          <w:rFonts w:cstheme="minorHAnsi"/>
          <w:sz w:val="24"/>
          <w:szCs w:val="24"/>
          <w:lang w:val="sr-Latn-ME"/>
        </w:rPr>
        <w:t xml:space="preserve"> </w:t>
      </w:r>
      <w:r w:rsidRPr="00437131">
        <w:rPr>
          <w:rFonts w:cstheme="minorHAnsi"/>
          <w:sz w:val="24"/>
          <w:szCs w:val="24"/>
        </w:rPr>
        <w:t>regionalnog</w:t>
      </w:r>
      <w:r w:rsidRPr="00437131">
        <w:rPr>
          <w:rFonts w:cstheme="minorHAnsi"/>
          <w:sz w:val="24"/>
          <w:szCs w:val="24"/>
          <w:lang w:val="sr-Latn-ME"/>
        </w:rPr>
        <w:t xml:space="preserve"> </w:t>
      </w:r>
      <w:r w:rsidRPr="00437131">
        <w:rPr>
          <w:rFonts w:cstheme="minorHAnsi"/>
          <w:sz w:val="24"/>
          <w:szCs w:val="24"/>
        </w:rPr>
        <w:t>tr</w:t>
      </w:r>
      <w:r w:rsidRPr="00437131">
        <w:rPr>
          <w:rFonts w:cstheme="minorHAnsi"/>
          <w:sz w:val="24"/>
          <w:szCs w:val="24"/>
          <w:lang w:val="sr-Latn-ME"/>
        </w:rPr>
        <w:t>ž</w:t>
      </w:r>
      <w:r w:rsidRPr="00437131">
        <w:rPr>
          <w:rFonts w:cstheme="minorHAnsi"/>
          <w:sz w:val="24"/>
          <w:szCs w:val="24"/>
        </w:rPr>
        <w:t>i</w:t>
      </w:r>
      <w:r w:rsidRPr="00437131">
        <w:rPr>
          <w:rFonts w:cstheme="minorHAnsi"/>
          <w:sz w:val="24"/>
          <w:szCs w:val="24"/>
          <w:lang w:val="sr-Latn-ME"/>
        </w:rPr>
        <w:t>š</w:t>
      </w:r>
      <w:r w:rsidRPr="00437131">
        <w:rPr>
          <w:rFonts w:cstheme="minorHAnsi"/>
          <w:sz w:val="24"/>
          <w:szCs w:val="24"/>
        </w:rPr>
        <w:t>ta</w:t>
      </w:r>
      <w:r w:rsidRPr="00437131">
        <w:rPr>
          <w:rFonts w:cstheme="minorHAnsi"/>
          <w:sz w:val="24"/>
          <w:szCs w:val="24"/>
          <w:lang w:val="sr-Latn-ME"/>
        </w:rPr>
        <w:t>;</w:t>
      </w:r>
    </w:p>
    <w:p w14:paraId="72ED4DED" w14:textId="77777777" w:rsidR="00E05341" w:rsidRPr="00437131" w:rsidRDefault="00E05341" w:rsidP="00E05341">
      <w:pPr>
        <w:pStyle w:val="ListParagraph"/>
        <w:widowControl w:val="0"/>
        <w:numPr>
          <w:ilvl w:val="0"/>
          <w:numId w:val="3"/>
        </w:numPr>
        <w:autoSpaceDE w:val="0"/>
        <w:autoSpaceDN w:val="0"/>
        <w:adjustRightInd w:val="0"/>
        <w:spacing w:after="0" w:line="276" w:lineRule="auto"/>
        <w:ind w:right="130"/>
        <w:contextualSpacing w:val="0"/>
        <w:jc w:val="both"/>
        <w:rPr>
          <w:rFonts w:cstheme="minorHAnsi"/>
          <w:sz w:val="24"/>
          <w:szCs w:val="24"/>
        </w:rPr>
      </w:pPr>
      <w:r w:rsidRPr="00437131">
        <w:rPr>
          <w:rFonts w:cstheme="minorHAnsi"/>
          <w:sz w:val="24"/>
          <w:szCs w:val="24"/>
        </w:rPr>
        <w:t>podsticanje ekonomskih integracija korisnika s jedinstvenim tržištem Unije;</w:t>
      </w:r>
    </w:p>
    <w:p w14:paraId="14D366AD" w14:textId="77777777" w:rsidR="00E05341" w:rsidRPr="00437131" w:rsidRDefault="00E05341" w:rsidP="00E05341">
      <w:pPr>
        <w:pStyle w:val="ListParagraph"/>
        <w:widowControl w:val="0"/>
        <w:numPr>
          <w:ilvl w:val="0"/>
          <w:numId w:val="3"/>
        </w:numPr>
        <w:autoSpaceDE w:val="0"/>
        <w:autoSpaceDN w:val="0"/>
        <w:adjustRightInd w:val="0"/>
        <w:spacing w:after="0" w:line="276" w:lineRule="auto"/>
        <w:ind w:right="130"/>
        <w:contextualSpacing w:val="0"/>
        <w:jc w:val="both"/>
        <w:rPr>
          <w:rFonts w:cstheme="minorHAnsi"/>
          <w:sz w:val="24"/>
          <w:szCs w:val="24"/>
        </w:rPr>
      </w:pPr>
      <w:r w:rsidRPr="00437131">
        <w:rPr>
          <w:rFonts w:cstheme="minorHAnsi"/>
          <w:sz w:val="24"/>
          <w:szCs w:val="24"/>
        </w:rPr>
        <w:t>podrška regionalnoj ekonomskoj integraciji i većoj integraciji s jedinstvenim tržištem EU - a boljom povezanošću regije u skladu s transevropskim mrežama;</w:t>
      </w:r>
    </w:p>
    <w:p w14:paraId="0D16ABC7" w14:textId="77777777" w:rsidR="00E05341" w:rsidRPr="00437131" w:rsidRDefault="00E05341" w:rsidP="00E05341">
      <w:pPr>
        <w:pStyle w:val="ListParagraph"/>
        <w:widowControl w:val="0"/>
        <w:numPr>
          <w:ilvl w:val="0"/>
          <w:numId w:val="3"/>
        </w:numPr>
        <w:autoSpaceDE w:val="0"/>
        <w:autoSpaceDN w:val="0"/>
        <w:adjustRightInd w:val="0"/>
        <w:spacing w:after="0" w:line="276" w:lineRule="auto"/>
        <w:ind w:right="130"/>
        <w:contextualSpacing w:val="0"/>
        <w:jc w:val="both"/>
        <w:rPr>
          <w:rFonts w:cstheme="minorHAnsi"/>
          <w:sz w:val="24"/>
          <w:szCs w:val="24"/>
        </w:rPr>
      </w:pPr>
      <w:r w:rsidRPr="00437131">
        <w:rPr>
          <w:rFonts w:cstheme="minorHAnsi"/>
          <w:sz w:val="24"/>
          <w:szCs w:val="24"/>
        </w:rPr>
        <w:t xml:space="preserve">ubrzanje zelene tranzicije u skladu sa Zelenom agendom za Zapadni Balkan iz 2020. u svim privrednim sektorima, posebno sektoru energetike, uključujući tranziciju prema </w:t>
      </w:r>
      <w:r w:rsidRPr="00437131">
        <w:rPr>
          <w:rFonts w:cstheme="minorHAnsi"/>
          <w:sz w:val="24"/>
          <w:szCs w:val="24"/>
        </w:rPr>
        <w:lastRenderedPageBreak/>
        <w:t>dekarbonizovanoj, klimatski neutralnoj i cirkularnoj ekonomiji otpornoj na klimatske promjene;</w:t>
      </w:r>
    </w:p>
    <w:p w14:paraId="39C8BC39" w14:textId="77777777" w:rsidR="00E05341" w:rsidRPr="00437131" w:rsidRDefault="00E05341" w:rsidP="00E05341">
      <w:pPr>
        <w:pStyle w:val="ListParagraph"/>
        <w:widowControl w:val="0"/>
        <w:numPr>
          <w:ilvl w:val="0"/>
          <w:numId w:val="3"/>
        </w:numPr>
        <w:autoSpaceDE w:val="0"/>
        <w:autoSpaceDN w:val="0"/>
        <w:adjustRightInd w:val="0"/>
        <w:spacing w:after="0" w:line="276" w:lineRule="auto"/>
        <w:ind w:right="130"/>
        <w:contextualSpacing w:val="0"/>
        <w:jc w:val="both"/>
        <w:rPr>
          <w:rFonts w:cstheme="minorHAnsi"/>
          <w:sz w:val="24"/>
          <w:szCs w:val="24"/>
        </w:rPr>
      </w:pPr>
      <w:r w:rsidRPr="00437131">
        <w:rPr>
          <w:rFonts w:cstheme="minorHAnsi"/>
          <w:sz w:val="24"/>
          <w:szCs w:val="24"/>
        </w:rPr>
        <w:t>ubrzanje digitalne transformacije kao pokretača održivog razvoja i inkluzivnog rasta;</w:t>
      </w:r>
    </w:p>
    <w:p w14:paraId="64E9A2C2" w14:textId="77777777" w:rsidR="00E05341" w:rsidRPr="00437131" w:rsidRDefault="00E05341" w:rsidP="00E05341">
      <w:pPr>
        <w:pStyle w:val="ListParagraph"/>
        <w:widowControl w:val="0"/>
        <w:numPr>
          <w:ilvl w:val="0"/>
          <w:numId w:val="3"/>
        </w:numPr>
        <w:autoSpaceDE w:val="0"/>
        <w:autoSpaceDN w:val="0"/>
        <w:adjustRightInd w:val="0"/>
        <w:spacing w:after="0" w:line="276" w:lineRule="auto"/>
        <w:ind w:right="130"/>
        <w:contextualSpacing w:val="0"/>
        <w:jc w:val="both"/>
        <w:rPr>
          <w:rFonts w:cstheme="minorHAnsi"/>
          <w:sz w:val="24"/>
          <w:szCs w:val="24"/>
        </w:rPr>
      </w:pPr>
      <w:r w:rsidRPr="00437131">
        <w:rPr>
          <w:rFonts w:cstheme="minorHAnsi"/>
          <w:sz w:val="24"/>
          <w:szCs w:val="24"/>
        </w:rPr>
        <w:t>podsticanje inovacija, posebno za MSP-ove, i podrška zelenoj i digitalnoj tranziciji;</w:t>
      </w:r>
    </w:p>
    <w:p w14:paraId="7215D453" w14:textId="77777777" w:rsidR="00E05341" w:rsidRPr="00437131" w:rsidRDefault="00E05341" w:rsidP="00E05341">
      <w:pPr>
        <w:pStyle w:val="ListParagraph"/>
        <w:widowControl w:val="0"/>
        <w:numPr>
          <w:ilvl w:val="0"/>
          <w:numId w:val="3"/>
        </w:numPr>
        <w:autoSpaceDE w:val="0"/>
        <w:autoSpaceDN w:val="0"/>
        <w:adjustRightInd w:val="0"/>
        <w:spacing w:after="0" w:line="276" w:lineRule="auto"/>
        <w:ind w:right="130"/>
        <w:contextualSpacing w:val="0"/>
        <w:jc w:val="both"/>
        <w:rPr>
          <w:rFonts w:cstheme="minorHAnsi"/>
          <w:sz w:val="24"/>
          <w:szCs w:val="24"/>
        </w:rPr>
      </w:pPr>
      <w:r w:rsidRPr="00437131">
        <w:rPr>
          <w:rFonts w:cstheme="minorHAnsi"/>
          <w:sz w:val="24"/>
          <w:szCs w:val="24"/>
        </w:rPr>
        <w:t>podsticanje kvalitetnog obrazovanja, osposobljavanja, prekvalifikacije i usavršavanja te politika zapošljavanja;</w:t>
      </w:r>
    </w:p>
    <w:p w14:paraId="4A7F6AEA" w14:textId="77777777" w:rsidR="00E05341" w:rsidRPr="00437131" w:rsidRDefault="00E05341" w:rsidP="00E05341">
      <w:pPr>
        <w:pStyle w:val="ListParagraph"/>
        <w:widowControl w:val="0"/>
        <w:numPr>
          <w:ilvl w:val="0"/>
          <w:numId w:val="3"/>
        </w:numPr>
        <w:autoSpaceDE w:val="0"/>
        <w:autoSpaceDN w:val="0"/>
        <w:adjustRightInd w:val="0"/>
        <w:spacing w:after="0" w:line="276" w:lineRule="auto"/>
        <w:ind w:right="130"/>
        <w:contextualSpacing w:val="0"/>
        <w:jc w:val="both"/>
        <w:rPr>
          <w:rFonts w:cstheme="minorHAnsi"/>
          <w:sz w:val="24"/>
          <w:szCs w:val="24"/>
        </w:rPr>
      </w:pPr>
      <w:r w:rsidRPr="00437131">
        <w:rPr>
          <w:rFonts w:cstheme="minorHAnsi"/>
          <w:sz w:val="24"/>
          <w:szCs w:val="24"/>
        </w:rPr>
        <w:t>dalje jačanje osnova na kojima počiva proces proširenja, uključujući vladavinu prava, demokratiju, poštovanje ljudskih prava i temeljnih sloboda, među ostalim promovisanjem nezavisnosti pravosuđa, ojačane sigurnosti i borbe protiv prevara, korupcije, organizovanog kriminala, finansiranja terorizma, pranja novca, utaje poreza i poreskih prevara; usklađenost s međunarodnim pravom; jačanje slobode medija i akademske slobode te podsticajnog okruženja za civilno društvo; podsticanje socijalnog dijaloga; promocija rodne ravnopravnosti, nediskriminacije i tolerancije kako bi se zagarantovalo i ojačalo poštovanje prava pripadnika manjina;</w:t>
      </w:r>
    </w:p>
    <w:p w14:paraId="1535691A" w14:textId="77777777" w:rsidR="00E05341" w:rsidRPr="00437131" w:rsidRDefault="00E05341" w:rsidP="00E05341">
      <w:pPr>
        <w:pStyle w:val="ListParagraph"/>
        <w:widowControl w:val="0"/>
        <w:numPr>
          <w:ilvl w:val="0"/>
          <w:numId w:val="3"/>
        </w:numPr>
        <w:autoSpaceDE w:val="0"/>
        <w:autoSpaceDN w:val="0"/>
        <w:adjustRightInd w:val="0"/>
        <w:spacing w:after="0" w:line="276" w:lineRule="auto"/>
        <w:ind w:right="130"/>
        <w:contextualSpacing w:val="0"/>
        <w:jc w:val="both"/>
        <w:rPr>
          <w:rFonts w:cstheme="minorHAnsi"/>
          <w:sz w:val="24"/>
          <w:szCs w:val="24"/>
        </w:rPr>
      </w:pPr>
      <w:r w:rsidRPr="00437131">
        <w:rPr>
          <w:rFonts w:cstheme="minorHAnsi"/>
          <w:sz w:val="24"/>
          <w:szCs w:val="24"/>
        </w:rPr>
        <w:t>jačanje djelotvornosti javne uprave i podsticanje transparentnosti, strukturnih reformi i dobrog upravljanja na svim nivoima, između ostalog i u oblastima upravljanja javnim finansijama, javne nabavke i kontrole državne pomoći; podrška inicijativama i tijelima uključenima u podsticanje i osiguravanje poštovanja međunarodne pravde među korisnicima sa zapadnog Balkana;</w:t>
      </w:r>
    </w:p>
    <w:p w14:paraId="3D0DD8F8" w14:textId="77777777" w:rsidR="00E05341" w:rsidRPr="00437131" w:rsidRDefault="00E05341" w:rsidP="00E05341">
      <w:pPr>
        <w:spacing w:after="0"/>
        <w:jc w:val="both"/>
        <w:rPr>
          <w:rFonts w:cstheme="minorHAnsi"/>
          <w:noProof/>
          <w:sz w:val="24"/>
          <w:szCs w:val="24"/>
        </w:rPr>
      </w:pPr>
    </w:p>
    <w:p w14:paraId="574989B8" w14:textId="77777777" w:rsidR="00E05341" w:rsidRPr="00437131" w:rsidRDefault="00E05341" w:rsidP="00E05341">
      <w:pPr>
        <w:jc w:val="both"/>
        <w:rPr>
          <w:rFonts w:cstheme="minorHAnsi"/>
          <w:noProof/>
          <w:sz w:val="24"/>
          <w:szCs w:val="24"/>
        </w:rPr>
      </w:pPr>
      <w:r w:rsidRPr="00437131">
        <w:rPr>
          <w:rFonts w:cstheme="minorHAnsi"/>
          <w:noProof/>
          <w:sz w:val="24"/>
          <w:szCs w:val="24"/>
        </w:rPr>
        <w:t xml:space="preserve">Sve predložene mjere u Reformskoj agendi usklađene su sa strukturnim reformama koje su dio posljednjeg PER-a, te zajedničkim smjernicama politike dogovorene u okviru ekonomskog i finansijskog dijalogu iz maja 2023, revidiranom metodologijom proširenja, najnovijim paketom za proširenje, Ekonomskim i investicionim planom za Zapadni Balkan, kao i drugim relevantnim dokumentima. </w:t>
      </w:r>
    </w:p>
    <w:p w14:paraId="3B3539B3" w14:textId="77777777" w:rsidR="00E05341" w:rsidRPr="00437131" w:rsidRDefault="00E05341" w:rsidP="00E05341">
      <w:pPr>
        <w:jc w:val="both"/>
        <w:rPr>
          <w:rFonts w:cstheme="minorHAnsi"/>
          <w:noProof/>
          <w:sz w:val="24"/>
          <w:szCs w:val="24"/>
        </w:rPr>
      </w:pPr>
      <w:r w:rsidRPr="00437131">
        <w:rPr>
          <w:rFonts w:cstheme="minorHAnsi"/>
          <w:noProof/>
          <w:sz w:val="24"/>
          <w:szCs w:val="24"/>
        </w:rPr>
        <w:t xml:space="preserve">Reforme u </w:t>
      </w:r>
      <w:r w:rsidRPr="00437131">
        <w:rPr>
          <w:rFonts w:cstheme="minorHAnsi"/>
          <w:b/>
          <w:i/>
          <w:noProof/>
          <w:sz w:val="24"/>
          <w:szCs w:val="24"/>
        </w:rPr>
        <w:t>oblasti poslovnog okruženja i razvoja privatnog sektora</w:t>
      </w:r>
      <w:r w:rsidRPr="00437131">
        <w:rPr>
          <w:rFonts w:cstheme="minorHAnsi"/>
          <w:noProof/>
          <w:sz w:val="24"/>
          <w:szCs w:val="24"/>
        </w:rPr>
        <w:t xml:space="preserve"> biće posvećene unapređenju poslovnog okruženja (uključujući reforme vezane za upravljanje preduzećima u vlasništvu države), omogućavanju lakšeg pristupa finansijskim sredstvima za kompanije, kao i sprovođenju nekoliko mjera vezanih za unapređenje regulatornog okruženja i jačanje poslovne konkurentnosti. Razvoj privatnog sektora zahtijeva odgovarajući finansijski okvir koji ima za cilj da obezbijedi sektoru malih i srednjih preduzeća povoljan pristup finansijskim sredstvima, čineći pristupačnim dostupne modele finansiranja i stvarajući nove modele koji su osmišljeni tako da odgovaraju potrebama malih i srednjih preduzeća. Takođe, dalje unapređenje regulatornog poslovnog okruženja i smanjenje tereta administracije kod kompanija ostaje važan cilj vladine politike. </w:t>
      </w:r>
    </w:p>
    <w:p w14:paraId="03F36A6A" w14:textId="77777777" w:rsidR="00E05341" w:rsidRPr="00437131" w:rsidRDefault="00E05341" w:rsidP="00E05341">
      <w:pPr>
        <w:jc w:val="both"/>
        <w:rPr>
          <w:rFonts w:cstheme="minorHAnsi"/>
          <w:noProof/>
          <w:sz w:val="24"/>
          <w:szCs w:val="24"/>
        </w:rPr>
      </w:pPr>
      <w:r w:rsidRPr="00437131">
        <w:rPr>
          <w:rFonts w:cstheme="minorHAnsi"/>
          <w:noProof/>
          <w:sz w:val="24"/>
          <w:szCs w:val="24"/>
        </w:rPr>
        <w:t xml:space="preserve">Opšti prioritet u </w:t>
      </w:r>
      <w:r w:rsidRPr="00437131">
        <w:rPr>
          <w:rFonts w:cstheme="minorHAnsi"/>
          <w:b/>
          <w:i/>
          <w:noProof/>
          <w:sz w:val="24"/>
          <w:szCs w:val="24"/>
        </w:rPr>
        <w:t>oblasti digitalne i energetske/zelene tranzicije</w:t>
      </w:r>
      <w:r w:rsidRPr="00437131">
        <w:rPr>
          <w:rFonts w:cstheme="minorHAnsi"/>
          <w:noProof/>
          <w:sz w:val="24"/>
          <w:szCs w:val="24"/>
        </w:rPr>
        <w:t xml:space="preserve"> je u skladu sa Evropskim zelenim dogovorom i energetskom politikom Evropske unije, što utiče na dalji razvoj energetskog sektora </w:t>
      </w:r>
      <w:r w:rsidRPr="00437131">
        <w:rPr>
          <w:rFonts w:cstheme="minorHAnsi"/>
          <w:noProof/>
          <w:sz w:val="24"/>
          <w:szCs w:val="24"/>
        </w:rPr>
        <w:lastRenderedPageBreak/>
        <w:t xml:space="preserve">kroz zelenu energetsku tranziciju i dekarbonizaciju, povećano korišćenje energije dobijene iz obnovljivih izvora, unapređenje energetske efikasnosti i sprovođenje mehanizma za određivanje cijene za emisiju ugljenika, kao i unapređenje infrastrukturnih kapaciteta radi povezivanja sa susjednim energetskim sistemima. Stoga, cilj reforme je da se nastavi sa sprovođenjem mjera iz Trećeg energetskog paketa Evropske unije i Paketa za čistu energiju u sektorima električne energije i gasa, kao i da se napravi 7 funkcionalnih energetskih tržišta koja će moći da se integrišu u jedinstveno energetsko tržište Evropske unije. </w:t>
      </w:r>
    </w:p>
    <w:p w14:paraId="2C460494" w14:textId="77777777" w:rsidR="00E05341" w:rsidRPr="00437131" w:rsidRDefault="00E05341" w:rsidP="00E05341">
      <w:pPr>
        <w:jc w:val="both"/>
        <w:rPr>
          <w:rFonts w:cstheme="minorHAnsi"/>
          <w:noProof/>
          <w:sz w:val="24"/>
          <w:szCs w:val="24"/>
        </w:rPr>
      </w:pPr>
      <w:r w:rsidRPr="00437131">
        <w:rPr>
          <w:rFonts w:cstheme="minorHAnsi"/>
          <w:noProof/>
          <w:sz w:val="24"/>
          <w:szCs w:val="24"/>
        </w:rPr>
        <w:t xml:space="preserve">Kako bi postala dio jedinstvenog tržišta znanja i vještina Evropske unije, razvijen je niz ključnih reformskih mjera kao </w:t>
      </w:r>
      <w:r w:rsidRPr="00437131">
        <w:rPr>
          <w:rFonts w:cstheme="minorHAnsi"/>
          <w:b/>
          <w:i/>
          <w:noProof/>
          <w:sz w:val="24"/>
          <w:szCs w:val="24"/>
        </w:rPr>
        <w:t>podsticaj razvoju ljudskog kapitala</w:t>
      </w:r>
      <w:r w:rsidRPr="00437131">
        <w:rPr>
          <w:rFonts w:cstheme="minorHAnsi"/>
          <w:noProof/>
          <w:sz w:val="24"/>
          <w:szCs w:val="24"/>
        </w:rPr>
        <w:t xml:space="preserve">, uglavnom kroz unapređenje mogućnosti za zapošljavanje, podršku za aktivaciju, reformu socijalnih usluga zajedno sa obrazovanjem i razvojem vještina i unapređenjem inovacionog okruženja. Istraživanje i inovacija idu ruku pod ruku sa predloženim reformama i, pod okriljem ključne strateške orjentacije Pametne specijalizacije, Crna Gora ima za cilj da unaprijedi istraživanje i inovacije među svim relevantnim stranama na svim nivoima, uz poseban fokus na pružanje podrške dvjema paralelnim tranzicijama. Sprovođenjem Strategije za digitalizaciju obrazovnog sistema 2022-2027, glavni akcenat je stavljen na uvođenju digitalnih tehnologija u nastavi, ali i digitalizaciju svih procesa u obrazovnom sistemu razvojem elektronskih usluga za učenike, nastavnike i roditelje i jačanjem digitalnih vještina i kompetencija. </w:t>
      </w:r>
    </w:p>
    <w:p w14:paraId="152A71B8" w14:textId="77777777" w:rsidR="00E05341" w:rsidRPr="00437131" w:rsidRDefault="00E05341" w:rsidP="00E05341">
      <w:pPr>
        <w:jc w:val="both"/>
        <w:rPr>
          <w:rFonts w:cstheme="minorHAnsi"/>
          <w:noProof/>
          <w:sz w:val="24"/>
          <w:szCs w:val="24"/>
        </w:rPr>
      </w:pPr>
      <w:r w:rsidRPr="00437131">
        <w:rPr>
          <w:rFonts w:cstheme="minorHAnsi"/>
          <w:noProof/>
          <w:sz w:val="24"/>
          <w:szCs w:val="24"/>
        </w:rPr>
        <w:t xml:space="preserve">Najzad, imajući u vidu da je potrebno ubrzati, ne samo ekonomsku kovergenciju već i proces pristupanja Evropskoj uniji, važno je obuhvatiti i ciljeve u oblasti </w:t>
      </w:r>
      <w:r w:rsidRPr="00437131">
        <w:rPr>
          <w:rFonts w:cstheme="minorHAnsi"/>
          <w:b/>
          <w:i/>
          <w:noProof/>
          <w:sz w:val="24"/>
          <w:szCs w:val="24"/>
        </w:rPr>
        <w:t>temeljnih prava</w:t>
      </w:r>
      <w:r w:rsidRPr="00437131">
        <w:rPr>
          <w:rFonts w:cstheme="minorHAnsi"/>
          <w:i/>
          <w:noProof/>
          <w:sz w:val="24"/>
          <w:szCs w:val="24"/>
        </w:rPr>
        <w:t>.</w:t>
      </w:r>
      <w:r w:rsidRPr="00437131">
        <w:rPr>
          <w:rFonts w:cstheme="minorHAnsi"/>
          <w:noProof/>
          <w:sz w:val="24"/>
          <w:szCs w:val="24"/>
        </w:rPr>
        <w:t xml:space="preserve"> </w:t>
      </w:r>
    </w:p>
    <w:p w14:paraId="18594C0E" w14:textId="77777777" w:rsidR="00E05341" w:rsidRPr="00437131" w:rsidRDefault="00E05341" w:rsidP="00E05341">
      <w:pPr>
        <w:jc w:val="both"/>
        <w:rPr>
          <w:rFonts w:cstheme="minorHAnsi"/>
          <w:noProof/>
          <w:sz w:val="24"/>
          <w:szCs w:val="24"/>
        </w:rPr>
      </w:pPr>
      <w:r w:rsidRPr="00437131">
        <w:rPr>
          <w:rFonts w:cstheme="minorHAnsi"/>
          <w:noProof/>
          <w:sz w:val="24"/>
          <w:szCs w:val="24"/>
        </w:rPr>
        <w:t>Kada je riječ o</w:t>
      </w:r>
      <w:r w:rsidRPr="00437131">
        <w:rPr>
          <w:rFonts w:cstheme="minorHAnsi"/>
          <w:b/>
          <w:noProof/>
          <w:sz w:val="24"/>
          <w:szCs w:val="24"/>
        </w:rPr>
        <w:t xml:space="preserve"> </w:t>
      </w:r>
      <w:r w:rsidRPr="00437131">
        <w:rPr>
          <w:rFonts w:cstheme="minorHAnsi"/>
          <w:b/>
          <w:i/>
          <w:noProof/>
          <w:sz w:val="24"/>
          <w:szCs w:val="24"/>
        </w:rPr>
        <w:t>vladavini prava</w:t>
      </w:r>
      <w:r w:rsidRPr="00437131">
        <w:rPr>
          <w:rFonts w:cstheme="minorHAnsi"/>
          <w:i/>
          <w:noProof/>
          <w:sz w:val="24"/>
          <w:szCs w:val="24"/>
        </w:rPr>
        <w:t>,</w:t>
      </w:r>
      <w:r w:rsidRPr="00437131">
        <w:rPr>
          <w:rFonts w:cstheme="minorHAnsi"/>
          <w:noProof/>
          <w:sz w:val="24"/>
          <w:szCs w:val="24"/>
        </w:rPr>
        <w:t xml:space="preserve"> Crna Gora sa usvajanjem završnih mjerila za poglavlja 23 i 24, Crna Gora je dobila podršku svih zemalja EU, ali i poruku da završna faza pregovora zahtijeva stalni fokus i isti nivo posvećenosti reformama., naročito u oblastima sudstva, borbe protiv korupcije i organizovanog kriminala, slobode izražavanja i medija. Jedan od ključnih strateških ciljeva u ovoj oblasti biće unapređenje pristupa pravosuđu, transparentnost i povjerenje u sudstvo, a time i omogućavanje pravne sigurnosti, reda i poretka kao horizontalnog preduslova za ekonomsku aktivnost i sprovođenje svih mjera definisanih Reformskom agendom.</w:t>
      </w:r>
    </w:p>
    <w:p w14:paraId="34C76F02" w14:textId="5130F849" w:rsidR="00E05341" w:rsidRPr="00437131" w:rsidRDefault="00E05341" w:rsidP="00E05341">
      <w:pPr>
        <w:pStyle w:val="Heading2"/>
        <w:spacing w:before="0" w:after="240"/>
        <w:jc w:val="both"/>
        <w:rPr>
          <w:rFonts w:asciiTheme="minorHAnsi" w:hAnsiTheme="minorHAnsi" w:cstheme="minorHAnsi"/>
          <w:b/>
          <w:sz w:val="24"/>
          <w:szCs w:val="24"/>
          <w:lang w:val="sr-Latn-ME"/>
        </w:rPr>
      </w:pPr>
      <w:bookmarkStart w:id="98" w:name="_Toc184111656"/>
      <w:r w:rsidRPr="00437131">
        <w:rPr>
          <w:rFonts w:asciiTheme="minorHAnsi" w:hAnsiTheme="minorHAnsi" w:cstheme="minorHAnsi"/>
          <w:b/>
          <w:sz w:val="24"/>
          <w:szCs w:val="24"/>
          <w:lang w:val="sr-Latn-ME"/>
        </w:rPr>
        <w:t>5.3. Procjena uticaja Plana rasta EU na makroekonomska i fiskalna kretanja</w:t>
      </w:r>
      <w:bookmarkEnd w:id="98"/>
    </w:p>
    <w:p w14:paraId="61FA62DC" w14:textId="77777777" w:rsidR="00E05341" w:rsidRPr="00437131" w:rsidRDefault="00E05341" w:rsidP="00E05341">
      <w:pPr>
        <w:jc w:val="both"/>
        <w:rPr>
          <w:rFonts w:cstheme="minorHAnsi"/>
          <w:sz w:val="24"/>
          <w:szCs w:val="24"/>
        </w:rPr>
      </w:pPr>
      <w:r w:rsidRPr="00437131">
        <w:rPr>
          <w:rFonts w:cstheme="minorHAnsi"/>
          <w:sz w:val="24"/>
          <w:szCs w:val="24"/>
        </w:rPr>
        <w:t>Novi Plan rasta EU za Zapadni Balkan je instrument kojim se želi ubrzati ekonomska konvergencija zemalja regiona ka prosjeku EU i u tom kontekstu, dinamizirati tempo reformskih napora, kao i približiti države regiona jedinstvenom zajedničkom evropskom tržištu.</w:t>
      </w:r>
    </w:p>
    <w:p w14:paraId="5DAF8888" w14:textId="77777777" w:rsidR="00E05341" w:rsidRPr="00437131" w:rsidRDefault="00E05341" w:rsidP="00E05341">
      <w:pPr>
        <w:jc w:val="both"/>
        <w:rPr>
          <w:rFonts w:cstheme="minorHAnsi"/>
          <w:sz w:val="24"/>
          <w:szCs w:val="24"/>
        </w:rPr>
      </w:pPr>
      <w:r w:rsidRPr="00437131">
        <w:rPr>
          <w:rFonts w:cstheme="minorHAnsi"/>
          <w:sz w:val="24"/>
          <w:szCs w:val="24"/>
        </w:rPr>
        <w:t xml:space="preserve">Za potrebe dobijanja preciznije slike o srednjoročnom uticaju Plana na ekonomski rast Crne Gore, izvršena je simulacija sprovođenja javnih investicija predviđenih Planom rasta EU, po makroekonomska kretanja u srednjem roku. Za analizu procjene uticaja korišćen je Makroekonometrijski model za Crnu Goru (MMM), koji je dobijen podrškom EU kroz projekat IPA </w:t>
      </w:r>
      <w:r w:rsidRPr="00437131">
        <w:rPr>
          <w:rFonts w:cstheme="minorHAnsi"/>
          <w:sz w:val="24"/>
          <w:szCs w:val="24"/>
        </w:rPr>
        <w:lastRenderedPageBreak/>
        <w:t xml:space="preserve">2017. Procjena uticaja Plana rasta obuhvata javne investicije u iznosu od oko 200 miliona eura, pri čemu u trenutku izrade procjene nije poznata dinamika povlačenja sredstava, kao ni ukupan iznos sektorske podrške po relevantnim oblastima. </w:t>
      </w:r>
    </w:p>
    <w:p w14:paraId="3215B7DA" w14:textId="77777777" w:rsidR="00E05341" w:rsidRPr="00437131" w:rsidRDefault="00E05341" w:rsidP="00E05341">
      <w:pPr>
        <w:jc w:val="both"/>
        <w:rPr>
          <w:rFonts w:cstheme="minorHAnsi"/>
          <w:sz w:val="24"/>
          <w:szCs w:val="24"/>
        </w:rPr>
      </w:pPr>
      <w:r w:rsidRPr="00437131">
        <w:rPr>
          <w:rFonts w:cstheme="minorHAnsi"/>
          <w:sz w:val="24"/>
          <w:szCs w:val="24"/>
        </w:rPr>
        <w:t>Procijenjeni očekivani neto efekat projekata predviđenih Plana rasta EU na realni BDP iznosi oko 0,7% prosječno u srednjem roku, što znači da bi nivo domaćeg BDP-a na kraju 2027, bio niži za 0,7% u odnosu na izostanak realizacije javnih investicija koje obuhvata Plan rasta. Dodatni efekti projekata u srednjem roku uključuju rast privatne potrošnje (oko 0,5%), izvozne aktivnosti (naročito uslužnog sektora oko 1,6%), ali i rast uvoza zbog slabe proizvodne baze (oko 1,5%). Efekti su procijenjeni i na tržištu rada, pa bi neto efekat javnih investicija iz Plana rasta podstakao rast zaposlenosti od oko 0,3% u 2027. godini. Budući da je predviđeno da Plan rasta bude snažan finansijski podsticaj za implementaciju reformi, očekivani procijenjeni efekti u narednim godinama, mogu biti i viši, ukoliko bi podstakli dodatne kapitalne investicije iz drugih izvora finansiranja.</w:t>
      </w:r>
    </w:p>
    <w:p w14:paraId="063AF5FF" w14:textId="77777777" w:rsidR="00E05341" w:rsidRPr="00437131" w:rsidRDefault="00E05341" w:rsidP="00E05341">
      <w:pPr>
        <w:jc w:val="both"/>
        <w:rPr>
          <w:rFonts w:cstheme="minorHAnsi"/>
          <w:sz w:val="24"/>
          <w:szCs w:val="24"/>
        </w:rPr>
      </w:pPr>
      <w:r w:rsidRPr="00437131">
        <w:rPr>
          <w:rFonts w:cstheme="minorHAnsi"/>
          <w:sz w:val="24"/>
          <w:szCs w:val="24"/>
        </w:rPr>
        <w:t>Grafički prikaz kretanja bruto domaćeg proizvoda u odnosu na početnu godinu (2023=100), sa i bez efekata investicija koje se finansiraju iz Plana rasta, dat je na grafiku:</w:t>
      </w:r>
      <w:r w:rsidRPr="00437131">
        <w:rPr>
          <w:rFonts w:cstheme="minorHAnsi"/>
          <w:noProof/>
          <w:sz w:val="24"/>
          <w:szCs w:val="24"/>
        </w:rPr>
        <w:t xml:space="preserve"> </w:t>
      </w:r>
    </w:p>
    <w:p w14:paraId="1EFBFC46" w14:textId="77777777" w:rsidR="00E05341" w:rsidRPr="00437131" w:rsidRDefault="00E05341" w:rsidP="00E05341">
      <w:pPr>
        <w:jc w:val="both"/>
        <w:rPr>
          <w:rFonts w:cstheme="minorHAnsi"/>
          <w:sz w:val="24"/>
          <w:szCs w:val="24"/>
        </w:rPr>
      </w:pPr>
      <w:r w:rsidRPr="00437131">
        <w:rPr>
          <w:rFonts w:cstheme="minorHAnsi"/>
          <w:noProof/>
          <w:sz w:val="24"/>
          <w:szCs w:val="24"/>
          <w:lang w:val="en-GB" w:eastAsia="en-GB"/>
        </w:rPr>
        <w:drawing>
          <wp:anchor distT="0" distB="0" distL="114300" distR="114300" simplePos="0" relativeHeight="251696128" behindDoc="0" locked="0" layoutInCell="1" allowOverlap="1" wp14:anchorId="4493D2E1" wp14:editId="760DD97B">
            <wp:simplePos x="0" y="0"/>
            <wp:positionH relativeFrom="margin">
              <wp:posOffset>-3175</wp:posOffset>
            </wp:positionH>
            <wp:positionV relativeFrom="margin">
              <wp:posOffset>1727200</wp:posOffset>
            </wp:positionV>
            <wp:extent cx="5842000" cy="2101850"/>
            <wp:effectExtent l="0" t="0" r="6350" b="0"/>
            <wp:wrapSquare wrapText="bothSides"/>
            <wp:docPr id="35" name="Chart 35">
              <a:extLst xmlns:a="http://schemas.openxmlformats.org/drawingml/2006/main">
                <a:ext uri="{FF2B5EF4-FFF2-40B4-BE49-F238E27FC236}">
                  <a16:creationId xmlns:a16="http://schemas.microsoft.com/office/drawing/2014/main" id="{E014161E-0F0C-4BE7-9593-BCB82CB759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Pr="00437131">
        <w:rPr>
          <w:rFonts w:cstheme="minorHAnsi"/>
          <w:sz w:val="24"/>
          <w:szCs w:val="24"/>
        </w:rPr>
        <w:t>Efekti i ocjene dobijene primjenom modela generišu djelimično tačne i precizne prognoze, pri čemu odražavaju strukturu i odnose u ekonomiji Crne Gore, ali ne uzimaju u potpunosti u obzir izuzetno kompleksne multiplikativne efekte povećanja investicija po rast BDP-a i zaposlenosti. Ovo je posebno izraženo kod javnih investicija, čiji efekat se dalje 'preliva' pozitivno i na privatna ulaganja, a takođe se kod investicija u obrazovanje i digitalizaciju očekuju dugoročni efekti, poput povećanja konkurentnosti i produktivnosti ekonomije.</w:t>
      </w:r>
    </w:p>
    <w:p w14:paraId="4409CB97" w14:textId="77777777" w:rsidR="00E05341" w:rsidRPr="00437131" w:rsidRDefault="00E05341" w:rsidP="00E05341">
      <w:pPr>
        <w:jc w:val="both"/>
        <w:rPr>
          <w:rFonts w:cstheme="minorHAnsi"/>
          <w:sz w:val="24"/>
          <w:szCs w:val="24"/>
        </w:rPr>
      </w:pPr>
      <w:r w:rsidRPr="00437131">
        <w:rPr>
          <w:rFonts w:cstheme="minorHAnsi"/>
          <w:sz w:val="24"/>
          <w:szCs w:val="24"/>
        </w:rPr>
        <w:t xml:space="preserve">Prilikom određivanja efekta uticaja Reformske agende na fiskalna kretanja u zemlji, odnosno na prihode budžeta, korišćen je model za projekcije prihoda budžeta u srednjem roku. Procjene su rađene na bazi dostupnih informacija, a imajući u vidu konzervativni princip procjene efekata i planiranja prihoda budžeta, pri čemu su efekti umanjeni u skladu sa očekivanim kretanjima u </w:t>
      </w:r>
      <w:r w:rsidRPr="00437131">
        <w:rPr>
          <w:rFonts w:cstheme="minorHAnsi"/>
          <w:sz w:val="24"/>
          <w:szCs w:val="24"/>
        </w:rPr>
        <w:lastRenderedPageBreak/>
        <w:t xml:space="preserve">srednjem roku, a uzimajući u obzir procjenu uticaja Reformske agende na makroekonomske pokazatelje. </w:t>
      </w:r>
    </w:p>
    <w:p w14:paraId="46D4489B" w14:textId="7C3654DC" w:rsidR="00E05341" w:rsidRPr="00437131" w:rsidRDefault="00E05341" w:rsidP="00E05341">
      <w:pPr>
        <w:rPr>
          <w:b/>
          <w:color w:val="2F5496" w:themeColor="accent1" w:themeShade="BF"/>
          <w:lang w:val="sr-Latn-ME"/>
        </w:rPr>
      </w:pPr>
      <w:r w:rsidRPr="00437131">
        <w:rPr>
          <w:b/>
          <w:color w:val="2F5496" w:themeColor="accent1" w:themeShade="BF"/>
          <w:lang w:val="sr-Latn-ME"/>
        </w:rPr>
        <w:t>Tabela 5.3: Procjena fiskalnog uticaja Plana rasta EU</w:t>
      </w:r>
      <w:bookmarkStart w:id="99" w:name="_GoBack"/>
      <w:bookmarkEnd w:id="99"/>
    </w:p>
    <w:tbl>
      <w:tblPr>
        <w:tblW w:w="9085" w:type="dxa"/>
        <w:tblLook w:val="04A0" w:firstRow="1" w:lastRow="0" w:firstColumn="1" w:lastColumn="0" w:noHBand="0" w:noVBand="1"/>
      </w:tblPr>
      <w:tblGrid>
        <w:gridCol w:w="5215"/>
        <w:gridCol w:w="1350"/>
        <w:gridCol w:w="1440"/>
        <w:gridCol w:w="1080"/>
      </w:tblGrid>
      <w:tr w:rsidR="00E05341" w:rsidRPr="00437131" w14:paraId="7AAE1952" w14:textId="77777777" w:rsidTr="00E05341">
        <w:trPr>
          <w:trHeight w:val="300"/>
        </w:trPr>
        <w:tc>
          <w:tcPr>
            <w:tcW w:w="5215" w:type="dxa"/>
            <w:tcBorders>
              <w:top w:val="single" w:sz="4" w:space="0" w:color="auto"/>
              <w:left w:val="single" w:sz="4" w:space="0" w:color="auto"/>
              <w:bottom w:val="nil"/>
              <w:right w:val="nil"/>
            </w:tcBorders>
            <w:shd w:val="clear" w:color="auto" w:fill="auto"/>
            <w:noWrap/>
            <w:vAlign w:val="bottom"/>
            <w:hideMark/>
          </w:tcPr>
          <w:p w14:paraId="58F23999" w14:textId="77777777" w:rsidR="00E05341" w:rsidRPr="00437131" w:rsidRDefault="00E05341" w:rsidP="00E05341">
            <w:pPr>
              <w:spacing w:after="0" w:line="240" w:lineRule="auto"/>
              <w:rPr>
                <w:rFonts w:ascii="Calibri" w:eastAsia="Times New Roman" w:hAnsi="Calibri" w:cs="Calibri"/>
                <w:b/>
                <w:color w:val="000000"/>
                <w:sz w:val="18"/>
                <w:szCs w:val="18"/>
              </w:rPr>
            </w:pPr>
            <w:r w:rsidRPr="00437131">
              <w:rPr>
                <w:rFonts w:ascii="Calibri" w:eastAsia="Times New Roman" w:hAnsi="Calibri" w:cs="Calibri"/>
                <w:b/>
                <w:color w:val="000000"/>
                <w:sz w:val="18"/>
                <w:szCs w:val="18"/>
              </w:rPr>
              <w:t>Prihodi budžeta (mil. €)</w:t>
            </w:r>
          </w:p>
        </w:tc>
        <w:tc>
          <w:tcPr>
            <w:tcW w:w="1350" w:type="dxa"/>
            <w:tcBorders>
              <w:top w:val="single" w:sz="4" w:space="0" w:color="auto"/>
              <w:left w:val="nil"/>
              <w:bottom w:val="nil"/>
              <w:right w:val="nil"/>
            </w:tcBorders>
            <w:shd w:val="clear" w:color="auto" w:fill="auto"/>
            <w:noWrap/>
            <w:vAlign w:val="bottom"/>
            <w:hideMark/>
          </w:tcPr>
          <w:p w14:paraId="5F9893DF" w14:textId="77777777" w:rsidR="00E05341" w:rsidRPr="00437131" w:rsidRDefault="00E05341" w:rsidP="00E05341">
            <w:pPr>
              <w:spacing w:after="0" w:line="240" w:lineRule="auto"/>
              <w:jc w:val="center"/>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2025</w:t>
            </w:r>
          </w:p>
        </w:tc>
        <w:tc>
          <w:tcPr>
            <w:tcW w:w="1440" w:type="dxa"/>
            <w:tcBorders>
              <w:top w:val="single" w:sz="4" w:space="0" w:color="auto"/>
              <w:left w:val="nil"/>
              <w:bottom w:val="nil"/>
              <w:right w:val="nil"/>
            </w:tcBorders>
            <w:shd w:val="clear" w:color="auto" w:fill="auto"/>
            <w:noWrap/>
            <w:vAlign w:val="bottom"/>
            <w:hideMark/>
          </w:tcPr>
          <w:p w14:paraId="7B6DC46D" w14:textId="77777777" w:rsidR="00E05341" w:rsidRPr="00437131" w:rsidRDefault="00E05341" w:rsidP="00E05341">
            <w:pPr>
              <w:spacing w:after="0" w:line="240" w:lineRule="auto"/>
              <w:jc w:val="center"/>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2026</w:t>
            </w:r>
          </w:p>
        </w:tc>
        <w:tc>
          <w:tcPr>
            <w:tcW w:w="1080" w:type="dxa"/>
            <w:tcBorders>
              <w:top w:val="single" w:sz="4" w:space="0" w:color="auto"/>
              <w:left w:val="nil"/>
              <w:bottom w:val="nil"/>
              <w:right w:val="single" w:sz="4" w:space="0" w:color="auto"/>
            </w:tcBorders>
            <w:shd w:val="clear" w:color="auto" w:fill="auto"/>
            <w:noWrap/>
            <w:vAlign w:val="bottom"/>
            <w:hideMark/>
          </w:tcPr>
          <w:p w14:paraId="3D157173" w14:textId="77777777" w:rsidR="00E05341" w:rsidRPr="00437131" w:rsidRDefault="00E05341" w:rsidP="00E05341">
            <w:pPr>
              <w:spacing w:after="0" w:line="240" w:lineRule="auto"/>
              <w:jc w:val="center"/>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2027</w:t>
            </w:r>
          </w:p>
        </w:tc>
      </w:tr>
      <w:tr w:rsidR="00E05341" w:rsidRPr="00437131" w14:paraId="6C724148" w14:textId="77777777" w:rsidTr="00E05341">
        <w:trPr>
          <w:trHeight w:val="300"/>
        </w:trPr>
        <w:tc>
          <w:tcPr>
            <w:tcW w:w="5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E691C" w14:textId="77777777" w:rsidR="00E05341" w:rsidRPr="00437131" w:rsidRDefault="00E05341" w:rsidP="00E05341">
            <w:pPr>
              <w:spacing w:after="0" w:line="240" w:lineRule="auto"/>
              <w:rPr>
                <w:rFonts w:ascii="Century Gothic" w:eastAsia="Times New Roman" w:hAnsi="Century Gothic" w:cs="Calibri"/>
                <w:sz w:val="18"/>
                <w:szCs w:val="18"/>
              </w:rPr>
            </w:pPr>
            <w:r w:rsidRPr="00437131">
              <w:rPr>
                <w:rFonts w:ascii="Century Gothic" w:eastAsia="Times New Roman" w:hAnsi="Century Gothic" w:cs="Calibri"/>
                <w:sz w:val="18"/>
                <w:szCs w:val="18"/>
              </w:rPr>
              <w:t xml:space="preserve">Porez na dobit pravnih lica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7E316A3" w14:textId="77777777" w:rsidR="00E05341" w:rsidRPr="00437131" w:rsidRDefault="00E05341" w:rsidP="00E05341">
            <w:pPr>
              <w:spacing w:after="0" w:line="240" w:lineRule="auto"/>
              <w:jc w:val="center"/>
              <w:rPr>
                <w:rFonts w:ascii="Century Gothic" w:eastAsia="Times New Roman" w:hAnsi="Century Gothic" w:cs="Calibri"/>
                <w:sz w:val="18"/>
                <w:szCs w:val="18"/>
              </w:rPr>
            </w:pPr>
            <w:r w:rsidRPr="00437131">
              <w:rPr>
                <w:rFonts w:ascii="Century Gothic" w:eastAsia="Times New Roman" w:hAnsi="Century Gothic" w:cs="Calibri"/>
                <w:sz w:val="18"/>
                <w:szCs w:val="18"/>
              </w:rPr>
              <w:t>219.9</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DE83F49" w14:textId="77777777" w:rsidR="00E05341" w:rsidRPr="00437131" w:rsidRDefault="00E05341" w:rsidP="00E05341">
            <w:pPr>
              <w:spacing w:after="0" w:line="240" w:lineRule="auto"/>
              <w:jc w:val="center"/>
              <w:rPr>
                <w:rFonts w:ascii="Century Gothic" w:eastAsia="Times New Roman" w:hAnsi="Century Gothic" w:cs="Calibri"/>
                <w:sz w:val="18"/>
                <w:szCs w:val="18"/>
              </w:rPr>
            </w:pPr>
            <w:r w:rsidRPr="00437131">
              <w:rPr>
                <w:rFonts w:ascii="Century Gothic" w:eastAsia="Times New Roman" w:hAnsi="Century Gothic" w:cs="Calibri"/>
                <w:sz w:val="18"/>
                <w:szCs w:val="18"/>
              </w:rPr>
              <w:t>232.1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1D0A5B7" w14:textId="77777777" w:rsidR="00E05341" w:rsidRPr="00437131" w:rsidRDefault="00E05341" w:rsidP="00E05341">
            <w:pPr>
              <w:spacing w:after="0" w:line="240" w:lineRule="auto"/>
              <w:jc w:val="center"/>
              <w:rPr>
                <w:rFonts w:ascii="Century Gothic" w:eastAsia="Times New Roman" w:hAnsi="Century Gothic" w:cs="Calibri"/>
                <w:sz w:val="18"/>
                <w:szCs w:val="18"/>
              </w:rPr>
            </w:pPr>
            <w:r w:rsidRPr="00437131">
              <w:rPr>
                <w:rFonts w:ascii="Century Gothic" w:eastAsia="Times New Roman" w:hAnsi="Century Gothic" w:cs="Calibri"/>
                <w:sz w:val="18"/>
                <w:szCs w:val="18"/>
              </w:rPr>
              <w:t>243.9</w:t>
            </w:r>
          </w:p>
        </w:tc>
      </w:tr>
      <w:tr w:rsidR="00E05341" w:rsidRPr="00437131" w14:paraId="1E2BC071" w14:textId="77777777" w:rsidTr="00E05341">
        <w:trPr>
          <w:trHeight w:val="300"/>
        </w:trPr>
        <w:tc>
          <w:tcPr>
            <w:tcW w:w="5215" w:type="dxa"/>
            <w:tcBorders>
              <w:top w:val="nil"/>
              <w:left w:val="single" w:sz="4" w:space="0" w:color="auto"/>
              <w:bottom w:val="single" w:sz="4" w:space="0" w:color="auto"/>
              <w:right w:val="single" w:sz="4" w:space="0" w:color="auto"/>
            </w:tcBorders>
            <w:shd w:val="clear" w:color="auto" w:fill="auto"/>
            <w:noWrap/>
            <w:vAlign w:val="bottom"/>
            <w:hideMark/>
          </w:tcPr>
          <w:p w14:paraId="763F6542" w14:textId="77777777" w:rsidR="00E05341" w:rsidRPr="00437131" w:rsidRDefault="00E05341" w:rsidP="00E05341">
            <w:pPr>
              <w:spacing w:after="0" w:line="240" w:lineRule="auto"/>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Uticaj reformske agende</w:t>
            </w:r>
          </w:p>
        </w:tc>
        <w:tc>
          <w:tcPr>
            <w:tcW w:w="1350" w:type="dxa"/>
            <w:tcBorders>
              <w:top w:val="nil"/>
              <w:left w:val="nil"/>
              <w:bottom w:val="single" w:sz="4" w:space="0" w:color="auto"/>
              <w:right w:val="single" w:sz="4" w:space="0" w:color="auto"/>
            </w:tcBorders>
            <w:shd w:val="clear" w:color="auto" w:fill="auto"/>
            <w:noWrap/>
            <w:vAlign w:val="bottom"/>
            <w:hideMark/>
          </w:tcPr>
          <w:p w14:paraId="791C89C9" w14:textId="77777777" w:rsidR="00E05341" w:rsidRPr="00437131" w:rsidRDefault="00E05341" w:rsidP="00E05341">
            <w:pPr>
              <w:spacing w:after="0" w:line="240" w:lineRule="auto"/>
              <w:jc w:val="center"/>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2.00</w:t>
            </w:r>
          </w:p>
        </w:tc>
        <w:tc>
          <w:tcPr>
            <w:tcW w:w="1440" w:type="dxa"/>
            <w:tcBorders>
              <w:top w:val="nil"/>
              <w:left w:val="nil"/>
              <w:bottom w:val="single" w:sz="4" w:space="0" w:color="auto"/>
              <w:right w:val="single" w:sz="4" w:space="0" w:color="auto"/>
            </w:tcBorders>
            <w:shd w:val="clear" w:color="auto" w:fill="auto"/>
            <w:noWrap/>
            <w:vAlign w:val="bottom"/>
            <w:hideMark/>
          </w:tcPr>
          <w:p w14:paraId="56DEEB1D" w14:textId="77777777" w:rsidR="00E05341" w:rsidRPr="00437131" w:rsidRDefault="00E05341" w:rsidP="00E05341">
            <w:pPr>
              <w:spacing w:after="0" w:line="240" w:lineRule="auto"/>
              <w:jc w:val="center"/>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7.00</w:t>
            </w:r>
          </w:p>
        </w:tc>
        <w:tc>
          <w:tcPr>
            <w:tcW w:w="1080" w:type="dxa"/>
            <w:tcBorders>
              <w:top w:val="nil"/>
              <w:left w:val="nil"/>
              <w:bottom w:val="single" w:sz="4" w:space="0" w:color="auto"/>
              <w:right w:val="single" w:sz="4" w:space="0" w:color="auto"/>
            </w:tcBorders>
            <w:shd w:val="clear" w:color="auto" w:fill="auto"/>
            <w:noWrap/>
            <w:vAlign w:val="bottom"/>
            <w:hideMark/>
          </w:tcPr>
          <w:p w14:paraId="40EEA48E" w14:textId="77777777" w:rsidR="00E05341" w:rsidRPr="00437131" w:rsidRDefault="00E05341" w:rsidP="00E05341">
            <w:pPr>
              <w:spacing w:after="0" w:line="240" w:lineRule="auto"/>
              <w:jc w:val="center"/>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7.00</w:t>
            </w:r>
          </w:p>
        </w:tc>
      </w:tr>
      <w:tr w:rsidR="00E05341" w:rsidRPr="00437131" w14:paraId="74DD6229" w14:textId="77777777" w:rsidTr="00E05341">
        <w:trPr>
          <w:trHeight w:val="300"/>
        </w:trPr>
        <w:tc>
          <w:tcPr>
            <w:tcW w:w="5215" w:type="dxa"/>
            <w:tcBorders>
              <w:top w:val="nil"/>
              <w:left w:val="single" w:sz="4" w:space="0" w:color="auto"/>
              <w:bottom w:val="single" w:sz="4" w:space="0" w:color="auto"/>
              <w:right w:val="single" w:sz="4" w:space="0" w:color="auto"/>
            </w:tcBorders>
            <w:shd w:val="clear" w:color="auto" w:fill="auto"/>
            <w:noWrap/>
            <w:vAlign w:val="bottom"/>
            <w:hideMark/>
          </w:tcPr>
          <w:p w14:paraId="0F827543" w14:textId="77777777" w:rsidR="00E05341" w:rsidRPr="00437131" w:rsidRDefault="00E05341" w:rsidP="00E05341">
            <w:pPr>
              <w:spacing w:after="0" w:line="240" w:lineRule="auto"/>
              <w:rPr>
                <w:rFonts w:ascii="Century Gothic" w:eastAsia="Times New Roman" w:hAnsi="Century Gothic" w:cs="Calibri"/>
                <w:sz w:val="18"/>
                <w:szCs w:val="18"/>
              </w:rPr>
            </w:pPr>
            <w:r w:rsidRPr="00437131">
              <w:rPr>
                <w:rFonts w:ascii="Century Gothic" w:eastAsia="Times New Roman" w:hAnsi="Century Gothic" w:cs="Calibri"/>
                <w:sz w:val="18"/>
                <w:szCs w:val="18"/>
              </w:rPr>
              <w:t xml:space="preserve">Porez na dohodak fizičkih lica </w:t>
            </w:r>
          </w:p>
        </w:tc>
        <w:tc>
          <w:tcPr>
            <w:tcW w:w="1350" w:type="dxa"/>
            <w:tcBorders>
              <w:top w:val="nil"/>
              <w:left w:val="nil"/>
              <w:bottom w:val="single" w:sz="4" w:space="0" w:color="auto"/>
              <w:right w:val="single" w:sz="4" w:space="0" w:color="auto"/>
            </w:tcBorders>
            <w:shd w:val="clear" w:color="auto" w:fill="auto"/>
            <w:noWrap/>
            <w:vAlign w:val="bottom"/>
            <w:hideMark/>
          </w:tcPr>
          <w:p w14:paraId="1AD94663" w14:textId="77777777" w:rsidR="00E05341" w:rsidRPr="00437131" w:rsidRDefault="00E05341" w:rsidP="00E05341">
            <w:pPr>
              <w:spacing w:after="0" w:line="240" w:lineRule="auto"/>
              <w:jc w:val="center"/>
              <w:rPr>
                <w:rFonts w:ascii="Century Gothic" w:eastAsia="Times New Roman" w:hAnsi="Century Gothic" w:cs="Calibri"/>
                <w:sz w:val="18"/>
                <w:szCs w:val="18"/>
              </w:rPr>
            </w:pPr>
            <w:r w:rsidRPr="00437131">
              <w:rPr>
                <w:rFonts w:ascii="Century Gothic" w:eastAsia="Times New Roman" w:hAnsi="Century Gothic" w:cs="Calibri"/>
                <w:sz w:val="18"/>
                <w:szCs w:val="18"/>
              </w:rPr>
              <w:t>108.32</w:t>
            </w:r>
          </w:p>
        </w:tc>
        <w:tc>
          <w:tcPr>
            <w:tcW w:w="1440" w:type="dxa"/>
            <w:tcBorders>
              <w:top w:val="nil"/>
              <w:left w:val="nil"/>
              <w:bottom w:val="single" w:sz="4" w:space="0" w:color="auto"/>
              <w:right w:val="single" w:sz="4" w:space="0" w:color="auto"/>
            </w:tcBorders>
            <w:shd w:val="clear" w:color="auto" w:fill="auto"/>
            <w:noWrap/>
            <w:vAlign w:val="bottom"/>
            <w:hideMark/>
          </w:tcPr>
          <w:p w14:paraId="1C6DFC8A" w14:textId="77777777" w:rsidR="00E05341" w:rsidRPr="00437131" w:rsidRDefault="00E05341" w:rsidP="00E05341">
            <w:pPr>
              <w:spacing w:after="0" w:line="240" w:lineRule="auto"/>
              <w:jc w:val="center"/>
              <w:rPr>
                <w:rFonts w:ascii="Century Gothic" w:eastAsia="Times New Roman" w:hAnsi="Century Gothic" w:cs="Calibri"/>
                <w:sz w:val="18"/>
                <w:szCs w:val="18"/>
              </w:rPr>
            </w:pPr>
            <w:r w:rsidRPr="00437131">
              <w:rPr>
                <w:rFonts w:ascii="Century Gothic" w:eastAsia="Times New Roman" w:hAnsi="Century Gothic" w:cs="Calibri"/>
                <w:sz w:val="18"/>
                <w:szCs w:val="18"/>
              </w:rPr>
              <w:t>112.50</w:t>
            </w:r>
          </w:p>
        </w:tc>
        <w:tc>
          <w:tcPr>
            <w:tcW w:w="1080" w:type="dxa"/>
            <w:tcBorders>
              <w:top w:val="nil"/>
              <w:left w:val="nil"/>
              <w:bottom w:val="single" w:sz="4" w:space="0" w:color="auto"/>
              <w:right w:val="single" w:sz="4" w:space="0" w:color="auto"/>
            </w:tcBorders>
            <w:shd w:val="clear" w:color="auto" w:fill="auto"/>
            <w:noWrap/>
            <w:vAlign w:val="bottom"/>
            <w:hideMark/>
          </w:tcPr>
          <w:p w14:paraId="427DF2EE" w14:textId="77777777" w:rsidR="00E05341" w:rsidRPr="00437131" w:rsidRDefault="00E05341" w:rsidP="00E05341">
            <w:pPr>
              <w:spacing w:after="0" w:line="240" w:lineRule="auto"/>
              <w:jc w:val="center"/>
              <w:rPr>
                <w:rFonts w:ascii="Century Gothic" w:eastAsia="Times New Roman" w:hAnsi="Century Gothic" w:cs="Calibri"/>
                <w:sz w:val="18"/>
                <w:szCs w:val="18"/>
              </w:rPr>
            </w:pPr>
            <w:r w:rsidRPr="00437131">
              <w:rPr>
                <w:rFonts w:ascii="Century Gothic" w:eastAsia="Times New Roman" w:hAnsi="Century Gothic" w:cs="Calibri"/>
                <w:sz w:val="18"/>
                <w:szCs w:val="18"/>
              </w:rPr>
              <w:t>119.95</w:t>
            </w:r>
          </w:p>
        </w:tc>
      </w:tr>
      <w:tr w:rsidR="00E05341" w:rsidRPr="00437131" w14:paraId="4E41B156" w14:textId="77777777" w:rsidTr="00E05341">
        <w:trPr>
          <w:trHeight w:val="300"/>
        </w:trPr>
        <w:tc>
          <w:tcPr>
            <w:tcW w:w="5215" w:type="dxa"/>
            <w:tcBorders>
              <w:top w:val="nil"/>
              <w:left w:val="single" w:sz="4" w:space="0" w:color="auto"/>
              <w:bottom w:val="single" w:sz="4" w:space="0" w:color="auto"/>
              <w:right w:val="single" w:sz="4" w:space="0" w:color="auto"/>
            </w:tcBorders>
            <w:shd w:val="clear" w:color="auto" w:fill="auto"/>
            <w:noWrap/>
            <w:vAlign w:val="bottom"/>
            <w:hideMark/>
          </w:tcPr>
          <w:p w14:paraId="6C0BA698" w14:textId="77777777" w:rsidR="00E05341" w:rsidRPr="00437131" w:rsidRDefault="00E05341" w:rsidP="00E05341">
            <w:pPr>
              <w:spacing w:after="0" w:line="240" w:lineRule="auto"/>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Uticaj reformske agende</w:t>
            </w:r>
          </w:p>
        </w:tc>
        <w:tc>
          <w:tcPr>
            <w:tcW w:w="1350" w:type="dxa"/>
            <w:tcBorders>
              <w:top w:val="nil"/>
              <w:left w:val="nil"/>
              <w:bottom w:val="single" w:sz="4" w:space="0" w:color="auto"/>
              <w:right w:val="single" w:sz="4" w:space="0" w:color="auto"/>
            </w:tcBorders>
            <w:shd w:val="clear" w:color="auto" w:fill="auto"/>
            <w:noWrap/>
            <w:vAlign w:val="bottom"/>
            <w:hideMark/>
          </w:tcPr>
          <w:p w14:paraId="1602FE0C" w14:textId="77777777" w:rsidR="00E05341" w:rsidRPr="00437131" w:rsidRDefault="00E05341" w:rsidP="00E05341">
            <w:pPr>
              <w:spacing w:after="0" w:line="240" w:lineRule="auto"/>
              <w:jc w:val="center"/>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1.00</w:t>
            </w:r>
          </w:p>
        </w:tc>
        <w:tc>
          <w:tcPr>
            <w:tcW w:w="1440" w:type="dxa"/>
            <w:tcBorders>
              <w:top w:val="nil"/>
              <w:left w:val="nil"/>
              <w:bottom w:val="single" w:sz="4" w:space="0" w:color="auto"/>
              <w:right w:val="single" w:sz="4" w:space="0" w:color="auto"/>
            </w:tcBorders>
            <w:shd w:val="clear" w:color="auto" w:fill="auto"/>
            <w:noWrap/>
            <w:vAlign w:val="bottom"/>
            <w:hideMark/>
          </w:tcPr>
          <w:p w14:paraId="0BD8CA56" w14:textId="77777777" w:rsidR="00E05341" w:rsidRPr="00437131" w:rsidRDefault="00E05341" w:rsidP="00E05341">
            <w:pPr>
              <w:spacing w:after="0" w:line="240" w:lineRule="auto"/>
              <w:jc w:val="center"/>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3.00</w:t>
            </w:r>
          </w:p>
        </w:tc>
        <w:tc>
          <w:tcPr>
            <w:tcW w:w="1080" w:type="dxa"/>
            <w:tcBorders>
              <w:top w:val="nil"/>
              <w:left w:val="nil"/>
              <w:bottom w:val="single" w:sz="4" w:space="0" w:color="auto"/>
              <w:right w:val="single" w:sz="4" w:space="0" w:color="auto"/>
            </w:tcBorders>
            <w:shd w:val="clear" w:color="auto" w:fill="auto"/>
            <w:noWrap/>
            <w:vAlign w:val="bottom"/>
            <w:hideMark/>
          </w:tcPr>
          <w:p w14:paraId="16D6ECA8" w14:textId="77777777" w:rsidR="00E05341" w:rsidRPr="00437131" w:rsidRDefault="00E05341" w:rsidP="00E05341">
            <w:pPr>
              <w:spacing w:after="0" w:line="240" w:lineRule="auto"/>
              <w:jc w:val="center"/>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3.00</w:t>
            </w:r>
          </w:p>
        </w:tc>
      </w:tr>
      <w:tr w:rsidR="00E05341" w:rsidRPr="00437131" w14:paraId="0071F95A" w14:textId="77777777" w:rsidTr="00E05341">
        <w:trPr>
          <w:trHeight w:val="300"/>
        </w:trPr>
        <w:tc>
          <w:tcPr>
            <w:tcW w:w="5215" w:type="dxa"/>
            <w:tcBorders>
              <w:top w:val="nil"/>
              <w:left w:val="single" w:sz="4" w:space="0" w:color="auto"/>
              <w:bottom w:val="single" w:sz="4" w:space="0" w:color="auto"/>
              <w:right w:val="single" w:sz="4" w:space="0" w:color="auto"/>
            </w:tcBorders>
            <w:shd w:val="clear" w:color="auto" w:fill="auto"/>
            <w:noWrap/>
            <w:vAlign w:val="bottom"/>
            <w:hideMark/>
          </w:tcPr>
          <w:p w14:paraId="493D14F2" w14:textId="77777777" w:rsidR="00E05341" w:rsidRPr="00437131" w:rsidRDefault="00E05341" w:rsidP="00E05341">
            <w:pPr>
              <w:spacing w:after="0" w:line="240" w:lineRule="auto"/>
              <w:rPr>
                <w:rFonts w:ascii="Century Gothic" w:eastAsia="Times New Roman" w:hAnsi="Century Gothic" w:cs="Calibri"/>
                <w:sz w:val="18"/>
                <w:szCs w:val="18"/>
              </w:rPr>
            </w:pPr>
            <w:r w:rsidRPr="00437131">
              <w:rPr>
                <w:rFonts w:ascii="Century Gothic" w:eastAsia="Times New Roman" w:hAnsi="Century Gothic" w:cs="Calibri"/>
                <w:sz w:val="18"/>
                <w:szCs w:val="18"/>
              </w:rPr>
              <w:t xml:space="preserve">Doprinosi </w:t>
            </w:r>
          </w:p>
        </w:tc>
        <w:tc>
          <w:tcPr>
            <w:tcW w:w="1350" w:type="dxa"/>
            <w:tcBorders>
              <w:top w:val="nil"/>
              <w:left w:val="nil"/>
              <w:bottom w:val="single" w:sz="4" w:space="0" w:color="auto"/>
              <w:right w:val="single" w:sz="4" w:space="0" w:color="auto"/>
            </w:tcBorders>
            <w:shd w:val="clear" w:color="auto" w:fill="auto"/>
            <w:noWrap/>
            <w:vAlign w:val="bottom"/>
            <w:hideMark/>
          </w:tcPr>
          <w:p w14:paraId="4759668C" w14:textId="77777777" w:rsidR="00E05341" w:rsidRPr="00437131" w:rsidRDefault="00E05341" w:rsidP="00E05341">
            <w:pPr>
              <w:spacing w:after="0" w:line="240" w:lineRule="auto"/>
              <w:jc w:val="center"/>
              <w:rPr>
                <w:rFonts w:ascii="Century Gothic" w:eastAsia="Times New Roman" w:hAnsi="Century Gothic" w:cs="Calibri"/>
                <w:sz w:val="18"/>
                <w:szCs w:val="18"/>
              </w:rPr>
            </w:pPr>
            <w:r w:rsidRPr="00437131">
              <w:rPr>
                <w:rFonts w:ascii="Century Gothic" w:eastAsia="Times New Roman" w:hAnsi="Century Gothic" w:cs="Calibri"/>
                <w:sz w:val="18"/>
                <w:szCs w:val="18"/>
              </w:rPr>
              <w:t>449.05</w:t>
            </w:r>
          </w:p>
        </w:tc>
        <w:tc>
          <w:tcPr>
            <w:tcW w:w="1440" w:type="dxa"/>
            <w:tcBorders>
              <w:top w:val="nil"/>
              <w:left w:val="nil"/>
              <w:bottom w:val="single" w:sz="4" w:space="0" w:color="auto"/>
              <w:right w:val="single" w:sz="4" w:space="0" w:color="auto"/>
            </w:tcBorders>
            <w:shd w:val="clear" w:color="auto" w:fill="auto"/>
            <w:noWrap/>
            <w:vAlign w:val="bottom"/>
            <w:hideMark/>
          </w:tcPr>
          <w:p w14:paraId="4BBFF282" w14:textId="77777777" w:rsidR="00E05341" w:rsidRPr="00437131" w:rsidRDefault="00E05341" w:rsidP="00E05341">
            <w:pPr>
              <w:spacing w:after="0" w:line="240" w:lineRule="auto"/>
              <w:jc w:val="center"/>
              <w:rPr>
                <w:rFonts w:ascii="Century Gothic" w:eastAsia="Times New Roman" w:hAnsi="Century Gothic" w:cs="Calibri"/>
                <w:sz w:val="18"/>
                <w:szCs w:val="18"/>
              </w:rPr>
            </w:pPr>
            <w:r w:rsidRPr="00437131">
              <w:rPr>
                <w:rFonts w:ascii="Century Gothic" w:eastAsia="Times New Roman" w:hAnsi="Century Gothic" w:cs="Calibri"/>
                <w:sz w:val="18"/>
                <w:szCs w:val="18"/>
              </w:rPr>
              <w:t>476.61</w:t>
            </w:r>
          </w:p>
        </w:tc>
        <w:tc>
          <w:tcPr>
            <w:tcW w:w="1080" w:type="dxa"/>
            <w:tcBorders>
              <w:top w:val="nil"/>
              <w:left w:val="nil"/>
              <w:bottom w:val="single" w:sz="4" w:space="0" w:color="auto"/>
              <w:right w:val="single" w:sz="4" w:space="0" w:color="auto"/>
            </w:tcBorders>
            <w:shd w:val="clear" w:color="auto" w:fill="auto"/>
            <w:noWrap/>
            <w:vAlign w:val="bottom"/>
            <w:hideMark/>
          </w:tcPr>
          <w:p w14:paraId="1DC7436A" w14:textId="77777777" w:rsidR="00E05341" w:rsidRPr="00437131" w:rsidRDefault="00E05341" w:rsidP="00E05341">
            <w:pPr>
              <w:spacing w:after="0" w:line="240" w:lineRule="auto"/>
              <w:jc w:val="center"/>
              <w:rPr>
                <w:rFonts w:ascii="Century Gothic" w:eastAsia="Times New Roman" w:hAnsi="Century Gothic" w:cs="Calibri"/>
                <w:sz w:val="18"/>
                <w:szCs w:val="18"/>
              </w:rPr>
            </w:pPr>
            <w:r w:rsidRPr="00437131">
              <w:rPr>
                <w:rFonts w:ascii="Century Gothic" w:eastAsia="Times New Roman" w:hAnsi="Century Gothic" w:cs="Calibri"/>
                <w:sz w:val="18"/>
                <w:szCs w:val="18"/>
              </w:rPr>
              <w:t>503.01</w:t>
            </w:r>
          </w:p>
        </w:tc>
      </w:tr>
      <w:tr w:rsidR="00E05341" w:rsidRPr="00437131" w14:paraId="49470815" w14:textId="77777777" w:rsidTr="00E05341">
        <w:trPr>
          <w:trHeight w:val="300"/>
        </w:trPr>
        <w:tc>
          <w:tcPr>
            <w:tcW w:w="5215" w:type="dxa"/>
            <w:tcBorders>
              <w:top w:val="nil"/>
              <w:left w:val="single" w:sz="4" w:space="0" w:color="auto"/>
              <w:bottom w:val="single" w:sz="4" w:space="0" w:color="auto"/>
              <w:right w:val="single" w:sz="4" w:space="0" w:color="auto"/>
            </w:tcBorders>
            <w:shd w:val="clear" w:color="auto" w:fill="auto"/>
            <w:noWrap/>
            <w:vAlign w:val="bottom"/>
            <w:hideMark/>
          </w:tcPr>
          <w:p w14:paraId="2F779BE2" w14:textId="77777777" w:rsidR="00E05341" w:rsidRPr="00437131" w:rsidRDefault="00E05341" w:rsidP="00E05341">
            <w:pPr>
              <w:spacing w:after="0" w:line="240" w:lineRule="auto"/>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Uticaj reformske agende</w:t>
            </w:r>
          </w:p>
        </w:tc>
        <w:tc>
          <w:tcPr>
            <w:tcW w:w="1350" w:type="dxa"/>
            <w:tcBorders>
              <w:top w:val="nil"/>
              <w:left w:val="nil"/>
              <w:bottom w:val="single" w:sz="4" w:space="0" w:color="auto"/>
              <w:right w:val="single" w:sz="4" w:space="0" w:color="auto"/>
            </w:tcBorders>
            <w:shd w:val="clear" w:color="auto" w:fill="auto"/>
            <w:noWrap/>
            <w:vAlign w:val="bottom"/>
            <w:hideMark/>
          </w:tcPr>
          <w:p w14:paraId="1AA3EAB2" w14:textId="77777777" w:rsidR="00E05341" w:rsidRPr="00437131" w:rsidRDefault="00E05341" w:rsidP="00E05341">
            <w:pPr>
              <w:spacing w:after="0" w:line="240" w:lineRule="auto"/>
              <w:jc w:val="center"/>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3.00</w:t>
            </w:r>
          </w:p>
        </w:tc>
        <w:tc>
          <w:tcPr>
            <w:tcW w:w="1440" w:type="dxa"/>
            <w:tcBorders>
              <w:top w:val="nil"/>
              <w:left w:val="nil"/>
              <w:bottom w:val="single" w:sz="4" w:space="0" w:color="auto"/>
              <w:right w:val="single" w:sz="4" w:space="0" w:color="auto"/>
            </w:tcBorders>
            <w:shd w:val="clear" w:color="auto" w:fill="auto"/>
            <w:noWrap/>
            <w:vAlign w:val="bottom"/>
            <w:hideMark/>
          </w:tcPr>
          <w:p w14:paraId="1D6F797B" w14:textId="77777777" w:rsidR="00E05341" w:rsidRPr="00437131" w:rsidRDefault="00E05341" w:rsidP="00E05341">
            <w:pPr>
              <w:spacing w:after="0" w:line="240" w:lineRule="auto"/>
              <w:jc w:val="center"/>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5.00</w:t>
            </w:r>
          </w:p>
        </w:tc>
        <w:tc>
          <w:tcPr>
            <w:tcW w:w="1080" w:type="dxa"/>
            <w:tcBorders>
              <w:top w:val="nil"/>
              <w:left w:val="nil"/>
              <w:bottom w:val="single" w:sz="4" w:space="0" w:color="auto"/>
              <w:right w:val="single" w:sz="4" w:space="0" w:color="auto"/>
            </w:tcBorders>
            <w:shd w:val="clear" w:color="auto" w:fill="auto"/>
            <w:noWrap/>
            <w:vAlign w:val="bottom"/>
            <w:hideMark/>
          </w:tcPr>
          <w:p w14:paraId="58943877" w14:textId="77777777" w:rsidR="00E05341" w:rsidRPr="00437131" w:rsidRDefault="00E05341" w:rsidP="00E05341">
            <w:pPr>
              <w:spacing w:after="0" w:line="240" w:lineRule="auto"/>
              <w:jc w:val="center"/>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5.00</w:t>
            </w:r>
          </w:p>
        </w:tc>
      </w:tr>
      <w:tr w:rsidR="00E05341" w:rsidRPr="00437131" w14:paraId="123FAB98" w14:textId="77777777" w:rsidTr="00E05341">
        <w:trPr>
          <w:trHeight w:val="300"/>
        </w:trPr>
        <w:tc>
          <w:tcPr>
            <w:tcW w:w="5215" w:type="dxa"/>
            <w:tcBorders>
              <w:top w:val="nil"/>
              <w:left w:val="single" w:sz="4" w:space="0" w:color="auto"/>
              <w:bottom w:val="single" w:sz="4" w:space="0" w:color="auto"/>
              <w:right w:val="single" w:sz="4" w:space="0" w:color="auto"/>
            </w:tcBorders>
            <w:shd w:val="clear" w:color="auto" w:fill="auto"/>
            <w:noWrap/>
            <w:vAlign w:val="bottom"/>
            <w:hideMark/>
          </w:tcPr>
          <w:p w14:paraId="450DDD81" w14:textId="77777777" w:rsidR="00E05341" w:rsidRPr="00437131" w:rsidRDefault="00E05341" w:rsidP="00E05341">
            <w:pPr>
              <w:spacing w:after="0" w:line="240" w:lineRule="auto"/>
              <w:rPr>
                <w:rFonts w:ascii="Century Gothic" w:eastAsia="Times New Roman" w:hAnsi="Century Gothic" w:cs="Calibri"/>
                <w:sz w:val="18"/>
                <w:szCs w:val="18"/>
              </w:rPr>
            </w:pPr>
            <w:r w:rsidRPr="00437131">
              <w:rPr>
                <w:rFonts w:ascii="Century Gothic" w:eastAsia="Times New Roman" w:hAnsi="Century Gothic" w:cs="Calibri"/>
                <w:sz w:val="18"/>
                <w:szCs w:val="18"/>
              </w:rPr>
              <w:t>Porez na međunarodnu trgovinu i transakcije</w:t>
            </w:r>
          </w:p>
        </w:tc>
        <w:tc>
          <w:tcPr>
            <w:tcW w:w="1350" w:type="dxa"/>
            <w:tcBorders>
              <w:top w:val="nil"/>
              <w:left w:val="nil"/>
              <w:bottom w:val="single" w:sz="4" w:space="0" w:color="auto"/>
              <w:right w:val="single" w:sz="4" w:space="0" w:color="auto"/>
            </w:tcBorders>
            <w:shd w:val="clear" w:color="auto" w:fill="auto"/>
            <w:noWrap/>
            <w:vAlign w:val="bottom"/>
            <w:hideMark/>
          </w:tcPr>
          <w:p w14:paraId="3FF76977" w14:textId="77777777" w:rsidR="00E05341" w:rsidRPr="00437131" w:rsidRDefault="00E05341" w:rsidP="00E05341">
            <w:pPr>
              <w:spacing w:after="0" w:line="240" w:lineRule="auto"/>
              <w:jc w:val="center"/>
              <w:rPr>
                <w:rFonts w:ascii="Century Gothic" w:eastAsia="Times New Roman" w:hAnsi="Century Gothic" w:cs="Calibri"/>
                <w:sz w:val="18"/>
                <w:szCs w:val="18"/>
              </w:rPr>
            </w:pPr>
            <w:r w:rsidRPr="00437131">
              <w:rPr>
                <w:rFonts w:ascii="Century Gothic" w:eastAsia="Times New Roman" w:hAnsi="Century Gothic" w:cs="Calibri"/>
                <w:sz w:val="18"/>
                <w:szCs w:val="18"/>
              </w:rPr>
              <w:t>63.99</w:t>
            </w:r>
          </w:p>
        </w:tc>
        <w:tc>
          <w:tcPr>
            <w:tcW w:w="1440" w:type="dxa"/>
            <w:tcBorders>
              <w:top w:val="nil"/>
              <w:left w:val="nil"/>
              <w:bottom w:val="single" w:sz="4" w:space="0" w:color="auto"/>
              <w:right w:val="single" w:sz="4" w:space="0" w:color="auto"/>
            </w:tcBorders>
            <w:shd w:val="clear" w:color="auto" w:fill="auto"/>
            <w:noWrap/>
            <w:vAlign w:val="bottom"/>
            <w:hideMark/>
          </w:tcPr>
          <w:p w14:paraId="1195DEA3" w14:textId="77777777" w:rsidR="00E05341" w:rsidRPr="00437131" w:rsidRDefault="00E05341" w:rsidP="00E05341">
            <w:pPr>
              <w:spacing w:after="0" w:line="240" w:lineRule="auto"/>
              <w:jc w:val="center"/>
              <w:rPr>
                <w:rFonts w:ascii="Century Gothic" w:eastAsia="Times New Roman" w:hAnsi="Century Gothic" w:cs="Calibri"/>
                <w:sz w:val="18"/>
                <w:szCs w:val="18"/>
              </w:rPr>
            </w:pPr>
            <w:r w:rsidRPr="00437131">
              <w:rPr>
                <w:rFonts w:ascii="Century Gothic" w:eastAsia="Times New Roman" w:hAnsi="Century Gothic" w:cs="Calibri"/>
                <w:sz w:val="18"/>
                <w:szCs w:val="18"/>
              </w:rPr>
              <w:t>65.51</w:t>
            </w:r>
          </w:p>
        </w:tc>
        <w:tc>
          <w:tcPr>
            <w:tcW w:w="1080" w:type="dxa"/>
            <w:tcBorders>
              <w:top w:val="nil"/>
              <w:left w:val="nil"/>
              <w:bottom w:val="single" w:sz="4" w:space="0" w:color="auto"/>
              <w:right w:val="single" w:sz="4" w:space="0" w:color="auto"/>
            </w:tcBorders>
            <w:shd w:val="clear" w:color="auto" w:fill="auto"/>
            <w:noWrap/>
            <w:vAlign w:val="bottom"/>
            <w:hideMark/>
          </w:tcPr>
          <w:p w14:paraId="3D8AD5FA" w14:textId="77777777" w:rsidR="00E05341" w:rsidRPr="00437131" w:rsidRDefault="00E05341" w:rsidP="00E05341">
            <w:pPr>
              <w:spacing w:after="0" w:line="240" w:lineRule="auto"/>
              <w:jc w:val="center"/>
              <w:rPr>
                <w:rFonts w:ascii="Century Gothic" w:eastAsia="Times New Roman" w:hAnsi="Century Gothic" w:cs="Calibri"/>
                <w:sz w:val="18"/>
                <w:szCs w:val="18"/>
              </w:rPr>
            </w:pPr>
            <w:r w:rsidRPr="00437131">
              <w:rPr>
                <w:rFonts w:ascii="Century Gothic" w:eastAsia="Times New Roman" w:hAnsi="Century Gothic" w:cs="Calibri"/>
                <w:sz w:val="18"/>
                <w:szCs w:val="18"/>
              </w:rPr>
              <w:t>68.14</w:t>
            </w:r>
          </w:p>
        </w:tc>
      </w:tr>
      <w:tr w:rsidR="00E05341" w:rsidRPr="00437131" w14:paraId="4A4E5F0A" w14:textId="77777777" w:rsidTr="00E05341">
        <w:trPr>
          <w:trHeight w:val="300"/>
        </w:trPr>
        <w:tc>
          <w:tcPr>
            <w:tcW w:w="5215" w:type="dxa"/>
            <w:tcBorders>
              <w:top w:val="nil"/>
              <w:left w:val="single" w:sz="4" w:space="0" w:color="auto"/>
              <w:bottom w:val="single" w:sz="4" w:space="0" w:color="auto"/>
              <w:right w:val="single" w:sz="4" w:space="0" w:color="auto"/>
            </w:tcBorders>
            <w:shd w:val="clear" w:color="auto" w:fill="auto"/>
            <w:noWrap/>
            <w:vAlign w:val="bottom"/>
            <w:hideMark/>
          </w:tcPr>
          <w:p w14:paraId="2FA69C8B" w14:textId="77777777" w:rsidR="00E05341" w:rsidRPr="00437131" w:rsidRDefault="00E05341" w:rsidP="00E05341">
            <w:pPr>
              <w:spacing w:after="0" w:line="240" w:lineRule="auto"/>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Uticaj reformske agende</w:t>
            </w:r>
          </w:p>
        </w:tc>
        <w:tc>
          <w:tcPr>
            <w:tcW w:w="1350" w:type="dxa"/>
            <w:tcBorders>
              <w:top w:val="nil"/>
              <w:left w:val="nil"/>
              <w:bottom w:val="single" w:sz="4" w:space="0" w:color="auto"/>
              <w:right w:val="single" w:sz="4" w:space="0" w:color="auto"/>
            </w:tcBorders>
            <w:shd w:val="clear" w:color="auto" w:fill="auto"/>
            <w:noWrap/>
            <w:vAlign w:val="bottom"/>
            <w:hideMark/>
          </w:tcPr>
          <w:p w14:paraId="25D04E6C" w14:textId="77777777" w:rsidR="00E05341" w:rsidRPr="00437131" w:rsidRDefault="00E05341" w:rsidP="00E05341">
            <w:pPr>
              <w:spacing w:after="0" w:line="240" w:lineRule="auto"/>
              <w:jc w:val="center"/>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2.00</w:t>
            </w:r>
          </w:p>
        </w:tc>
        <w:tc>
          <w:tcPr>
            <w:tcW w:w="1440" w:type="dxa"/>
            <w:tcBorders>
              <w:top w:val="nil"/>
              <w:left w:val="nil"/>
              <w:bottom w:val="single" w:sz="4" w:space="0" w:color="auto"/>
              <w:right w:val="single" w:sz="4" w:space="0" w:color="auto"/>
            </w:tcBorders>
            <w:shd w:val="clear" w:color="auto" w:fill="auto"/>
            <w:noWrap/>
            <w:vAlign w:val="bottom"/>
            <w:hideMark/>
          </w:tcPr>
          <w:p w14:paraId="435D5B7A" w14:textId="77777777" w:rsidR="00E05341" w:rsidRPr="00437131" w:rsidRDefault="00E05341" w:rsidP="00E05341">
            <w:pPr>
              <w:spacing w:after="0" w:line="240" w:lineRule="auto"/>
              <w:jc w:val="center"/>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2.00</w:t>
            </w:r>
          </w:p>
        </w:tc>
        <w:tc>
          <w:tcPr>
            <w:tcW w:w="1080" w:type="dxa"/>
            <w:tcBorders>
              <w:top w:val="nil"/>
              <w:left w:val="nil"/>
              <w:bottom w:val="single" w:sz="4" w:space="0" w:color="auto"/>
              <w:right w:val="single" w:sz="4" w:space="0" w:color="auto"/>
            </w:tcBorders>
            <w:shd w:val="clear" w:color="auto" w:fill="auto"/>
            <w:noWrap/>
            <w:vAlign w:val="bottom"/>
            <w:hideMark/>
          </w:tcPr>
          <w:p w14:paraId="6F8B33C7" w14:textId="77777777" w:rsidR="00E05341" w:rsidRPr="00437131" w:rsidRDefault="00E05341" w:rsidP="00E05341">
            <w:pPr>
              <w:spacing w:after="0" w:line="240" w:lineRule="auto"/>
              <w:jc w:val="center"/>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2.00</w:t>
            </w:r>
          </w:p>
        </w:tc>
      </w:tr>
      <w:tr w:rsidR="00E05341" w:rsidRPr="00437131" w14:paraId="39204206" w14:textId="77777777" w:rsidTr="00E05341">
        <w:trPr>
          <w:trHeight w:val="300"/>
        </w:trPr>
        <w:tc>
          <w:tcPr>
            <w:tcW w:w="5215" w:type="dxa"/>
            <w:tcBorders>
              <w:top w:val="nil"/>
              <w:left w:val="single" w:sz="4" w:space="0" w:color="auto"/>
              <w:bottom w:val="single" w:sz="4" w:space="0" w:color="auto"/>
              <w:right w:val="single" w:sz="4" w:space="0" w:color="auto"/>
            </w:tcBorders>
            <w:shd w:val="clear" w:color="auto" w:fill="auto"/>
            <w:noWrap/>
            <w:vAlign w:val="bottom"/>
            <w:hideMark/>
          </w:tcPr>
          <w:p w14:paraId="3BA0E550" w14:textId="77777777" w:rsidR="00E05341" w:rsidRPr="00437131" w:rsidRDefault="00E05341" w:rsidP="00E05341">
            <w:pPr>
              <w:spacing w:after="0" w:line="240" w:lineRule="auto"/>
              <w:rPr>
                <w:rFonts w:ascii="Century Gothic" w:eastAsia="Times New Roman" w:hAnsi="Century Gothic" w:cs="Calibri"/>
                <w:sz w:val="18"/>
                <w:szCs w:val="18"/>
              </w:rPr>
            </w:pPr>
            <w:r w:rsidRPr="00437131">
              <w:rPr>
                <w:rFonts w:ascii="Century Gothic" w:eastAsia="Times New Roman" w:hAnsi="Century Gothic" w:cs="Calibri"/>
                <w:sz w:val="18"/>
                <w:szCs w:val="18"/>
              </w:rPr>
              <w:t>Porez na dodatu vrijednost</w:t>
            </w:r>
          </w:p>
        </w:tc>
        <w:tc>
          <w:tcPr>
            <w:tcW w:w="1350" w:type="dxa"/>
            <w:tcBorders>
              <w:top w:val="nil"/>
              <w:left w:val="nil"/>
              <w:bottom w:val="single" w:sz="4" w:space="0" w:color="auto"/>
              <w:right w:val="single" w:sz="4" w:space="0" w:color="auto"/>
            </w:tcBorders>
            <w:shd w:val="clear" w:color="auto" w:fill="auto"/>
            <w:noWrap/>
            <w:vAlign w:val="bottom"/>
            <w:hideMark/>
          </w:tcPr>
          <w:p w14:paraId="268A105F" w14:textId="77777777" w:rsidR="00E05341" w:rsidRPr="00437131" w:rsidRDefault="00E05341" w:rsidP="00E05341">
            <w:pPr>
              <w:spacing w:after="0" w:line="240" w:lineRule="auto"/>
              <w:jc w:val="center"/>
              <w:rPr>
                <w:rFonts w:ascii="Century Gothic" w:eastAsia="Times New Roman" w:hAnsi="Century Gothic" w:cs="Calibri"/>
                <w:sz w:val="18"/>
                <w:szCs w:val="18"/>
              </w:rPr>
            </w:pPr>
            <w:r w:rsidRPr="00437131">
              <w:rPr>
                <w:rFonts w:ascii="Century Gothic" w:eastAsia="Times New Roman" w:hAnsi="Century Gothic" w:cs="Calibri"/>
                <w:sz w:val="18"/>
                <w:szCs w:val="18"/>
              </w:rPr>
              <w:t>1372.59</w:t>
            </w:r>
          </w:p>
        </w:tc>
        <w:tc>
          <w:tcPr>
            <w:tcW w:w="1440" w:type="dxa"/>
            <w:tcBorders>
              <w:top w:val="nil"/>
              <w:left w:val="nil"/>
              <w:bottom w:val="single" w:sz="4" w:space="0" w:color="auto"/>
              <w:right w:val="single" w:sz="4" w:space="0" w:color="auto"/>
            </w:tcBorders>
            <w:shd w:val="clear" w:color="auto" w:fill="auto"/>
            <w:noWrap/>
            <w:vAlign w:val="bottom"/>
            <w:hideMark/>
          </w:tcPr>
          <w:p w14:paraId="19A2CBFB" w14:textId="77777777" w:rsidR="00E05341" w:rsidRPr="00437131" w:rsidRDefault="00E05341" w:rsidP="00E05341">
            <w:pPr>
              <w:spacing w:after="0" w:line="240" w:lineRule="auto"/>
              <w:jc w:val="center"/>
              <w:rPr>
                <w:rFonts w:ascii="Century Gothic" w:eastAsia="Times New Roman" w:hAnsi="Century Gothic" w:cs="Calibri"/>
                <w:sz w:val="18"/>
                <w:szCs w:val="18"/>
              </w:rPr>
            </w:pPr>
            <w:r w:rsidRPr="00437131">
              <w:rPr>
                <w:rFonts w:ascii="Century Gothic" w:eastAsia="Times New Roman" w:hAnsi="Century Gothic" w:cs="Calibri"/>
                <w:sz w:val="18"/>
                <w:szCs w:val="18"/>
              </w:rPr>
              <w:t>1421.82</w:t>
            </w:r>
          </w:p>
        </w:tc>
        <w:tc>
          <w:tcPr>
            <w:tcW w:w="1080" w:type="dxa"/>
            <w:tcBorders>
              <w:top w:val="nil"/>
              <w:left w:val="nil"/>
              <w:bottom w:val="single" w:sz="4" w:space="0" w:color="auto"/>
              <w:right w:val="single" w:sz="4" w:space="0" w:color="auto"/>
            </w:tcBorders>
            <w:shd w:val="clear" w:color="auto" w:fill="auto"/>
            <w:noWrap/>
            <w:vAlign w:val="bottom"/>
            <w:hideMark/>
          </w:tcPr>
          <w:p w14:paraId="157809E5" w14:textId="77777777" w:rsidR="00E05341" w:rsidRPr="00437131" w:rsidRDefault="00E05341" w:rsidP="00E05341">
            <w:pPr>
              <w:spacing w:after="0" w:line="240" w:lineRule="auto"/>
              <w:jc w:val="center"/>
              <w:rPr>
                <w:rFonts w:ascii="Century Gothic" w:eastAsia="Times New Roman" w:hAnsi="Century Gothic" w:cs="Calibri"/>
                <w:sz w:val="18"/>
                <w:szCs w:val="18"/>
              </w:rPr>
            </w:pPr>
            <w:r w:rsidRPr="00437131">
              <w:rPr>
                <w:rFonts w:ascii="Century Gothic" w:eastAsia="Times New Roman" w:hAnsi="Century Gothic" w:cs="Calibri"/>
                <w:sz w:val="18"/>
                <w:szCs w:val="18"/>
              </w:rPr>
              <w:t>1464.48</w:t>
            </w:r>
          </w:p>
        </w:tc>
      </w:tr>
      <w:tr w:rsidR="00E05341" w:rsidRPr="00437131" w14:paraId="1AD513DC" w14:textId="77777777" w:rsidTr="00E05341">
        <w:trPr>
          <w:trHeight w:val="300"/>
        </w:trPr>
        <w:tc>
          <w:tcPr>
            <w:tcW w:w="5215" w:type="dxa"/>
            <w:tcBorders>
              <w:top w:val="nil"/>
              <w:left w:val="single" w:sz="4" w:space="0" w:color="auto"/>
              <w:bottom w:val="single" w:sz="4" w:space="0" w:color="auto"/>
              <w:right w:val="single" w:sz="4" w:space="0" w:color="auto"/>
            </w:tcBorders>
            <w:shd w:val="clear" w:color="auto" w:fill="auto"/>
            <w:noWrap/>
            <w:vAlign w:val="bottom"/>
            <w:hideMark/>
          </w:tcPr>
          <w:p w14:paraId="2591C3FC" w14:textId="77777777" w:rsidR="00E05341" w:rsidRPr="00437131" w:rsidRDefault="00E05341" w:rsidP="00E05341">
            <w:pPr>
              <w:spacing w:after="0" w:line="240" w:lineRule="auto"/>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Uticaj reformske agende</w:t>
            </w:r>
          </w:p>
        </w:tc>
        <w:tc>
          <w:tcPr>
            <w:tcW w:w="1350" w:type="dxa"/>
            <w:tcBorders>
              <w:top w:val="nil"/>
              <w:left w:val="nil"/>
              <w:bottom w:val="single" w:sz="4" w:space="0" w:color="auto"/>
              <w:right w:val="single" w:sz="4" w:space="0" w:color="auto"/>
            </w:tcBorders>
            <w:shd w:val="clear" w:color="auto" w:fill="auto"/>
            <w:noWrap/>
            <w:vAlign w:val="bottom"/>
            <w:hideMark/>
          </w:tcPr>
          <w:p w14:paraId="64187249" w14:textId="77777777" w:rsidR="00E05341" w:rsidRPr="00437131" w:rsidRDefault="00E05341" w:rsidP="00E05341">
            <w:pPr>
              <w:spacing w:after="0" w:line="240" w:lineRule="auto"/>
              <w:jc w:val="center"/>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5.00</w:t>
            </w:r>
          </w:p>
        </w:tc>
        <w:tc>
          <w:tcPr>
            <w:tcW w:w="1440" w:type="dxa"/>
            <w:tcBorders>
              <w:top w:val="nil"/>
              <w:left w:val="nil"/>
              <w:bottom w:val="single" w:sz="4" w:space="0" w:color="auto"/>
              <w:right w:val="single" w:sz="4" w:space="0" w:color="auto"/>
            </w:tcBorders>
            <w:shd w:val="clear" w:color="auto" w:fill="auto"/>
            <w:noWrap/>
            <w:vAlign w:val="bottom"/>
            <w:hideMark/>
          </w:tcPr>
          <w:p w14:paraId="18E54F43" w14:textId="77777777" w:rsidR="00E05341" w:rsidRPr="00437131" w:rsidRDefault="00E05341" w:rsidP="00E05341">
            <w:pPr>
              <w:spacing w:after="0" w:line="240" w:lineRule="auto"/>
              <w:jc w:val="center"/>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16.00</w:t>
            </w:r>
          </w:p>
        </w:tc>
        <w:tc>
          <w:tcPr>
            <w:tcW w:w="1080" w:type="dxa"/>
            <w:tcBorders>
              <w:top w:val="nil"/>
              <w:left w:val="nil"/>
              <w:bottom w:val="single" w:sz="4" w:space="0" w:color="auto"/>
              <w:right w:val="single" w:sz="4" w:space="0" w:color="auto"/>
            </w:tcBorders>
            <w:shd w:val="clear" w:color="auto" w:fill="auto"/>
            <w:noWrap/>
            <w:vAlign w:val="bottom"/>
            <w:hideMark/>
          </w:tcPr>
          <w:p w14:paraId="301E70AB" w14:textId="77777777" w:rsidR="00E05341" w:rsidRPr="00437131" w:rsidRDefault="00E05341" w:rsidP="00E05341">
            <w:pPr>
              <w:spacing w:after="0" w:line="240" w:lineRule="auto"/>
              <w:jc w:val="center"/>
              <w:rPr>
                <w:rFonts w:ascii="Century Gothic" w:eastAsia="Times New Roman" w:hAnsi="Century Gothic" w:cs="Calibri"/>
                <w:b/>
                <w:bCs/>
                <w:sz w:val="18"/>
                <w:szCs w:val="18"/>
              </w:rPr>
            </w:pPr>
            <w:r w:rsidRPr="00437131">
              <w:rPr>
                <w:rFonts w:ascii="Century Gothic" w:eastAsia="Times New Roman" w:hAnsi="Century Gothic" w:cs="Calibri"/>
                <w:b/>
                <w:bCs/>
                <w:sz w:val="18"/>
                <w:szCs w:val="18"/>
              </w:rPr>
              <w:t>16.00</w:t>
            </w:r>
          </w:p>
        </w:tc>
      </w:tr>
    </w:tbl>
    <w:p w14:paraId="7B679A30" w14:textId="77777777" w:rsidR="00E05341" w:rsidRPr="00437131" w:rsidRDefault="00E05341" w:rsidP="00E05341">
      <w:pPr>
        <w:jc w:val="both"/>
        <w:rPr>
          <w:rFonts w:cstheme="minorHAnsi"/>
          <w:i/>
          <w:sz w:val="18"/>
          <w:szCs w:val="18"/>
        </w:rPr>
      </w:pPr>
      <w:r w:rsidRPr="00437131">
        <w:rPr>
          <w:rFonts w:cstheme="minorHAnsi"/>
          <w:i/>
          <w:sz w:val="18"/>
          <w:szCs w:val="18"/>
        </w:rPr>
        <w:t>Izvor: Procjene Ministarstva finansija</w:t>
      </w:r>
    </w:p>
    <w:p w14:paraId="50931747" w14:textId="77777777" w:rsidR="00E05341" w:rsidRPr="00437131" w:rsidRDefault="00E05341" w:rsidP="00E05341">
      <w:pPr>
        <w:jc w:val="both"/>
        <w:rPr>
          <w:rFonts w:cstheme="minorHAnsi"/>
          <w:sz w:val="24"/>
          <w:szCs w:val="24"/>
        </w:rPr>
      </w:pPr>
      <w:r w:rsidRPr="00437131">
        <w:rPr>
          <w:rFonts w:cstheme="minorHAnsi"/>
          <w:sz w:val="24"/>
          <w:szCs w:val="24"/>
        </w:rPr>
        <w:t>Imajući u vidu karakter reformi, kao i značajan broj planiranih infrastrukturnih projekata, u obzir su uzete kategorije prihoda budžeta koje će ostvariti rast shodno rastu zaposlenosti i zarada, započinjanju novog investicionog ciklusa i shodno tome, očekivanom značajnom privrednom rastu. U skladu sa navedenim i uslijed očekivanog rasta uvoza zbog realizacije infrastrukturnih projekata, očekuje se rast PDV-a pri uvozu i poreza na međunarodnu trgovinu i transakcije. Sveukupno, očekivani fiskalni efekat Plana rasta na prihode budžeta je na nivou od oko 80 miliona eura u trogodišnjem periodu ili oko 0,9% prihoda, pri čemu su efekti najveći u godinama kada se, shodno makroekonomskom scenariju, očekuje intenziviranje infrastrukturnih projekata i povlačenje sredstava po ovom osnovu. Ovaj uticaj uključuje i očekivana kretanja zarada, zaposlenosti i rasta privredne aktivnosti, shodno osnovnom makroekonomskom okviru.</w:t>
      </w:r>
    </w:p>
    <w:p w14:paraId="35F0D1BD" w14:textId="77777777" w:rsidR="00E05341" w:rsidRPr="00437131" w:rsidRDefault="00E05341" w:rsidP="00E05341">
      <w:pPr>
        <w:jc w:val="both"/>
        <w:rPr>
          <w:rFonts w:cstheme="minorHAnsi"/>
          <w:sz w:val="24"/>
          <w:szCs w:val="24"/>
        </w:rPr>
      </w:pPr>
    </w:p>
    <w:p w14:paraId="72AB1C6B" w14:textId="77777777" w:rsidR="00E05341" w:rsidRPr="00437131" w:rsidRDefault="00E05341" w:rsidP="00E05341">
      <w:pPr>
        <w:spacing w:line="276" w:lineRule="auto"/>
        <w:jc w:val="both"/>
        <w:rPr>
          <w:rFonts w:cstheme="minorHAnsi"/>
          <w:sz w:val="24"/>
          <w:szCs w:val="24"/>
          <w:lang w:val="sr-Latn-ME"/>
        </w:rPr>
      </w:pPr>
    </w:p>
    <w:p w14:paraId="296E3021" w14:textId="77777777" w:rsidR="00E05341" w:rsidRPr="00437131" w:rsidRDefault="00E05341" w:rsidP="00E05341">
      <w:pPr>
        <w:spacing w:line="276" w:lineRule="auto"/>
        <w:jc w:val="both"/>
        <w:rPr>
          <w:rFonts w:cstheme="minorHAnsi"/>
          <w:sz w:val="24"/>
          <w:szCs w:val="24"/>
          <w:lang w:val="sr-Latn-ME"/>
        </w:rPr>
      </w:pPr>
    </w:p>
    <w:p w14:paraId="03393430" w14:textId="77777777" w:rsidR="00E05341" w:rsidRPr="00437131" w:rsidRDefault="00E05341" w:rsidP="00E05341">
      <w:pPr>
        <w:rPr>
          <w:sz w:val="24"/>
          <w:szCs w:val="24"/>
        </w:rPr>
      </w:pPr>
    </w:p>
    <w:bookmarkEnd w:id="39"/>
    <w:bookmarkEnd w:id="40"/>
    <w:bookmarkEnd w:id="41"/>
    <w:bookmarkEnd w:id="42"/>
    <w:p w14:paraId="6F04ABF5" w14:textId="77777777" w:rsidR="00E05341" w:rsidRPr="00437131" w:rsidRDefault="00E05341" w:rsidP="00E05341">
      <w:pPr>
        <w:rPr>
          <w:sz w:val="24"/>
          <w:szCs w:val="24"/>
          <w:lang w:val="sr-Latn-ME"/>
        </w:rPr>
      </w:pPr>
    </w:p>
    <w:sectPr w:rsidR="00E05341" w:rsidRPr="00437131" w:rsidSect="007338DF">
      <w:footerReference w:type="default" r:id="rId29"/>
      <w:pgSz w:w="12240" w:h="15840"/>
      <w:pgMar w:top="153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363494" w16cex:dateUtc="2024-12-05T01:09:00Z"/>
  <w16cex:commentExtensible w16cex:durableId="78334C6F" w16cex:dateUtc="2024-12-05T01:09:00Z"/>
  <w16cex:commentExtensible w16cex:durableId="6290E125" w16cex:dateUtc="2024-12-05T01:14:00Z"/>
  <w16cex:commentExtensible w16cex:durableId="63B16435" w16cex:dateUtc="2024-12-05T01:25:00Z"/>
  <w16cex:commentExtensible w16cex:durableId="177F91E7" w16cex:dateUtc="2024-12-05T10:02:00Z"/>
  <w16cex:commentExtensible w16cex:durableId="500EC6A7" w16cex:dateUtc="2024-12-05T01:42:00Z"/>
  <w16cex:commentExtensible w16cex:durableId="183554B5" w16cex:dateUtc="2024-12-05T10:08:00Z"/>
  <w16cex:commentExtensible w16cex:durableId="50266F26" w16cex:dateUtc="2024-12-05T10:12:00Z"/>
  <w16cex:commentExtensible w16cex:durableId="39F3CA12" w16cex:dateUtc="2024-12-08T17:47:00Z"/>
  <w16cex:commentExtensible w16cex:durableId="0ADA7310" w16cex:dateUtc="2024-12-05T10:17:00Z"/>
  <w16cex:commentExtensible w16cex:durableId="4FB340B6" w16cex:dateUtc="2024-12-05T10:51:00Z"/>
  <w16cex:commentExtensible w16cex:durableId="3CC9769D" w16cex:dateUtc="2024-12-05T10:54:00Z"/>
  <w16cex:commentExtensible w16cex:durableId="0674A6DC" w16cex:dateUtc="2024-12-05T10:57:00Z"/>
  <w16cex:commentExtensible w16cex:durableId="2564B810" w16cex:dateUtc="2024-12-05T10:29:00Z"/>
  <w16cex:commentExtensible w16cex:durableId="30FFCF6E" w16cex:dateUtc="2024-12-05T10:32:00Z"/>
  <w16cex:commentExtensible w16cex:durableId="74C50597" w16cex:dateUtc="2024-12-05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B420CCD" w16cid:durableId="14363494"/>
  <w16cid:commentId w16cid:paraId="49BC46FB" w16cid:durableId="78334C6F"/>
  <w16cid:commentId w16cid:paraId="6E0F5042" w16cid:durableId="6290E125"/>
  <w16cid:commentId w16cid:paraId="21E29798" w16cid:durableId="63B16435"/>
  <w16cid:commentId w16cid:paraId="123992A8" w16cid:durableId="177F91E7"/>
  <w16cid:commentId w16cid:paraId="15D63A5C" w16cid:durableId="500EC6A7"/>
  <w16cid:commentId w16cid:paraId="04D23BD5" w16cid:durableId="183554B5"/>
  <w16cid:commentId w16cid:paraId="69962C20" w16cid:durableId="50266F26"/>
  <w16cid:commentId w16cid:paraId="06FFBD14" w16cid:durableId="39F3CA12"/>
  <w16cid:commentId w16cid:paraId="1FB4F89B" w16cid:durableId="0ADA7310"/>
  <w16cid:commentId w16cid:paraId="5488C249" w16cid:durableId="4FB340B6"/>
  <w16cid:commentId w16cid:paraId="28F7B699" w16cid:durableId="3CC9769D"/>
  <w16cid:commentId w16cid:paraId="0906022A" w16cid:durableId="0674A6DC"/>
  <w16cid:commentId w16cid:paraId="371AE662" w16cid:durableId="2564B810"/>
  <w16cid:commentId w16cid:paraId="79FB4B35" w16cid:durableId="30FFCF6E"/>
  <w16cid:commentId w16cid:paraId="3E40C363" w16cid:durableId="74C5059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D2C5E" w14:textId="77777777" w:rsidR="002716D9" w:rsidRDefault="002716D9" w:rsidP="004E2900">
      <w:pPr>
        <w:spacing w:after="0" w:line="240" w:lineRule="auto"/>
      </w:pPr>
      <w:r>
        <w:separator/>
      </w:r>
    </w:p>
  </w:endnote>
  <w:endnote w:type="continuationSeparator" w:id="0">
    <w:p w14:paraId="4653C6AA" w14:textId="77777777" w:rsidR="002716D9" w:rsidRDefault="002716D9" w:rsidP="004E2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470244"/>
      <w:docPartObj>
        <w:docPartGallery w:val="Page Numbers (Bottom of Page)"/>
        <w:docPartUnique/>
      </w:docPartObj>
    </w:sdtPr>
    <w:sdtEndPr>
      <w:rPr>
        <w:noProof/>
      </w:rPr>
    </w:sdtEndPr>
    <w:sdtContent>
      <w:p w14:paraId="1ECD7211" w14:textId="20F74531" w:rsidR="003D273E" w:rsidRDefault="003D273E">
        <w:pPr>
          <w:pStyle w:val="Footer"/>
          <w:jc w:val="right"/>
        </w:pPr>
        <w:r>
          <w:fldChar w:fldCharType="begin"/>
        </w:r>
        <w:r>
          <w:instrText xml:space="preserve"> PAGE   \* MERGEFORMAT </w:instrText>
        </w:r>
        <w:r>
          <w:fldChar w:fldCharType="separate"/>
        </w:r>
        <w:r w:rsidR="00226383">
          <w:rPr>
            <w:noProof/>
          </w:rPr>
          <w:t>40</w:t>
        </w:r>
        <w:r>
          <w:rPr>
            <w:noProof/>
          </w:rPr>
          <w:fldChar w:fldCharType="end"/>
        </w:r>
      </w:p>
    </w:sdtContent>
  </w:sdt>
  <w:p w14:paraId="4A9DAC33" w14:textId="77777777" w:rsidR="003D273E" w:rsidRPr="00110B0F" w:rsidRDefault="003D273E" w:rsidP="00E05341"/>
  <w:p w14:paraId="1DE3F8F2" w14:textId="77777777" w:rsidR="003D273E" w:rsidRDefault="003D273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792954"/>
      <w:docPartObj>
        <w:docPartGallery w:val="Page Numbers (Bottom of Page)"/>
        <w:docPartUnique/>
      </w:docPartObj>
    </w:sdtPr>
    <w:sdtEndPr>
      <w:rPr>
        <w:noProof/>
      </w:rPr>
    </w:sdtEndPr>
    <w:sdtContent>
      <w:p w14:paraId="39890E7A" w14:textId="496A9BCD" w:rsidR="003D273E" w:rsidRDefault="003D273E">
        <w:pPr>
          <w:pStyle w:val="Footer"/>
          <w:jc w:val="right"/>
        </w:pPr>
        <w:r>
          <w:fldChar w:fldCharType="begin"/>
        </w:r>
        <w:r>
          <w:instrText xml:space="preserve"> PAGE   \* MERGEFORMAT </w:instrText>
        </w:r>
        <w:r>
          <w:fldChar w:fldCharType="separate"/>
        </w:r>
        <w:r w:rsidR="00226383">
          <w:rPr>
            <w:noProof/>
          </w:rPr>
          <w:t>66</w:t>
        </w:r>
        <w:r>
          <w:rPr>
            <w:noProof/>
          </w:rPr>
          <w:fldChar w:fldCharType="end"/>
        </w:r>
      </w:p>
    </w:sdtContent>
  </w:sdt>
  <w:p w14:paraId="6E926EC8" w14:textId="77777777" w:rsidR="003D273E" w:rsidRDefault="003D27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23AFD" w14:textId="77777777" w:rsidR="002716D9" w:rsidRDefault="002716D9" w:rsidP="004E2900">
      <w:pPr>
        <w:spacing w:after="0" w:line="240" w:lineRule="auto"/>
      </w:pPr>
      <w:r>
        <w:separator/>
      </w:r>
    </w:p>
  </w:footnote>
  <w:footnote w:type="continuationSeparator" w:id="0">
    <w:p w14:paraId="05114A46" w14:textId="77777777" w:rsidR="002716D9" w:rsidRDefault="002716D9" w:rsidP="004E2900">
      <w:pPr>
        <w:spacing w:after="0" w:line="240" w:lineRule="auto"/>
      </w:pPr>
      <w:r>
        <w:continuationSeparator/>
      </w:r>
    </w:p>
  </w:footnote>
  <w:footnote w:id="1">
    <w:p w14:paraId="4BE2AE8B" w14:textId="77777777" w:rsidR="003D273E" w:rsidRPr="008A5A25" w:rsidRDefault="003D273E" w:rsidP="00A24AC4">
      <w:pPr>
        <w:pStyle w:val="FootnoteText"/>
        <w:rPr>
          <w:sz w:val="18"/>
          <w:lang w:val="sr-Latn-ME"/>
        </w:rPr>
      </w:pPr>
      <w:r w:rsidRPr="008A5A25">
        <w:rPr>
          <w:rStyle w:val="FootnoteReference"/>
          <w:sz w:val="18"/>
        </w:rPr>
        <w:footnoteRef/>
      </w:r>
      <w:r w:rsidRPr="008A5A25">
        <w:rPr>
          <w:sz w:val="18"/>
        </w:rPr>
        <w:t xml:space="preserve"> NSFR – engl.  Net Stable Funding Ratio (racio neto stabilnog finansiranja)</w:t>
      </w:r>
    </w:p>
  </w:footnote>
  <w:footnote w:id="2">
    <w:p w14:paraId="524EE17D" w14:textId="77777777" w:rsidR="003D273E" w:rsidRPr="00A7139F" w:rsidRDefault="003D273E" w:rsidP="00A24AC4">
      <w:pPr>
        <w:pStyle w:val="FootnoteText"/>
        <w:rPr>
          <w:lang w:val="sr-Latn-ME"/>
        </w:rPr>
      </w:pPr>
      <w:r w:rsidRPr="008A5A25">
        <w:rPr>
          <w:rStyle w:val="FootnoteReference"/>
          <w:sz w:val="18"/>
        </w:rPr>
        <w:footnoteRef/>
      </w:r>
      <w:r w:rsidRPr="008A5A25">
        <w:rPr>
          <w:sz w:val="18"/>
        </w:rPr>
        <w:t xml:space="preserve"> QIS – engl. Quantitative Impact Study (analiza kvantitativnog uticaja)</w:t>
      </w:r>
    </w:p>
  </w:footnote>
  <w:footnote w:id="3">
    <w:p w14:paraId="57873DC4" w14:textId="77777777" w:rsidR="003D273E" w:rsidRPr="00813482" w:rsidRDefault="003D273E" w:rsidP="00E05341">
      <w:pPr>
        <w:pStyle w:val="FootnoteText"/>
        <w:jc w:val="both"/>
        <w:rPr>
          <w:sz w:val="16"/>
          <w:lang w:val="sr-Latn-ME"/>
        </w:rPr>
      </w:pPr>
      <w:r w:rsidRPr="00813482">
        <w:rPr>
          <w:rStyle w:val="FootnoteReference"/>
          <w:sz w:val="16"/>
        </w:rPr>
        <w:footnoteRef/>
      </w:r>
      <w:r w:rsidRPr="00813482">
        <w:rPr>
          <w:sz w:val="16"/>
        </w:rPr>
        <w:t xml:space="preserve"> </w:t>
      </w:r>
      <w:hyperlink r:id="rId1" w:history="1">
        <w:r w:rsidRPr="00813482">
          <w:rPr>
            <w:rStyle w:val="Hyperlink"/>
            <w:sz w:val="16"/>
          </w:rPr>
          <w:t>World Economic Outlook, October 2024: Policy Pivot, Rising Threats (imf.org)</w:t>
        </w:r>
      </w:hyperlink>
    </w:p>
  </w:footnote>
  <w:footnote w:id="4">
    <w:p w14:paraId="7A596FC0" w14:textId="77777777" w:rsidR="003D273E" w:rsidRPr="00813482" w:rsidRDefault="003D273E" w:rsidP="00E05341">
      <w:pPr>
        <w:pStyle w:val="FootnoteText"/>
        <w:jc w:val="both"/>
        <w:rPr>
          <w:sz w:val="16"/>
          <w:lang w:val="sr-Latn-ME"/>
        </w:rPr>
      </w:pPr>
      <w:r w:rsidRPr="00813482">
        <w:rPr>
          <w:rStyle w:val="FootnoteReference"/>
          <w:sz w:val="16"/>
        </w:rPr>
        <w:footnoteRef/>
      </w:r>
      <w:r w:rsidRPr="00813482">
        <w:rPr>
          <w:sz w:val="16"/>
        </w:rPr>
        <w:t xml:space="preserve"> </w:t>
      </w:r>
      <w:hyperlink r:id="rId2" w:history="1">
        <w:r w:rsidRPr="00813482">
          <w:rPr>
            <w:rStyle w:val="Hyperlink"/>
            <w:sz w:val="16"/>
          </w:rPr>
          <w:t>Autumn 2024 Economic Forecast: A gradual rebound in an adverse environment - European Commission (europa.eu)</w:t>
        </w:r>
      </w:hyperlink>
    </w:p>
  </w:footnote>
  <w:footnote w:id="5">
    <w:p w14:paraId="54211A00" w14:textId="77777777" w:rsidR="003D273E" w:rsidRPr="009B2590" w:rsidRDefault="003D273E" w:rsidP="00E05341">
      <w:pPr>
        <w:pStyle w:val="FootnoteText"/>
        <w:jc w:val="both"/>
        <w:rPr>
          <w:lang w:val="sr-Latn-ME"/>
        </w:rPr>
      </w:pPr>
      <w:r w:rsidRPr="00813482">
        <w:rPr>
          <w:rStyle w:val="FootnoteReference"/>
          <w:sz w:val="16"/>
        </w:rPr>
        <w:footnoteRef/>
      </w:r>
      <w:r w:rsidRPr="00813482">
        <w:rPr>
          <w:sz w:val="16"/>
        </w:rPr>
        <w:t xml:space="preserve"> </w:t>
      </w:r>
      <w:hyperlink r:id="rId3" w:history="1">
        <w:r w:rsidRPr="00813482">
          <w:rPr>
            <w:rStyle w:val="Hyperlink"/>
            <w:sz w:val="16"/>
          </w:rPr>
          <w:t>Western Balkans Regular Economic Report, Fall 2024 (worldbank.org)</w:t>
        </w:r>
      </w:hyperlink>
    </w:p>
  </w:footnote>
  <w:footnote w:id="6">
    <w:p w14:paraId="14EF5894" w14:textId="77777777" w:rsidR="003D273E" w:rsidRPr="0095305E" w:rsidRDefault="003D273E" w:rsidP="00E05341">
      <w:pPr>
        <w:pStyle w:val="FootnoteText"/>
        <w:rPr>
          <w:lang w:val="sr-Latn-ME"/>
        </w:rPr>
      </w:pPr>
      <w:r>
        <w:rPr>
          <w:rStyle w:val="FootnoteReference"/>
        </w:rPr>
        <w:footnoteRef/>
      </w:r>
      <w:r>
        <w:t xml:space="preserve"> </w:t>
      </w:r>
      <w:r>
        <w:rPr>
          <w:lang w:val="sr-Latn-ME"/>
        </w:rPr>
        <w:t xml:space="preserve">NPL – </w:t>
      </w:r>
      <w:r w:rsidRPr="0095305E">
        <w:rPr>
          <w:i/>
          <w:lang w:val="sr-Latn-ME"/>
        </w:rPr>
        <w:t xml:space="preserve">engl. </w:t>
      </w:r>
      <w:bookmarkStart w:id="12" w:name="OLE_LINK10"/>
      <w:r w:rsidRPr="0095305E">
        <w:rPr>
          <w:i/>
          <w:lang w:val="sr-Latn-ME"/>
        </w:rPr>
        <w:t>Non</w:t>
      </w:r>
      <w:r>
        <w:rPr>
          <w:i/>
          <w:lang w:val="sr-Latn-ME"/>
        </w:rPr>
        <w:t>-</w:t>
      </w:r>
      <w:r w:rsidRPr="0095305E">
        <w:rPr>
          <w:i/>
          <w:lang w:val="sr-Latn-ME"/>
        </w:rPr>
        <w:t xml:space="preserve"> performing loans</w:t>
      </w:r>
      <w:r>
        <w:rPr>
          <w:lang w:val="sr-Latn-ME"/>
        </w:rPr>
        <w:t xml:space="preserve"> </w:t>
      </w:r>
      <w:bookmarkEnd w:id="12"/>
      <w:r>
        <w:rPr>
          <w:lang w:val="sr-Latn-ME"/>
        </w:rPr>
        <w:t>– nekvalitetni krediti</w:t>
      </w:r>
    </w:p>
  </w:footnote>
  <w:footnote w:id="7">
    <w:p w14:paraId="07523C50" w14:textId="65CF1EB2" w:rsidR="003D273E" w:rsidRPr="00144B14" w:rsidRDefault="003D273E" w:rsidP="00CF227C">
      <w:pPr>
        <w:pStyle w:val="FootnoteText"/>
        <w:rPr>
          <w:sz w:val="18"/>
          <w:szCs w:val="18"/>
          <w:lang w:val="sr-Latn-ME"/>
        </w:rPr>
      </w:pPr>
      <w:r w:rsidRPr="00144B14">
        <w:rPr>
          <w:rStyle w:val="FootnoteReference"/>
          <w:sz w:val="18"/>
          <w:szCs w:val="18"/>
        </w:rPr>
        <w:footnoteRef/>
      </w:r>
      <w:r w:rsidRPr="00144B14">
        <w:rPr>
          <w:sz w:val="18"/>
          <w:szCs w:val="18"/>
        </w:rPr>
        <w:t xml:space="preserve"> </w:t>
      </w:r>
      <w:r w:rsidRPr="00144B14">
        <w:rPr>
          <w:sz w:val="18"/>
          <w:szCs w:val="18"/>
          <w:lang w:val="sr-Latn-ME"/>
        </w:rPr>
        <w:t>Procijenjeni podaci o izvršenju opšteg nivoa države za 2025. godinu</w:t>
      </w:r>
      <w:r w:rsidR="00226383">
        <w:rPr>
          <w:sz w:val="18"/>
          <w:szCs w:val="18"/>
          <w:lang w:val="sr-Latn-ME"/>
        </w:rPr>
        <w:t>.</w:t>
      </w:r>
    </w:p>
  </w:footnote>
  <w:footnote w:id="8">
    <w:p w14:paraId="4BCA0C01" w14:textId="77777777" w:rsidR="003D273E" w:rsidRPr="00C25B1B" w:rsidRDefault="003D273E" w:rsidP="00346BE3">
      <w:pPr>
        <w:pStyle w:val="FootnoteText"/>
        <w:rPr>
          <w:sz w:val="18"/>
          <w:szCs w:val="18"/>
          <w:lang w:val="sr-Latn-ME"/>
        </w:rPr>
      </w:pPr>
      <w:r w:rsidRPr="00C25B1B">
        <w:rPr>
          <w:rStyle w:val="FootnoteReference"/>
          <w:sz w:val="18"/>
          <w:szCs w:val="18"/>
        </w:rPr>
        <w:footnoteRef/>
      </w:r>
      <w:r w:rsidRPr="00C25B1B">
        <w:rPr>
          <w:sz w:val="18"/>
          <w:szCs w:val="18"/>
        </w:rPr>
        <w:t xml:space="preserve"> </w:t>
      </w:r>
      <w:r w:rsidRPr="00C25B1B">
        <w:rPr>
          <w:sz w:val="18"/>
          <w:szCs w:val="18"/>
          <w:lang w:val="sr-Latn-ME"/>
        </w:rPr>
        <w:t>Prema podacima Monstata, vrijednost BDP-a za 20</w:t>
      </w:r>
      <w:r>
        <w:rPr>
          <w:sz w:val="18"/>
          <w:szCs w:val="18"/>
          <w:lang w:val="sr-Latn-ME"/>
        </w:rPr>
        <w:t>23</w:t>
      </w:r>
      <w:r w:rsidRPr="00C25B1B">
        <w:rPr>
          <w:sz w:val="18"/>
          <w:szCs w:val="18"/>
          <w:lang w:val="sr-Latn-ME"/>
        </w:rPr>
        <w:t xml:space="preserve">. godinu iznosi </w:t>
      </w:r>
      <w:r>
        <w:rPr>
          <w:sz w:val="18"/>
          <w:szCs w:val="18"/>
          <w:lang w:val="sr-Latn-ME"/>
        </w:rPr>
        <w:t>6.964,00</w:t>
      </w:r>
      <w:r w:rsidRPr="00C25B1B">
        <w:rPr>
          <w:sz w:val="18"/>
          <w:szCs w:val="18"/>
          <w:lang w:val="sr-Latn-ME"/>
        </w:rPr>
        <w:t xml:space="preserve"> miliona eura</w:t>
      </w:r>
    </w:p>
  </w:footnote>
  <w:footnote w:id="9">
    <w:p w14:paraId="213B5DA1" w14:textId="77777777" w:rsidR="003D273E" w:rsidRPr="005801BC" w:rsidRDefault="003D273E" w:rsidP="00346BE3">
      <w:pPr>
        <w:pStyle w:val="FootnoteText"/>
        <w:rPr>
          <w:lang w:val="sr-Latn-ME"/>
        </w:rPr>
      </w:pPr>
      <w:r>
        <w:rPr>
          <w:rStyle w:val="FootnoteReference"/>
        </w:rPr>
        <w:footnoteRef/>
      </w:r>
      <w:r>
        <w:t xml:space="preserve"> Svjetska banka (IBRD, IDA)</w:t>
      </w:r>
      <w:r w:rsidRPr="00D27083">
        <w:t xml:space="preserve"> EIB, EBRD, CEB, Evropska komisija, IFAD</w:t>
      </w:r>
    </w:p>
  </w:footnote>
  <w:footnote w:id="10">
    <w:p w14:paraId="7D83A61A" w14:textId="77777777" w:rsidR="003D273E" w:rsidRPr="005801BC" w:rsidRDefault="003D273E" w:rsidP="00346BE3">
      <w:pPr>
        <w:pStyle w:val="FootnoteText"/>
        <w:rPr>
          <w:lang w:val="sr-Latn-ME"/>
        </w:rPr>
      </w:pPr>
      <w:r>
        <w:rPr>
          <w:rStyle w:val="FootnoteReference"/>
        </w:rPr>
        <w:footnoteRef/>
      </w:r>
      <w:r>
        <w:t xml:space="preserve"> </w:t>
      </w:r>
      <w:r w:rsidRPr="00D27083">
        <w:t>Pariski klub, ugovori sa KfW bankom, Exim Kina bankom, Vladama Poljske, Francuske, Španije, Kanade</w:t>
      </w:r>
      <w:r>
        <w:t xml:space="preserve"> i Izraela</w:t>
      </w:r>
    </w:p>
  </w:footnote>
  <w:footnote w:id="11">
    <w:p w14:paraId="3E8831A0" w14:textId="77777777" w:rsidR="003D273E" w:rsidRPr="001613B6" w:rsidRDefault="003D273E" w:rsidP="00346BE3">
      <w:pPr>
        <w:pStyle w:val="FootnoteText"/>
        <w:rPr>
          <w:sz w:val="18"/>
          <w:szCs w:val="18"/>
          <w:lang w:val="sr-Latn-ME"/>
        </w:rPr>
      </w:pPr>
      <w:r w:rsidRPr="001613B6">
        <w:rPr>
          <w:rStyle w:val="FootnoteReference"/>
          <w:sz w:val="18"/>
          <w:szCs w:val="18"/>
        </w:rPr>
        <w:footnoteRef/>
      </w:r>
      <w:r w:rsidRPr="001613B6">
        <w:rPr>
          <w:sz w:val="18"/>
          <w:szCs w:val="18"/>
        </w:rPr>
        <w:t xml:space="preserve"> </w:t>
      </w:r>
      <w:r w:rsidRPr="001613B6">
        <w:rPr>
          <w:sz w:val="18"/>
          <w:szCs w:val="18"/>
          <w:lang w:val="sr-Latn-ME"/>
        </w:rPr>
        <w:t xml:space="preserve">Procijenjeni BDP za period 2024-2027. godine, prema projekcijama Ministarstva finansija. </w:t>
      </w:r>
    </w:p>
  </w:footnote>
  <w:footnote w:id="12">
    <w:p w14:paraId="09E49C79" w14:textId="77777777" w:rsidR="003D273E" w:rsidRPr="00335C71" w:rsidRDefault="003D273E" w:rsidP="00346BE3">
      <w:pPr>
        <w:pStyle w:val="FootnoteText"/>
        <w:rPr>
          <w:rFonts w:cs="Arial"/>
          <w:lang w:val="sr-Latn-ME"/>
        </w:rPr>
      </w:pPr>
      <w:r w:rsidRPr="001613B6">
        <w:rPr>
          <w:rStyle w:val="FootnoteReference"/>
          <w:rFonts w:cs="Arial"/>
          <w:sz w:val="18"/>
          <w:szCs w:val="18"/>
        </w:rPr>
        <w:footnoteRef/>
      </w:r>
      <w:r w:rsidRPr="001613B6">
        <w:rPr>
          <w:rFonts w:cs="Arial"/>
          <w:sz w:val="18"/>
          <w:szCs w:val="18"/>
        </w:rPr>
        <w:t xml:space="preserve"> </w:t>
      </w:r>
      <w:r w:rsidRPr="001613B6">
        <w:rPr>
          <w:rFonts w:cs="Arial"/>
          <w:sz w:val="18"/>
          <w:szCs w:val="18"/>
          <w:lang w:val="sr-Latn-ME"/>
        </w:rPr>
        <w:t>Uključujući i 38.477 unci zlata</w:t>
      </w:r>
    </w:p>
  </w:footnote>
  <w:footnote w:id="13">
    <w:p w14:paraId="22537D2A" w14:textId="77777777" w:rsidR="003D273E" w:rsidRPr="001613B6" w:rsidRDefault="003D273E" w:rsidP="00346BE3">
      <w:pPr>
        <w:pStyle w:val="FootnoteText"/>
        <w:rPr>
          <w:sz w:val="18"/>
          <w:szCs w:val="18"/>
          <w:lang w:val="sr-Latn-ME"/>
        </w:rPr>
      </w:pPr>
      <w:r w:rsidRPr="001613B6">
        <w:rPr>
          <w:rStyle w:val="FootnoteReference"/>
          <w:sz w:val="18"/>
          <w:szCs w:val="18"/>
        </w:rPr>
        <w:footnoteRef/>
      </w:r>
      <w:r w:rsidRPr="001613B6">
        <w:rPr>
          <w:sz w:val="18"/>
          <w:szCs w:val="18"/>
        </w:rPr>
        <w:t xml:space="preserve"> </w:t>
      </w:r>
      <w:r w:rsidRPr="001613B6">
        <w:rPr>
          <w:sz w:val="18"/>
          <w:szCs w:val="18"/>
          <w:lang w:val="sr-Latn-ME"/>
        </w:rPr>
        <w:t>Procijenjeni BDP</w:t>
      </w:r>
      <w:r>
        <w:rPr>
          <w:sz w:val="18"/>
          <w:szCs w:val="18"/>
          <w:lang w:val="sr-Latn-ME"/>
        </w:rPr>
        <w:t xml:space="preserve"> u skladu sa scenarion nižeg rasta</w:t>
      </w:r>
      <w:r w:rsidRPr="001613B6">
        <w:rPr>
          <w:sz w:val="18"/>
          <w:szCs w:val="18"/>
          <w:lang w:val="sr-Latn-ME"/>
        </w:rPr>
        <w:t xml:space="preserve"> za period 2024-2027. godine, prema projekcijama Ministarstva finansija. </w:t>
      </w:r>
    </w:p>
  </w:footnote>
  <w:footnote w:id="14">
    <w:p w14:paraId="77F5785D" w14:textId="77777777" w:rsidR="003D273E" w:rsidRPr="00335C71" w:rsidRDefault="003D273E" w:rsidP="00346BE3">
      <w:pPr>
        <w:pStyle w:val="FootnoteText"/>
        <w:rPr>
          <w:rFonts w:cs="Arial"/>
          <w:lang w:val="sr-Latn-ME"/>
        </w:rPr>
      </w:pPr>
      <w:r w:rsidRPr="001613B6">
        <w:rPr>
          <w:rStyle w:val="FootnoteReference"/>
          <w:rFonts w:cs="Arial"/>
          <w:sz w:val="18"/>
          <w:szCs w:val="18"/>
        </w:rPr>
        <w:footnoteRef/>
      </w:r>
      <w:r w:rsidRPr="001613B6">
        <w:rPr>
          <w:rFonts w:cs="Arial"/>
          <w:sz w:val="18"/>
          <w:szCs w:val="18"/>
        </w:rPr>
        <w:t xml:space="preserve"> </w:t>
      </w:r>
      <w:r w:rsidRPr="001613B6">
        <w:rPr>
          <w:rFonts w:cs="Arial"/>
          <w:sz w:val="18"/>
          <w:szCs w:val="18"/>
          <w:lang w:val="sr-Latn-ME"/>
        </w:rPr>
        <w:t>Uključujući i 38.477 unci zlata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E1651" w14:textId="4AB3D629" w:rsidR="003D273E" w:rsidRDefault="003D273E" w:rsidP="00561188">
    <w:pPr>
      <w:pStyle w:val="Header"/>
    </w:pPr>
    <w:r>
      <w:rPr>
        <w:noProof/>
        <w:lang w:val="en-GB" w:eastAsia="en-GB"/>
      </w:rPr>
      <w:drawing>
        <wp:inline distT="0" distB="0" distL="0" distR="0" wp14:anchorId="7F03F0AB" wp14:editId="5534D8F0">
          <wp:extent cx="462915" cy="5527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8108" t="35348" r="63802" b="47480"/>
                  <a:stretch/>
                </pic:blipFill>
                <pic:spPr bwMode="auto">
                  <a:xfrm>
                    <a:off x="0" y="0"/>
                    <a:ext cx="463650" cy="5536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E9604A">
      <w:rPr>
        <w:i/>
        <w:sz w:val="18"/>
        <w:szCs w:val="18"/>
      </w:rPr>
      <w:t>Program ekonomskih reformi 2025-2027. godina-Nacrt za javnu raspravu</w:t>
    </w:r>
  </w:p>
  <w:tbl>
    <w:tblPr>
      <w:tblW w:w="5100" w:type="pct"/>
      <w:tblCellMar>
        <w:top w:w="144" w:type="dxa"/>
        <w:left w:w="115" w:type="dxa"/>
        <w:bottom w:w="144" w:type="dxa"/>
        <w:right w:w="115" w:type="dxa"/>
      </w:tblCellMar>
      <w:tblLook w:val="04A0" w:firstRow="1" w:lastRow="0" w:firstColumn="1" w:lastColumn="0" w:noHBand="0" w:noVBand="1"/>
    </w:tblPr>
    <w:tblGrid>
      <w:gridCol w:w="9207"/>
    </w:tblGrid>
    <w:tr w:rsidR="003D273E" w14:paraId="63AFD60C" w14:textId="77777777" w:rsidTr="004C6A6A">
      <w:trPr>
        <w:trHeight w:hRule="exact" w:val="115"/>
      </w:trPr>
      <w:tc>
        <w:tcPr>
          <w:tcW w:w="4501" w:type="dxa"/>
          <w:shd w:val="clear" w:color="auto" w:fill="4472C4" w:themeFill="accent1"/>
          <w:tcMar>
            <w:top w:w="0" w:type="dxa"/>
            <w:bottom w:w="0" w:type="dxa"/>
          </w:tcMar>
        </w:tcPr>
        <w:p w14:paraId="199AD37B" w14:textId="77777777" w:rsidR="003D273E" w:rsidRDefault="003D273E" w:rsidP="00561188">
          <w:pPr>
            <w:pStyle w:val="Header"/>
            <w:tabs>
              <w:tab w:val="clear" w:pos="4680"/>
              <w:tab w:val="clear" w:pos="9360"/>
            </w:tabs>
            <w:jc w:val="right"/>
            <w:rPr>
              <w:caps/>
              <w:color w:val="FFFFFF" w:themeColor="background1"/>
              <w:sz w:val="18"/>
              <w:szCs w:val="18"/>
            </w:rPr>
          </w:pPr>
        </w:p>
      </w:tc>
    </w:tr>
  </w:tbl>
  <w:p w14:paraId="6BB36552" w14:textId="77777777" w:rsidR="003D273E" w:rsidRDefault="003D273E" w:rsidP="0056118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F8B6F" w14:textId="77777777" w:rsidR="003D273E" w:rsidRPr="00110B0F" w:rsidRDefault="003D273E" w:rsidP="00E05341"/>
  <w:p w14:paraId="1F94CECF" w14:textId="77777777" w:rsidR="003D273E" w:rsidRDefault="003D273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0FE1"/>
    <w:multiLevelType w:val="hybridMultilevel"/>
    <w:tmpl w:val="851600FA"/>
    <w:lvl w:ilvl="0" w:tplc="62363690">
      <w:start w:val="3"/>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16C82558"/>
    <w:multiLevelType w:val="hybridMultilevel"/>
    <w:tmpl w:val="CCBAB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06618A"/>
    <w:multiLevelType w:val="hybridMultilevel"/>
    <w:tmpl w:val="52CA9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321D62"/>
    <w:multiLevelType w:val="hybridMultilevel"/>
    <w:tmpl w:val="DD42BB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111BF"/>
    <w:multiLevelType w:val="hybridMultilevel"/>
    <w:tmpl w:val="1E82C0DA"/>
    <w:lvl w:ilvl="0" w:tplc="04090001">
      <w:start w:val="1"/>
      <w:numFmt w:val="bullet"/>
      <w:lvlText w:val=""/>
      <w:lvlJc w:val="left"/>
      <w:pPr>
        <w:ind w:left="720" w:hanging="360"/>
      </w:pPr>
      <w:rPr>
        <w:rFonts w:ascii="Symbol" w:hAnsi="Symbol" w:hint="default"/>
      </w:rPr>
    </w:lvl>
    <w:lvl w:ilvl="1" w:tplc="121C3814">
      <w:numFmt w:val="bullet"/>
      <w:lvlText w:val="-"/>
      <w:lvlJc w:val="left"/>
      <w:pPr>
        <w:ind w:left="1800" w:hanging="720"/>
      </w:pPr>
      <w:rPr>
        <w:rFonts w:ascii="Century Gothic" w:eastAsiaTheme="minorHAnsi" w:hAnsi="Century Gothic"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41D1D"/>
    <w:multiLevelType w:val="hybridMultilevel"/>
    <w:tmpl w:val="B12EB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275C0"/>
    <w:multiLevelType w:val="hybridMultilevel"/>
    <w:tmpl w:val="415C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032184"/>
    <w:multiLevelType w:val="hybridMultilevel"/>
    <w:tmpl w:val="E38AA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C4257AB"/>
    <w:multiLevelType w:val="hybridMultilevel"/>
    <w:tmpl w:val="25A6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63BBE"/>
    <w:multiLevelType w:val="hybridMultilevel"/>
    <w:tmpl w:val="420A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FB342F"/>
    <w:multiLevelType w:val="hybridMultilevel"/>
    <w:tmpl w:val="6E4A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60416"/>
    <w:multiLevelType w:val="hybridMultilevel"/>
    <w:tmpl w:val="70387200"/>
    <w:lvl w:ilvl="0" w:tplc="718CA81A">
      <w:start w:val="3"/>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647815C1"/>
    <w:multiLevelType w:val="hybridMultilevel"/>
    <w:tmpl w:val="3000E30A"/>
    <w:lvl w:ilvl="0" w:tplc="9304909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6AE05F44"/>
    <w:multiLevelType w:val="hybridMultilevel"/>
    <w:tmpl w:val="F7FC483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15:restartNumberingAfterBreak="0">
    <w:nsid w:val="77BE0FA7"/>
    <w:multiLevelType w:val="hybridMultilevel"/>
    <w:tmpl w:val="77488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197D47"/>
    <w:multiLevelType w:val="hybridMultilevel"/>
    <w:tmpl w:val="14E28DDE"/>
    <w:lvl w:ilvl="0" w:tplc="D97611F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2"/>
  </w:num>
  <w:num w:numId="4">
    <w:abstractNumId w:val="14"/>
  </w:num>
  <w:num w:numId="5">
    <w:abstractNumId w:val="15"/>
  </w:num>
  <w:num w:numId="6">
    <w:abstractNumId w:val="11"/>
  </w:num>
  <w:num w:numId="7">
    <w:abstractNumId w:val="0"/>
  </w:num>
  <w:num w:numId="8">
    <w:abstractNumId w:val="4"/>
  </w:num>
  <w:num w:numId="9">
    <w:abstractNumId w:val="10"/>
  </w:num>
  <w:num w:numId="10">
    <w:abstractNumId w:val="13"/>
  </w:num>
  <w:num w:numId="11">
    <w:abstractNumId w:val="3"/>
  </w:num>
  <w:num w:numId="12">
    <w:abstractNumId w:val="9"/>
  </w:num>
  <w:num w:numId="13">
    <w:abstractNumId w:val="6"/>
  </w:num>
  <w:num w:numId="14">
    <w:abstractNumId w:val="7"/>
  </w:num>
  <w:num w:numId="15">
    <w:abstractNumId w:val="5"/>
  </w:num>
  <w:num w:numId="1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CB4"/>
    <w:rsid w:val="000006E8"/>
    <w:rsid w:val="00002535"/>
    <w:rsid w:val="00005AD1"/>
    <w:rsid w:val="00007B58"/>
    <w:rsid w:val="00020877"/>
    <w:rsid w:val="00024392"/>
    <w:rsid w:val="00025B7E"/>
    <w:rsid w:val="00030390"/>
    <w:rsid w:val="000343A0"/>
    <w:rsid w:val="00034E7A"/>
    <w:rsid w:val="00040011"/>
    <w:rsid w:val="000434E2"/>
    <w:rsid w:val="000445BB"/>
    <w:rsid w:val="000519E0"/>
    <w:rsid w:val="000566BA"/>
    <w:rsid w:val="00057DB8"/>
    <w:rsid w:val="000628D4"/>
    <w:rsid w:val="00067750"/>
    <w:rsid w:val="00067A6B"/>
    <w:rsid w:val="00076EE2"/>
    <w:rsid w:val="000807FC"/>
    <w:rsid w:val="00082B85"/>
    <w:rsid w:val="00083EE3"/>
    <w:rsid w:val="00086A3A"/>
    <w:rsid w:val="0009101F"/>
    <w:rsid w:val="00093385"/>
    <w:rsid w:val="0009537F"/>
    <w:rsid w:val="000A4A57"/>
    <w:rsid w:val="000A5EFF"/>
    <w:rsid w:val="000A7369"/>
    <w:rsid w:val="000C3D9B"/>
    <w:rsid w:val="000D27CE"/>
    <w:rsid w:val="000D6E85"/>
    <w:rsid w:val="000F2898"/>
    <w:rsid w:val="000F6288"/>
    <w:rsid w:val="000F6E17"/>
    <w:rsid w:val="00101AB3"/>
    <w:rsid w:val="00105C9E"/>
    <w:rsid w:val="00105E19"/>
    <w:rsid w:val="00105ED4"/>
    <w:rsid w:val="0011083C"/>
    <w:rsid w:val="001123EB"/>
    <w:rsid w:val="001139FE"/>
    <w:rsid w:val="00114632"/>
    <w:rsid w:val="0011774A"/>
    <w:rsid w:val="00120FFD"/>
    <w:rsid w:val="0014031B"/>
    <w:rsid w:val="00144B14"/>
    <w:rsid w:val="00146E33"/>
    <w:rsid w:val="001507D4"/>
    <w:rsid w:val="001556A8"/>
    <w:rsid w:val="00155792"/>
    <w:rsid w:val="00156442"/>
    <w:rsid w:val="001609EB"/>
    <w:rsid w:val="00162290"/>
    <w:rsid w:val="001636ED"/>
    <w:rsid w:val="00163FAC"/>
    <w:rsid w:val="001667AA"/>
    <w:rsid w:val="00166E95"/>
    <w:rsid w:val="00167CFB"/>
    <w:rsid w:val="00170CC2"/>
    <w:rsid w:val="00184966"/>
    <w:rsid w:val="00186061"/>
    <w:rsid w:val="0018660D"/>
    <w:rsid w:val="001910F1"/>
    <w:rsid w:val="0019747A"/>
    <w:rsid w:val="001979A6"/>
    <w:rsid w:val="001A2776"/>
    <w:rsid w:val="001B2F88"/>
    <w:rsid w:val="001B5449"/>
    <w:rsid w:val="001B6681"/>
    <w:rsid w:val="001C2E87"/>
    <w:rsid w:val="001C6C11"/>
    <w:rsid w:val="001D30A4"/>
    <w:rsid w:val="001D4F7A"/>
    <w:rsid w:val="001D5437"/>
    <w:rsid w:val="001E0B77"/>
    <w:rsid w:val="001E3BBD"/>
    <w:rsid w:val="001E5546"/>
    <w:rsid w:val="0020090C"/>
    <w:rsid w:val="00205D64"/>
    <w:rsid w:val="00210862"/>
    <w:rsid w:val="00211679"/>
    <w:rsid w:val="00211DAD"/>
    <w:rsid w:val="0021288D"/>
    <w:rsid w:val="002141C1"/>
    <w:rsid w:val="0021498F"/>
    <w:rsid w:val="002205E1"/>
    <w:rsid w:val="00225DC6"/>
    <w:rsid w:val="00226383"/>
    <w:rsid w:val="0023016F"/>
    <w:rsid w:val="002402A8"/>
    <w:rsid w:val="00242A7E"/>
    <w:rsid w:val="00246AA1"/>
    <w:rsid w:val="00246F95"/>
    <w:rsid w:val="00256D17"/>
    <w:rsid w:val="00257943"/>
    <w:rsid w:val="00263E1C"/>
    <w:rsid w:val="002712E9"/>
    <w:rsid w:val="002716D9"/>
    <w:rsid w:val="00272AB4"/>
    <w:rsid w:val="00273846"/>
    <w:rsid w:val="002800F8"/>
    <w:rsid w:val="002818AF"/>
    <w:rsid w:val="002917EE"/>
    <w:rsid w:val="00291D23"/>
    <w:rsid w:val="00291E41"/>
    <w:rsid w:val="00295A39"/>
    <w:rsid w:val="002A00FF"/>
    <w:rsid w:val="002A66E2"/>
    <w:rsid w:val="002B004C"/>
    <w:rsid w:val="002B47D4"/>
    <w:rsid w:val="002B5D2B"/>
    <w:rsid w:val="002C099C"/>
    <w:rsid w:val="002C2D6D"/>
    <w:rsid w:val="002C2DDD"/>
    <w:rsid w:val="002C4B11"/>
    <w:rsid w:val="002C5D8F"/>
    <w:rsid w:val="002D0547"/>
    <w:rsid w:val="002D117F"/>
    <w:rsid w:val="002D19B3"/>
    <w:rsid w:val="002D4036"/>
    <w:rsid w:val="002E0F47"/>
    <w:rsid w:val="002E35FA"/>
    <w:rsid w:val="002E6DC5"/>
    <w:rsid w:val="002E6EEB"/>
    <w:rsid w:val="002F27FB"/>
    <w:rsid w:val="002F28D2"/>
    <w:rsid w:val="002F384F"/>
    <w:rsid w:val="002F5656"/>
    <w:rsid w:val="002F5B10"/>
    <w:rsid w:val="003016EF"/>
    <w:rsid w:val="003053C4"/>
    <w:rsid w:val="003118C6"/>
    <w:rsid w:val="00321672"/>
    <w:rsid w:val="003216FD"/>
    <w:rsid w:val="0032480C"/>
    <w:rsid w:val="00333E0C"/>
    <w:rsid w:val="00335470"/>
    <w:rsid w:val="00346BE3"/>
    <w:rsid w:val="003626FE"/>
    <w:rsid w:val="00371DC1"/>
    <w:rsid w:val="003771B9"/>
    <w:rsid w:val="0038028C"/>
    <w:rsid w:val="00381C0F"/>
    <w:rsid w:val="0038367C"/>
    <w:rsid w:val="00383D39"/>
    <w:rsid w:val="00387D2D"/>
    <w:rsid w:val="0039112E"/>
    <w:rsid w:val="003911FB"/>
    <w:rsid w:val="00391874"/>
    <w:rsid w:val="0039235C"/>
    <w:rsid w:val="00393340"/>
    <w:rsid w:val="00396628"/>
    <w:rsid w:val="00397707"/>
    <w:rsid w:val="00397F4E"/>
    <w:rsid w:val="003A0585"/>
    <w:rsid w:val="003A1347"/>
    <w:rsid w:val="003A3291"/>
    <w:rsid w:val="003A4436"/>
    <w:rsid w:val="003A5053"/>
    <w:rsid w:val="003B2A43"/>
    <w:rsid w:val="003B5FB4"/>
    <w:rsid w:val="003B6750"/>
    <w:rsid w:val="003C0C26"/>
    <w:rsid w:val="003C6411"/>
    <w:rsid w:val="003D262C"/>
    <w:rsid w:val="003D273E"/>
    <w:rsid w:val="003D546D"/>
    <w:rsid w:val="003E2F43"/>
    <w:rsid w:val="003E5074"/>
    <w:rsid w:val="003F186B"/>
    <w:rsid w:val="003F7B1C"/>
    <w:rsid w:val="00400115"/>
    <w:rsid w:val="00404BAE"/>
    <w:rsid w:val="00406A31"/>
    <w:rsid w:val="00411FFF"/>
    <w:rsid w:val="00416A69"/>
    <w:rsid w:val="004241DC"/>
    <w:rsid w:val="0043016C"/>
    <w:rsid w:val="004309CE"/>
    <w:rsid w:val="00432A04"/>
    <w:rsid w:val="004333EF"/>
    <w:rsid w:val="00436100"/>
    <w:rsid w:val="00437131"/>
    <w:rsid w:val="00442351"/>
    <w:rsid w:val="0044350E"/>
    <w:rsid w:val="00452A8F"/>
    <w:rsid w:val="0046110A"/>
    <w:rsid w:val="00466E54"/>
    <w:rsid w:val="00467A48"/>
    <w:rsid w:val="00471DBD"/>
    <w:rsid w:val="0047326F"/>
    <w:rsid w:val="0047525B"/>
    <w:rsid w:val="0047692E"/>
    <w:rsid w:val="00476B62"/>
    <w:rsid w:val="004838C9"/>
    <w:rsid w:val="00485A01"/>
    <w:rsid w:val="00496FAD"/>
    <w:rsid w:val="00497AEA"/>
    <w:rsid w:val="004A0293"/>
    <w:rsid w:val="004A16E1"/>
    <w:rsid w:val="004A3C8D"/>
    <w:rsid w:val="004A4FD6"/>
    <w:rsid w:val="004A602B"/>
    <w:rsid w:val="004B0368"/>
    <w:rsid w:val="004B1905"/>
    <w:rsid w:val="004B2D46"/>
    <w:rsid w:val="004B3B57"/>
    <w:rsid w:val="004C0CB1"/>
    <w:rsid w:val="004C0FFA"/>
    <w:rsid w:val="004C2033"/>
    <w:rsid w:val="004C2EF4"/>
    <w:rsid w:val="004C59AA"/>
    <w:rsid w:val="004C5B75"/>
    <w:rsid w:val="004C6A6A"/>
    <w:rsid w:val="004D0B97"/>
    <w:rsid w:val="004D1849"/>
    <w:rsid w:val="004D2A81"/>
    <w:rsid w:val="004D422C"/>
    <w:rsid w:val="004D6C3F"/>
    <w:rsid w:val="004E2900"/>
    <w:rsid w:val="004E629A"/>
    <w:rsid w:val="004E642B"/>
    <w:rsid w:val="00501E47"/>
    <w:rsid w:val="00502469"/>
    <w:rsid w:val="00502B2C"/>
    <w:rsid w:val="00507207"/>
    <w:rsid w:val="005139F3"/>
    <w:rsid w:val="00530DF2"/>
    <w:rsid w:val="0053311C"/>
    <w:rsid w:val="00533532"/>
    <w:rsid w:val="00533B2F"/>
    <w:rsid w:val="00534466"/>
    <w:rsid w:val="00541F1D"/>
    <w:rsid w:val="005425AC"/>
    <w:rsid w:val="00550414"/>
    <w:rsid w:val="005507E0"/>
    <w:rsid w:val="00552502"/>
    <w:rsid w:val="00553506"/>
    <w:rsid w:val="00554472"/>
    <w:rsid w:val="00554606"/>
    <w:rsid w:val="005560A2"/>
    <w:rsid w:val="00560F36"/>
    <w:rsid w:val="00561188"/>
    <w:rsid w:val="0057418E"/>
    <w:rsid w:val="005758C9"/>
    <w:rsid w:val="00581773"/>
    <w:rsid w:val="0059097B"/>
    <w:rsid w:val="005A4574"/>
    <w:rsid w:val="005A648B"/>
    <w:rsid w:val="005A73B6"/>
    <w:rsid w:val="005A7858"/>
    <w:rsid w:val="005B61E1"/>
    <w:rsid w:val="005C48BD"/>
    <w:rsid w:val="005C53D7"/>
    <w:rsid w:val="005C7386"/>
    <w:rsid w:val="005D05D1"/>
    <w:rsid w:val="005D12E6"/>
    <w:rsid w:val="005D7CCB"/>
    <w:rsid w:val="005E067C"/>
    <w:rsid w:val="005E1A08"/>
    <w:rsid w:val="005E1A96"/>
    <w:rsid w:val="005E1CB4"/>
    <w:rsid w:val="005E58F1"/>
    <w:rsid w:val="005E71AE"/>
    <w:rsid w:val="005F2380"/>
    <w:rsid w:val="005F3B6D"/>
    <w:rsid w:val="005F5C8F"/>
    <w:rsid w:val="005F5F83"/>
    <w:rsid w:val="005F69B8"/>
    <w:rsid w:val="00600332"/>
    <w:rsid w:val="0060375E"/>
    <w:rsid w:val="00607060"/>
    <w:rsid w:val="006118C4"/>
    <w:rsid w:val="006143E7"/>
    <w:rsid w:val="006174C3"/>
    <w:rsid w:val="00617934"/>
    <w:rsid w:val="00622171"/>
    <w:rsid w:val="00623AF4"/>
    <w:rsid w:val="00625E11"/>
    <w:rsid w:val="0062681F"/>
    <w:rsid w:val="0062773A"/>
    <w:rsid w:val="00627B58"/>
    <w:rsid w:val="00627F0F"/>
    <w:rsid w:val="006328CD"/>
    <w:rsid w:val="006347CD"/>
    <w:rsid w:val="006355E2"/>
    <w:rsid w:val="00640076"/>
    <w:rsid w:val="006424BD"/>
    <w:rsid w:val="00653E37"/>
    <w:rsid w:val="0065415E"/>
    <w:rsid w:val="00655BB5"/>
    <w:rsid w:val="00660440"/>
    <w:rsid w:val="00660705"/>
    <w:rsid w:val="00665872"/>
    <w:rsid w:val="00670EA2"/>
    <w:rsid w:val="00672907"/>
    <w:rsid w:val="006857F4"/>
    <w:rsid w:val="00691817"/>
    <w:rsid w:val="006950C2"/>
    <w:rsid w:val="006958E2"/>
    <w:rsid w:val="006A00CE"/>
    <w:rsid w:val="006A762A"/>
    <w:rsid w:val="006B1484"/>
    <w:rsid w:val="006B588F"/>
    <w:rsid w:val="006B6C69"/>
    <w:rsid w:val="006C74D6"/>
    <w:rsid w:val="006D2F1D"/>
    <w:rsid w:val="006E1F05"/>
    <w:rsid w:val="006E3C16"/>
    <w:rsid w:val="006F2FEC"/>
    <w:rsid w:val="007006DA"/>
    <w:rsid w:val="00701428"/>
    <w:rsid w:val="007100B9"/>
    <w:rsid w:val="00713157"/>
    <w:rsid w:val="00713CBC"/>
    <w:rsid w:val="0071463E"/>
    <w:rsid w:val="00720C11"/>
    <w:rsid w:val="00724C38"/>
    <w:rsid w:val="00727788"/>
    <w:rsid w:val="007323F4"/>
    <w:rsid w:val="00732B08"/>
    <w:rsid w:val="0073350A"/>
    <w:rsid w:val="007338DF"/>
    <w:rsid w:val="00734DDA"/>
    <w:rsid w:val="00740A6C"/>
    <w:rsid w:val="00745DB6"/>
    <w:rsid w:val="00746FCC"/>
    <w:rsid w:val="00755C08"/>
    <w:rsid w:val="0077081C"/>
    <w:rsid w:val="00774659"/>
    <w:rsid w:val="007761E7"/>
    <w:rsid w:val="00777B23"/>
    <w:rsid w:val="0078602A"/>
    <w:rsid w:val="00791DB3"/>
    <w:rsid w:val="00792C35"/>
    <w:rsid w:val="00793F30"/>
    <w:rsid w:val="00795FF0"/>
    <w:rsid w:val="007964D6"/>
    <w:rsid w:val="007A22F3"/>
    <w:rsid w:val="007A3621"/>
    <w:rsid w:val="007A6C0A"/>
    <w:rsid w:val="007B0FBC"/>
    <w:rsid w:val="007B38D8"/>
    <w:rsid w:val="007B5C3D"/>
    <w:rsid w:val="007B64F7"/>
    <w:rsid w:val="007B7BF5"/>
    <w:rsid w:val="007C609C"/>
    <w:rsid w:val="007C7F00"/>
    <w:rsid w:val="007E0F1F"/>
    <w:rsid w:val="007E1D6F"/>
    <w:rsid w:val="007E35B0"/>
    <w:rsid w:val="007E7F6F"/>
    <w:rsid w:val="007F0151"/>
    <w:rsid w:val="007F5378"/>
    <w:rsid w:val="007F59F0"/>
    <w:rsid w:val="007F5BF9"/>
    <w:rsid w:val="008016D8"/>
    <w:rsid w:val="00803E04"/>
    <w:rsid w:val="00805A48"/>
    <w:rsid w:val="00810A0C"/>
    <w:rsid w:val="00820247"/>
    <w:rsid w:val="008301C5"/>
    <w:rsid w:val="00837504"/>
    <w:rsid w:val="00837D02"/>
    <w:rsid w:val="008422EC"/>
    <w:rsid w:val="008460B1"/>
    <w:rsid w:val="00856EB6"/>
    <w:rsid w:val="00857CEB"/>
    <w:rsid w:val="00862BA4"/>
    <w:rsid w:val="0088032E"/>
    <w:rsid w:val="00883114"/>
    <w:rsid w:val="00885009"/>
    <w:rsid w:val="00892683"/>
    <w:rsid w:val="00895DA4"/>
    <w:rsid w:val="00896919"/>
    <w:rsid w:val="008A7775"/>
    <w:rsid w:val="008B7E7E"/>
    <w:rsid w:val="008C364B"/>
    <w:rsid w:val="008C62C7"/>
    <w:rsid w:val="008D0B88"/>
    <w:rsid w:val="008D1FF7"/>
    <w:rsid w:val="008D678E"/>
    <w:rsid w:val="008D6B8A"/>
    <w:rsid w:val="008E01F0"/>
    <w:rsid w:val="008F177D"/>
    <w:rsid w:val="008F554B"/>
    <w:rsid w:val="009011D9"/>
    <w:rsid w:val="0090338A"/>
    <w:rsid w:val="009035F6"/>
    <w:rsid w:val="00911F33"/>
    <w:rsid w:val="00921D87"/>
    <w:rsid w:val="00922341"/>
    <w:rsid w:val="0092437B"/>
    <w:rsid w:val="009251C4"/>
    <w:rsid w:val="0093563E"/>
    <w:rsid w:val="00935910"/>
    <w:rsid w:val="00936869"/>
    <w:rsid w:val="00936EB9"/>
    <w:rsid w:val="009376D2"/>
    <w:rsid w:val="00937B0E"/>
    <w:rsid w:val="00946013"/>
    <w:rsid w:val="00947775"/>
    <w:rsid w:val="00947F5A"/>
    <w:rsid w:val="00950CE6"/>
    <w:rsid w:val="0095553C"/>
    <w:rsid w:val="0096351B"/>
    <w:rsid w:val="009667FD"/>
    <w:rsid w:val="009760C0"/>
    <w:rsid w:val="009823F0"/>
    <w:rsid w:val="0098482B"/>
    <w:rsid w:val="009960D3"/>
    <w:rsid w:val="009A2673"/>
    <w:rsid w:val="009A3B4C"/>
    <w:rsid w:val="009A565A"/>
    <w:rsid w:val="009B3834"/>
    <w:rsid w:val="009B5280"/>
    <w:rsid w:val="009B753B"/>
    <w:rsid w:val="009C2B96"/>
    <w:rsid w:val="009C5D80"/>
    <w:rsid w:val="009C7308"/>
    <w:rsid w:val="009D0E01"/>
    <w:rsid w:val="009D3256"/>
    <w:rsid w:val="009E7511"/>
    <w:rsid w:val="009F05FB"/>
    <w:rsid w:val="009F16D3"/>
    <w:rsid w:val="009F4056"/>
    <w:rsid w:val="009F40CD"/>
    <w:rsid w:val="009F4149"/>
    <w:rsid w:val="009F6F5F"/>
    <w:rsid w:val="00A01997"/>
    <w:rsid w:val="00A01B52"/>
    <w:rsid w:val="00A051F0"/>
    <w:rsid w:val="00A05814"/>
    <w:rsid w:val="00A109B8"/>
    <w:rsid w:val="00A13F90"/>
    <w:rsid w:val="00A146FC"/>
    <w:rsid w:val="00A14A83"/>
    <w:rsid w:val="00A15711"/>
    <w:rsid w:val="00A15E00"/>
    <w:rsid w:val="00A16176"/>
    <w:rsid w:val="00A20039"/>
    <w:rsid w:val="00A24363"/>
    <w:rsid w:val="00A24AC4"/>
    <w:rsid w:val="00A261F0"/>
    <w:rsid w:val="00A326D6"/>
    <w:rsid w:val="00A37D96"/>
    <w:rsid w:val="00A4115D"/>
    <w:rsid w:val="00A4139D"/>
    <w:rsid w:val="00A42964"/>
    <w:rsid w:val="00A4453F"/>
    <w:rsid w:val="00A46DC7"/>
    <w:rsid w:val="00A474DE"/>
    <w:rsid w:val="00A50DCE"/>
    <w:rsid w:val="00A549FA"/>
    <w:rsid w:val="00A568CB"/>
    <w:rsid w:val="00A60C23"/>
    <w:rsid w:val="00A75E0D"/>
    <w:rsid w:val="00A8637D"/>
    <w:rsid w:val="00A95A7C"/>
    <w:rsid w:val="00A95AE0"/>
    <w:rsid w:val="00A9672F"/>
    <w:rsid w:val="00AA136E"/>
    <w:rsid w:val="00AA4515"/>
    <w:rsid w:val="00AB0E22"/>
    <w:rsid w:val="00AB363A"/>
    <w:rsid w:val="00AB451D"/>
    <w:rsid w:val="00AB5341"/>
    <w:rsid w:val="00AB6CDA"/>
    <w:rsid w:val="00AC16DE"/>
    <w:rsid w:val="00AC4F59"/>
    <w:rsid w:val="00AC5FCF"/>
    <w:rsid w:val="00AC6D99"/>
    <w:rsid w:val="00AE0000"/>
    <w:rsid w:val="00AF2DBE"/>
    <w:rsid w:val="00AF7500"/>
    <w:rsid w:val="00B0122F"/>
    <w:rsid w:val="00B019C6"/>
    <w:rsid w:val="00B10236"/>
    <w:rsid w:val="00B1144F"/>
    <w:rsid w:val="00B1175C"/>
    <w:rsid w:val="00B21D39"/>
    <w:rsid w:val="00B24094"/>
    <w:rsid w:val="00B254B5"/>
    <w:rsid w:val="00B30F57"/>
    <w:rsid w:val="00B3325E"/>
    <w:rsid w:val="00B36281"/>
    <w:rsid w:val="00B40837"/>
    <w:rsid w:val="00B41F01"/>
    <w:rsid w:val="00B43640"/>
    <w:rsid w:val="00B46AA3"/>
    <w:rsid w:val="00B54D5F"/>
    <w:rsid w:val="00B56C3C"/>
    <w:rsid w:val="00B56D87"/>
    <w:rsid w:val="00B628E5"/>
    <w:rsid w:val="00B658CD"/>
    <w:rsid w:val="00B668FE"/>
    <w:rsid w:val="00B70734"/>
    <w:rsid w:val="00B7149D"/>
    <w:rsid w:val="00B71B6F"/>
    <w:rsid w:val="00B72D3A"/>
    <w:rsid w:val="00B733A4"/>
    <w:rsid w:val="00B735F3"/>
    <w:rsid w:val="00B74923"/>
    <w:rsid w:val="00B765D8"/>
    <w:rsid w:val="00B775AC"/>
    <w:rsid w:val="00B84413"/>
    <w:rsid w:val="00B85232"/>
    <w:rsid w:val="00B8791A"/>
    <w:rsid w:val="00B911C3"/>
    <w:rsid w:val="00B93811"/>
    <w:rsid w:val="00BA42D4"/>
    <w:rsid w:val="00BA5CCE"/>
    <w:rsid w:val="00BA6C33"/>
    <w:rsid w:val="00BB02C5"/>
    <w:rsid w:val="00BB2077"/>
    <w:rsid w:val="00BB6E57"/>
    <w:rsid w:val="00BB6F90"/>
    <w:rsid w:val="00BC53CE"/>
    <w:rsid w:val="00BD174B"/>
    <w:rsid w:val="00BD1980"/>
    <w:rsid w:val="00BD259C"/>
    <w:rsid w:val="00BD46B4"/>
    <w:rsid w:val="00BD7CF1"/>
    <w:rsid w:val="00BE0CE8"/>
    <w:rsid w:val="00BE0D91"/>
    <w:rsid w:val="00BE2609"/>
    <w:rsid w:val="00BE4674"/>
    <w:rsid w:val="00BE7739"/>
    <w:rsid w:val="00BF24BE"/>
    <w:rsid w:val="00BF6C17"/>
    <w:rsid w:val="00C04B09"/>
    <w:rsid w:val="00C12B7B"/>
    <w:rsid w:val="00C1567F"/>
    <w:rsid w:val="00C25A12"/>
    <w:rsid w:val="00C325CF"/>
    <w:rsid w:val="00C32815"/>
    <w:rsid w:val="00C375BB"/>
    <w:rsid w:val="00C376F4"/>
    <w:rsid w:val="00C37ED5"/>
    <w:rsid w:val="00C45A80"/>
    <w:rsid w:val="00C47FB7"/>
    <w:rsid w:val="00C520F9"/>
    <w:rsid w:val="00C53F1B"/>
    <w:rsid w:val="00C5728F"/>
    <w:rsid w:val="00C64197"/>
    <w:rsid w:val="00C7002B"/>
    <w:rsid w:val="00C74101"/>
    <w:rsid w:val="00C75646"/>
    <w:rsid w:val="00C76B07"/>
    <w:rsid w:val="00C8103D"/>
    <w:rsid w:val="00C81D7A"/>
    <w:rsid w:val="00C82B3B"/>
    <w:rsid w:val="00C8358A"/>
    <w:rsid w:val="00C83A32"/>
    <w:rsid w:val="00C877C1"/>
    <w:rsid w:val="00CA42DE"/>
    <w:rsid w:val="00CA7341"/>
    <w:rsid w:val="00CB1A24"/>
    <w:rsid w:val="00CB236F"/>
    <w:rsid w:val="00CB2E14"/>
    <w:rsid w:val="00CB5533"/>
    <w:rsid w:val="00CB6213"/>
    <w:rsid w:val="00CB773D"/>
    <w:rsid w:val="00CB7851"/>
    <w:rsid w:val="00CC55F6"/>
    <w:rsid w:val="00CC6F22"/>
    <w:rsid w:val="00CD04DF"/>
    <w:rsid w:val="00CD66A3"/>
    <w:rsid w:val="00CD6CB9"/>
    <w:rsid w:val="00CE1932"/>
    <w:rsid w:val="00CE3524"/>
    <w:rsid w:val="00CE58DE"/>
    <w:rsid w:val="00CE5A62"/>
    <w:rsid w:val="00CF0DAE"/>
    <w:rsid w:val="00CF227C"/>
    <w:rsid w:val="00CF69F3"/>
    <w:rsid w:val="00D014C7"/>
    <w:rsid w:val="00D03217"/>
    <w:rsid w:val="00D03A01"/>
    <w:rsid w:val="00D075E2"/>
    <w:rsid w:val="00D11C21"/>
    <w:rsid w:val="00D176DD"/>
    <w:rsid w:val="00D25668"/>
    <w:rsid w:val="00D305AD"/>
    <w:rsid w:val="00D3192B"/>
    <w:rsid w:val="00D32DF4"/>
    <w:rsid w:val="00D32FD3"/>
    <w:rsid w:val="00D330C3"/>
    <w:rsid w:val="00D44E71"/>
    <w:rsid w:val="00D4677F"/>
    <w:rsid w:val="00D47379"/>
    <w:rsid w:val="00D519F3"/>
    <w:rsid w:val="00D542A5"/>
    <w:rsid w:val="00D57D5B"/>
    <w:rsid w:val="00D60869"/>
    <w:rsid w:val="00D60A5D"/>
    <w:rsid w:val="00D63495"/>
    <w:rsid w:val="00D64C44"/>
    <w:rsid w:val="00D67AF7"/>
    <w:rsid w:val="00D67B01"/>
    <w:rsid w:val="00D80F1F"/>
    <w:rsid w:val="00D912BE"/>
    <w:rsid w:val="00DA310D"/>
    <w:rsid w:val="00DA43E7"/>
    <w:rsid w:val="00DA670A"/>
    <w:rsid w:val="00DB3D39"/>
    <w:rsid w:val="00DB3E6E"/>
    <w:rsid w:val="00DC2D7D"/>
    <w:rsid w:val="00DC4757"/>
    <w:rsid w:val="00DC481B"/>
    <w:rsid w:val="00DD1764"/>
    <w:rsid w:val="00DD1C08"/>
    <w:rsid w:val="00DD7A1C"/>
    <w:rsid w:val="00DE1E28"/>
    <w:rsid w:val="00DE499F"/>
    <w:rsid w:val="00DE7242"/>
    <w:rsid w:val="00DF65A8"/>
    <w:rsid w:val="00DF65B8"/>
    <w:rsid w:val="00DF7626"/>
    <w:rsid w:val="00E001D9"/>
    <w:rsid w:val="00E00AB8"/>
    <w:rsid w:val="00E00C71"/>
    <w:rsid w:val="00E03F64"/>
    <w:rsid w:val="00E05341"/>
    <w:rsid w:val="00E24372"/>
    <w:rsid w:val="00E31A6B"/>
    <w:rsid w:val="00E34921"/>
    <w:rsid w:val="00E35381"/>
    <w:rsid w:val="00E36593"/>
    <w:rsid w:val="00E40811"/>
    <w:rsid w:val="00E413CB"/>
    <w:rsid w:val="00E41591"/>
    <w:rsid w:val="00E42606"/>
    <w:rsid w:val="00E42B79"/>
    <w:rsid w:val="00E448C6"/>
    <w:rsid w:val="00E4510D"/>
    <w:rsid w:val="00E55387"/>
    <w:rsid w:val="00E63C3B"/>
    <w:rsid w:val="00E72401"/>
    <w:rsid w:val="00E7270F"/>
    <w:rsid w:val="00E811C7"/>
    <w:rsid w:val="00E8256C"/>
    <w:rsid w:val="00E83289"/>
    <w:rsid w:val="00E8643F"/>
    <w:rsid w:val="00E87CD0"/>
    <w:rsid w:val="00E92164"/>
    <w:rsid w:val="00E92524"/>
    <w:rsid w:val="00E92602"/>
    <w:rsid w:val="00E929B4"/>
    <w:rsid w:val="00E9370A"/>
    <w:rsid w:val="00E93DF1"/>
    <w:rsid w:val="00E9604A"/>
    <w:rsid w:val="00EA0E2C"/>
    <w:rsid w:val="00EB041D"/>
    <w:rsid w:val="00EB23BD"/>
    <w:rsid w:val="00EB2978"/>
    <w:rsid w:val="00EB378F"/>
    <w:rsid w:val="00EC16D7"/>
    <w:rsid w:val="00EC29F9"/>
    <w:rsid w:val="00EC5116"/>
    <w:rsid w:val="00EC5B12"/>
    <w:rsid w:val="00EC6101"/>
    <w:rsid w:val="00ED4EF7"/>
    <w:rsid w:val="00ED5D1A"/>
    <w:rsid w:val="00EE351C"/>
    <w:rsid w:val="00EE3C75"/>
    <w:rsid w:val="00EE6EAF"/>
    <w:rsid w:val="00EE7741"/>
    <w:rsid w:val="00EF22FB"/>
    <w:rsid w:val="00EF2AB0"/>
    <w:rsid w:val="00EF3AB2"/>
    <w:rsid w:val="00EF3DFA"/>
    <w:rsid w:val="00EF4996"/>
    <w:rsid w:val="00EF6D27"/>
    <w:rsid w:val="00EF76D4"/>
    <w:rsid w:val="00F02B78"/>
    <w:rsid w:val="00F12D8A"/>
    <w:rsid w:val="00F13EB9"/>
    <w:rsid w:val="00F21455"/>
    <w:rsid w:val="00F27F1D"/>
    <w:rsid w:val="00F32D93"/>
    <w:rsid w:val="00F346A9"/>
    <w:rsid w:val="00F41B52"/>
    <w:rsid w:val="00F4313F"/>
    <w:rsid w:val="00F44839"/>
    <w:rsid w:val="00F53D00"/>
    <w:rsid w:val="00F60D45"/>
    <w:rsid w:val="00F674E3"/>
    <w:rsid w:val="00F7042B"/>
    <w:rsid w:val="00F73AC5"/>
    <w:rsid w:val="00F7579C"/>
    <w:rsid w:val="00F84235"/>
    <w:rsid w:val="00F86B7E"/>
    <w:rsid w:val="00F90F0D"/>
    <w:rsid w:val="00FA14A5"/>
    <w:rsid w:val="00FA41DC"/>
    <w:rsid w:val="00FA694A"/>
    <w:rsid w:val="00FA75BE"/>
    <w:rsid w:val="00FB00D3"/>
    <w:rsid w:val="00FC368B"/>
    <w:rsid w:val="00FC4C74"/>
    <w:rsid w:val="00FC55FF"/>
    <w:rsid w:val="00FC59F3"/>
    <w:rsid w:val="00FD0F47"/>
    <w:rsid w:val="00FD1C66"/>
    <w:rsid w:val="00FD1E08"/>
    <w:rsid w:val="00FD241D"/>
    <w:rsid w:val="00FD5458"/>
    <w:rsid w:val="00FD7038"/>
    <w:rsid w:val="00FD7AD3"/>
    <w:rsid w:val="00FE0B53"/>
    <w:rsid w:val="00FE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44BE9"/>
  <w15:chartTrackingRefBased/>
  <w15:docId w15:val="{D82AB742-038B-4C9B-AB52-AB82C825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484"/>
  </w:style>
  <w:style w:type="paragraph" w:styleId="Heading1">
    <w:name w:val="heading 1"/>
    <w:basedOn w:val="Normal"/>
    <w:next w:val="Normal"/>
    <w:link w:val="Heading1Char"/>
    <w:qFormat/>
    <w:rsid w:val="0047326F"/>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9D0E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0E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326F"/>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9D0E0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D0E01"/>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9112E"/>
    <w:rPr>
      <w:sz w:val="16"/>
      <w:szCs w:val="16"/>
    </w:rPr>
  </w:style>
  <w:style w:type="paragraph" w:styleId="CommentText">
    <w:name w:val="annotation text"/>
    <w:basedOn w:val="Normal"/>
    <w:link w:val="CommentTextChar"/>
    <w:uiPriority w:val="99"/>
    <w:unhideWhenUsed/>
    <w:rsid w:val="0039112E"/>
    <w:pPr>
      <w:widowControl w:val="0"/>
      <w:spacing w:after="0" w:line="240" w:lineRule="auto"/>
    </w:pPr>
    <w:rPr>
      <w:kern w:val="0"/>
      <w:sz w:val="20"/>
      <w:szCs w:val="20"/>
      <w:lang w:val="sr-Cyrl-CS" w:eastAsia="sr-Cyrl-CS" w:bidi="sr-Cyrl-CS"/>
      <w14:ligatures w14:val="none"/>
    </w:rPr>
  </w:style>
  <w:style w:type="character" w:customStyle="1" w:styleId="CommentTextChar">
    <w:name w:val="Comment Text Char"/>
    <w:basedOn w:val="DefaultParagraphFont"/>
    <w:link w:val="CommentText"/>
    <w:uiPriority w:val="99"/>
    <w:rsid w:val="0039112E"/>
    <w:rPr>
      <w:kern w:val="0"/>
      <w:sz w:val="20"/>
      <w:szCs w:val="20"/>
      <w:lang w:val="sr-Cyrl-CS" w:eastAsia="sr-Cyrl-CS" w:bidi="sr-Cyrl-CS"/>
      <w14:ligatures w14:val="none"/>
    </w:rPr>
  </w:style>
  <w:style w:type="table" w:styleId="TableGrid">
    <w:name w:val="Table Grid"/>
    <w:aliases w:val="TabelEcorys,HTG,Table Grid IDEA"/>
    <w:basedOn w:val="TableNormal"/>
    <w:uiPriority w:val="59"/>
    <w:rsid w:val="00A95A7C"/>
    <w:pPr>
      <w:spacing w:after="0" w:line="240" w:lineRule="auto"/>
    </w:pPr>
    <w:rPr>
      <w:kern w:val="0"/>
      <w:lang w:val="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 text,Footnote Text Char Char,Footnote Text Char Char Char,FOOTNOTES,fn,Fußnotentextf,ALTS FOOTNOTE,Footnote,Footnote Text qer,Fußnotentext Char,Footnote Text Char2 Char,Fußnote,Footnote Text Char Char1,[txt] Footnote"/>
    <w:basedOn w:val="Normal"/>
    <w:link w:val="FootnoteTextChar"/>
    <w:uiPriority w:val="99"/>
    <w:unhideWhenUsed/>
    <w:qFormat/>
    <w:rsid w:val="00A95A7C"/>
    <w:pPr>
      <w:widowControl w:val="0"/>
      <w:spacing w:after="0" w:line="240" w:lineRule="auto"/>
    </w:pPr>
    <w:rPr>
      <w:kern w:val="0"/>
      <w:sz w:val="20"/>
      <w:szCs w:val="20"/>
      <w:lang w:val="sr-Cyrl-CS" w:eastAsia="sr-Cyrl-CS" w:bidi="sr-Cyrl-CS"/>
      <w14:ligatures w14:val="none"/>
    </w:rPr>
  </w:style>
  <w:style w:type="character" w:customStyle="1" w:styleId="FootnoteTextChar">
    <w:name w:val="Footnote Text Char"/>
    <w:aliases w:val="single space Char,footnote text Char,Footnote Text Char Char Char1,Footnote Text Char Char Char Char,FOOTNOTES Char,fn Char,Fußnotentextf Char,ALTS FOOTNOTE Char,Footnote Char,Footnote Text qer Char,Fußnotentext Char Char,Fußnote Char"/>
    <w:basedOn w:val="DefaultParagraphFont"/>
    <w:link w:val="FootnoteText"/>
    <w:uiPriority w:val="99"/>
    <w:qFormat/>
    <w:rsid w:val="00A95A7C"/>
    <w:rPr>
      <w:kern w:val="0"/>
      <w:sz w:val="20"/>
      <w:szCs w:val="20"/>
      <w:lang w:val="sr-Cyrl-CS" w:eastAsia="sr-Cyrl-CS" w:bidi="sr-Cyrl-CS"/>
      <w14:ligatures w14:val="none"/>
    </w:rPr>
  </w:style>
  <w:style w:type="character" w:styleId="FootnoteReference">
    <w:name w:val="footnote reference"/>
    <w:aliases w:val="BVI fnr,Footnote symbol,16 Point,Superscript 6 Point,nota pié di pagina,ftref,Footnote Text1,Ref. de nota al pie1,Times 10 Point,Exposant 3 Point,Footnote reference number,EN Footnote Reference,note TESI,Footnotes re,Footnote text,Ref"/>
    <w:basedOn w:val="DefaultParagraphFont"/>
    <w:link w:val="BVIfnrChar1Char"/>
    <w:uiPriority w:val="99"/>
    <w:unhideWhenUsed/>
    <w:qFormat/>
    <w:rsid w:val="00A95A7C"/>
    <w:rPr>
      <w:vertAlign w:val="superscript"/>
    </w:rPr>
  </w:style>
  <w:style w:type="table" w:customStyle="1" w:styleId="GridTable1Light-Accent11">
    <w:name w:val="Grid Table 1 Light - Accent 11"/>
    <w:basedOn w:val="TableNormal"/>
    <w:next w:val="GridTable1Light-Accent1"/>
    <w:uiPriority w:val="46"/>
    <w:rsid w:val="002800F8"/>
    <w:pPr>
      <w:spacing w:after="0" w:line="240" w:lineRule="auto"/>
    </w:pPr>
    <w:rPr>
      <w:kern w:val="0"/>
      <w:lang w:val="sl-SI"/>
      <w14:ligatures w14:val="none"/>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800F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aliases w:val="PROVERE 1,Table of contents numbered,6,Bullet Points,Liste Paragraf,Citation List,Bullet OFM,Renkli Liste - Vurgu 11,Liste Paragraf1,List Paragraph in table,Indent Paragraph,Graph &amp; Table tite,Paragraphe de liste PBLH,Liststycke SKL,ANNEX"/>
    <w:basedOn w:val="Normal"/>
    <w:link w:val="ListParagraphChar"/>
    <w:uiPriority w:val="34"/>
    <w:qFormat/>
    <w:rsid w:val="008D1FF7"/>
    <w:pPr>
      <w:ind w:left="720"/>
      <w:contextualSpacing/>
    </w:pPr>
  </w:style>
  <w:style w:type="character" w:customStyle="1" w:styleId="ListParagraphChar">
    <w:name w:val="List Paragraph Char"/>
    <w:aliases w:val="PROVERE 1 Char,Table of contents numbered Char,6 Char,Bullet Points Char,Liste Paragraf Char,Citation List Char,Bullet OFM Char,Renkli Liste - Vurgu 11 Char,Liste Paragraf1 Char,List Paragraph in table Char,Indent Paragraph Char"/>
    <w:link w:val="ListParagraph"/>
    <w:uiPriority w:val="34"/>
    <w:qFormat/>
    <w:locked/>
    <w:rsid w:val="008016D8"/>
  </w:style>
  <w:style w:type="table" w:customStyle="1" w:styleId="GridTable1Light-Accent12">
    <w:name w:val="Grid Table 1 Light - Accent 12"/>
    <w:basedOn w:val="TableNormal"/>
    <w:next w:val="GridTable1Light-Accent1"/>
    <w:uiPriority w:val="46"/>
    <w:rsid w:val="00691817"/>
    <w:pPr>
      <w:spacing w:after="0" w:line="240" w:lineRule="auto"/>
    </w:pPr>
    <w:rPr>
      <w:kern w:val="0"/>
      <w:lang w:val="sl-SI"/>
      <w14:ligatures w14:val="none"/>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13">
    <w:name w:val="Grid Table 1 Light - Accent 13"/>
    <w:basedOn w:val="TableNormal"/>
    <w:next w:val="GridTable1Light-Accent1"/>
    <w:uiPriority w:val="46"/>
    <w:rsid w:val="00507207"/>
    <w:pPr>
      <w:spacing w:after="0" w:line="240" w:lineRule="auto"/>
    </w:pPr>
    <w:rPr>
      <w:kern w:val="0"/>
      <w:lang w:val="sl-SI"/>
      <w14:ligatures w14:val="none"/>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NormalWeb">
    <w:name w:val="Normal (Web)"/>
    <w:basedOn w:val="Normal"/>
    <w:uiPriority w:val="99"/>
    <w:unhideWhenUsed/>
    <w:rsid w:val="00101AB3"/>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67F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667FD"/>
    <w:rPr>
      <w:rFonts w:ascii="Consolas" w:hAnsi="Consolas"/>
      <w:sz w:val="20"/>
      <w:szCs w:val="20"/>
    </w:rPr>
  </w:style>
  <w:style w:type="character" w:styleId="Hyperlink">
    <w:name w:val="Hyperlink"/>
    <w:basedOn w:val="DefaultParagraphFont"/>
    <w:uiPriority w:val="99"/>
    <w:unhideWhenUsed/>
    <w:rsid w:val="00A109B8"/>
    <w:rPr>
      <w:color w:val="0563C1" w:themeColor="hyperlink"/>
      <w:u w:val="single"/>
    </w:rPr>
  </w:style>
  <w:style w:type="character" w:customStyle="1" w:styleId="UnresolvedMention1">
    <w:name w:val="Unresolved Mention1"/>
    <w:basedOn w:val="DefaultParagraphFont"/>
    <w:uiPriority w:val="99"/>
    <w:semiHidden/>
    <w:unhideWhenUsed/>
    <w:rsid w:val="00A109B8"/>
    <w:rPr>
      <w:color w:val="605E5C"/>
      <w:shd w:val="clear" w:color="auto" w:fill="E1DFDD"/>
    </w:rPr>
  </w:style>
  <w:style w:type="table" w:customStyle="1" w:styleId="GridTable1Light-Accent14">
    <w:name w:val="Grid Table 1 Light - Accent 14"/>
    <w:basedOn w:val="TableNormal"/>
    <w:next w:val="GridTable1Light-Accent1"/>
    <w:uiPriority w:val="46"/>
    <w:rsid w:val="00B254B5"/>
    <w:pPr>
      <w:spacing w:after="0" w:line="240" w:lineRule="auto"/>
    </w:pPr>
    <w:rPr>
      <w:kern w:val="0"/>
      <w:lang w:val="sl-SI"/>
      <w14:ligatures w14:val="none"/>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15">
    <w:name w:val="Table Grid15"/>
    <w:basedOn w:val="TableNormal"/>
    <w:next w:val="TableGrid"/>
    <w:uiPriority w:val="59"/>
    <w:rsid w:val="00B254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757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5">
    <w:name w:val="Grid Table 1 Light - Accent 15"/>
    <w:basedOn w:val="TableNormal"/>
    <w:next w:val="GridTable1Light-Accent1"/>
    <w:uiPriority w:val="46"/>
    <w:rsid w:val="001B6681"/>
    <w:pPr>
      <w:spacing w:after="0" w:line="240" w:lineRule="auto"/>
    </w:pPr>
    <w:rPr>
      <w:kern w:val="0"/>
      <w:lang w:val="sl-SI"/>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rsid w:val="009960D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1">
    <w:name w:val="Grid Table 6 Colorful Accent 1"/>
    <w:basedOn w:val="TableNormal"/>
    <w:uiPriority w:val="51"/>
    <w:rsid w:val="00E93DF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4">
    <w:name w:val="Plain Table 4"/>
    <w:basedOn w:val="TableNormal"/>
    <w:uiPriority w:val="44"/>
    <w:rsid w:val="0020090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5">
    <w:name w:val="Grid Table 2 Accent 5"/>
    <w:basedOn w:val="TableNormal"/>
    <w:uiPriority w:val="47"/>
    <w:rsid w:val="0020090C"/>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20090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5">
    <w:name w:val="List Table 1 Light Accent 5"/>
    <w:basedOn w:val="TableNormal"/>
    <w:uiPriority w:val="46"/>
    <w:rsid w:val="0020090C"/>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4">
    <w:name w:val="Grid Table 2 Accent 4"/>
    <w:basedOn w:val="TableNormal"/>
    <w:uiPriority w:val="47"/>
    <w:rsid w:val="004D422C"/>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D422C"/>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4D422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5">
    <w:name w:val="Grid Table 1 Light Accent 5"/>
    <w:basedOn w:val="TableNormal"/>
    <w:uiPriority w:val="46"/>
    <w:rsid w:val="004D422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39"/>
    <w:rsid w:val="0065415E"/>
    <w:pPr>
      <w:spacing w:after="0" w:line="240" w:lineRule="auto"/>
    </w:pPr>
    <w:rPr>
      <w:rFonts w:ascii="Calibri" w:eastAsia="Calibri" w:hAnsi="Calibri" w:cs="Times New Roman"/>
      <w:kern w:val="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5415E"/>
    <w:pPr>
      <w:spacing w:after="0" w:line="240" w:lineRule="auto"/>
    </w:pPr>
    <w:rPr>
      <w:rFonts w:ascii="Calibri" w:eastAsia="Calibri" w:hAnsi="Calibri" w:cs="Times New Roman"/>
      <w:kern w:val="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5415E"/>
    <w:pPr>
      <w:outlineLvl w:val="9"/>
    </w:pPr>
  </w:style>
  <w:style w:type="paragraph" w:styleId="TOC1">
    <w:name w:val="toc 1"/>
    <w:basedOn w:val="Normal"/>
    <w:next w:val="Normal"/>
    <w:autoRedefine/>
    <w:uiPriority w:val="39"/>
    <w:unhideWhenUsed/>
    <w:rsid w:val="009D0E01"/>
    <w:pPr>
      <w:spacing w:after="100"/>
    </w:pPr>
  </w:style>
  <w:style w:type="paragraph" w:styleId="TOC2">
    <w:name w:val="toc 2"/>
    <w:basedOn w:val="Normal"/>
    <w:next w:val="Normal"/>
    <w:autoRedefine/>
    <w:uiPriority w:val="39"/>
    <w:unhideWhenUsed/>
    <w:rsid w:val="009D0E01"/>
    <w:pPr>
      <w:spacing w:after="100"/>
      <w:ind w:left="220"/>
    </w:pPr>
  </w:style>
  <w:style w:type="paragraph" w:styleId="TOC3">
    <w:name w:val="toc 3"/>
    <w:basedOn w:val="Normal"/>
    <w:next w:val="Normal"/>
    <w:autoRedefine/>
    <w:uiPriority w:val="39"/>
    <w:unhideWhenUsed/>
    <w:rsid w:val="009D0E01"/>
    <w:pPr>
      <w:spacing w:after="100"/>
      <w:ind w:left="440"/>
    </w:pPr>
  </w:style>
  <w:style w:type="paragraph" w:styleId="Title">
    <w:name w:val="Title"/>
    <w:basedOn w:val="Normal"/>
    <w:next w:val="Normal"/>
    <w:link w:val="TitleChar"/>
    <w:uiPriority w:val="10"/>
    <w:qFormat/>
    <w:rsid w:val="0014031B"/>
    <w:pPr>
      <w:spacing w:before="120" w:after="80" w:line="192" w:lineRule="auto"/>
      <w:ind w:left="1134"/>
    </w:pPr>
    <w:rPr>
      <w:rFonts w:ascii="Calibri" w:eastAsia="Times New Roman" w:hAnsi="Calibri" w:cs="Times New Roman"/>
      <w:noProof/>
      <w:spacing w:val="-10"/>
      <w:kern w:val="28"/>
      <w:sz w:val="28"/>
      <w:szCs w:val="40"/>
      <w14:ligatures w14:val="none"/>
    </w:rPr>
  </w:style>
  <w:style w:type="character" w:customStyle="1" w:styleId="TitleChar">
    <w:name w:val="Title Char"/>
    <w:basedOn w:val="DefaultParagraphFont"/>
    <w:link w:val="Title"/>
    <w:uiPriority w:val="10"/>
    <w:rsid w:val="0014031B"/>
    <w:rPr>
      <w:rFonts w:ascii="Calibri" w:eastAsia="Times New Roman" w:hAnsi="Calibri" w:cs="Times New Roman"/>
      <w:noProof/>
      <w:spacing w:val="-10"/>
      <w:kern w:val="28"/>
      <w:sz w:val="28"/>
      <w:szCs w:val="40"/>
      <w14:ligatures w14:val="none"/>
    </w:rPr>
  </w:style>
  <w:style w:type="paragraph" w:styleId="BalloonText">
    <w:name w:val="Balloon Text"/>
    <w:basedOn w:val="Normal"/>
    <w:link w:val="BalloonTextChar"/>
    <w:uiPriority w:val="99"/>
    <w:semiHidden/>
    <w:unhideWhenUsed/>
    <w:rsid w:val="00150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7D4"/>
    <w:rPr>
      <w:rFonts w:ascii="Segoe UI" w:hAnsi="Segoe UI" w:cs="Segoe UI"/>
      <w:sz w:val="18"/>
      <w:szCs w:val="18"/>
    </w:rPr>
  </w:style>
  <w:style w:type="paragraph" w:styleId="Header">
    <w:name w:val="header"/>
    <w:basedOn w:val="Normal"/>
    <w:link w:val="HeaderChar"/>
    <w:uiPriority w:val="99"/>
    <w:unhideWhenUsed/>
    <w:rsid w:val="00404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BAE"/>
  </w:style>
  <w:style w:type="paragraph" w:styleId="Footer">
    <w:name w:val="footer"/>
    <w:basedOn w:val="Normal"/>
    <w:link w:val="FooterChar"/>
    <w:uiPriority w:val="99"/>
    <w:unhideWhenUsed/>
    <w:rsid w:val="00404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BAE"/>
  </w:style>
  <w:style w:type="character" w:styleId="Strong">
    <w:name w:val="Strong"/>
    <w:basedOn w:val="DefaultParagraphFont"/>
    <w:uiPriority w:val="22"/>
    <w:qFormat/>
    <w:rsid w:val="00CB2E14"/>
    <w:rPr>
      <w:b/>
      <w:bCs/>
    </w:rPr>
  </w:style>
  <w:style w:type="table" w:styleId="ListTable2-Accent1">
    <w:name w:val="List Table 2 Accent 1"/>
    <w:basedOn w:val="TableNormal"/>
    <w:uiPriority w:val="47"/>
    <w:rsid w:val="00CB2E14"/>
    <w:pPr>
      <w:spacing w:after="0" w:line="240" w:lineRule="auto"/>
    </w:pPr>
    <w:rPr>
      <w:kern w:val="0"/>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basedOn w:val="Normal"/>
    <w:next w:val="Normal"/>
    <w:link w:val="CaptionChar"/>
    <w:uiPriority w:val="35"/>
    <w:unhideWhenUsed/>
    <w:qFormat/>
    <w:rsid w:val="00CB2E14"/>
    <w:pPr>
      <w:spacing w:after="200" w:line="240" w:lineRule="auto"/>
    </w:pPr>
    <w:rPr>
      <w:i/>
      <w:iCs/>
      <w:color w:val="44546A" w:themeColor="text2"/>
      <w:kern w:val="0"/>
      <w:sz w:val="18"/>
      <w:szCs w:val="18"/>
      <w14:ligatures w14:val="none"/>
    </w:rPr>
  </w:style>
  <w:style w:type="character" w:customStyle="1" w:styleId="CaptionChar">
    <w:name w:val="Caption Char"/>
    <w:link w:val="Caption"/>
    <w:uiPriority w:val="35"/>
    <w:rsid w:val="00E05341"/>
    <w:rPr>
      <w:i/>
      <w:iCs/>
      <w:color w:val="44546A" w:themeColor="text2"/>
      <w:kern w:val="0"/>
      <w:sz w:val="18"/>
      <w:szCs w:val="18"/>
      <w14:ligatures w14:val="none"/>
    </w:rPr>
  </w:style>
  <w:style w:type="table" w:styleId="PlainTable1">
    <w:name w:val="Plain Table 1"/>
    <w:basedOn w:val="TableNormal"/>
    <w:uiPriority w:val="41"/>
    <w:rsid w:val="00CB2E1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CB2E14"/>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CB2E14"/>
    <w:pPr>
      <w:widowControl/>
      <w:spacing w:after="160"/>
    </w:pPr>
    <w:rPr>
      <w:b/>
      <w:bCs/>
      <w:lang w:val="en-US" w:eastAsia="en-US" w:bidi="ar-SA"/>
    </w:rPr>
  </w:style>
  <w:style w:type="character" w:customStyle="1" w:styleId="CommentSubjectChar">
    <w:name w:val="Comment Subject Char"/>
    <w:basedOn w:val="CommentTextChar"/>
    <w:link w:val="CommentSubject"/>
    <w:uiPriority w:val="99"/>
    <w:semiHidden/>
    <w:rsid w:val="00CB2E14"/>
    <w:rPr>
      <w:b/>
      <w:bCs/>
      <w:kern w:val="0"/>
      <w:sz w:val="20"/>
      <w:szCs w:val="20"/>
      <w:lang w:val="sr-Cyrl-CS" w:eastAsia="sr-Cyrl-CS" w:bidi="sr-Cyrl-CS"/>
      <w14:ligatures w14:val="none"/>
    </w:rPr>
  </w:style>
  <w:style w:type="table" w:styleId="ListTable1Light-Accent1">
    <w:name w:val="List Table 1 Light Accent 1"/>
    <w:basedOn w:val="TableNormal"/>
    <w:uiPriority w:val="46"/>
    <w:rsid w:val="008016D8"/>
    <w:pPr>
      <w:spacing w:after="0" w:line="240" w:lineRule="auto"/>
    </w:pPr>
    <w:rPr>
      <w:kern w:val="0"/>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8016D8"/>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11">
    <w:name w:val="Grid Table 2 - Accent 11"/>
    <w:basedOn w:val="TableNormal"/>
    <w:uiPriority w:val="47"/>
    <w:rsid w:val="00EA0E2C"/>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11">
    <w:name w:val="List Table 1 Light - Accent 11"/>
    <w:basedOn w:val="TableNormal"/>
    <w:uiPriority w:val="46"/>
    <w:rsid w:val="00EA0E2C"/>
    <w:pPr>
      <w:spacing w:after="0" w:line="240" w:lineRule="auto"/>
    </w:pPr>
    <w:rPr>
      <w:kern w:val="0"/>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uiPriority w:val="49"/>
    <w:rsid w:val="00EA0E2C"/>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1">
    <w:name w:val="Style1"/>
    <w:basedOn w:val="Normal"/>
    <w:link w:val="Style1Char"/>
    <w:qFormat/>
    <w:rsid w:val="00FD1E08"/>
    <w:rPr>
      <w:rFonts w:ascii="Garamond" w:hAnsi="Garamond"/>
      <w:b/>
      <w:color w:val="2F5496" w:themeColor="accent1" w:themeShade="BF"/>
      <w:kern w:val="0"/>
      <w:sz w:val="32"/>
      <w:szCs w:val="32"/>
      <w:lang w:val="en-GB"/>
      <w14:ligatures w14:val="none"/>
    </w:rPr>
  </w:style>
  <w:style w:type="character" w:customStyle="1" w:styleId="Style1Char">
    <w:name w:val="Style1 Char"/>
    <w:basedOn w:val="DefaultParagraphFont"/>
    <w:link w:val="Style1"/>
    <w:rsid w:val="00FD1E08"/>
    <w:rPr>
      <w:rFonts w:ascii="Garamond" w:hAnsi="Garamond"/>
      <w:b/>
      <w:color w:val="2F5496" w:themeColor="accent1" w:themeShade="BF"/>
      <w:kern w:val="0"/>
      <w:sz w:val="32"/>
      <w:szCs w:val="32"/>
      <w:lang w:val="en-GB"/>
      <w14:ligatures w14:val="none"/>
    </w:rPr>
  </w:style>
  <w:style w:type="paragraph" w:customStyle="1" w:styleId="Grafik">
    <w:name w:val="_Grafik"/>
    <w:basedOn w:val="Normal"/>
    <w:link w:val="GrafikChar"/>
    <w:qFormat/>
    <w:rsid w:val="00E05341"/>
    <w:pPr>
      <w:spacing w:after="0" w:line="240" w:lineRule="auto"/>
      <w:jc w:val="both"/>
    </w:pPr>
    <w:rPr>
      <w:rFonts w:asciiTheme="majorHAnsi" w:hAnsiTheme="majorHAnsi" w:cs="Times New Roman"/>
      <w:b/>
      <w:i/>
      <w:iCs/>
      <w:color w:val="808080" w:themeColor="background1" w:themeShade="80"/>
      <w:kern w:val="0"/>
      <w:sz w:val="18"/>
      <w:szCs w:val="18"/>
      <w14:ligatures w14:val="none"/>
    </w:rPr>
  </w:style>
  <w:style w:type="character" w:customStyle="1" w:styleId="GrafikChar">
    <w:name w:val="_Grafik Char"/>
    <w:basedOn w:val="DefaultParagraphFont"/>
    <w:link w:val="Grafik"/>
    <w:rsid w:val="00E05341"/>
    <w:rPr>
      <w:rFonts w:asciiTheme="majorHAnsi" w:hAnsiTheme="majorHAnsi" w:cs="Times New Roman"/>
      <w:b/>
      <w:i/>
      <w:iCs/>
      <w:color w:val="808080" w:themeColor="background1" w:themeShade="80"/>
      <w:kern w:val="0"/>
      <w:sz w:val="18"/>
      <w:szCs w:val="18"/>
      <w14:ligatures w14:val="none"/>
    </w:rPr>
  </w:style>
  <w:style w:type="paragraph" w:customStyle="1" w:styleId="BVIfnrChar1Char">
    <w:name w:val="BVI fnr Char1 Char"/>
    <w:aliases w:val="Footnotes refss Char1 Char,ftref Char1 Char,16 Point Char1 Char,Superscript 6 Point Char1 Char,Footnote Reference Number Char1 Char,nota pié di pagina Char1 Char,Times 10 Point Char1 Char"/>
    <w:basedOn w:val="Normal"/>
    <w:link w:val="FootnoteReference"/>
    <w:uiPriority w:val="99"/>
    <w:qFormat/>
    <w:rsid w:val="006958E2"/>
    <w:pPr>
      <w:spacing w:line="240" w:lineRule="exact"/>
      <w:jc w:val="both"/>
    </w:pPr>
    <w:rPr>
      <w:vertAlign w:val="superscript"/>
    </w:rPr>
  </w:style>
  <w:style w:type="table" w:styleId="LightShading-Accent1">
    <w:name w:val="Light Shading Accent 1"/>
    <w:basedOn w:val="TableNormal"/>
    <w:uiPriority w:val="60"/>
    <w:rsid w:val="006958E2"/>
    <w:pPr>
      <w:spacing w:after="0" w:line="240" w:lineRule="auto"/>
    </w:pPr>
    <w:rPr>
      <w:rFonts w:eastAsiaTheme="minorEastAsia"/>
      <w:color w:val="2F5496" w:themeColor="accent1" w:themeShade="BF"/>
      <w:kern w:val="0"/>
      <w:lang w:val="en-GB" w:eastAsia="en-GB"/>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1Light-Accent2">
    <w:name w:val="Grid Table 1 Light Accent 2"/>
    <w:basedOn w:val="TableNormal"/>
    <w:uiPriority w:val="46"/>
    <w:rsid w:val="00346BE3"/>
    <w:pPr>
      <w:spacing w:after="0" w:line="240" w:lineRule="auto"/>
    </w:pPr>
    <w:rPr>
      <w:kern w:val="0"/>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ListTable6Colorful-Accent4">
    <w:name w:val="List Table 6 Colorful Accent 4"/>
    <w:basedOn w:val="TableNormal"/>
    <w:uiPriority w:val="51"/>
    <w:rsid w:val="00346BE3"/>
    <w:pPr>
      <w:spacing w:after="0" w:line="240" w:lineRule="auto"/>
    </w:pPr>
    <w:rPr>
      <w:color w:val="BF8F00" w:themeColor="accent4" w:themeShade="BF"/>
      <w:kern w:val="0"/>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2">
    <w:name w:val="Grid Table 2 Accent 2"/>
    <w:basedOn w:val="TableNormal"/>
    <w:uiPriority w:val="47"/>
    <w:rsid w:val="00346BE3"/>
    <w:pPr>
      <w:spacing w:after="0" w:line="240" w:lineRule="auto"/>
    </w:pPr>
    <w:rPr>
      <w:kern w:val="0"/>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53">
      <w:bodyDiv w:val="1"/>
      <w:marLeft w:val="0"/>
      <w:marRight w:val="0"/>
      <w:marTop w:val="0"/>
      <w:marBottom w:val="0"/>
      <w:divBdr>
        <w:top w:val="none" w:sz="0" w:space="0" w:color="auto"/>
        <w:left w:val="none" w:sz="0" w:space="0" w:color="auto"/>
        <w:bottom w:val="none" w:sz="0" w:space="0" w:color="auto"/>
        <w:right w:val="none" w:sz="0" w:space="0" w:color="auto"/>
      </w:divBdr>
    </w:div>
    <w:div w:id="68576352">
      <w:bodyDiv w:val="1"/>
      <w:marLeft w:val="0"/>
      <w:marRight w:val="0"/>
      <w:marTop w:val="0"/>
      <w:marBottom w:val="0"/>
      <w:divBdr>
        <w:top w:val="none" w:sz="0" w:space="0" w:color="auto"/>
        <w:left w:val="none" w:sz="0" w:space="0" w:color="auto"/>
        <w:bottom w:val="none" w:sz="0" w:space="0" w:color="auto"/>
        <w:right w:val="none" w:sz="0" w:space="0" w:color="auto"/>
      </w:divBdr>
    </w:div>
    <w:div w:id="197402244">
      <w:bodyDiv w:val="1"/>
      <w:marLeft w:val="0"/>
      <w:marRight w:val="0"/>
      <w:marTop w:val="0"/>
      <w:marBottom w:val="0"/>
      <w:divBdr>
        <w:top w:val="none" w:sz="0" w:space="0" w:color="auto"/>
        <w:left w:val="none" w:sz="0" w:space="0" w:color="auto"/>
        <w:bottom w:val="none" w:sz="0" w:space="0" w:color="auto"/>
        <w:right w:val="none" w:sz="0" w:space="0" w:color="auto"/>
      </w:divBdr>
      <w:divsChild>
        <w:div w:id="669337934">
          <w:marLeft w:val="0"/>
          <w:marRight w:val="0"/>
          <w:marTop w:val="0"/>
          <w:marBottom w:val="0"/>
          <w:divBdr>
            <w:top w:val="none" w:sz="0" w:space="0" w:color="auto"/>
            <w:left w:val="none" w:sz="0" w:space="0" w:color="auto"/>
            <w:bottom w:val="none" w:sz="0" w:space="0" w:color="auto"/>
            <w:right w:val="none" w:sz="0" w:space="0" w:color="auto"/>
          </w:divBdr>
          <w:divsChild>
            <w:div w:id="1918133152">
              <w:marLeft w:val="0"/>
              <w:marRight w:val="0"/>
              <w:marTop w:val="0"/>
              <w:marBottom w:val="0"/>
              <w:divBdr>
                <w:top w:val="none" w:sz="0" w:space="0" w:color="auto"/>
                <w:left w:val="none" w:sz="0" w:space="0" w:color="auto"/>
                <w:bottom w:val="none" w:sz="0" w:space="0" w:color="auto"/>
                <w:right w:val="none" w:sz="0" w:space="0" w:color="auto"/>
              </w:divBdr>
              <w:divsChild>
                <w:div w:id="1482114539">
                  <w:marLeft w:val="0"/>
                  <w:marRight w:val="0"/>
                  <w:marTop w:val="0"/>
                  <w:marBottom w:val="0"/>
                  <w:divBdr>
                    <w:top w:val="none" w:sz="0" w:space="0" w:color="auto"/>
                    <w:left w:val="none" w:sz="0" w:space="0" w:color="auto"/>
                    <w:bottom w:val="none" w:sz="0" w:space="0" w:color="auto"/>
                    <w:right w:val="none" w:sz="0" w:space="0" w:color="auto"/>
                  </w:divBdr>
                  <w:divsChild>
                    <w:div w:id="2146778035">
                      <w:marLeft w:val="0"/>
                      <w:marRight w:val="0"/>
                      <w:marTop w:val="0"/>
                      <w:marBottom w:val="0"/>
                      <w:divBdr>
                        <w:top w:val="none" w:sz="0" w:space="0" w:color="auto"/>
                        <w:left w:val="none" w:sz="0" w:space="0" w:color="auto"/>
                        <w:bottom w:val="none" w:sz="0" w:space="0" w:color="auto"/>
                        <w:right w:val="none" w:sz="0" w:space="0" w:color="auto"/>
                      </w:divBdr>
                      <w:divsChild>
                        <w:div w:id="709112505">
                          <w:marLeft w:val="0"/>
                          <w:marRight w:val="0"/>
                          <w:marTop w:val="0"/>
                          <w:marBottom w:val="0"/>
                          <w:divBdr>
                            <w:top w:val="none" w:sz="0" w:space="0" w:color="auto"/>
                            <w:left w:val="none" w:sz="0" w:space="0" w:color="auto"/>
                            <w:bottom w:val="none" w:sz="0" w:space="0" w:color="auto"/>
                            <w:right w:val="none" w:sz="0" w:space="0" w:color="auto"/>
                          </w:divBdr>
                          <w:divsChild>
                            <w:div w:id="2009670139">
                              <w:marLeft w:val="0"/>
                              <w:marRight w:val="0"/>
                              <w:marTop w:val="0"/>
                              <w:marBottom w:val="0"/>
                              <w:divBdr>
                                <w:top w:val="none" w:sz="0" w:space="0" w:color="auto"/>
                                <w:left w:val="none" w:sz="0" w:space="0" w:color="auto"/>
                                <w:bottom w:val="none" w:sz="0" w:space="0" w:color="auto"/>
                                <w:right w:val="none" w:sz="0" w:space="0" w:color="auto"/>
                              </w:divBdr>
                              <w:divsChild>
                                <w:div w:id="1688943413">
                                  <w:marLeft w:val="0"/>
                                  <w:marRight w:val="0"/>
                                  <w:marTop w:val="0"/>
                                  <w:marBottom w:val="0"/>
                                  <w:divBdr>
                                    <w:top w:val="none" w:sz="0" w:space="0" w:color="auto"/>
                                    <w:left w:val="none" w:sz="0" w:space="0" w:color="auto"/>
                                    <w:bottom w:val="none" w:sz="0" w:space="0" w:color="auto"/>
                                    <w:right w:val="none" w:sz="0" w:space="0" w:color="auto"/>
                                  </w:divBdr>
                                  <w:divsChild>
                                    <w:div w:id="605429081">
                                      <w:marLeft w:val="0"/>
                                      <w:marRight w:val="0"/>
                                      <w:marTop w:val="0"/>
                                      <w:marBottom w:val="0"/>
                                      <w:divBdr>
                                        <w:top w:val="none" w:sz="0" w:space="0" w:color="auto"/>
                                        <w:left w:val="none" w:sz="0" w:space="0" w:color="auto"/>
                                        <w:bottom w:val="none" w:sz="0" w:space="0" w:color="auto"/>
                                        <w:right w:val="none" w:sz="0" w:space="0" w:color="auto"/>
                                      </w:divBdr>
                                    </w:div>
                                    <w:div w:id="1117258004">
                                      <w:marLeft w:val="0"/>
                                      <w:marRight w:val="0"/>
                                      <w:marTop w:val="0"/>
                                      <w:marBottom w:val="0"/>
                                      <w:divBdr>
                                        <w:top w:val="none" w:sz="0" w:space="0" w:color="auto"/>
                                        <w:left w:val="none" w:sz="0" w:space="0" w:color="auto"/>
                                        <w:bottom w:val="none" w:sz="0" w:space="0" w:color="auto"/>
                                        <w:right w:val="none" w:sz="0" w:space="0" w:color="auto"/>
                                      </w:divBdr>
                                      <w:divsChild>
                                        <w:div w:id="718942380">
                                          <w:marLeft w:val="0"/>
                                          <w:marRight w:val="165"/>
                                          <w:marTop w:val="150"/>
                                          <w:marBottom w:val="0"/>
                                          <w:divBdr>
                                            <w:top w:val="none" w:sz="0" w:space="0" w:color="auto"/>
                                            <w:left w:val="none" w:sz="0" w:space="0" w:color="auto"/>
                                            <w:bottom w:val="none" w:sz="0" w:space="0" w:color="auto"/>
                                            <w:right w:val="none" w:sz="0" w:space="0" w:color="auto"/>
                                          </w:divBdr>
                                          <w:divsChild>
                                            <w:div w:id="1232302823">
                                              <w:marLeft w:val="0"/>
                                              <w:marRight w:val="0"/>
                                              <w:marTop w:val="0"/>
                                              <w:marBottom w:val="0"/>
                                              <w:divBdr>
                                                <w:top w:val="none" w:sz="0" w:space="0" w:color="auto"/>
                                                <w:left w:val="none" w:sz="0" w:space="0" w:color="auto"/>
                                                <w:bottom w:val="none" w:sz="0" w:space="0" w:color="auto"/>
                                                <w:right w:val="none" w:sz="0" w:space="0" w:color="auto"/>
                                              </w:divBdr>
                                              <w:divsChild>
                                                <w:div w:id="17222493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8748887">
      <w:bodyDiv w:val="1"/>
      <w:marLeft w:val="0"/>
      <w:marRight w:val="0"/>
      <w:marTop w:val="0"/>
      <w:marBottom w:val="0"/>
      <w:divBdr>
        <w:top w:val="none" w:sz="0" w:space="0" w:color="auto"/>
        <w:left w:val="none" w:sz="0" w:space="0" w:color="auto"/>
        <w:bottom w:val="none" w:sz="0" w:space="0" w:color="auto"/>
        <w:right w:val="none" w:sz="0" w:space="0" w:color="auto"/>
      </w:divBdr>
    </w:div>
    <w:div w:id="498233545">
      <w:bodyDiv w:val="1"/>
      <w:marLeft w:val="0"/>
      <w:marRight w:val="0"/>
      <w:marTop w:val="0"/>
      <w:marBottom w:val="0"/>
      <w:divBdr>
        <w:top w:val="none" w:sz="0" w:space="0" w:color="auto"/>
        <w:left w:val="none" w:sz="0" w:space="0" w:color="auto"/>
        <w:bottom w:val="none" w:sz="0" w:space="0" w:color="auto"/>
        <w:right w:val="none" w:sz="0" w:space="0" w:color="auto"/>
      </w:divBdr>
    </w:div>
    <w:div w:id="625745703">
      <w:bodyDiv w:val="1"/>
      <w:marLeft w:val="0"/>
      <w:marRight w:val="0"/>
      <w:marTop w:val="0"/>
      <w:marBottom w:val="0"/>
      <w:divBdr>
        <w:top w:val="none" w:sz="0" w:space="0" w:color="auto"/>
        <w:left w:val="none" w:sz="0" w:space="0" w:color="auto"/>
        <w:bottom w:val="none" w:sz="0" w:space="0" w:color="auto"/>
        <w:right w:val="none" w:sz="0" w:space="0" w:color="auto"/>
      </w:divBdr>
    </w:div>
    <w:div w:id="648945774">
      <w:bodyDiv w:val="1"/>
      <w:marLeft w:val="0"/>
      <w:marRight w:val="0"/>
      <w:marTop w:val="0"/>
      <w:marBottom w:val="0"/>
      <w:divBdr>
        <w:top w:val="none" w:sz="0" w:space="0" w:color="auto"/>
        <w:left w:val="none" w:sz="0" w:space="0" w:color="auto"/>
        <w:bottom w:val="none" w:sz="0" w:space="0" w:color="auto"/>
        <w:right w:val="none" w:sz="0" w:space="0" w:color="auto"/>
      </w:divBdr>
    </w:div>
    <w:div w:id="718478181">
      <w:bodyDiv w:val="1"/>
      <w:marLeft w:val="0"/>
      <w:marRight w:val="0"/>
      <w:marTop w:val="0"/>
      <w:marBottom w:val="0"/>
      <w:divBdr>
        <w:top w:val="none" w:sz="0" w:space="0" w:color="auto"/>
        <w:left w:val="none" w:sz="0" w:space="0" w:color="auto"/>
        <w:bottom w:val="none" w:sz="0" w:space="0" w:color="auto"/>
        <w:right w:val="none" w:sz="0" w:space="0" w:color="auto"/>
      </w:divBdr>
    </w:div>
    <w:div w:id="954285458">
      <w:bodyDiv w:val="1"/>
      <w:marLeft w:val="0"/>
      <w:marRight w:val="0"/>
      <w:marTop w:val="0"/>
      <w:marBottom w:val="0"/>
      <w:divBdr>
        <w:top w:val="none" w:sz="0" w:space="0" w:color="auto"/>
        <w:left w:val="none" w:sz="0" w:space="0" w:color="auto"/>
        <w:bottom w:val="none" w:sz="0" w:space="0" w:color="auto"/>
        <w:right w:val="none" w:sz="0" w:space="0" w:color="auto"/>
      </w:divBdr>
    </w:div>
    <w:div w:id="970356193">
      <w:bodyDiv w:val="1"/>
      <w:marLeft w:val="0"/>
      <w:marRight w:val="0"/>
      <w:marTop w:val="0"/>
      <w:marBottom w:val="0"/>
      <w:divBdr>
        <w:top w:val="none" w:sz="0" w:space="0" w:color="auto"/>
        <w:left w:val="none" w:sz="0" w:space="0" w:color="auto"/>
        <w:bottom w:val="none" w:sz="0" w:space="0" w:color="auto"/>
        <w:right w:val="none" w:sz="0" w:space="0" w:color="auto"/>
      </w:divBdr>
    </w:div>
    <w:div w:id="1161000285">
      <w:bodyDiv w:val="1"/>
      <w:marLeft w:val="0"/>
      <w:marRight w:val="0"/>
      <w:marTop w:val="0"/>
      <w:marBottom w:val="0"/>
      <w:divBdr>
        <w:top w:val="none" w:sz="0" w:space="0" w:color="auto"/>
        <w:left w:val="none" w:sz="0" w:space="0" w:color="auto"/>
        <w:bottom w:val="none" w:sz="0" w:space="0" w:color="auto"/>
        <w:right w:val="none" w:sz="0" w:space="0" w:color="auto"/>
      </w:divBdr>
    </w:div>
    <w:div w:id="1376735796">
      <w:bodyDiv w:val="1"/>
      <w:marLeft w:val="0"/>
      <w:marRight w:val="0"/>
      <w:marTop w:val="0"/>
      <w:marBottom w:val="0"/>
      <w:divBdr>
        <w:top w:val="none" w:sz="0" w:space="0" w:color="auto"/>
        <w:left w:val="none" w:sz="0" w:space="0" w:color="auto"/>
        <w:bottom w:val="none" w:sz="0" w:space="0" w:color="auto"/>
        <w:right w:val="none" w:sz="0" w:space="0" w:color="auto"/>
      </w:divBdr>
    </w:div>
    <w:div w:id="1620526706">
      <w:bodyDiv w:val="1"/>
      <w:marLeft w:val="0"/>
      <w:marRight w:val="0"/>
      <w:marTop w:val="0"/>
      <w:marBottom w:val="0"/>
      <w:divBdr>
        <w:top w:val="none" w:sz="0" w:space="0" w:color="auto"/>
        <w:left w:val="none" w:sz="0" w:space="0" w:color="auto"/>
        <w:bottom w:val="none" w:sz="0" w:space="0" w:color="auto"/>
        <w:right w:val="none" w:sz="0" w:space="0" w:color="auto"/>
      </w:divBdr>
    </w:div>
    <w:div w:id="1666326121">
      <w:bodyDiv w:val="1"/>
      <w:marLeft w:val="0"/>
      <w:marRight w:val="0"/>
      <w:marTop w:val="0"/>
      <w:marBottom w:val="0"/>
      <w:divBdr>
        <w:top w:val="none" w:sz="0" w:space="0" w:color="auto"/>
        <w:left w:val="none" w:sz="0" w:space="0" w:color="auto"/>
        <w:bottom w:val="none" w:sz="0" w:space="0" w:color="auto"/>
        <w:right w:val="none" w:sz="0" w:space="0" w:color="auto"/>
      </w:divBdr>
    </w:div>
    <w:div w:id="1671523850">
      <w:bodyDiv w:val="1"/>
      <w:marLeft w:val="0"/>
      <w:marRight w:val="0"/>
      <w:marTop w:val="0"/>
      <w:marBottom w:val="0"/>
      <w:divBdr>
        <w:top w:val="none" w:sz="0" w:space="0" w:color="auto"/>
        <w:left w:val="none" w:sz="0" w:space="0" w:color="auto"/>
        <w:bottom w:val="none" w:sz="0" w:space="0" w:color="auto"/>
        <w:right w:val="none" w:sz="0" w:space="0" w:color="auto"/>
      </w:divBdr>
    </w:div>
    <w:div w:id="1885870763">
      <w:bodyDiv w:val="1"/>
      <w:marLeft w:val="0"/>
      <w:marRight w:val="0"/>
      <w:marTop w:val="0"/>
      <w:marBottom w:val="0"/>
      <w:divBdr>
        <w:top w:val="none" w:sz="0" w:space="0" w:color="auto"/>
        <w:left w:val="none" w:sz="0" w:space="0" w:color="auto"/>
        <w:bottom w:val="none" w:sz="0" w:space="0" w:color="auto"/>
        <w:right w:val="none" w:sz="0" w:space="0" w:color="auto"/>
      </w:divBdr>
    </w:div>
    <w:div w:id="207639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hart" Target="charts/chart7.xml"/><Relationship Id="rId26" Type="http://schemas.openxmlformats.org/officeDocument/2006/relationships/chart" Target="charts/chart15.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6.xml"/><Relationship Id="rId25" Type="http://schemas.openxmlformats.org/officeDocument/2006/relationships/chart" Target="charts/chart14.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3.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microsoft.com/office/2016/09/relationships/commentsIds" Target="commentsIds.xml"/><Relationship Id="rId10" Type="http://schemas.openxmlformats.org/officeDocument/2006/relationships/chart" Target="charts/chart2.xml"/><Relationship Id="rId19" Type="http://schemas.openxmlformats.org/officeDocument/2006/relationships/chart" Target="charts/chart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fontTable" Target="fontTable.xml"/><Relationship Id="rId35" Type="http://schemas.microsoft.com/office/2018/08/relationships/commentsExtensible" Target="commentsExtensible.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worldbank.org/en/region/eca/publication/western-balkans-regular-economic-report" TargetMode="External"/><Relationship Id="rId2" Type="http://schemas.openxmlformats.org/officeDocument/2006/relationships/hyperlink" Target="https://economy-finance.ec.europa.eu/economic-forecast-and-surveys/economic-forecasts/autumn-2024-economic-forecast-gradual-rebound-adverse-environment_en" TargetMode="External"/><Relationship Id="rId1" Type="http://schemas.openxmlformats.org/officeDocument/2006/relationships/hyperlink" Target="https://www.imf.org/en/Publications/WEO/Issues/2024/10/22/world-economic-outlook-october-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Win%2010\Downloads\MMM_b33_nov_2024.xlsm"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C:\Users\katarina.zivkovic\Desktop\Javni%20dug\PER\PER%202024\EXCEL-GRAFICI%20ZA%20PER%202022%2024.11.2023..xlsx" TargetMode="External"/><Relationship Id="rId2" Type="http://schemas.microsoft.com/office/2011/relationships/chartColorStyle" Target="colors7.xml"/><Relationship Id="rId1" Type="http://schemas.microsoft.com/office/2011/relationships/chartStyle" Target="style7.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katarina.zivkovic\Desktop\Copy%20of%20grafici%20za%20dr&#382;avni%20dug%2030.06.2024_%2024.jul%202024.%20godine.xlsx" TargetMode="External"/><Relationship Id="rId2" Type="http://schemas.microsoft.com/office/2011/relationships/chartColorStyle" Target="colors8.xml"/><Relationship Id="rId1" Type="http://schemas.microsoft.com/office/2011/relationships/chartStyle" Target="style8.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katarina.zivkovic\Desktop\Javni%20dug\Pododbor\2024\Grafici%20za%20kvartalni%20izvje&#353;taj%20o%20dugu%20%2030.09.2024.xlsx" TargetMode="External"/><Relationship Id="rId2" Type="http://schemas.microsoft.com/office/2011/relationships/chartColorStyle" Target="colors9.xml"/><Relationship Id="rId1" Type="http://schemas.microsoft.com/office/2011/relationships/chartStyle" Target="style9.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katarina.zivkovic\Desktop\Copy%20of%20grafici%20za%20dr&#382;avni%20dug%2030.06.2024_%2024.jul%202024.%20godine.xlsx" TargetMode="External"/><Relationship Id="rId2" Type="http://schemas.microsoft.com/office/2011/relationships/chartColorStyle" Target="colors10.xml"/><Relationship Id="rId1" Type="http://schemas.microsoft.com/office/2011/relationships/chartStyle" Target="style10.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katarina.zivkovic\Desktop\Javni%20dug\Pododbor\2024\Grafici%20za%20kvartalni%20izvje&#353;taj%20o%20dugu%20%2030.09.2024.xlsx" TargetMode="External"/><Relationship Id="rId2" Type="http://schemas.microsoft.com/office/2011/relationships/chartColorStyle" Target="colors11.xml"/><Relationship Id="rId1" Type="http://schemas.microsoft.com/office/2011/relationships/chartStyle" Target="style11.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katarina.zivkovic\Desktop\Javni%20dug\PER\PER%202024\EXCEL-GRAFICI%20ZA%20PER%202022%2024.11.2023..xlsx" TargetMode="External"/><Relationship Id="rId2" Type="http://schemas.microsoft.com/office/2011/relationships/chartColorStyle" Target="colors12.xml"/><Relationship Id="rId1" Type="http://schemas.microsoft.com/office/2011/relationships/chartStyle" Target="style12.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katarina.zivkovic\Desktop\Javni%20dug\Pododbor\2024\Grafici%20za%20kvartalni%20izvje&#353;taj%20o%20dugu%20%2030.09.2024.xlsx" TargetMode="External"/><Relationship Id="rId2" Type="http://schemas.microsoft.com/office/2011/relationships/chartColorStyle" Target="colors13.xml"/><Relationship Id="rId1" Type="http://schemas.microsoft.com/office/2011/relationships/chartStyle" Target="style13.xm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milos.miskovic\Desktop\Makroekonomske%20projekcije%202024-2027.xlsm"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Win%2010\Downloads\Makroekonomske%20projekcije%202024-2027.xlsm"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Win%2010\Downloads\MMM_b33_nov_2024.xlsm" TargetMode="Externa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katarina.zivkovic\Desktop\Javni%20dug\PER\PER%202024\EXCEL-GRAFICI%20ZA%20PER%202022%2024.11.2023..xlsx" TargetMode="External"/><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katarina.zivkovic\Desktop\Javni%20dug\PER\PER%202024\EXCEL-GRAFICI%20ZA%20PER%202022%2024.11.2023..xlsx" TargetMode="External"/><Relationship Id="rId2" Type="http://schemas.microsoft.com/office/2011/relationships/chartColorStyle" Target="colors5.xml"/><Relationship Id="rId1" Type="http://schemas.microsoft.com/office/2011/relationships/chartStyle" Target="style5.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katarina.zivkovic\Desktop\Javni%20dug\PER\PER%202024\EXCEL-GRAFICI%20ZA%20PER%202022%2024.11.2023..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lineChart>
        <c:grouping val="standard"/>
        <c:varyColors val="0"/>
        <c:ser>
          <c:idx val="0"/>
          <c:order val="0"/>
          <c:cat>
            <c:numRef>
              <c:f>[MMM_b33_nov_2024.xlsm]Growth!$D$1:$X$1</c:f>
              <c:numCache>
                <c:formatCode>General</c:formatCode>
                <c:ptCount val="21"/>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pt idx="19">
                  <c:v>2026</c:v>
                </c:pt>
                <c:pt idx="20">
                  <c:v>2027</c:v>
                </c:pt>
              </c:numCache>
            </c:numRef>
          </c:cat>
          <c:val>
            <c:numRef>
              <c:f>[MMM_b33_nov_2024.xlsm]Growth!$D$29:$X$29</c:f>
              <c:numCache>
                <c:formatCode>0.0%</c:formatCode>
                <c:ptCount val="21"/>
                <c:pt idx="0">
                  <c:v>3.793634436464921E-2</c:v>
                </c:pt>
                <c:pt idx="1">
                  <c:v>4.4289665916263932E-2</c:v>
                </c:pt>
                <c:pt idx="2">
                  <c:v>-4.5972517616850395E-2</c:v>
                </c:pt>
                <c:pt idx="3">
                  <c:v>-3.7804629092031194E-2</c:v>
                </c:pt>
                <c:pt idx="4">
                  <c:v>4.7375404146849931E-3</c:v>
                </c:pt>
                <c:pt idx="5">
                  <c:v>-3.2756148300968402E-2</c:v>
                </c:pt>
                <c:pt idx="6">
                  <c:v>-1.2171942547244186E-2</c:v>
                </c:pt>
                <c:pt idx="7">
                  <c:v>-7.3175210869298457E-3</c:v>
                </c:pt>
                <c:pt idx="8">
                  <c:v>1.0415101156449724E-2</c:v>
                </c:pt>
                <c:pt idx="9">
                  <c:v>1.3506290595518999E-2</c:v>
                </c:pt>
                <c:pt idx="10">
                  <c:v>2.9812205027899941E-2</c:v>
                </c:pt>
                <c:pt idx="11">
                  <c:v>4.7133870919146892E-2</c:v>
                </c:pt>
                <c:pt idx="12">
                  <c:v>5.9170276292846324E-2</c:v>
                </c:pt>
                <c:pt idx="13">
                  <c:v>-0.11977169925736686</c:v>
                </c:pt>
                <c:pt idx="14">
                  <c:v>-1.5672675191718444E-2</c:v>
                </c:pt>
                <c:pt idx="15">
                  <c:v>-1.0241057663623376E-2</c:v>
                </c:pt>
                <c:pt idx="16">
                  <c:v>2.1950054324926693E-2</c:v>
                </c:pt>
                <c:pt idx="17">
                  <c:v>3.1576494984538517E-2</c:v>
                </c:pt>
                <c:pt idx="18">
                  <c:v>4.7440563449513862E-2</c:v>
                </c:pt>
                <c:pt idx="19">
                  <c:v>4.704881219973589E-2</c:v>
                </c:pt>
                <c:pt idx="20">
                  <c:v>4.8359383192287497E-2</c:v>
                </c:pt>
              </c:numCache>
            </c:numRef>
          </c:val>
          <c:smooth val="1"/>
          <c:extLst>
            <c:ext xmlns:c16="http://schemas.microsoft.com/office/drawing/2014/chart" uri="{C3380CC4-5D6E-409C-BE32-E72D297353CC}">
              <c16:uniqueId val="{00000000-C7DE-49F8-86BA-DC6F1487F519}"/>
            </c:ext>
          </c:extLst>
        </c:ser>
        <c:dLbls>
          <c:showLegendKey val="0"/>
          <c:showVal val="0"/>
          <c:showCatName val="0"/>
          <c:showSerName val="0"/>
          <c:showPercent val="0"/>
          <c:showBubbleSize val="0"/>
        </c:dLbls>
        <c:marker val="1"/>
        <c:smooth val="0"/>
        <c:axId val="234646528"/>
        <c:axId val="234652416"/>
      </c:lineChart>
      <c:catAx>
        <c:axId val="234646528"/>
        <c:scaling>
          <c:orientation val="minMax"/>
        </c:scaling>
        <c:delete val="0"/>
        <c:axPos val="b"/>
        <c:numFmt formatCode="General" sourceLinked="1"/>
        <c:majorTickMark val="none"/>
        <c:minorTickMark val="none"/>
        <c:tickLblPos val="low"/>
        <c:txPr>
          <a:bodyPr rot="-60000000" vert="horz"/>
          <a:lstStyle/>
          <a:p>
            <a:pPr>
              <a:defRPr sz="800"/>
            </a:pPr>
            <a:endParaRPr lang="en-US"/>
          </a:p>
        </c:txPr>
        <c:crossAx val="234652416"/>
        <c:crosses val="autoZero"/>
        <c:auto val="1"/>
        <c:lblAlgn val="ctr"/>
        <c:lblOffset val="100"/>
        <c:tickLblSkip val="2"/>
        <c:tickMarkSkip val="2"/>
        <c:noMultiLvlLbl val="0"/>
      </c:catAx>
      <c:valAx>
        <c:axId val="234652416"/>
        <c:scaling>
          <c:orientation val="minMax"/>
        </c:scaling>
        <c:delete val="0"/>
        <c:axPos val="l"/>
        <c:numFmt formatCode="0.0%" sourceLinked="1"/>
        <c:majorTickMark val="none"/>
        <c:minorTickMark val="none"/>
        <c:tickLblPos val="nextTo"/>
        <c:txPr>
          <a:bodyPr rot="-60000000" vert="horz"/>
          <a:lstStyle/>
          <a:p>
            <a:pPr>
              <a:defRPr sz="900"/>
            </a:pPr>
            <a:endParaRPr lang="en-US"/>
          </a:p>
        </c:txPr>
        <c:crossAx val="234646528"/>
        <c:crosses val="autoZero"/>
        <c:crossBetween val="between"/>
      </c:valAx>
      <c:spPr>
        <a:noFill/>
        <a:ln w="25400">
          <a:noFill/>
        </a:ln>
      </c:spPr>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mn-lt"/>
                <a:ea typeface="+mn-ea"/>
                <a:cs typeface="+mn-cs"/>
              </a:defRPr>
            </a:pPr>
            <a:r>
              <a:rPr lang="sr-Latn-ME" sz="900" b="1">
                <a:solidFill>
                  <a:schemeClr val="accent4">
                    <a:lumMod val="50000"/>
                  </a:schemeClr>
                </a:solidFill>
                <a:effectLst/>
                <a:latin typeface="Cambria" panose="02040503050406030204" pitchFamily="18" charset="0"/>
                <a:ea typeface="Cambria" panose="02040503050406030204" pitchFamily="18" charset="0"/>
              </a:rPr>
              <a:t>Grafik br. 4: Struktura domaćeg duga na 30.09.2024. godine</a:t>
            </a:r>
            <a:endParaRPr lang="en-US" sz="900" b="1">
              <a:solidFill>
                <a:schemeClr val="accent4">
                  <a:lumMod val="50000"/>
                </a:schemeClr>
              </a:solidFill>
              <a:effectLst/>
              <a:latin typeface="Cambria" panose="02040503050406030204" pitchFamily="18" charset="0"/>
              <a:ea typeface="Cambria" panose="020405030504060302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0325341318969392E-2"/>
          <c:y val="0.25096748323126278"/>
          <c:w val="0.4142956917748587"/>
          <c:h val="0.6314173228346458"/>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1051-4385-AD0F-91A4F86A7C3A}"/>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1051-4385-AD0F-91A4F86A7C3A}"/>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1051-4385-AD0F-91A4F86A7C3A}"/>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1051-4385-AD0F-91A4F86A7C3A}"/>
              </c:ext>
            </c:extLst>
          </c:dPt>
          <c:dPt>
            <c:idx val="4"/>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1051-4385-AD0F-91A4F86A7C3A}"/>
              </c:ext>
            </c:extLst>
          </c:dPt>
          <c:dPt>
            <c:idx val="5"/>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1051-4385-AD0F-91A4F86A7C3A}"/>
              </c:ext>
            </c:extLst>
          </c:dPt>
          <c:dLbls>
            <c:dLbl>
              <c:idx val="4"/>
              <c:layout>
                <c:manualLayout>
                  <c:x val="-0.13390316394175561"/>
                  <c:y val="-0.1232493540878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051-4385-AD0F-91A4F86A7C3A}"/>
                </c:ext>
              </c:extLst>
            </c:dLbl>
            <c:dLbl>
              <c:idx val="5"/>
              <c:layout>
                <c:manualLayout>
                  <c:x val="9.6866118596163578E-2"/>
                  <c:y val="-0.145658327558317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051-4385-AD0F-91A4F86A7C3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'4 grafik'!$F$17:$F$22</c:f>
              <c:strCache>
                <c:ptCount val="6"/>
                <c:pt idx="0">
                  <c:v>Krediti kod poslovnih banaka</c:v>
                </c:pt>
                <c:pt idx="1">
                  <c:v>Domaće obveznice</c:v>
                </c:pt>
                <c:pt idx="2">
                  <c:v>Obaveze po osnovu obeštećenja</c:v>
                </c:pt>
                <c:pt idx="3">
                  <c:v>Pravna lica i privredna društva</c:v>
                </c:pt>
                <c:pt idx="4">
                  <c:v>Stara devizna štednja</c:v>
                </c:pt>
                <c:pt idx="5">
                  <c:v>Zaostale penzije</c:v>
                </c:pt>
              </c:strCache>
            </c:strRef>
          </c:cat>
          <c:val>
            <c:numRef>
              <c:f>'4 grafik'!$G$17:$G$22</c:f>
              <c:numCache>
                <c:formatCode>0.0%</c:formatCode>
                <c:ptCount val="6"/>
                <c:pt idx="0">
                  <c:v>0.53674820466786366</c:v>
                </c:pt>
                <c:pt idx="1">
                  <c:v>0.14026032315978457</c:v>
                </c:pt>
                <c:pt idx="2">
                  <c:v>0.21055879712746861</c:v>
                </c:pt>
                <c:pt idx="3">
                  <c:v>7.8770197486535007E-2</c:v>
                </c:pt>
                <c:pt idx="4">
                  <c:v>2.8360637342908439E-2</c:v>
                </c:pt>
                <c:pt idx="5">
                  <c:v>5.3018402154398564E-3</c:v>
                </c:pt>
              </c:numCache>
            </c:numRef>
          </c:val>
          <c:extLst>
            <c:ext xmlns:c16="http://schemas.microsoft.com/office/drawing/2014/chart" uri="{C3380CC4-5D6E-409C-BE32-E72D297353CC}">
              <c16:uniqueId val="{0000000C-1051-4385-AD0F-91A4F86A7C3A}"/>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5544671475446451"/>
          <c:y val="0.2144634004082823"/>
          <c:w val="0.32688722377444757"/>
          <c:h val="0.7708398950131233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050" b="1" i="0" u="none" strike="noStrike" kern="1200" baseline="0">
                <a:solidFill>
                  <a:schemeClr val="tx2"/>
                </a:solidFill>
                <a:latin typeface="+mn-lt"/>
                <a:ea typeface="+mn-ea"/>
                <a:cs typeface="+mn-cs"/>
              </a:defRPr>
            </a:pPr>
            <a:r>
              <a:rPr lang="sr-Latn-RS" sz="900">
                <a:solidFill>
                  <a:schemeClr val="accent4">
                    <a:lumMod val="50000"/>
                  </a:schemeClr>
                </a:solidFill>
                <a:latin typeface="Cambria" panose="02040503050406030204" pitchFamily="18" charset="0"/>
                <a:ea typeface="Cambria" panose="02040503050406030204" pitchFamily="18" charset="0"/>
              </a:rPr>
              <a:t>Grafik  br. 5</a:t>
            </a:r>
            <a:r>
              <a:rPr lang="sr-Latn-ME" sz="900">
                <a:solidFill>
                  <a:schemeClr val="accent4">
                    <a:lumMod val="50000"/>
                  </a:schemeClr>
                </a:solidFill>
                <a:latin typeface="Cambria" panose="02040503050406030204" pitchFamily="18" charset="0"/>
                <a:ea typeface="Cambria" panose="02040503050406030204" pitchFamily="18" charset="0"/>
              </a:rPr>
              <a:t>:</a:t>
            </a:r>
            <a:r>
              <a:rPr lang="sr-Latn-RS" sz="900">
                <a:solidFill>
                  <a:schemeClr val="accent4">
                    <a:lumMod val="50000"/>
                  </a:schemeClr>
                </a:solidFill>
                <a:latin typeface="Cambria" panose="02040503050406030204" pitchFamily="18" charset="0"/>
                <a:ea typeface="Cambria" panose="02040503050406030204" pitchFamily="18" charset="0"/>
              </a:rPr>
              <a:t> Valutna struktura državnog duga (</a:t>
            </a:r>
            <a:r>
              <a:rPr lang="sr-Latn-ME" sz="900">
                <a:solidFill>
                  <a:schemeClr val="accent4">
                    <a:lumMod val="50000"/>
                  </a:schemeClr>
                </a:solidFill>
                <a:latin typeface="Cambria" panose="02040503050406030204" pitchFamily="18" charset="0"/>
                <a:ea typeface="Cambria" panose="02040503050406030204" pitchFamily="18" charset="0"/>
              </a:rPr>
              <a:t>31.12.2023.</a:t>
            </a:r>
            <a:r>
              <a:rPr lang="en-US" sz="900">
                <a:solidFill>
                  <a:schemeClr val="accent4">
                    <a:lumMod val="50000"/>
                  </a:schemeClr>
                </a:solidFill>
                <a:latin typeface="Cambria" panose="02040503050406030204" pitchFamily="18" charset="0"/>
                <a:ea typeface="Cambria" panose="02040503050406030204" pitchFamily="18" charset="0"/>
              </a:rPr>
              <a:t>)</a:t>
            </a:r>
          </a:p>
        </c:rich>
      </c:tx>
      <c:layout>
        <c:manualLayout>
          <c:xMode val="edge"/>
          <c:yMode val="edge"/>
          <c:x val="0.1370331364829396"/>
          <c:y val="1.400307259297095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2"/>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4381319754776104E-2"/>
          <c:y val="0.10676886211569452"/>
          <c:w val="0.85644896011233074"/>
          <c:h val="0.89323113788430553"/>
        </c:manualLayout>
      </c:layout>
      <c:pie3DChart>
        <c:varyColors val="1"/>
        <c:ser>
          <c:idx val="0"/>
          <c:order val="0"/>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5F1E-4DB3-B03F-8BCB7C8E4E87}"/>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5F1E-4DB3-B03F-8BCB7C8E4E87}"/>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5F1E-4DB3-B03F-8BCB7C8E4E87}"/>
              </c:ext>
            </c:extLst>
          </c:dPt>
          <c:dLbls>
            <c:dLbl>
              <c:idx val="1"/>
              <c:layout>
                <c:manualLayout>
                  <c:x val="-0.1225562335284905"/>
                  <c:y val="4.424078972944841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1E-4DB3-B03F-8BCB7C8E4E87}"/>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2">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15:spPr xmlns:c15="http://schemas.microsoft.com/office/drawing/2012/chart">
                  <a:prstGeom prst="wedgeEllipseCallout">
                    <a:avLst/>
                  </a:prstGeom>
                  <a:noFill/>
                  <a:ln>
                    <a:noFill/>
                  </a:ln>
                </c15:spPr>
              </c:ext>
            </c:extLst>
          </c:dLbls>
          <c:cat>
            <c:strRef>
              <c:f>'4.kvartal23 ENG'!$W$70:$W$72</c:f>
              <c:strCache>
                <c:ptCount val="3"/>
                <c:pt idx="0">
                  <c:v>EUR</c:v>
                </c:pt>
                <c:pt idx="1">
                  <c:v>USD</c:v>
                </c:pt>
                <c:pt idx="2">
                  <c:v>Other (CHF, NOK, SDR)</c:v>
                </c:pt>
              </c:strCache>
            </c:strRef>
          </c:cat>
          <c:val>
            <c:numRef>
              <c:f>'4.kvartal23 ENG'!$V$70:$V$72</c:f>
              <c:numCache>
                <c:formatCode>0.0%</c:formatCode>
                <c:ptCount val="3"/>
                <c:pt idx="0">
                  <c:v>0.81333462261815215</c:v>
                </c:pt>
                <c:pt idx="1">
                  <c:v>0.17137342868511168</c:v>
                </c:pt>
                <c:pt idx="2" formatCode="0.00%">
                  <c:v>1.5291948696736063E-2</c:v>
                </c:pt>
              </c:numCache>
            </c:numRef>
          </c:val>
          <c:extLst>
            <c:ext xmlns:c16="http://schemas.microsoft.com/office/drawing/2014/chart" uri="{C3380CC4-5D6E-409C-BE32-E72D297353CC}">
              <c16:uniqueId val="{00000006-5F1E-4DB3-B03F-8BCB7C8E4E87}"/>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900" b="1" i="0" u="none" strike="noStrike" kern="1200" baseline="0">
                <a:solidFill>
                  <a:schemeClr val="tx2"/>
                </a:solidFill>
                <a:latin typeface="Cambria" panose="02040503050406030204" pitchFamily="18" charset="0"/>
                <a:ea typeface="Cambria" panose="02040503050406030204" pitchFamily="18" charset="0"/>
                <a:cs typeface="+mn-cs"/>
              </a:defRPr>
            </a:pPr>
            <a:r>
              <a:rPr lang="sr-Latn-ME" sz="900">
                <a:solidFill>
                  <a:schemeClr val="accent4">
                    <a:lumMod val="50000"/>
                  </a:schemeClr>
                </a:solidFill>
                <a:latin typeface="Cambria" panose="02040503050406030204" pitchFamily="18" charset="0"/>
                <a:ea typeface="Cambria" panose="02040503050406030204" pitchFamily="18" charset="0"/>
              </a:rPr>
              <a:t>Grafik br. 6: Valutna struktura državnog duga (30.09.202</a:t>
            </a:r>
            <a:r>
              <a:rPr lang="en-US" sz="900">
                <a:solidFill>
                  <a:schemeClr val="accent4">
                    <a:lumMod val="50000"/>
                  </a:schemeClr>
                </a:solidFill>
                <a:latin typeface="Cambria" panose="02040503050406030204" pitchFamily="18" charset="0"/>
                <a:ea typeface="Cambria" panose="02040503050406030204" pitchFamily="18" charset="0"/>
              </a:rPr>
              <a:t>4</a:t>
            </a:r>
            <a:r>
              <a:rPr lang="sr-Latn-ME" sz="900">
                <a:solidFill>
                  <a:schemeClr val="accent4">
                    <a:lumMod val="50000"/>
                  </a:schemeClr>
                </a:solidFill>
                <a:latin typeface="Cambria" panose="02040503050406030204" pitchFamily="18" charset="0"/>
                <a:ea typeface="Cambria" panose="02040503050406030204" pitchFamily="18" charset="0"/>
              </a:rPr>
              <a:t>.)</a:t>
            </a:r>
            <a:endParaRPr lang="en-US" sz="900">
              <a:solidFill>
                <a:schemeClr val="accent4">
                  <a:lumMod val="50000"/>
                </a:schemeClr>
              </a:solidFill>
              <a:latin typeface="Cambria" panose="02040503050406030204" pitchFamily="18" charset="0"/>
              <a:ea typeface="Cambria" panose="02040503050406030204" pitchFamily="18"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Cambria" panose="02040503050406030204" pitchFamily="18" charset="0"/>
              <a:ea typeface="Cambria" panose="02040503050406030204" pitchFamily="18" charset="0"/>
              <a:cs typeface="+mn-cs"/>
            </a:defRPr>
          </a:pPr>
          <a:endParaRPr lang="en-US"/>
        </a:p>
      </c:txPr>
    </c:title>
    <c:autoTitleDeleted val="0"/>
    <c:view3D>
      <c:rotX val="30"/>
      <c:rotY val="0"/>
      <c:depthPercent val="100"/>
      <c:rAngAx val="0"/>
    </c:view3D>
    <c:floor>
      <c:thickness val="0"/>
      <c:spPr>
        <a:noFill/>
        <a:ln w="6350"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84349612725523"/>
          <c:y val="0.26149346880348179"/>
          <c:w val="0.79119167007320634"/>
          <c:h val="0.55513882641891854"/>
        </c:manualLayout>
      </c:layout>
      <c:pie3DChart>
        <c:varyColors val="1"/>
        <c:ser>
          <c:idx val="1"/>
          <c:order val="0"/>
          <c:dPt>
            <c:idx val="0"/>
            <c:bubble3D val="0"/>
            <c:spPr>
              <a:solidFill>
                <a:schemeClr val="accent3">
                  <a:tint val="65000"/>
                </a:schemeClr>
              </a:solidFill>
              <a:ln>
                <a:noFill/>
              </a:ln>
              <a:effectLst/>
              <a:sp3d/>
            </c:spPr>
            <c:extLst>
              <c:ext xmlns:c16="http://schemas.microsoft.com/office/drawing/2014/chart" uri="{C3380CC4-5D6E-409C-BE32-E72D297353CC}">
                <c16:uniqueId val="{00000001-92DB-4DE0-B343-6855EE6004F5}"/>
              </c:ext>
            </c:extLst>
          </c:dPt>
          <c:dPt>
            <c:idx val="1"/>
            <c:bubble3D val="0"/>
            <c:spPr>
              <a:solidFill>
                <a:schemeClr val="accent3"/>
              </a:solidFill>
              <a:ln>
                <a:noFill/>
              </a:ln>
              <a:effectLst/>
              <a:sp3d/>
            </c:spPr>
            <c:extLst>
              <c:ext xmlns:c16="http://schemas.microsoft.com/office/drawing/2014/chart" uri="{C3380CC4-5D6E-409C-BE32-E72D297353CC}">
                <c16:uniqueId val="{00000003-92DB-4DE0-B343-6855EE6004F5}"/>
              </c:ext>
            </c:extLst>
          </c:dPt>
          <c:dPt>
            <c:idx val="2"/>
            <c:bubble3D val="0"/>
            <c:spPr>
              <a:solidFill>
                <a:schemeClr val="accent3">
                  <a:shade val="65000"/>
                </a:schemeClr>
              </a:solidFill>
              <a:ln>
                <a:noFill/>
              </a:ln>
              <a:effectLst/>
              <a:sp3d/>
            </c:spPr>
            <c:extLst>
              <c:ext xmlns:c16="http://schemas.microsoft.com/office/drawing/2014/chart" uri="{C3380CC4-5D6E-409C-BE32-E72D297353CC}">
                <c16:uniqueId val="{00000005-92DB-4DE0-B343-6855EE6004F5}"/>
              </c:ext>
            </c:extLst>
          </c:dPt>
          <c:dLbls>
            <c:dLbl>
              <c:idx val="0"/>
              <c:layout>
                <c:manualLayout>
                  <c:x val="7.4812967581047357E-2"/>
                  <c:y val="-4.7404598246029855E-3"/>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4885531339867936"/>
                      <c:h val="9.1040717563776921E-2"/>
                    </c:manualLayout>
                  </c15:layout>
                </c:ext>
                <c:ext xmlns:c16="http://schemas.microsoft.com/office/drawing/2014/chart" uri="{C3380CC4-5D6E-409C-BE32-E72D297353CC}">
                  <c16:uniqueId val="{00000001-92DB-4DE0-B343-6855EE6004F5}"/>
                </c:ext>
              </c:extLst>
            </c:dLbl>
            <c:dLbl>
              <c:idx val="1"/>
              <c:layout>
                <c:manualLayout>
                  <c:x val="-3.5459821295526071E-2"/>
                  <c:y val="-1.6439611713905539E-3"/>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18052577932405919"/>
                      <c:h val="8.6300257739173922E-2"/>
                    </c:manualLayout>
                  </c15:layout>
                </c:ext>
                <c:ext xmlns:c16="http://schemas.microsoft.com/office/drawing/2014/chart" uri="{C3380CC4-5D6E-409C-BE32-E72D297353CC}">
                  <c16:uniqueId val="{00000003-92DB-4DE0-B343-6855EE6004F5}"/>
                </c:ext>
              </c:extLst>
            </c:dLbl>
            <c:dLbl>
              <c:idx val="2"/>
              <c:layout>
                <c:manualLayout>
                  <c:x val="0.19460531215582891"/>
                  <c:y val="-2.0070955418460233E-3"/>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1226461405541264"/>
                      <c:h val="7.6819338089967951E-2"/>
                    </c:manualLayout>
                  </c15:layout>
                </c:ext>
                <c:ext xmlns:c16="http://schemas.microsoft.com/office/drawing/2014/chart" uri="{C3380CC4-5D6E-409C-BE32-E72D297353CC}">
                  <c16:uniqueId val="{00000005-92DB-4DE0-B343-6855EE6004F5}"/>
                </c:ext>
              </c:extLst>
            </c:dLbl>
            <c:spPr>
              <a:solidFill>
                <a:sysClr val="window" lastClr="FFFFFF"/>
              </a:solidFill>
              <a:ln>
                <a:solidFill>
                  <a:sysClr val="windowText" lastClr="000000">
                    <a:lumMod val="65000"/>
                    <a:lumOff val="35000"/>
                  </a:sysClr>
                </a:solid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15:spPr xmlns:c15="http://schemas.microsoft.com/office/drawing/2012/chart">
                  <a:prstGeom prst="wedgeEllipseCallout">
                    <a:avLst/>
                  </a:prstGeom>
                  <a:noFill/>
                  <a:ln>
                    <a:noFill/>
                  </a:ln>
                </c15:spPr>
              </c:ext>
            </c:extLst>
          </c:dLbls>
          <c:cat>
            <c:strRef>
              <c:f>'3.kvartal 24'!$A$71:$A$73</c:f>
              <c:strCache>
                <c:ptCount val="3"/>
                <c:pt idx="0">
                  <c:v>EUR</c:v>
                </c:pt>
                <c:pt idx="1">
                  <c:v>USD</c:v>
                </c:pt>
                <c:pt idx="2">
                  <c:v>Ostalo (CHF, NOK, SDR)</c:v>
                </c:pt>
              </c:strCache>
            </c:strRef>
          </c:cat>
          <c:val>
            <c:numRef>
              <c:f>'3.kvartal 24'!$R$71:$R$73</c:f>
              <c:numCache>
                <c:formatCode>0.0%</c:formatCode>
                <c:ptCount val="3"/>
                <c:pt idx="0">
                  <c:v>0.99007996448411273</c:v>
                </c:pt>
                <c:pt idx="1">
                  <c:v>2.6585510110168826E-3</c:v>
                </c:pt>
                <c:pt idx="2">
                  <c:v>7.261484520910199E-3</c:v>
                </c:pt>
              </c:numCache>
            </c:numRef>
          </c:val>
          <c:extLst>
            <c:ext xmlns:c16="http://schemas.microsoft.com/office/drawing/2014/chart" uri="{C3380CC4-5D6E-409C-BE32-E72D297353CC}">
              <c16:uniqueId val="{00000006-92DB-4DE0-B343-6855EE6004F5}"/>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6350" cap="flat" cmpd="sng" algn="ctr">
      <a:noFill/>
      <a:prstDash val="solid"/>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sr-Latn-ME" sz="900">
                <a:solidFill>
                  <a:schemeClr val="accent4">
                    <a:lumMod val="50000"/>
                  </a:schemeClr>
                </a:solidFill>
                <a:latin typeface="Cambria" panose="02040503050406030204" pitchFamily="18" charset="0"/>
                <a:ea typeface="Cambria" panose="02040503050406030204" pitchFamily="18" charset="0"/>
              </a:rPr>
              <a:t>Grafik</a:t>
            </a:r>
            <a:r>
              <a:rPr lang="en-GB" sz="900">
                <a:solidFill>
                  <a:schemeClr val="accent4">
                    <a:lumMod val="50000"/>
                  </a:schemeClr>
                </a:solidFill>
                <a:latin typeface="Cambria" panose="02040503050406030204" pitchFamily="18" charset="0"/>
                <a:ea typeface="Cambria" panose="02040503050406030204" pitchFamily="18" charset="0"/>
              </a:rPr>
              <a:t> </a:t>
            </a:r>
            <a:r>
              <a:rPr lang="sr-Latn-ME" sz="900">
                <a:solidFill>
                  <a:schemeClr val="accent4">
                    <a:lumMod val="50000"/>
                  </a:schemeClr>
                </a:solidFill>
                <a:latin typeface="Cambria" panose="02040503050406030204" pitchFamily="18" charset="0"/>
                <a:ea typeface="Cambria" panose="02040503050406030204" pitchFamily="18" charset="0"/>
              </a:rPr>
              <a:t>br. 7:</a:t>
            </a:r>
            <a:r>
              <a:rPr lang="en-GB" sz="900">
                <a:solidFill>
                  <a:schemeClr val="accent4">
                    <a:lumMod val="50000"/>
                  </a:schemeClr>
                </a:solidFill>
                <a:latin typeface="Cambria" panose="02040503050406030204" pitchFamily="18" charset="0"/>
                <a:ea typeface="Cambria" panose="02040503050406030204" pitchFamily="18" charset="0"/>
              </a:rPr>
              <a:t> </a:t>
            </a:r>
            <a:r>
              <a:rPr lang="en-US" sz="900" b="1" i="0" u="none" strike="noStrike" baseline="0">
                <a:solidFill>
                  <a:schemeClr val="accent4">
                    <a:lumMod val="50000"/>
                  </a:schemeClr>
                </a:solidFill>
                <a:effectLst/>
                <a:latin typeface="Cambria" panose="02040503050406030204" pitchFamily="18" charset="0"/>
                <a:ea typeface="Cambria" panose="02040503050406030204" pitchFamily="18" charset="0"/>
              </a:rPr>
              <a:t>Kamatna struktura dr</a:t>
            </a:r>
            <a:r>
              <a:rPr lang="sr-Latn-ME" sz="900" b="1" i="0" u="none" strike="noStrike" baseline="0">
                <a:solidFill>
                  <a:schemeClr val="accent4">
                    <a:lumMod val="50000"/>
                  </a:schemeClr>
                </a:solidFill>
                <a:effectLst/>
                <a:latin typeface="Cambria" panose="02040503050406030204" pitchFamily="18" charset="0"/>
                <a:ea typeface="Cambria" panose="02040503050406030204" pitchFamily="18" charset="0"/>
              </a:rPr>
              <a:t>žavnog duga </a:t>
            </a:r>
            <a:r>
              <a:rPr lang="en-GB" sz="900">
                <a:solidFill>
                  <a:schemeClr val="accent4">
                    <a:lumMod val="50000"/>
                  </a:schemeClr>
                </a:solidFill>
                <a:latin typeface="Cambria" panose="02040503050406030204" pitchFamily="18" charset="0"/>
                <a:ea typeface="Cambria" panose="02040503050406030204" pitchFamily="18" charset="0"/>
              </a:rPr>
              <a:t>(</a:t>
            </a:r>
            <a:r>
              <a:rPr lang="sr-Latn-ME" sz="900">
                <a:solidFill>
                  <a:schemeClr val="accent4">
                    <a:lumMod val="50000"/>
                  </a:schemeClr>
                </a:solidFill>
                <a:latin typeface="Cambria" panose="02040503050406030204" pitchFamily="18" charset="0"/>
                <a:ea typeface="Cambria" panose="02040503050406030204" pitchFamily="18" charset="0"/>
              </a:rPr>
              <a:t>31.12.2023</a:t>
            </a:r>
            <a:r>
              <a:rPr lang="sr-Latn-ME" sz="900">
                <a:latin typeface="Cambria" panose="02040503050406030204" pitchFamily="18" charset="0"/>
                <a:ea typeface="Cambria" panose="02040503050406030204" pitchFamily="18" charset="0"/>
              </a:rPr>
              <a:t>.</a:t>
            </a:r>
            <a:r>
              <a:rPr lang="en-GB" sz="900">
                <a:latin typeface="Cambria" panose="02040503050406030204" pitchFamily="18" charset="0"/>
                <a:ea typeface="Cambria" panose="02040503050406030204" pitchFamily="18" charset="0"/>
              </a:rPr>
              <a:t>)</a:t>
            </a:r>
          </a:p>
        </c:rich>
      </c:tx>
      <c:layout>
        <c:manualLayout>
          <c:xMode val="edge"/>
          <c:yMode val="edge"/>
          <c:x val="0.13911712800531542"/>
          <c:y val="3.5595266448294735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2499855396328088E-2"/>
          <c:y val="0.22963176565817475"/>
          <c:w val="0.86660501316967609"/>
          <c:h val="0.63004702360559117"/>
        </c:manualLayout>
      </c:layout>
      <c:pie3DChart>
        <c:varyColors val="1"/>
        <c:ser>
          <c:idx val="0"/>
          <c:order val="0"/>
          <c:dPt>
            <c:idx val="0"/>
            <c:bubble3D val="0"/>
            <c:spPr>
              <a:gradFill rotWithShape="1">
                <a:gsLst>
                  <a:gs pos="0">
                    <a:schemeClr val="accent4">
                      <a:shade val="76000"/>
                      <a:satMod val="103000"/>
                      <a:lumMod val="102000"/>
                      <a:tint val="94000"/>
                    </a:schemeClr>
                  </a:gs>
                  <a:gs pos="50000">
                    <a:schemeClr val="accent4">
                      <a:shade val="76000"/>
                      <a:satMod val="110000"/>
                      <a:lumMod val="100000"/>
                      <a:shade val="100000"/>
                    </a:schemeClr>
                  </a:gs>
                  <a:gs pos="100000">
                    <a:schemeClr val="accent4">
                      <a:shade val="76000"/>
                      <a:lumMod val="99000"/>
                      <a:satMod val="120000"/>
                      <a:shade val="78000"/>
                    </a:schemeClr>
                  </a:gs>
                </a:gsLst>
                <a:lin ang="54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8551-4337-A58F-9D325822CEFE}"/>
              </c:ext>
            </c:extLst>
          </c:dPt>
          <c:dPt>
            <c:idx val="1"/>
            <c:bubble3D val="0"/>
            <c:spPr>
              <a:gradFill rotWithShape="1">
                <a:gsLst>
                  <a:gs pos="0">
                    <a:schemeClr val="accent4">
                      <a:tint val="77000"/>
                      <a:satMod val="103000"/>
                      <a:lumMod val="102000"/>
                      <a:tint val="94000"/>
                    </a:schemeClr>
                  </a:gs>
                  <a:gs pos="50000">
                    <a:schemeClr val="accent4">
                      <a:tint val="77000"/>
                      <a:satMod val="110000"/>
                      <a:lumMod val="100000"/>
                      <a:shade val="100000"/>
                    </a:schemeClr>
                  </a:gs>
                  <a:gs pos="100000">
                    <a:schemeClr val="accent4">
                      <a:tint val="77000"/>
                      <a:lumMod val="99000"/>
                      <a:satMod val="120000"/>
                      <a:shade val="78000"/>
                    </a:schemeClr>
                  </a:gs>
                </a:gsLst>
                <a:lin ang="54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8551-4337-A58F-9D325822CEFE}"/>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2">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15:spPr xmlns:c15="http://schemas.microsoft.com/office/drawing/2012/chart">
                  <a:prstGeom prst="wedgeEllipseCallout">
                    <a:avLst/>
                  </a:prstGeom>
                  <a:noFill/>
                  <a:ln>
                    <a:noFill/>
                  </a:ln>
                </c15:spPr>
              </c:ext>
            </c:extLst>
          </c:dLbls>
          <c:cat>
            <c:strRef>
              <c:f>'4.kvartal23 ENG'!$S$95:$S$96</c:f>
              <c:strCache>
                <c:ptCount val="2"/>
                <c:pt idx="0">
                  <c:v>fix</c:v>
                </c:pt>
                <c:pt idx="1">
                  <c:v>var</c:v>
                </c:pt>
              </c:strCache>
            </c:strRef>
          </c:cat>
          <c:val>
            <c:numRef>
              <c:f>'4.kvartal23 ENG'!$U$95:$U$96</c:f>
              <c:numCache>
                <c:formatCode>0.00%</c:formatCode>
                <c:ptCount val="2"/>
                <c:pt idx="0">
                  <c:v>0.79905429994232646</c:v>
                </c:pt>
                <c:pt idx="1">
                  <c:v>0.20094570005767359</c:v>
                </c:pt>
              </c:numCache>
            </c:numRef>
          </c:val>
          <c:extLst>
            <c:ext xmlns:c16="http://schemas.microsoft.com/office/drawing/2014/chart" uri="{C3380CC4-5D6E-409C-BE32-E72D297353CC}">
              <c16:uniqueId val="{00000004-8551-4337-A58F-9D325822CEFE}"/>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900">
                <a:solidFill>
                  <a:schemeClr val="accent4">
                    <a:lumMod val="50000"/>
                  </a:schemeClr>
                </a:solidFill>
                <a:latin typeface="Cambria" panose="02040503050406030204" pitchFamily="18" charset="0"/>
                <a:ea typeface="Cambria" panose="02040503050406030204" pitchFamily="18" charset="0"/>
              </a:rPr>
              <a:t>Grafik </a:t>
            </a:r>
            <a:r>
              <a:rPr lang="sr-Latn-ME" sz="900">
                <a:solidFill>
                  <a:schemeClr val="accent4">
                    <a:lumMod val="50000"/>
                  </a:schemeClr>
                </a:solidFill>
                <a:latin typeface="Cambria" panose="02040503050406030204" pitchFamily="18" charset="0"/>
                <a:ea typeface="Cambria" panose="02040503050406030204" pitchFamily="18" charset="0"/>
              </a:rPr>
              <a:t>br. 8:</a:t>
            </a:r>
            <a:r>
              <a:rPr lang="en-US" sz="900">
                <a:solidFill>
                  <a:schemeClr val="accent4">
                    <a:lumMod val="50000"/>
                  </a:schemeClr>
                </a:solidFill>
                <a:latin typeface="Cambria" panose="02040503050406030204" pitchFamily="18" charset="0"/>
                <a:ea typeface="Cambria" panose="02040503050406030204" pitchFamily="18" charset="0"/>
              </a:rPr>
              <a:t> Kamatna struktura dr</a:t>
            </a:r>
            <a:r>
              <a:rPr lang="sr-Latn-ME" sz="900">
                <a:solidFill>
                  <a:schemeClr val="accent4">
                    <a:lumMod val="50000"/>
                  </a:schemeClr>
                </a:solidFill>
                <a:latin typeface="Cambria" panose="02040503050406030204" pitchFamily="18" charset="0"/>
                <a:ea typeface="Cambria" panose="02040503050406030204" pitchFamily="18" charset="0"/>
              </a:rPr>
              <a:t>žavnog duga (30.09.202</a:t>
            </a:r>
            <a:r>
              <a:rPr lang="en-US" sz="900">
                <a:solidFill>
                  <a:schemeClr val="accent4">
                    <a:lumMod val="50000"/>
                  </a:schemeClr>
                </a:solidFill>
                <a:latin typeface="Cambria" panose="02040503050406030204" pitchFamily="18" charset="0"/>
                <a:ea typeface="Cambria" panose="02040503050406030204" pitchFamily="18" charset="0"/>
              </a:rPr>
              <a:t>4</a:t>
            </a:r>
            <a:r>
              <a:rPr lang="sr-Latn-ME" sz="900">
                <a:solidFill>
                  <a:schemeClr val="accent4">
                    <a:lumMod val="50000"/>
                  </a:schemeClr>
                </a:solidFill>
                <a:latin typeface="Cambria" panose="02040503050406030204" pitchFamily="18" charset="0"/>
                <a:ea typeface="Cambria" panose="02040503050406030204" pitchFamily="18" charset="0"/>
              </a:rPr>
              <a:t>.)</a:t>
            </a:r>
            <a:endParaRPr lang="en-US" sz="900">
              <a:solidFill>
                <a:schemeClr val="accent4">
                  <a:lumMod val="50000"/>
                </a:schemeClr>
              </a:solidFill>
              <a:latin typeface="Cambria" panose="02040503050406030204" pitchFamily="18" charset="0"/>
              <a:ea typeface="Cambria" panose="020405030504060302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4">
                      <a:tint val="77000"/>
                      <a:satMod val="103000"/>
                      <a:lumMod val="102000"/>
                      <a:tint val="94000"/>
                    </a:schemeClr>
                  </a:gs>
                  <a:gs pos="50000">
                    <a:schemeClr val="accent4">
                      <a:tint val="77000"/>
                      <a:satMod val="110000"/>
                      <a:lumMod val="100000"/>
                      <a:shade val="100000"/>
                    </a:schemeClr>
                  </a:gs>
                  <a:gs pos="100000">
                    <a:schemeClr val="accent4">
                      <a:tint val="77000"/>
                      <a:lumMod val="99000"/>
                      <a:satMod val="120000"/>
                      <a:shade val="78000"/>
                    </a:schemeClr>
                  </a:gs>
                </a:gsLst>
                <a:lin ang="5400000" scaled="0"/>
              </a:gradFill>
              <a:ln>
                <a:noFill/>
              </a:ln>
              <a:effectLst/>
              <a:sp3d/>
            </c:spPr>
            <c:extLst>
              <c:ext xmlns:c16="http://schemas.microsoft.com/office/drawing/2014/chart" uri="{C3380CC4-5D6E-409C-BE32-E72D297353CC}">
                <c16:uniqueId val="{00000001-DB93-414C-88C6-8E48CA86F60F}"/>
              </c:ext>
            </c:extLst>
          </c:dPt>
          <c:dPt>
            <c:idx val="1"/>
            <c:bubble3D val="0"/>
            <c:spPr>
              <a:gradFill rotWithShape="1">
                <a:gsLst>
                  <a:gs pos="0">
                    <a:schemeClr val="accent4">
                      <a:shade val="76000"/>
                      <a:satMod val="103000"/>
                      <a:lumMod val="102000"/>
                      <a:tint val="94000"/>
                    </a:schemeClr>
                  </a:gs>
                  <a:gs pos="50000">
                    <a:schemeClr val="accent4">
                      <a:shade val="76000"/>
                      <a:satMod val="110000"/>
                      <a:lumMod val="100000"/>
                      <a:shade val="100000"/>
                    </a:schemeClr>
                  </a:gs>
                  <a:gs pos="100000">
                    <a:schemeClr val="accent4">
                      <a:shade val="76000"/>
                      <a:lumMod val="99000"/>
                      <a:satMod val="120000"/>
                      <a:shade val="78000"/>
                    </a:schemeClr>
                  </a:gs>
                </a:gsLst>
                <a:lin ang="5400000" scaled="0"/>
              </a:gradFill>
              <a:ln>
                <a:noFill/>
              </a:ln>
              <a:effectLst/>
              <a:sp3d/>
            </c:spPr>
            <c:extLst>
              <c:ext xmlns:c16="http://schemas.microsoft.com/office/drawing/2014/chart" uri="{C3380CC4-5D6E-409C-BE32-E72D297353CC}">
                <c16:uniqueId val="{00000003-DB93-414C-88C6-8E48CA86F60F}"/>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2">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15:spPr xmlns:c15="http://schemas.microsoft.com/office/drawing/2012/chart">
                  <a:prstGeom prst="wedgeEllipseCallout">
                    <a:avLst/>
                  </a:prstGeom>
                  <a:noFill/>
                  <a:ln>
                    <a:noFill/>
                  </a:ln>
                </c15:spPr>
              </c:ext>
            </c:extLst>
          </c:dLbls>
          <c:cat>
            <c:strRef>
              <c:f>'3.kvartal 24'!$A$76:$A$77</c:f>
              <c:strCache>
                <c:ptCount val="2"/>
                <c:pt idx="0">
                  <c:v>Fix</c:v>
                </c:pt>
                <c:pt idx="1">
                  <c:v>Var</c:v>
                </c:pt>
              </c:strCache>
            </c:strRef>
          </c:cat>
          <c:val>
            <c:numRef>
              <c:f>'3.kvartal 24'!$R$76:$R$77</c:f>
              <c:numCache>
                <c:formatCode>0.0%</c:formatCode>
                <c:ptCount val="2"/>
                <c:pt idx="0">
                  <c:v>0.84466714731932369</c:v>
                </c:pt>
                <c:pt idx="1">
                  <c:v>0.15533285269671518</c:v>
                </c:pt>
              </c:numCache>
            </c:numRef>
          </c:val>
          <c:extLst>
            <c:ext xmlns:c16="http://schemas.microsoft.com/office/drawing/2014/chart" uri="{C3380CC4-5D6E-409C-BE32-E72D297353CC}">
              <c16:uniqueId val="{00000004-DB93-414C-88C6-8E48CA86F60F}"/>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38449669177015305"/>
          <c:y val="0.8348628835188705"/>
          <c:w val="0.23100625919945125"/>
          <c:h val="7.557150967414340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b="1">
                <a:solidFill>
                  <a:schemeClr val="accent4">
                    <a:lumMod val="50000"/>
                  </a:schemeClr>
                </a:solidFill>
                <a:effectLst/>
                <a:latin typeface="Cambria" panose="02040503050406030204" pitchFamily="18" charset="0"/>
                <a:ea typeface="Cambria" panose="02040503050406030204" pitchFamily="18" charset="0"/>
              </a:rPr>
              <a:t>Grafik </a:t>
            </a:r>
            <a:r>
              <a:rPr lang="sr-Latn-ME" sz="900" b="1">
                <a:solidFill>
                  <a:schemeClr val="accent4">
                    <a:lumMod val="50000"/>
                  </a:schemeClr>
                </a:solidFill>
                <a:effectLst/>
                <a:latin typeface="Cambria" panose="02040503050406030204" pitchFamily="18" charset="0"/>
                <a:ea typeface="Cambria" panose="02040503050406030204" pitchFamily="18" charset="0"/>
              </a:rPr>
              <a:t>br. </a:t>
            </a:r>
            <a:r>
              <a:rPr lang="en-US" sz="900" b="1">
                <a:solidFill>
                  <a:schemeClr val="accent4">
                    <a:lumMod val="50000"/>
                  </a:schemeClr>
                </a:solidFill>
                <a:effectLst/>
                <a:latin typeface="Cambria" panose="02040503050406030204" pitchFamily="18" charset="0"/>
                <a:ea typeface="Cambria" panose="02040503050406030204" pitchFamily="18" charset="0"/>
              </a:rPr>
              <a:t>9:  Uporedni prikaz kretanja javnog duga u osnovnom i scenariju nižeg rasta, u mil.€ i % BDP-a 202</a:t>
            </a:r>
            <a:r>
              <a:rPr lang="sr-Latn-ME" sz="900" b="1">
                <a:solidFill>
                  <a:schemeClr val="accent4">
                    <a:lumMod val="50000"/>
                  </a:schemeClr>
                </a:solidFill>
                <a:effectLst/>
                <a:latin typeface="Cambria" panose="02040503050406030204" pitchFamily="18" charset="0"/>
                <a:ea typeface="Cambria" panose="02040503050406030204" pitchFamily="18" charset="0"/>
              </a:rPr>
              <a:t>5</a:t>
            </a:r>
            <a:r>
              <a:rPr lang="en-US" sz="900" b="1">
                <a:solidFill>
                  <a:schemeClr val="accent4">
                    <a:lumMod val="50000"/>
                  </a:schemeClr>
                </a:solidFill>
                <a:effectLst/>
                <a:latin typeface="Cambria" panose="02040503050406030204" pitchFamily="18" charset="0"/>
                <a:ea typeface="Cambria" panose="02040503050406030204" pitchFamily="18" charset="0"/>
              </a:rPr>
              <a:t>-202</a:t>
            </a:r>
            <a:r>
              <a:rPr lang="sr-Latn-ME" sz="900" b="1">
                <a:solidFill>
                  <a:schemeClr val="accent4">
                    <a:lumMod val="50000"/>
                  </a:schemeClr>
                </a:solidFill>
                <a:effectLst/>
                <a:latin typeface="Cambria" panose="02040503050406030204" pitchFamily="18" charset="0"/>
                <a:ea typeface="Cambria" panose="02040503050406030204" pitchFamily="18" charset="0"/>
              </a:rPr>
              <a:t>7</a:t>
            </a:r>
            <a:endParaRPr lang="en-US" sz="900" b="1">
              <a:solidFill>
                <a:schemeClr val="accent4">
                  <a:lumMod val="50000"/>
                </a:schemeClr>
              </a:solidFill>
              <a:effectLst/>
              <a:latin typeface="Cambria" panose="02040503050406030204" pitchFamily="18" charset="0"/>
              <a:ea typeface="Cambria" panose="02040503050406030204" pitchFamily="18" charset="0"/>
            </a:endParaRPr>
          </a:p>
        </c:rich>
      </c:tx>
      <c:layout>
        <c:manualLayout>
          <c:xMode val="edge"/>
          <c:yMode val="edge"/>
          <c:x val="9.0801197927182192E-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4026011171680469E-2"/>
          <c:y val="0.20764171920370419"/>
          <c:w val="0.90178595464028533"/>
          <c:h val="0.61429286455472143"/>
        </c:manualLayout>
      </c:layout>
      <c:lineChart>
        <c:grouping val="standard"/>
        <c:varyColors val="0"/>
        <c:ser>
          <c:idx val="0"/>
          <c:order val="0"/>
          <c:tx>
            <c:strRef>
              <c:f>'7 grafik'!$E$9</c:f>
              <c:strCache>
                <c:ptCount val="1"/>
                <c:pt idx="0">
                  <c:v>Osnovni scenario: Ukupno javni dug % BDP-a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0.11001159307383397"/>
                  <c:y val="7.230121414679192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202-4167-8F09-339D22C8228F}"/>
                </c:ext>
              </c:extLst>
            </c:dLbl>
            <c:dLbl>
              <c:idx val="1"/>
              <c:layout>
                <c:manualLayout>
                  <c:x val="-7.3086447232965134E-3"/>
                  <c:y val="3.60070998319453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02-4167-8F09-339D22C8228F}"/>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'7 grafik'!$D$10:$D$12</c:f>
              <c:numCache>
                <c:formatCode>General</c:formatCode>
                <c:ptCount val="3"/>
                <c:pt idx="0">
                  <c:v>2025</c:v>
                </c:pt>
                <c:pt idx="1">
                  <c:v>2026</c:v>
                </c:pt>
                <c:pt idx="2">
                  <c:v>2027</c:v>
                </c:pt>
              </c:numCache>
            </c:numRef>
          </c:cat>
          <c:val>
            <c:numRef>
              <c:f>'7 grafik'!$E$10:$E$12</c:f>
              <c:numCache>
                <c:formatCode>#,##0.0</c:formatCode>
                <c:ptCount val="3"/>
                <c:pt idx="0">
                  <c:v>0.60704421623521743</c:v>
                </c:pt>
                <c:pt idx="1">
                  <c:v>0.63909803172176571</c:v>
                </c:pt>
                <c:pt idx="2">
                  <c:v>0.64072099024824725</c:v>
                </c:pt>
              </c:numCache>
            </c:numRef>
          </c:val>
          <c:smooth val="0"/>
          <c:extLst>
            <c:ext xmlns:c16="http://schemas.microsoft.com/office/drawing/2014/chart" uri="{C3380CC4-5D6E-409C-BE32-E72D297353CC}">
              <c16:uniqueId val="{00000002-C202-4167-8F09-339D22C8228F}"/>
            </c:ext>
          </c:extLst>
        </c:ser>
        <c:ser>
          <c:idx val="1"/>
          <c:order val="1"/>
          <c:tx>
            <c:strRef>
              <c:f>'7 grafik'!$F$9</c:f>
              <c:strCache>
                <c:ptCount val="1"/>
                <c:pt idx="0">
                  <c:v>Scenario nižeg rasta: Ukupno javni dug u % BDP-a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1"/>
              <c:layout>
                <c:manualLayout>
                  <c:x val="-0.11802713706723064"/>
                  <c:y val="-0.22298570592345021"/>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202-4167-8F09-339D22C8228F}"/>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'7 grafik'!$D$10:$D$12</c:f>
              <c:numCache>
                <c:formatCode>General</c:formatCode>
                <c:ptCount val="3"/>
                <c:pt idx="0">
                  <c:v>2025</c:v>
                </c:pt>
                <c:pt idx="1">
                  <c:v>2026</c:v>
                </c:pt>
                <c:pt idx="2">
                  <c:v>2027</c:v>
                </c:pt>
              </c:numCache>
            </c:numRef>
          </c:cat>
          <c:val>
            <c:numRef>
              <c:f>'7 grafik'!$F$10:$F$12</c:f>
              <c:numCache>
                <c:formatCode>#,##0.0</c:formatCode>
                <c:ptCount val="3"/>
                <c:pt idx="0">
                  <c:v>0.62338582074316051</c:v>
                </c:pt>
                <c:pt idx="1">
                  <c:v>0.66234670852545863</c:v>
                </c:pt>
                <c:pt idx="2">
                  <c:v>0.68752288376817405</c:v>
                </c:pt>
              </c:numCache>
            </c:numRef>
          </c:val>
          <c:smooth val="0"/>
          <c:extLst>
            <c:ext xmlns:c16="http://schemas.microsoft.com/office/drawing/2014/chart" uri="{C3380CC4-5D6E-409C-BE32-E72D297353CC}">
              <c16:uniqueId val="{00000004-C202-4167-8F09-339D22C8228F}"/>
            </c:ext>
          </c:extLst>
        </c:ser>
        <c:dLbls>
          <c:showLegendKey val="0"/>
          <c:showVal val="1"/>
          <c:showCatName val="0"/>
          <c:showSerName val="0"/>
          <c:showPercent val="0"/>
          <c:showBubbleSize val="0"/>
        </c:dLbls>
        <c:marker val="1"/>
        <c:smooth val="0"/>
        <c:axId val="301832200"/>
        <c:axId val="294389024"/>
      </c:lineChart>
      <c:catAx>
        <c:axId val="301832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389024"/>
        <c:crosses val="autoZero"/>
        <c:auto val="1"/>
        <c:lblAlgn val="ctr"/>
        <c:lblOffset val="100"/>
        <c:noMultiLvlLbl val="0"/>
      </c:catAx>
      <c:valAx>
        <c:axId val="294389024"/>
        <c:scaling>
          <c:orientation val="minMax"/>
          <c:max val="0.75000000000000011"/>
          <c:min val="0.550000000000000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832200"/>
        <c:crosses val="autoZero"/>
        <c:crossBetween val="between"/>
      </c:valAx>
      <c:spPr>
        <a:noFill/>
        <a:ln>
          <a:noFill/>
        </a:ln>
        <a:effectLst/>
      </c:spPr>
    </c:plotArea>
    <c:legend>
      <c:legendPos val="t"/>
      <c:layout>
        <c:manualLayout>
          <c:xMode val="edge"/>
          <c:yMode val="edge"/>
          <c:x val="6.8283531866209163E-3"/>
          <c:y val="0.87917231276323016"/>
          <c:w val="0.9734970388316847"/>
          <c:h val="0.11809802844411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1" i="0" u="none" strike="noStrike" kern="1200" spc="0" baseline="0">
                <a:solidFill>
                  <a:schemeClr val="accent4">
                    <a:lumMod val="50000"/>
                  </a:schemeClr>
                </a:solidFill>
                <a:latin typeface="+mn-lt"/>
                <a:ea typeface="+mn-ea"/>
                <a:cs typeface="+mn-cs"/>
              </a:defRPr>
            </a:pPr>
            <a:r>
              <a:rPr lang="sr-Latn-ME" sz="1000" b="1">
                <a:solidFill>
                  <a:schemeClr val="accent4">
                    <a:lumMod val="50000"/>
                  </a:schemeClr>
                </a:solidFill>
                <a:latin typeface="+mn-lt"/>
              </a:rPr>
              <a:t>Grafik br. 10: Stanje duga državnih garancija na 30.09.2024.</a:t>
            </a:r>
            <a:endParaRPr lang="en-US" sz="1000" b="1">
              <a:solidFill>
                <a:schemeClr val="accent4">
                  <a:lumMod val="50000"/>
                </a:schemeClr>
              </a:solidFill>
              <a:latin typeface="+mn-l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accent4">
                  <a:lumMod val="50000"/>
                </a:schemeClr>
              </a:solidFill>
              <a:latin typeface="+mn-lt"/>
              <a:ea typeface="+mn-ea"/>
              <a:cs typeface="+mn-cs"/>
            </a:defRPr>
          </a:pPr>
          <a:endParaRPr lang="en-US"/>
        </a:p>
      </c:txPr>
    </c:title>
    <c:autoTitleDeleted val="0"/>
    <c:plotArea>
      <c:layout/>
      <c:barChart>
        <c:barDir val="col"/>
        <c:grouping val="stacked"/>
        <c:varyColors val="0"/>
        <c:ser>
          <c:idx val="0"/>
          <c:order val="0"/>
          <c:tx>
            <c:strRef>
              <c:f>Garancije!$A$3</c:f>
              <c:strCache>
                <c:ptCount val="1"/>
                <c:pt idx="0">
                  <c:v>Ino garancije</c:v>
                </c:pt>
              </c:strCache>
            </c:strRef>
          </c:tx>
          <c:spPr>
            <a:solidFill>
              <a:schemeClr val="accent3">
                <a:shade val="65000"/>
              </a:schemeClr>
            </a:solidFill>
            <a:ln>
              <a:noFill/>
            </a:ln>
            <a:effectLst>
              <a:outerShdw blurRad="50800" dist="50800" dir="5400000" algn="ctr" rotWithShape="0">
                <a:schemeClr val="accent4">
                  <a:lumMod val="75000"/>
                </a:schemeClr>
              </a:outerShdw>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Garancije!$B$2:$D$2</c:f>
              <c:strCache>
                <c:ptCount val="3"/>
                <c:pt idx="0">
                  <c:v>Ugovoreni iznos</c:v>
                </c:pt>
                <c:pt idx="1">
                  <c:v>Povučeno</c:v>
                </c:pt>
                <c:pt idx="2">
                  <c:v>Stanje duga</c:v>
                </c:pt>
              </c:strCache>
            </c:strRef>
          </c:cat>
          <c:val>
            <c:numRef>
              <c:f>Garancije!$B$3:$D$3</c:f>
              <c:numCache>
                <c:formatCode>0.0,,</c:formatCode>
                <c:ptCount val="3"/>
                <c:pt idx="0">
                  <c:v>527611659.79566228</c:v>
                </c:pt>
                <c:pt idx="1">
                  <c:v>390784213.30566227</c:v>
                </c:pt>
                <c:pt idx="2">
                  <c:v>117573848.37844057</c:v>
                </c:pt>
              </c:numCache>
            </c:numRef>
          </c:val>
          <c:extLst>
            <c:ext xmlns:c16="http://schemas.microsoft.com/office/drawing/2014/chart" uri="{C3380CC4-5D6E-409C-BE32-E72D297353CC}">
              <c16:uniqueId val="{00000000-23FD-42A9-BC24-84D060DD66AB}"/>
            </c:ext>
          </c:extLst>
        </c:ser>
        <c:ser>
          <c:idx val="1"/>
          <c:order val="1"/>
          <c:tx>
            <c:strRef>
              <c:f>Garancije!$A$4</c:f>
              <c:strCache>
                <c:ptCount val="1"/>
                <c:pt idx="0">
                  <c:v>Domaće garancije</c:v>
                </c:pt>
              </c:strCache>
            </c:strRef>
          </c:tx>
          <c:spPr>
            <a:solidFill>
              <a:schemeClr val="accent3"/>
            </a:solidFill>
            <a:ln>
              <a:noFill/>
            </a:ln>
            <a:effectLst>
              <a:outerShdw blurRad="50800" dist="50800" dir="5400000" algn="ctr" rotWithShape="0">
                <a:schemeClr val="accent4">
                  <a:lumMod val="75000"/>
                </a:schemeClr>
              </a:outerShdw>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Garancije!$B$2:$D$2</c:f>
              <c:strCache>
                <c:ptCount val="3"/>
                <c:pt idx="0">
                  <c:v>Ugovoreni iznos</c:v>
                </c:pt>
                <c:pt idx="1">
                  <c:v>Povučeno</c:v>
                </c:pt>
                <c:pt idx="2">
                  <c:v>Stanje duga</c:v>
                </c:pt>
              </c:strCache>
            </c:strRef>
          </c:cat>
          <c:val>
            <c:numRef>
              <c:f>Garancije!$B$4:$D$4</c:f>
              <c:numCache>
                <c:formatCode>0.0,,</c:formatCode>
                <c:ptCount val="3"/>
                <c:pt idx="0">
                  <c:v>55440883.600000001</c:v>
                </c:pt>
                <c:pt idx="1">
                  <c:v>54074895.090000004</c:v>
                </c:pt>
                <c:pt idx="2">
                  <c:v>17948827.419999998</c:v>
                </c:pt>
              </c:numCache>
            </c:numRef>
          </c:val>
          <c:extLst>
            <c:ext xmlns:c16="http://schemas.microsoft.com/office/drawing/2014/chart" uri="{C3380CC4-5D6E-409C-BE32-E72D297353CC}">
              <c16:uniqueId val="{00000001-23FD-42A9-BC24-84D060DD66AB}"/>
            </c:ext>
          </c:extLst>
        </c:ser>
        <c:dLbls>
          <c:showLegendKey val="0"/>
          <c:showVal val="0"/>
          <c:showCatName val="0"/>
          <c:showSerName val="0"/>
          <c:showPercent val="0"/>
          <c:showBubbleSize val="0"/>
        </c:dLbls>
        <c:gapWidth val="219"/>
        <c:overlap val="100"/>
        <c:axId val="312113536"/>
        <c:axId val="312115104"/>
      </c:barChart>
      <c:lineChart>
        <c:grouping val="standard"/>
        <c:varyColors val="0"/>
        <c:ser>
          <c:idx val="2"/>
          <c:order val="2"/>
          <c:tx>
            <c:strRef>
              <c:f>Garancije!$A$5</c:f>
              <c:strCache>
                <c:ptCount val="1"/>
                <c:pt idx="0">
                  <c:v>Ukupno </c:v>
                </c:pt>
              </c:strCache>
            </c:strRef>
          </c:tx>
          <c:spPr>
            <a:ln w="28575" cap="rnd">
              <a:solidFill>
                <a:schemeClr val="accent3">
                  <a:tint val="65000"/>
                </a:schemeClr>
              </a:solidFill>
              <a:round/>
            </a:ln>
            <a:effectLst/>
          </c:spPr>
          <c:marker>
            <c:symbol val="none"/>
          </c:marker>
          <c:dLbls>
            <c:dLbl>
              <c:idx val="0"/>
              <c:layout>
                <c:manualLayout>
                  <c:x val="1.5238095238095238E-2"/>
                  <c:y val="-3.703703703703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FD-42A9-BC24-84D060DD66AB}"/>
                </c:ext>
              </c:extLst>
            </c:dLbl>
            <c:dLbl>
              <c:idx val="1"/>
              <c:layout>
                <c:manualLayout>
                  <c:x val="1.5238095238095238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FD-42A9-BC24-84D060DD66AB}"/>
                </c:ext>
              </c:extLst>
            </c:dLbl>
            <c:dLbl>
              <c:idx val="2"/>
              <c:layout>
                <c:manualLayout>
                  <c:x val="-1.8624123476874961E-16"/>
                  <c:y val="-6.0185185185185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3FD-42A9-BC24-84D060DD66AB}"/>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Garancije!$B$5:$D$5</c:f>
              <c:numCache>
                <c:formatCode>0.0,,</c:formatCode>
                <c:ptCount val="3"/>
                <c:pt idx="0">
                  <c:v>583052543.39566231</c:v>
                </c:pt>
                <c:pt idx="1">
                  <c:v>444859108.39566231</c:v>
                </c:pt>
                <c:pt idx="2">
                  <c:v>135522675.79844058</c:v>
                </c:pt>
              </c:numCache>
            </c:numRef>
          </c:val>
          <c:smooth val="0"/>
          <c:extLst>
            <c:ext xmlns:c16="http://schemas.microsoft.com/office/drawing/2014/chart" uri="{C3380CC4-5D6E-409C-BE32-E72D297353CC}">
              <c16:uniqueId val="{00000005-23FD-42A9-BC24-84D060DD66AB}"/>
            </c:ext>
          </c:extLst>
        </c:ser>
        <c:dLbls>
          <c:showLegendKey val="0"/>
          <c:showVal val="0"/>
          <c:showCatName val="0"/>
          <c:showSerName val="0"/>
          <c:showPercent val="0"/>
          <c:showBubbleSize val="0"/>
        </c:dLbls>
        <c:marker val="1"/>
        <c:smooth val="0"/>
        <c:axId val="312113536"/>
        <c:axId val="312115104"/>
      </c:lineChart>
      <c:catAx>
        <c:axId val="31211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115104"/>
        <c:crosses val="autoZero"/>
        <c:auto val="1"/>
        <c:lblAlgn val="ctr"/>
        <c:lblOffset val="100"/>
        <c:noMultiLvlLbl val="0"/>
      </c:catAx>
      <c:valAx>
        <c:axId val="3121151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113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a:latin typeface="+mn-lt"/>
              </a:rPr>
              <a:t>Nivo BDP-a sa neto</a:t>
            </a:r>
            <a:r>
              <a:rPr lang="en-US" sz="1100" b="1" baseline="0">
                <a:latin typeface="+mn-lt"/>
              </a:rPr>
              <a:t> efektima Plana rasta EU</a:t>
            </a:r>
            <a:endParaRPr lang="en-US" sz="1100" b="1">
              <a:latin typeface="+mn-lt"/>
            </a:endParaRPr>
          </a:p>
        </c:rich>
      </c:tx>
      <c:overlay val="0"/>
      <c:spPr>
        <a:noFill/>
        <a:ln>
          <a:noFill/>
        </a:ln>
        <a:effectLst/>
      </c:spPr>
    </c:title>
    <c:autoTitleDeleted val="0"/>
    <c:plotArea>
      <c:layout/>
      <c:lineChart>
        <c:grouping val="standard"/>
        <c:varyColors val="0"/>
        <c:ser>
          <c:idx val="0"/>
          <c:order val="0"/>
          <c:tx>
            <c:strRef>
              <c:f>'Scenarios Summary'!$T$13</c:f>
              <c:strCache>
                <c:ptCount val="1"/>
                <c:pt idx="0">
                  <c:v>Osnovni scenario (2023=100)</c:v>
                </c:pt>
              </c:strCache>
            </c:strRef>
          </c:tx>
          <c:spPr>
            <a:ln w="28575" cap="rnd">
              <a:solidFill>
                <a:schemeClr val="accent1"/>
              </a:solidFill>
              <a:round/>
            </a:ln>
            <a:effectLst/>
          </c:spPr>
          <c:marker>
            <c:symbol val="none"/>
          </c:marker>
          <c:dLbls>
            <c:dLbl>
              <c:idx val="1"/>
              <c:layout>
                <c:manualLayout>
                  <c:x val="-1.203079884504331E-2"/>
                  <c:y val="-9.0634441087613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B5-4003-BFBA-22F2B51ABD05}"/>
                </c:ext>
              </c:extLst>
            </c:dLbl>
            <c:dLbl>
              <c:idx val="2"/>
              <c:layout>
                <c:manualLayout>
                  <c:x val="-7.2184793070259861E-3"/>
                  <c:y val="-9.66767371601208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B5-4003-BFBA-22F2B51ABD05}"/>
                </c:ext>
              </c:extLst>
            </c:dLbl>
            <c:dLbl>
              <c:idx val="3"/>
              <c:layout>
                <c:manualLayout>
                  <c:x val="-1.9249278152069386E-2"/>
                  <c:y val="-7.854984894259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B5-4003-BFBA-22F2B51ABD05}"/>
                </c:ext>
              </c:extLst>
            </c:dLbl>
            <c:dLbl>
              <c:idx val="4"/>
              <c:layout>
                <c:manualLayout>
                  <c:x val="-6.2560153994225223E-2"/>
                  <c:y val="-5.43806646525679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B5-4003-BFBA-22F2B51ABD0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'Scenarios Summary'!$N$3:$R$3</c:f>
              <c:numCache>
                <c:formatCode>General</c:formatCode>
                <c:ptCount val="5"/>
                <c:pt idx="0">
                  <c:v>2023</c:v>
                </c:pt>
                <c:pt idx="1">
                  <c:v>2024</c:v>
                </c:pt>
                <c:pt idx="2">
                  <c:v>2025</c:v>
                </c:pt>
                <c:pt idx="3">
                  <c:v>2026</c:v>
                </c:pt>
                <c:pt idx="4">
                  <c:v>2027</c:v>
                </c:pt>
              </c:numCache>
            </c:numRef>
          </c:cat>
          <c:val>
            <c:numRef>
              <c:f>'Scenarios Summary'!$N$7:$R$7</c:f>
              <c:numCache>
                <c:formatCode>0</c:formatCode>
                <c:ptCount val="5"/>
                <c:pt idx="0">
                  <c:v>100</c:v>
                </c:pt>
                <c:pt idx="1">
                  <c:v>106.41715384315158</c:v>
                </c:pt>
                <c:pt idx="2">
                  <c:v>112.39645082170699</c:v>
                </c:pt>
                <c:pt idx="3">
                  <c:v>117.81819554232256</c:v>
                </c:pt>
                <c:pt idx="4">
                  <c:v>122.96210679660634</c:v>
                </c:pt>
              </c:numCache>
            </c:numRef>
          </c:val>
          <c:smooth val="0"/>
          <c:extLst>
            <c:ext xmlns:c16="http://schemas.microsoft.com/office/drawing/2014/chart" uri="{C3380CC4-5D6E-409C-BE32-E72D297353CC}">
              <c16:uniqueId val="{00000004-E4B5-4003-BFBA-22F2B51ABD05}"/>
            </c:ext>
          </c:extLst>
        </c:ser>
        <c:ser>
          <c:idx val="1"/>
          <c:order val="1"/>
          <c:tx>
            <c:strRef>
              <c:f>'Scenarios Summary'!$T$14</c:f>
              <c:strCache>
                <c:ptCount val="1"/>
                <c:pt idx="0">
                  <c:v>Bez neto efekata (2023=100)</c:v>
                </c:pt>
              </c:strCache>
            </c:strRef>
          </c:tx>
          <c:spPr>
            <a:ln w="28575" cap="rnd">
              <a:solidFill>
                <a:schemeClr val="accent2"/>
              </a:solidFill>
              <a:round/>
            </a:ln>
            <a:effectLst/>
          </c:spPr>
          <c:marker>
            <c:symbol val="none"/>
          </c:marker>
          <c:dLbls>
            <c:dLbl>
              <c:idx val="1"/>
              <c:layout>
                <c:manualLayout>
                  <c:x val="-2.406159769008662E-3"/>
                  <c:y val="-6.04229607250755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4B5-4003-BFBA-22F2B51ABD05}"/>
                </c:ext>
              </c:extLst>
            </c:dLbl>
            <c:dLbl>
              <c:idx val="2"/>
              <c:layout>
                <c:manualLayout>
                  <c:x val="-7.2184793070259861E-3"/>
                  <c:y val="4.8338368580060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4B5-4003-BFBA-22F2B51ABD05}"/>
                </c:ext>
              </c:extLst>
            </c:dLbl>
            <c:dLbl>
              <c:idx val="3"/>
              <c:layout>
                <c:manualLayout>
                  <c:x val="7.2184793070258985E-3"/>
                  <c:y val="4.8338368580060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4B5-4003-BFBA-22F2B51ABD05}"/>
                </c:ext>
              </c:extLst>
            </c:dLbl>
            <c:dLbl>
              <c:idx val="4"/>
              <c:layout>
                <c:manualLayout>
                  <c:x val="-3.6092396535129932E-2"/>
                  <c:y val="4.2296072507552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4B5-4003-BFBA-22F2B51ABD0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'Scenarios Summary'!$N$3:$R$3</c:f>
              <c:numCache>
                <c:formatCode>General</c:formatCode>
                <c:ptCount val="5"/>
                <c:pt idx="0">
                  <c:v>2023</c:v>
                </c:pt>
                <c:pt idx="1">
                  <c:v>2024</c:v>
                </c:pt>
                <c:pt idx="2">
                  <c:v>2025</c:v>
                </c:pt>
                <c:pt idx="3">
                  <c:v>2026</c:v>
                </c:pt>
                <c:pt idx="4">
                  <c:v>2027</c:v>
                </c:pt>
              </c:numCache>
            </c:numRef>
          </c:cat>
          <c:val>
            <c:numRef>
              <c:f>'Scenarios Summary'!$N$8:$R$8</c:f>
              <c:numCache>
                <c:formatCode>0</c:formatCode>
                <c:ptCount val="5"/>
                <c:pt idx="0">
                  <c:v>100</c:v>
                </c:pt>
                <c:pt idx="1">
                  <c:v>105.67254242899364</c:v>
                </c:pt>
                <c:pt idx="2">
                  <c:v>111.61000167163823</c:v>
                </c:pt>
                <c:pt idx="3">
                  <c:v>116.99380990496932</c:v>
                </c:pt>
                <c:pt idx="4">
                  <c:v>122.10172870037752</c:v>
                </c:pt>
              </c:numCache>
            </c:numRef>
          </c:val>
          <c:smooth val="0"/>
          <c:extLst>
            <c:ext xmlns:c16="http://schemas.microsoft.com/office/drawing/2014/chart" uri="{C3380CC4-5D6E-409C-BE32-E72D297353CC}">
              <c16:uniqueId val="{00000009-E4B5-4003-BFBA-22F2B51ABD05}"/>
            </c:ext>
          </c:extLst>
        </c:ser>
        <c:dLbls>
          <c:showLegendKey val="0"/>
          <c:showVal val="0"/>
          <c:showCatName val="0"/>
          <c:showSerName val="0"/>
          <c:showPercent val="0"/>
          <c:showBubbleSize val="0"/>
        </c:dLbls>
        <c:smooth val="0"/>
        <c:axId val="244588544"/>
        <c:axId val="244590080"/>
      </c:lineChart>
      <c:catAx>
        <c:axId val="24458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590080"/>
        <c:crosses val="autoZero"/>
        <c:auto val="1"/>
        <c:lblAlgn val="ctr"/>
        <c:lblOffset val="100"/>
        <c:noMultiLvlLbl val="0"/>
      </c:catAx>
      <c:valAx>
        <c:axId val="244590080"/>
        <c:scaling>
          <c:orientation val="minMax"/>
          <c:min val="10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588544"/>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20" baseline="0">
                <a:solidFill>
                  <a:schemeClr val="dk1">
                    <a:lumMod val="50000"/>
                    <a:lumOff val="50000"/>
                  </a:schemeClr>
                </a:solidFill>
                <a:latin typeface="+mn-lt"/>
                <a:ea typeface="+mn-ea"/>
                <a:cs typeface="+mn-cs"/>
              </a:defRPr>
            </a:pPr>
            <a:r>
              <a:rPr lang="sr-Latn-ME" sz="1000"/>
              <a:t>ULC nominalni, realni 2010=100</a:t>
            </a:r>
            <a:endParaRPr lang="en-US" sz="1000"/>
          </a:p>
        </c:rich>
      </c:tx>
      <c:overlay val="0"/>
      <c:spPr>
        <a:noFill/>
        <a:ln>
          <a:noFill/>
        </a:ln>
        <a:effectLst/>
      </c:spPr>
    </c:title>
    <c:autoTitleDeleted val="0"/>
    <c:plotArea>
      <c:layout>
        <c:manualLayout>
          <c:layoutTarget val="inner"/>
          <c:xMode val="edge"/>
          <c:yMode val="edge"/>
          <c:x val="0.10538188976377953"/>
          <c:y val="0.13482266509633439"/>
          <c:w val="0.88389129483814588"/>
          <c:h val="0.68120888263604262"/>
        </c:manualLayout>
      </c:layout>
      <c:lineChart>
        <c:grouping val="standard"/>
        <c:varyColors val="0"/>
        <c:ser>
          <c:idx val="0"/>
          <c:order val="0"/>
          <c:tx>
            <c:strRef>
              <c:f>'ULC1'!$N$3</c:f>
              <c:strCache>
                <c:ptCount val="1"/>
                <c:pt idx="0">
                  <c:v>ULC nom</c:v>
                </c:pt>
              </c:strCache>
            </c:strRef>
          </c:tx>
          <c:spPr>
            <a:ln w="22225" cap="rnd" cmpd="sng" algn="ctr">
              <a:solidFill>
                <a:schemeClr val="accent1"/>
              </a:solidFill>
              <a:round/>
            </a:ln>
            <a:effectLst/>
          </c:spPr>
          <c:marker>
            <c:symbol val="none"/>
          </c:marker>
          <c:dLbls>
            <c:delete val="1"/>
          </c:dLbls>
          <c:cat>
            <c:numRef>
              <c:f>'ULC1'!$C$5:$C$22</c:f>
              <c:numCache>
                <c:formatCode>General</c:formatCode>
                <c:ptCount val="18"/>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numCache>
            </c:numRef>
          </c:cat>
          <c:val>
            <c:numRef>
              <c:f>'ULC1'!$U$5:$U$22</c:f>
              <c:numCache>
                <c:formatCode>General</c:formatCode>
                <c:ptCount val="18"/>
                <c:pt idx="0">
                  <c:v>100</c:v>
                </c:pt>
                <c:pt idx="1">
                  <c:v>90.47276991808539</c:v>
                </c:pt>
                <c:pt idx="2">
                  <c:v>95.869340641674611</c:v>
                </c:pt>
                <c:pt idx="3">
                  <c:v>90.613628808319518</c:v>
                </c:pt>
                <c:pt idx="4">
                  <c:v>94.789866200208422</c:v>
                </c:pt>
                <c:pt idx="5">
                  <c:v>92.221059104653961</c:v>
                </c:pt>
                <c:pt idx="6">
                  <c:v>89.28351621281702</c:v>
                </c:pt>
                <c:pt idx="7">
                  <c:v>85.545065291889827</c:v>
                </c:pt>
                <c:pt idx="8">
                  <c:v>81.925431562991051</c:v>
                </c:pt>
                <c:pt idx="9">
                  <c:v>78.531293417019242</c:v>
                </c:pt>
                <c:pt idx="10">
                  <c:v>84.655276735252443</c:v>
                </c:pt>
                <c:pt idx="11">
                  <c:v>70.192248070523604</c:v>
                </c:pt>
                <c:pt idx="12">
                  <c:v>75.562384700916354</c:v>
                </c:pt>
                <c:pt idx="13">
                  <c:v>79.632425419474757</c:v>
                </c:pt>
                <c:pt idx="14">
                  <c:v>81.24261882258017</c:v>
                </c:pt>
                <c:pt idx="15">
                  <c:v>80.083807199292906</c:v>
                </c:pt>
                <c:pt idx="16" formatCode="0.0000">
                  <c:v>80.846990459322299</c:v>
                </c:pt>
                <c:pt idx="17">
                  <c:v>81.455145855093846</c:v>
                </c:pt>
              </c:numCache>
            </c:numRef>
          </c:val>
          <c:smooth val="1"/>
          <c:extLst>
            <c:ext xmlns:c16="http://schemas.microsoft.com/office/drawing/2014/chart" uri="{C3380CC4-5D6E-409C-BE32-E72D297353CC}">
              <c16:uniqueId val="{00000000-BC66-448A-96A9-8508A08778BA}"/>
            </c:ext>
          </c:extLst>
        </c:ser>
        <c:ser>
          <c:idx val="1"/>
          <c:order val="1"/>
          <c:tx>
            <c:strRef>
              <c:f>'ULC1'!$O$3</c:f>
              <c:strCache>
                <c:ptCount val="1"/>
                <c:pt idx="0">
                  <c:v>ULC real</c:v>
                </c:pt>
              </c:strCache>
            </c:strRef>
          </c:tx>
          <c:spPr>
            <a:ln w="22225" cap="rnd" cmpd="sng" algn="ctr">
              <a:solidFill>
                <a:schemeClr val="accent2"/>
              </a:solidFill>
              <a:round/>
            </a:ln>
            <a:effectLst/>
          </c:spPr>
          <c:marker>
            <c:symbol val="none"/>
          </c:marker>
          <c:dLbls>
            <c:delete val="1"/>
          </c:dLbls>
          <c:cat>
            <c:numRef>
              <c:f>'ULC1'!$C$5:$C$22</c:f>
              <c:numCache>
                <c:formatCode>General</c:formatCode>
                <c:ptCount val="18"/>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pt idx="15">
                  <c:v>2025</c:v>
                </c:pt>
                <c:pt idx="16">
                  <c:v>2026</c:v>
                </c:pt>
                <c:pt idx="17">
                  <c:v>2027</c:v>
                </c:pt>
              </c:numCache>
            </c:numRef>
          </c:cat>
          <c:val>
            <c:numRef>
              <c:f>'ULC1'!$V$5:$V$22</c:f>
              <c:numCache>
                <c:formatCode>General</c:formatCode>
                <c:ptCount val="18"/>
                <c:pt idx="0">
                  <c:v>100</c:v>
                </c:pt>
                <c:pt idx="1">
                  <c:v>88.507521235568163</c:v>
                </c:pt>
                <c:pt idx="2">
                  <c:v>90.213453932001372</c:v>
                </c:pt>
                <c:pt idx="3">
                  <c:v>85.151773022227559</c:v>
                </c:pt>
                <c:pt idx="4">
                  <c:v>90.642222162422712</c:v>
                </c:pt>
                <c:pt idx="5">
                  <c:v>88.768682753402913</c:v>
                </c:pt>
                <c:pt idx="6">
                  <c:v>90.570860858273861</c:v>
                </c:pt>
                <c:pt idx="7">
                  <c:v>88.003509353587248</c:v>
                </c:pt>
                <c:pt idx="8">
                  <c:v>84.793962487953024</c:v>
                </c:pt>
                <c:pt idx="9">
                  <c:v>82.594234571817154</c:v>
                </c:pt>
                <c:pt idx="10">
                  <c:v>89.14616097116533</c:v>
                </c:pt>
                <c:pt idx="11">
                  <c:v>75.595035723828303</c:v>
                </c:pt>
                <c:pt idx="12">
                  <c:v>80.920358479223836</c:v>
                </c:pt>
                <c:pt idx="13">
                  <c:v>86.804744314795556</c:v>
                </c:pt>
                <c:pt idx="14" formatCode="0.0000">
                  <c:v>87.668504697038372</c:v>
                </c:pt>
                <c:pt idx="15" formatCode="0.0000">
                  <c:v>85.329559411593678</c:v>
                </c:pt>
                <c:pt idx="16" formatCode="0.0000">
                  <c:v>85.632034445787227</c:v>
                </c:pt>
                <c:pt idx="17" formatCode="0.0000">
                  <c:v>85.535591594729979</c:v>
                </c:pt>
              </c:numCache>
            </c:numRef>
          </c:val>
          <c:smooth val="1"/>
          <c:extLst>
            <c:ext xmlns:c16="http://schemas.microsoft.com/office/drawing/2014/chart" uri="{C3380CC4-5D6E-409C-BE32-E72D297353CC}">
              <c16:uniqueId val="{00000001-BC66-448A-96A9-8508A08778BA}"/>
            </c:ext>
          </c:extLst>
        </c:ser>
        <c:dLbls>
          <c:showLegendKey val="0"/>
          <c:showVal val="1"/>
          <c:showCatName val="0"/>
          <c:showSerName val="0"/>
          <c:showPercent val="0"/>
          <c:showBubbleSize val="0"/>
        </c:dLbls>
        <c:smooth val="0"/>
        <c:axId val="234665472"/>
        <c:axId val="234667008"/>
      </c:lineChart>
      <c:catAx>
        <c:axId val="23466547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700" b="0" i="0" u="none" strike="noStrike" kern="1200" spc="20" baseline="0">
                <a:solidFill>
                  <a:schemeClr val="dk1">
                    <a:lumMod val="65000"/>
                    <a:lumOff val="35000"/>
                  </a:schemeClr>
                </a:solidFill>
                <a:latin typeface="+mn-lt"/>
                <a:ea typeface="+mn-ea"/>
                <a:cs typeface="+mn-cs"/>
              </a:defRPr>
            </a:pPr>
            <a:endParaRPr lang="en-US"/>
          </a:p>
        </c:txPr>
        <c:crossAx val="234667008"/>
        <c:crosses val="autoZero"/>
        <c:auto val="1"/>
        <c:lblAlgn val="ctr"/>
        <c:lblOffset val="100"/>
        <c:tickLblSkip val="4"/>
        <c:tickMarkSkip val="4"/>
        <c:noMultiLvlLbl val="0"/>
      </c:catAx>
      <c:valAx>
        <c:axId val="234667008"/>
        <c:scaling>
          <c:orientation val="minMax"/>
          <c:max val="100"/>
          <c:min val="7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spc="20" baseline="0">
                <a:solidFill>
                  <a:schemeClr val="dk1">
                    <a:lumMod val="65000"/>
                    <a:lumOff val="35000"/>
                  </a:schemeClr>
                </a:solidFill>
                <a:latin typeface="+mn-lt"/>
                <a:ea typeface="+mn-ea"/>
                <a:cs typeface="+mn-cs"/>
              </a:defRPr>
            </a:pPr>
            <a:endParaRPr lang="en-US"/>
          </a:p>
        </c:txPr>
        <c:crossAx val="234665472"/>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4.8745415270396115E-2"/>
          <c:y val="0.93032548350810984"/>
          <c:w val="0.6450826388888895"/>
          <c:h val="6.9674444444444428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cat>
            <c:numRef>
              <c:f>GDP!$D$1:$X$1</c:f>
              <c:numCache>
                <c:formatCode>General</c:formatCode>
                <c:ptCount val="21"/>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pt idx="18">
                  <c:v>2025</c:v>
                </c:pt>
                <c:pt idx="19">
                  <c:v>2026</c:v>
                </c:pt>
                <c:pt idx="20">
                  <c:v>2027</c:v>
                </c:pt>
              </c:numCache>
            </c:numRef>
          </c:cat>
          <c:val>
            <c:numRef>
              <c:f>GDP!$D$41:$X$41</c:f>
              <c:numCache>
                <c:formatCode>0.0</c:formatCode>
                <c:ptCount val="21"/>
                <c:pt idx="0">
                  <c:v>100</c:v>
                </c:pt>
                <c:pt idx="1">
                  <c:v>104.22161715492375</c:v>
                </c:pt>
                <c:pt idx="2">
                  <c:v>100.93798058300949</c:v>
                </c:pt>
                <c:pt idx="3">
                  <c:v>106.0394549998932</c:v>
                </c:pt>
                <c:pt idx="4">
                  <c:v>116.62030883435233</c:v>
                </c:pt>
                <c:pt idx="5">
                  <c:v>111.00079682941231</c:v>
                </c:pt>
                <c:pt idx="6">
                  <c:v>113.64537331726454</c:v>
                </c:pt>
                <c:pt idx="7">
                  <c:v>108.02341776096382</c:v>
                </c:pt>
                <c:pt idx="8">
                  <c:v>108.95257059235344</c:v>
                </c:pt>
                <c:pt idx="9">
                  <c:v>110.89031544182953</c:v>
                </c:pt>
                <c:pt idx="10">
                  <c:v>113.56275498458885</c:v>
                </c:pt>
                <c:pt idx="11">
                  <c:v>115.23319514568577</c:v>
                </c:pt>
                <c:pt idx="12">
                  <c:v>116.75547997434441</c:v>
                </c:pt>
                <c:pt idx="13">
                  <c:v>109.90348674904355</c:v>
                </c:pt>
                <c:pt idx="14">
                  <c:v>128.21248811291323</c:v>
                </c:pt>
                <c:pt idx="15">
                  <c:v>115.47216773638868</c:v>
                </c:pt>
                <c:pt idx="16">
                  <c:v>110.81629302945572</c:v>
                </c:pt>
                <c:pt idx="17">
                  <c:v>111.10000033117554</c:v>
                </c:pt>
                <c:pt idx="18">
                  <c:v>113.65595090325658</c:v>
                </c:pt>
                <c:pt idx="19">
                  <c:v>114.91188200223004</c:v>
                </c:pt>
                <c:pt idx="20">
                  <c:v>116.95319122736487</c:v>
                </c:pt>
              </c:numCache>
            </c:numRef>
          </c:val>
          <c:smooth val="0"/>
          <c:extLst>
            <c:ext xmlns:c16="http://schemas.microsoft.com/office/drawing/2014/chart" uri="{C3380CC4-5D6E-409C-BE32-E72D297353CC}">
              <c16:uniqueId val="{00000000-BFAC-42DE-82D2-0E44981F827D}"/>
            </c:ext>
          </c:extLst>
        </c:ser>
        <c:dLbls>
          <c:showLegendKey val="0"/>
          <c:showVal val="0"/>
          <c:showCatName val="0"/>
          <c:showSerName val="0"/>
          <c:showPercent val="0"/>
          <c:showBubbleSize val="0"/>
        </c:dLbls>
        <c:smooth val="0"/>
        <c:axId val="234681088"/>
        <c:axId val="234682624"/>
      </c:lineChart>
      <c:catAx>
        <c:axId val="234681088"/>
        <c:scaling>
          <c:orientation val="minMax"/>
        </c:scaling>
        <c:delete val="0"/>
        <c:axPos val="b"/>
        <c:numFmt formatCode="General" sourceLinked="1"/>
        <c:majorTickMark val="out"/>
        <c:minorTickMark val="none"/>
        <c:tickLblPos val="nextTo"/>
        <c:txPr>
          <a:bodyPr/>
          <a:lstStyle/>
          <a:p>
            <a:pPr>
              <a:defRPr sz="800"/>
            </a:pPr>
            <a:endParaRPr lang="en-US"/>
          </a:p>
        </c:txPr>
        <c:crossAx val="234682624"/>
        <c:crosses val="autoZero"/>
        <c:auto val="1"/>
        <c:lblAlgn val="ctr"/>
        <c:lblOffset val="100"/>
        <c:tickLblSkip val="2"/>
        <c:noMultiLvlLbl val="0"/>
      </c:catAx>
      <c:valAx>
        <c:axId val="234682624"/>
        <c:scaling>
          <c:orientation val="minMax"/>
          <c:min val="100"/>
        </c:scaling>
        <c:delete val="0"/>
        <c:axPos val="l"/>
        <c:numFmt formatCode="0.0" sourceLinked="1"/>
        <c:majorTickMark val="out"/>
        <c:minorTickMark val="none"/>
        <c:tickLblPos val="nextTo"/>
        <c:txPr>
          <a:bodyPr/>
          <a:lstStyle/>
          <a:p>
            <a:pPr>
              <a:defRPr sz="800"/>
            </a:pPr>
            <a:endParaRPr lang="en-US"/>
          </a:p>
        </c:txPr>
        <c:crossAx val="234681088"/>
        <c:crosses val="autoZero"/>
        <c:crossBetween val="between"/>
      </c:valAx>
    </c:plotArea>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83027320091435"/>
          <c:y val="6.7407415270622953E-2"/>
          <c:w val="0.86878084307598324"/>
          <c:h val="0.73157290540366349"/>
        </c:manualLayout>
      </c:layout>
      <c:lineChart>
        <c:grouping val="standard"/>
        <c:varyColors val="0"/>
        <c:ser>
          <c:idx val="0"/>
          <c:order val="0"/>
          <c:tx>
            <c:strRef>
              <c:f>Grafik1!$B$1</c:f>
              <c:strCache>
                <c:ptCount val="1"/>
                <c:pt idx="0">
                  <c:v>Ciklična komponenta</c:v>
                </c:pt>
              </c:strCache>
            </c:strRef>
          </c:tx>
          <c:spPr>
            <a:ln w="31750" cap="rnd">
              <a:solidFill>
                <a:schemeClr val="accent1"/>
              </a:solidFill>
              <a:round/>
            </a:ln>
            <a:effectLst/>
          </c:spPr>
          <c:marker>
            <c:symbol val="none"/>
          </c:marker>
          <c:cat>
            <c:numRef>
              <c:f>Grafik1!$A$2:$A$23</c:f>
              <c:numCache>
                <c:formatCode>General</c:formatCode>
                <c:ptCount val="22"/>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pt idx="20">
                  <c:v>2026</c:v>
                </c:pt>
                <c:pt idx="21">
                  <c:v>2027</c:v>
                </c:pt>
              </c:numCache>
            </c:numRef>
          </c:cat>
          <c:val>
            <c:numRef>
              <c:f>Grafik1!$B$2:$B$23</c:f>
              <c:numCache>
                <c:formatCode>0.00</c:formatCode>
                <c:ptCount val="22"/>
                <c:pt idx="0" formatCode="General">
                  <c:v>0.18653137416830901</c:v>
                </c:pt>
                <c:pt idx="1">
                  <c:v>3.4064919592969178</c:v>
                </c:pt>
                <c:pt idx="2">
                  <c:v>3.9588960608045256</c:v>
                </c:pt>
                <c:pt idx="3">
                  <c:v>-4.3271654618095985</c:v>
                </c:pt>
                <c:pt idx="4">
                  <c:v>-3.5906266597994536</c:v>
                </c:pt>
                <c:pt idx="5">
                  <c:v>0.36826940100507222</c:v>
                </c:pt>
                <c:pt idx="6">
                  <c:v>-3.0382225582918454</c:v>
                </c:pt>
                <c:pt idx="7">
                  <c:v>-1.1048082030152164</c:v>
                </c:pt>
                <c:pt idx="8">
                  <c:v>-0.55240410150760821</c:v>
                </c:pt>
                <c:pt idx="9">
                  <c:v>1.1968755532664845</c:v>
                </c:pt>
                <c:pt idx="10">
                  <c:v>1.5651449542715568</c:v>
                </c:pt>
                <c:pt idx="11">
                  <c:v>3.3144246090456497</c:v>
                </c:pt>
                <c:pt idx="12">
                  <c:v>5.1557716140710097</c:v>
                </c:pt>
                <c:pt idx="13">
                  <c:v>3.2223572587943816</c:v>
                </c:pt>
                <c:pt idx="14">
                  <c:v>-13.810102537690206</c:v>
                </c:pt>
                <c:pt idx="15">
                  <c:v>-5.7081757155786192</c:v>
                </c:pt>
                <c:pt idx="16">
                  <c:v>-1</c:v>
                </c:pt>
                <c:pt idx="17">
                  <c:v>4.4192328120608657</c:v>
                </c:pt>
                <c:pt idx="18">
                  <c:v>3.4985593095481855</c:v>
                </c:pt>
                <c:pt idx="19">
                  <c:v>4.9716369135684744</c:v>
                </c:pt>
                <c:pt idx="20">
                  <c:v>4.9716369135684744</c:v>
                </c:pt>
                <c:pt idx="21">
                  <c:v>5.0637042638197425</c:v>
                </c:pt>
              </c:numCache>
            </c:numRef>
          </c:val>
          <c:smooth val="0"/>
          <c:extLst>
            <c:ext xmlns:c16="http://schemas.microsoft.com/office/drawing/2014/chart" uri="{C3380CC4-5D6E-409C-BE32-E72D297353CC}">
              <c16:uniqueId val="{00000000-5062-462E-BA60-EAC7FCDB3ACC}"/>
            </c:ext>
          </c:extLst>
        </c:ser>
        <c:ser>
          <c:idx val="1"/>
          <c:order val="1"/>
          <c:tx>
            <c:strRef>
              <c:f>Grafik1!$C$1</c:f>
              <c:strCache>
                <c:ptCount val="1"/>
                <c:pt idx="0">
                  <c:v>Suficit/deficit
(u % BDP) </c:v>
                </c:pt>
              </c:strCache>
            </c:strRef>
          </c:tx>
          <c:spPr>
            <a:ln w="31750" cap="rnd">
              <a:solidFill>
                <a:schemeClr val="accent2"/>
              </a:solidFill>
              <a:round/>
            </a:ln>
            <a:effectLst/>
          </c:spPr>
          <c:marker>
            <c:symbol val="none"/>
          </c:marker>
          <c:cat>
            <c:numRef>
              <c:f>Grafik1!$A$2:$A$23</c:f>
              <c:numCache>
                <c:formatCode>General</c:formatCode>
                <c:ptCount val="22"/>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pt idx="20">
                  <c:v>2026</c:v>
                </c:pt>
                <c:pt idx="21">
                  <c:v>2027</c:v>
                </c:pt>
              </c:numCache>
            </c:numRef>
          </c:cat>
          <c:val>
            <c:numRef>
              <c:f>Grafik1!$C$2:$C$23</c:f>
              <c:numCache>
                <c:formatCode>0.00</c:formatCode>
                <c:ptCount val="22"/>
                <c:pt idx="0" formatCode="General">
                  <c:v>3.2286625962318904</c:v>
                </c:pt>
                <c:pt idx="1">
                  <c:v>6.1216893066039644</c:v>
                </c:pt>
                <c:pt idx="2">
                  <c:v>-0.54779830195415768</c:v>
                </c:pt>
                <c:pt idx="3">
                  <c:v>-5.6281386893618173</c:v>
                </c:pt>
                <c:pt idx="4">
                  <c:v>-3.7858109686441028</c:v>
                </c:pt>
                <c:pt idx="5">
                  <c:v>-5.3963803391406655</c:v>
                </c:pt>
                <c:pt idx="6">
                  <c:v>-5.5361079146572481</c:v>
                </c:pt>
                <c:pt idx="7">
                  <c:v>-4.5989837269017357</c:v>
                </c:pt>
                <c:pt idx="8">
                  <c:v>-2.9196725663563261</c:v>
                </c:pt>
                <c:pt idx="9">
                  <c:v>-8.284006181947138</c:v>
                </c:pt>
                <c:pt idx="10">
                  <c:v>-3.596419108641395</c:v>
                </c:pt>
                <c:pt idx="11">
                  <c:v>-5.2819260293091412</c:v>
                </c:pt>
                <c:pt idx="12">
                  <c:v>-3.9244279556518191</c:v>
                </c:pt>
                <c:pt idx="13">
                  <c:v>-1.4591875896337891</c:v>
                </c:pt>
                <c:pt idx="14">
                  <c:v>-11.100200688073395</c:v>
                </c:pt>
                <c:pt idx="15">
                  <c:v>-3.1541240338237366</c:v>
                </c:pt>
                <c:pt idx="16">
                  <c:v>-4.2939207838807611</c:v>
                </c:pt>
                <c:pt idx="17">
                  <c:v>-4.9070124552124206</c:v>
                </c:pt>
                <c:pt idx="18">
                  <c:v>-3.0620087100732132</c:v>
                </c:pt>
                <c:pt idx="19">
                  <c:v>-3.4988826675370981</c:v>
                </c:pt>
                <c:pt idx="20">
                  <c:v>-3.223533346072998</c:v>
                </c:pt>
                <c:pt idx="21">
                  <c:v>-3.1139023693976591</c:v>
                </c:pt>
              </c:numCache>
            </c:numRef>
          </c:val>
          <c:smooth val="0"/>
          <c:extLst>
            <c:ext xmlns:c16="http://schemas.microsoft.com/office/drawing/2014/chart" uri="{C3380CC4-5D6E-409C-BE32-E72D297353CC}">
              <c16:uniqueId val="{00000001-5062-462E-BA60-EAC7FCDB3ACC}"/>
            </c:ext>
          </c:extLst>
        </c:ser>
        <c:ser>
          <c:idx val="2"/>
          <c:order val="2"/>
          <c:tx>
            <c:strRef>
              <c:f>Grafik1!$D$1</c:f>
              <c:strCache>
                <c:ptCount val="1"/>
                <c:pt idx="0">
                  <c:v>Ciklično prilagođen deficit, %BDP-a</c:v>
                </c:pt>
              </c:strCache>
            </c:strRef>
          </c:tx>
          <c:spPr>
            <a:ln w="31750" cap="rnd">
              <a:solidFill>
                <a:schemeClr val="accent3"/>
              </a:solidFill>
              <a:round/>
            </a:ln>
            <a:effectLst/>
          </c:spPr>
          <c:marker>
            <c:symbol val="none"/>
          </c:marker>
          <c:cat>
            <c:numRef>
              <c:f>Grafik1!$A$2:$A$23</c:f>
              <c:numCache>
                <c:formatCode>General</c:formatCode>
                <c:ptCount val="22"/>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pt idx="20">
                  <c:v>2026</c:v>
                </c:pt>
                <c:pt idx="21">
                  <c:v>2027</c:v>
                </c:pt>
              </c:numCache>
            </c:numRef>
          </c:cat>
          <c:val>
            <c:numRef>
              <c:f>Grafik1!$D$2:$D$23</c:f>
              <c:numCache>
                <c:formatCode>0.00</c:formatCode>
                <c:ptCount val="22"/>
                <c:pt idx="0" formatCode="General">
                  <c:v>3.0421312220635812</c:v>
                </c:pt>
                <c:pt idx="1">
                  <c:v>4.805804792617657</c:v>
                </c:pt>
                <c:pt idx="2">
                  <c:v>-2.0770694938841903</c:v>
                </c:pt>
                <c:pt idx="3">
                  <c:v>-3.9566097121359673</c:v>
                </c:pt>
                <c:pt idx="4">
                  <c:v>-2.3987975620098871</c:v>
                </c:pt>
                <c:pt idx="5">
                  <c:v>-5.5386381244364822</c:v>
                </c:pt>
                <c:pt idx="6">
                  <c:v>-4.3624811859667574</c:v>
                </c:pt>
                <c:pt idx="7">
                  <c:v>-4.1722103710142848</c:v>
                </c:pt>
                <c:pt idx="8">
                  <c:v>-2.7062858884126006</c:v>
                </c:pt>
                <c:pt idx="9">
                  <c:v>-8.7463439841585426</c:v>
                </c:pt>
                <c:pt idx="10">
                  <c:v>-4.2010146961486177</c:v>
                </c:pt>
                <c:pt idx="11">
                  <c:v>-6.562246096971494</c:v>
                </c:pt>
                <c:pt idx="12">
                  <c:v>-5.9160369497932574</c:v>
                </c:pt>
                <c:pt idx="13">
                  <c:v>-2.69</c:v>
                </c:pt>
                <c:pt idx="14">
                  <c:v>-5.8647171124796103</c:v>
                </c:pt>
                <c:pt idx="15">
                  <c:v>-0.98</c:v>
                </c:pt>
                <c:pt idx="16">
                  <c:v>-3.2939207838807611</c:v>
                </c:pt>
                <c:pt idx="17">
                  <c:v>-9.3262268731717626</c:v>
                </c:pt>
                <c:pt idx="18">
                  <c:v>-6.5605534576243585</c:v>
                </c:pt>
                <c:pt idx="19">
                  <c:v>-8.4704988877413587</c:v>
                </c:pt>
                <c:pt idx="20">
                  <c:v>-8.1951495662772587</c:v>
                </c:pt>
                <c:pt idx="21">
                  <c:v>-8.1775855566427378</c:v>
                </c:pt>
              </c:numCache>
            </c:numRef>
          </c:val>
          <c:smooth val="0"/>
          <c:extLst>
            <c:ext xmlns:c16="http://schemas.microsoft.com/office/drawing/2014/chart" uri="{C3380CC4-5D6E-409C-BE32-E72D297353CC}">
              <c16:uniqueId val="{00000002-5062-462E-BA60-EAC7FCDB3ACC}"/>
            </c:ext>
          </c:extLst>
        </c:ser>
        <c:dLbls>
          <c:showLegendKey val="0"/>
          <c:showVal val="0"/>
          <c:showCatName val="0"/>
          <c:showSerName val="0"/>
          <c:showPercent val="0"/>
          <c:showBubbleSize val="0"/>
        </c:dLbls>
        <c:smooth val="0"/>
        <c:axId val="460746992"/>
        <c:axId val="391920920"/>
      </c:lineChart>
      <c:catAx>
        <c:axId val="460746992"/>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1920920"/>
        <c:crosses val="autoZero"/>
        <c:auto val="1"/>
        <c:lblAlgn val="ctr"/>
        <c:lblOffset val="100"/>
        <c:noMultiLvlLbl val="0"/>
      </c:catAx>
      <c:valAx>
        <c:axId val="391920920"/>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60746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50605536835611"/>
          <c:y val="3.6396724294813464E-2"/>
          <c:w val="0.85479919222957446"/>
          <c:h val="0.56854501467571328"/>
        </c:manualLayout>
      </c:layout>
      <c:lineChart>
        <c:grouping val="standard"/>
        <c:varyColors val="0"/>
        <c:ser>
          <c:idx val="0"/>
          <c:order val="0"/>
          <c:tx>
            <c:strRef>
              <c:f>'Grafik 3'!$B$1</c:f>
              <c:strCache>
                <c:ptCount val="1"/>
                <c:pt idx="0">
                  <c:v>Primarni Suficit/deficit
(u % BDP) </c:v>
                </c:pt>
              </c:strCache>
            </c:strRef>
          </c:tx>
          <c:spPr>
            <a:ln w="31750" cap="rnd">
              <a:solidFill>
                <a:schemeClr val="accent1"/>
              </a:solidFill>
              <a:round/>
            </a:ln>
            <a:effectLst/>
          </c:spPr>
          <c:marker>
            <c:symbol val="none"/>
          </c:marker>
          <c:cat>
            <c:numRef>
              <c:f>'Grafik 3'!$A$2:$A$23</c:f>
              <c:numCache>
                <c:formatCode>General</c:formatCode>
                <c:ptCount val="14"/>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numCache>
            </c:numRef>
          </c:cat>
          <c:val>
            <c:numRef>
              <c:f>'Grafik 3'!$B$2:$B$23</c:f>
              <c:numCache>
                <c:formatCode>0.00</c:formatCode>
                <c:ptCount val="14"/>
                <c:pt idx="0">
                  <c:v>-0.82621875218700724</c:v>
                </c:pt>
                <c:pt idx="1">
                  <c:v>-4.8934030042862089</c:v>
                </c:pt>
                <c:pt idx="2">
                  <c:v>-0.6678955675354703</c:v>
                </c:pt>
                <c:pt idx="3">
                  <c:v>-3.2228425215166321</c:v>
                </c:pt>
                <c:pt idx="4">
                  <c:v>-2.4104136733074566</c:v>
                </c:pt>
                <c:pt idx="5">
                  <c:v>1.0234916274466239</c:v>
                </c:pt>
                <c:pt idx="6">
                  <c:v>-8.9533161314984699</c:v>
                </c:pt>
                <c:pt idx="7">
                  <c:v>-1.6564751468184293</c:v>
                </c:pt>
                <c:pt idx="8">
                  <c:v>-2.1775807341981785</c:v>
                </c:pt>
                <c:pt idx="9">
                  <c:v>-3.1569232678258436</c:v>
                </c:pt>
                <c:pt idx="10">
                  <c:v>-1.0139280272897651</c:v>
                </c:pt>
                <c:pt idx="11">
                  <c:v>-1.4550430612398626</c:v>
                </c:pt>
                <c:pt idx="12">
                  <c:v>-0.92919931205809292</c:v>
                </c:pt>
                <c:pt idx="13">
                  <c:v>-0.60633742506423072</c:v>
                </c:pt>
              </c:numCache>
            </c:numRef>
          </c:val>
          <c:smooth val="0"/>
          <c:extLst>
            <c:ext xmlns:c16="http://schemas.microsoft.com/office/drawing/2014/chart" uri="{C3380CC4-5D6E-409C-BE32-E72D297353CC}">
              <c16:uniqueId val="{00000000-F7A5-4B80-9FEA-BAECBD7ED005}"/>
            </c:ext>
          </c:extLst>
        </c:ser>
        <c:ser>
          <c:idx val="1"/>
          <c:order val="1"/>
          <c:tx>
            <c:strRef>
              <c:f>'Grafik 3'!$C$1</c:f>
              <c:strCache>
                <c:ptCount val="1"/>
                <c:pt idx="0">
                  <c:v>Ciklično prilagođeni primarni suficit/deficit, %BDP-a</c:v>
                </c:pt>
              </c:strCache>
            </c:strRef>
          </c:tx>
          <c:spPr>
            <a:ln w="31750" cap="rnd">
              <a:solidFill>
                <a:schemeClr val="accent2"/>
              </a:solidFill>
              <a:round/>
            </a:ln>
            <a:effectLst/>
          </c:spPr>
          <c:marker>
            <c:symbol val="none"/>
          </c:marker>
          <c:cat>
            <c:numRef>
              <c:f>'Grafik 3'!$A$2:$A$23</c:f>
              <c:numCache>
                <c:formatCode>General</c:formatCode>
                <c:ptCount val="14"/>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numCache>
            </c:numRef>
          </c:cat>
          <c:val>
            <c:numRef>
              <c:f>'Grafik 3'!$C$2:$C$23</c:f>
              <c:numCache>
                <c:formatCode>0.00</c:formatCode>
                <c:ptCount val="14"/>
                <c:pt idx="0">
                  <c:v>0.49986988616093497</c:v>
                </c:pt>
                <c:pt idx="1">
                  <c:v>-4.5045401607434883</c:v>
                </c:pt>
                <c:pt idx="2">
                  <c:v>-1.5721754339298246</c:v>
                </c:pt>
                <c:pt idx="3">
                  <c:v>-5.8629242601272971</c:v>
                </c:pt>
                <c:pt idx="4">
                  <c:v>-7.6676199553032376</c:v>
                </c:pt>
                <c:pt idx="5">
                  <c:v>-1.513306013515936</c:v>
                </c:pt>
                <c:pt idx="6">
                  <c:v>5.9442613656499059</c:v>
                </c:pt>
                <c:pt idx="7">
                  <c:v>4.0214287276268115</c:v>
                </c:pt>
                <c:pt idx="8">
                  <c:v>-1.807238476400773</c:v>
                </c:pt>
                <c:pt idx="9">
                  <c:v>-10.152517301666258</c:v>
                </c:pt>
                <c:pt idx="10">
                  <c:v>-4.7342840928075862</c:v>
                </c:pt>
                <c:pt idx="11">
                  <c:v>-6.6652116241919215</c:v>
                </c:pt>
                <c:pt idx="12">
                  <c:v>-6.1934504048736532</c:v>
                </c:pt>
                <c:pt idx="13">
                  <c:v>-6.0126052058694146</c:v>
                </c:pt>
              </c:numCache>
            </c:numRef>
          </c:val>
          <c:smooth val="0"/>
          <c:extLst>
            <c:ext xmlns:c16="http://schemas.microsoft.com/office/drawing/2014/chart" uri="{C3380CC4-5D6E-409C-BE32-E72D297353CC}">
              <c16:uniqueId val="{00000001-F7A5-4B80-9FEA-BAECBD7ED005}"/>
            </c:ext>
          </c:extLst>
        </c:ser>
        <c:dLbls>
          <c:showLegendKey val="0"/>
          <c:showVal val="0"/>
          <c:showCatName val="0"/>
          <c:showSerName val="0"/>
          <c:showPercent val="0"/>
          <c:showBubbleSize val="0"/>
        </c:dLbls>
        <c:smooth val="0"/>
        <c:axId val="398201808"/>
        <c:axId val="398200496"/>
      </c:lineChart>
      <c:catAx>
        <c:axId val="398201808"/>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8200496"/>
        <c:crosses val="autoZero"/>
        <c:auto val="1"/>
        <c:lblAlgn val="ctr"/>
        <c:lblOffset val="100"/>
        <c:noMultiLvlLbl val="0"/>
      </c:catAx>
      <c:valAx>
        <c:axId val="398200496"/>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8201808"/>
        <c:crosses val="autoZero"/>
        <c:crossBetween val="between"/>
      </c:valAx>
      <c:spPr>
        <a:noFill/>
        <a:ln>
          <a:noFill/>
        </a:ln>
        <a:effectLst/>
      </c:spPr>
    </c:plotArea>
    <c:legend>
      <c:legendPos val="b"/>
      <c:layout>
        <c:manualLayout>
          <c:xMode val="edge"/>
          <c:yMode val="edge"/>
          <c:x val="0.18510166229221348"/>
          <c:y val="0.70227057981388685"/>
          <c:w val="0.62979644211140273"/>
          <c:h val="0.261365783822476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37248160881299"/>
          <c:y val="6.9182389937106917E-2"/>
          <c:w val="0.85831296440057681"/>
          <c:h val="0.76106977503160078"/>
        </c:manualLayout>
      </c:layout>
      <c:areaChart>
        <c:grouping val="standard"/>
        <c:varyColors val="0"/>
        <c:ser>
          <c:idx val="1"/>
          <c:order val="1"/>
          <c:tx>
            <c:strRef>
              <c:f>'Grafik 2'!$C$1</c:f>
              <c:strCache>
                <c:ptCount val="1"/>
                <c:pt idx="0">
                  <c:v>Karakter fiskalne politike</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cat>
            <c:numRef>
              <c:f>'Grafik 2'!$A$3:$A$22</c:f>
              <c:numCache>
                <c:formatCode>General</c:formatCode>
                <c:ptCount val="20"/>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pt idx="18">
                  <c:v>2026</c:v>
                </c:pt>
                <c:pt idx="19">
                  <c:v>2027</c:v>
                </c:pt>
              </c:numCache>
            </c:numRef>
          </c:cat>
          <c:val>
            <c:numRef>
              <c:f>'Grafik 2'!$C$3:$C$22</c:f>
              <c:numCache>
                <c:formatCode>General</c:formatCode>
                <c:ptCount val="20"/>
                <c:pt idx="7" formatCode="0.00">
                  <c:v>5.0044100469044235</c:v>
                </c:pt>
                <c:pt idx="8" formatCode="0.00">
                  <c:v>-2.9323647268136637</c:v>
                </c:pt>
                <c:pt idx="9" formatCode="0.00">
                  <c:v>4.290748826197472</c:v>
                </c:pt>
                <c:pt idx="10" formatCode="0.00">
                  <c:v>1.8046956951759405</c:v>
                </c:pt>
                <c:pt idx="11" formatCode="0.00">
                  <c:v>-6.1543139417873016</c:v>
                </c:pt>
                <c:pt idx="12" formatCode="0.00">
                  <c:v>-7.4575673791658419</c:v>
                </c:pt>
                <c:pt idx="13" formatCode="0.00">
                  <c:v>1.9228326380230945</c:v>
                </c:pt>
                <c:pt idx="14" formatCode="0.00">
                  <c:v>5.8286672040275844</c:v>
                </c:pt>
                <c:pt idx="15" formatCode="0.00">
                  <c:v>8.3452788252654848</c:v>
                </c:pt>
                <c:pt idx="16" formatCode="0.00">
                  <c:v>-5.4182332088586715</c:v>
                </c:pt>
                <c:pt idx="17" formatCode="0.00">
                  <c:v>1.9309275313843353</c:v>
                </c:pt>
                <c:pt idx="18" formatCode="0.00">
                  <c:v>-0.47176121931826831</c:v>
                </c:pt>
                <c:pt idx="19" formatCode="0.00">
                  <c:v>-0.18084519900423857</c:v>
                </c:pt>
              </c:numCache>
            </c:numRef>
          </c:val>
          <c:extLst>
            <c:ext xmlns:c16="http://schemas.microsoft.com/office/drawing/2014/chart" uri="{C3380CC4-5D6E-409C-BE32-E72D297353CC}">
              <c16:uniqueId val="{00000000-057F-4B02-9D2E-4F4E3E854620}"/>
            </c:ext>
          </c:extLst>
        </c:ser>
        <c:dLbls>
          <c:showLegendKey val="0"/>
          <c:showVal val="0"/>
          <c:showCatName val="0"/>
          <c:showSerName val="0"/>
          <c:showPercent val="0"/>
          <c:showBubbleSize val="0"/>
        </c:dLbls>
        <c:axId val="491270800"/>
        <c:axId val="491272112"/>
      </c:areaChart>
      <c:lineChart>
        <c:grouping val="standard"/>
        <c:varyColors val="0"/>
        <c:ser>
          <c:idx val="0"/>
          <c:order val="0"/>
          <c:tx>
            <c:strRef>
              <c:f>'Grafik 2'!$B$1</c:f>
              <c:strCache>
                <c:ptCount val="1"/>
                <c:pt idx="0">
                  <c:v>Output gap</c:v>
                </c:pt>
              </c:strCache>
            </c:strRef>
          </c:tx>
          <c:spPr>
            <a:ln w="15875" cap="rnd">
              <a:solidFill>
                <a:schemeClr val="accent1"/>
              </a:solidFill>
              <a:round/>
            </a:ln>
            <a:effectLst/>
          </c:spPr>
          <c:marker>
            <c:symbol val="circle"/>
            <c:size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cat>
            <c:numRef>
              <c:f>'Grafik 2'!$A$3:$A$22</c:f>
              <c:numCache>
                <c:formatCode>General</c:formatCode>
                <c:ptCount val="20"/>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pt idx="18">
                  <c:v>2026</c:v>
                </c:pt>
                <c:pt idx="19">
                  <c:v>2027</c:v>
                </c:pt>
              </c:numCache>
            </c:numRef>
          </c:cat>
          <c:val>
            <c:numRef>
              <c:f>'Grafik 2'!$B$3:$B$22</c:f>
              <c:numCache>
                <c:formatCode>General</c:formatCode>
                <c:ptCount val="20"/>
                <c:pt idx="7" formatCode="0.00">
                  <c:v>1.3</c:v>
                </c:pt>
                <c:pt idx="8" formatCode="0.00">
                  <c:v>1.7</c:v>
                </c:pt>
                <c:pt idx="9" formatCode="0.00">
                  <c:v>3.6</c:v>
                </c:pt>
                <c:pt idx="10" formatCode="0.00">
                  <c:v>5.6</c:v>
                </c:pt>
                <c:pt idx="11" formatCode="0.00">
                  <c:v>3.5</c:v>
                </c:pt>
                <c:pt idx="12" formatCode="0.00">
                  <c:v>-15</c:v>
                </c:pt>
                <c:pt idx="13" formatCode="0.00">
                  <c:v>-6.2</c:v>
                </c:pt>
                <c:pt idx="14" formatCode="0.00">
                  <c:v>-1</c:v>
                </c:pt>
                <c:pt idx="15" formatCode="0.00">
                  <c:v>4.8</c:v>
                </c:pt>
                <c:pt idx="16" formatCode="0.00">
                  <c:v>3.8</c:v>
                </c:pt>
                <c:pt idx="17" formatCode="0.00">
                  <c:v>5.4</c:v>
                </c:pt>
                <c:pt idx="18" formatCode="0.00">
                  <c:v>5.4</c:v>
                </c:pt>
                <c:pt idx="19" formatCode="0.00">
                  <c:v>5.5</c:v>
                </c:pt>
              </c:numCache>
            </c:numRef>
          </c:val>
          <c:smooth val="0"/>
          <c:extLst>
            <c:ext xmlns:c16="http://schemas.microsoft.com/office/drawing/2014/chart" uri="{C3380CC4-5D6E-409C-BE32-E72D297353CC}">
              <c16:uniqueId val="{00000001-057F-4B02-9D2E-4F4E3E854620}"/>
            </c:ext>
          </c:extLst>
        </c:ser>
        <c:dLbls>
          <c:showLegendKey val="0"/>
          <c:showVal val="0"/>
          <c:showCatName val="0"/>
          <c:showSerName val="0"/>
          <c:showPercent val="0"/>
          <c:showBubbleSize val="0"/>
        </c:dLbls>
        <c:marker val="1"/>
        <c:smooth val="0"/>
        <c:axId val="491270800"/>
        <c:axId val="491272112"/>
      </c:lineChart>
      <c:valAx>
        <c:axId val="4912721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91270800"/>
        <c:crosses val="autoZero"/>
        <c:crossBetween val="between"/>
      </c:valAx>
      <c:catAx>
        <c:axId val="491270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912721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accent4">
                    <a:lumMod val="50000"/>
                  </a:schemeClr>
                </a:solidFill>
                <a:latin typeface="+mn-lt"/>
                <a:ea typeface="+mn-ea"/>
                <a:cs typeface="+mn-cs"/>
              </a:defRPr>
            </a:pPr>
            <a:r>
              <a:rPr lang="en-US" sz="900" b="1">
                <a:solidFill>
                  <a:schemeClr val="accent4">
                    <a:lumMod val="50000"/>
                  </a:schemeClr>
                </a:solidFill>
                <a:effectLst/>
                <a:latin typeface="Cambria" panose="02040503050406030204" pitchFamily="18" charset="0"/>
                <a:ea typeface="Cambria" panose="02040503050406030204" pitchFamily="18" charset="0"/>
              </a:rPr>
              <a:t>Grafik br. 1:  Bruto dr</a:t>
            </a:r>
            <a:r>
              <a:rPr lang="sr-Latn-ME" sz="900" b="1">
                <a:solidFill>
                  <a:schemeClr val="accent4">
                    <a:lumMod val="50000"/>
                  </a:schemeClr>
                </a:solidFill>
                <a:effectLst/>
                <a:latin typeface="Cambria" panose="02040503050406030204" pitchFamily="18" charset="0"/>
                <a:ea typeface="Cambria" panose="02040503050406030204" pitchFamily="18" charset="0"/>
              </a:rPr>
              <a:t>žavni i bruto javni dug </a:t>
            </a:r>
            <a:r>
              <a:rPr lang="en-US" sz="900" b="1">
                <a:solidFill>
                  <a:schemeClr val="accent4">
                    <a:lumMod val="50000"/>
                  </a:schemeClr>
                </a:solidFill>
                <a:effectLst/>
                <a:latin typeface="Cambria" panose="02040503050406030204" pitchFamily="18" charset="0"/>
                <a:ea typeface="Cambria" panose="02040503050406030204" pitchFamily="18" charset="0"/>
              </a:rPr>
              <a:t>Crne Gore u mlrd. eur i % BDP-a tokom 2024. godine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accent4">
                  <a:lumMod val="50000"/>
                </a:schemeClr>
              </a:solidFill>
              <a:latin typeface="+mn-lt"/>
              <a:ea typeface="+mn-ea"/>
              <a:cs typeface="+mn-cs"/>
            </a:defRPr>
          </a:pPr>
          <a:endParaRPr lang="en-US"/>
        </a:p>
      </c:txPr>
    </c:title>
    <c:autoTitleDeleted val="0"/>
    <c:plotArea>
      <c:layout>
        <c:manualLayout>
          <c:layoutTarget val="inner"/>
          <c:xMode val="edge"/>
          <c:yMode val="edge"/>
          <c:x val="0.12677090482548634"/>
          <c:y val="0.1778439925225174"/>
          <c:w val="0.78506391138508635"/>
          <c:h val="0.60076700844049169"/>
        </c:manualLayout>
      </c:layout>
      <c:barChart>
        <c:barDir val="col"/>
        <c:grouping val="clustered"/>
        <c:varyColors val="0"/>
        <c:ser>
          <c:idx val="2"/>
          <c:order val="2"/>
          <c:tx>
            <c:strRef>
              <c:f>'Grafik 1'!$D$1</c:f>
              <c:strCache>
                <c:ptCount val="1"/>
                <c:pt idx="0">
                  <c:v>Državni dug</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'Grafik 1'!$A$2:$A$5</c:f>
              <c:strCache>
                <c:ptCount val="4"/>
                <c:pt idx="0">
                  <c:v>31.12.2023.</c:v>
                </c:pt>
                <c:pt idx="1">
                  <c:v>31.03.2024.</c:v>
                </c:pt>
                <c:pt idx="2">
                  <c:v>30.06.2024.</c:v>
                </c:pt>
                <c:pt idx="3">
                  <c:v>30.09.2024.</c:v>
                </c:pt>
              </c:strCache>
            </c:strRef>
          </c:cat>
          <c:val>
            <c:numRef>
              <c:f>'Grafik 1'!$D$2:$D$5</c:f>
              <c:numCache>
                <c:formatCode>0.0,,</c:formatCode>
                <c:ptCount val="4"/>
                <c:pt idx="0">
                  <c:v>4059907587.9416118</c:v>
                </c:pt>
                <c:pt idx="1">
                  <c:v>4667945570.1902351</c:v>
                </c:pt>
                <c:pt idx="2">
                  <c:v>4478029355.0399494</c:v>
                </c:pt>
                <c:pt idx="3">
                  <c:v>4402554925.745348</c:v>
                </c:pt>
              </c:numCache>
            </c:numRef>
          </c:val>
          <c:extLst>
            <c:ext xmlns:c16="http://schemas.microsoft.com/office/drawing/2014/chart" uri="{C3380CC4-5D6E-409C-BE32-E72D297353CC}">
              <c16:uniqueId val="{00000000-1F57-417C-9C03-69A25B2361DC}"/>
            </c:ext>
          </c:extLst>
        </c:ser>
        <c:ser>
          <c:idx val="3"/>
          <c:order val="3"/>
          <c:tx>
            <c:strRef>
              <c:f>'Grafik 1'!$E$1</c:f>
              <c:strCache>
                <c:ptCount val="1"/>
                <c:pt idx="0">
                  <c:v>Javni dug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dLbl>
              <c:idx val="3"/>
              <c:layout>
                <c:manualLayout>
                  <c:x val="-4.7172211581660399E-3"/>
                  <c:y val="0.3239351196208386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57-417C-9C03-69A25B2361DC}"/>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'Grafik 1'!$A$2:$A$5</c:f>
              <c:strCache>
                <c:ptCount val="4"/>
                <c:pt idx="0">
                  <c:v>31.12.2023.</c:v>
                </c:pt>
                <c:pt idx="1">
                  <c:v>31.03.2024.</c:v>
                </c:pt>
                <c:pt idx="2">
                  <c:v>30.06.2024.</c:v>
                </c:pt>
                <c:pt idx="3">
                  <c:v>30.09.2024.</c:v>
                </c:pt>
              </c:strCache>
            </c:strRef>
          </c:cat>
          <c:val>
            <c:numRef>
              <c:f>'Grafik 1'!$E$2:$E$5</c:f>
              <c:numCache>
                <c:formatCode>0.0,,</c:formatCode>
                <c:ptCount val="4"/>
                <c:pt idx="0">
                  <c:v>4126818106.2316117</c:v>
                </c:pt>
                <c:pt idx="1">
                  <c:v>4734281003.1902351</c:v>
                </c:pt>
                <c:pt idx="2">
                  <c:v>4540452314.3399496</c:v>
                </c:pt>
                <c:pt idx="3">
                  <c:v>4464374895.245348</c:v>
                </c:pt>
              </c:numCache>
            </c:numRef>
          </c:val>
          <c:extLst>
            <c:ext xmlns:c16="http://schemas.microsoft.com/office/drawing/2014/chart" uri="{C3380CC4-5D6E-409C-BE32-E72D297353CC}">
              <c16:uniqueId val="{00000002-1F57-417C-9C03-69A25B2361DC}"/>
            </c:ext>
          </c:extLst>
        </c:ser>
        <c:dLbls>
          <c:showLegendKey val="0"/>
          <c:showVal val="0"/>
          <c:showCatName val="0"/>
          <c:showSerName val="0"/>
          <c:showPercent val="0"/>
          <c:showBubbleSize val="0"/>
        </c:dLbls>
        <c:gapWidth val="150"/>
        <c:axId val="326206224"/>
        <c:axId val="326208968"/>
      </c:barChart>
      <c:lineChart>
        <c:grouping val="standard"/>
        <c:varyColors val="0"/>
        <c:ser>
          <c:idx val="0"/>
          <c:order val="0"/>
          <c:tx>
            <c:strRef>
              <c:f>'Grafik 1'!$B$1</c:f>
              <c:strCache>
                <c:ptCount val="1"/>
                <c:pt idx="0">
                  <c:v>Državni dug u % BDP-a</c:v>
                </c:pt>
              </c:strCache>
            </c:strRef>
          </c:tx>
          <c:spPr>
            <a:ln w="31750" cap="rnd">
              <a:solidFill>
                <a:schemeClr val="accent1"/>
              </a:solidFill>
              <a:round/>
            </a:ln>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'Grafik 1'!$A$2:$A$5</c:f>
              <c:strCache>
                <c:ptCount val="4"/>
                <c:pt idx="0">
                  <c:v>31.12.2023.</c:v>
                </c:pt>
                <c:pt idx="1">
                  <c:v>31.03.2024.</c:v>
                </c:pt>
                <c:pt idx="2">
                  <c:v>30.06.2024.</c:v>
                </c:pt>
                <c:pt idx="3">
                  <c:v>30.09.2024.</c:v>
                </c:pt>
              </c:strCache>
            </c:strRef>
          </c:cat>
          <c:val>
            <c:numRef>
              <c:f>'Grafik 1'!$B$2:$B$5</c:f>
              <c:numCache>
                <c:formatCode>0.0%</c:formatCode>
                <c:ptCount val="4"/>
                <c:pt idx="0">
                  <c:v>0.58298500688420618</c:v>
                </c:pt>
                <c:pt idx="1">
                  <c:v>0.62938309088816258</c:v>
                </c:pt>
                <c:pt idx="2">
                  <c:v>0.60377652527943015</c:v>
                </c:pt>
                <c:pt idx="3">
                  <c:v>0.59360024347018858</c:v>
                </c:pt>
              </c:numCache>
            </c:numRef>
          </c:val>
          <c:smooth val="0"/>
          <c:extLst>
            <c:ext xmlns:c16="http://schemas.microsoft.com/office/drawing/2014/chart" uri="{C3380CC4-5D6E-409C-BE32-E72D297353CC}">
              <c16:uniqueId val="{00000003-1F57-417C-9C03-69A25B2361DC}"/>
            </c:ext>
          </c:extLst>
        </c:ser>
        <c:ser>
          <c:idx val="1"/>
          <c:order val="1"/>
          <c:tx>
            <c:strRef>
              <c:f>'Grafik 1'!$C$1</c:f>
              <c:strCache>
                <c:ptCount val="1"/>
                <c:pt idx="0">
                  <c:v>Javni dug u % BDP-a</c:v>
                </c:pt>
              </c:strCache>
            </c:strRef>
          </c:tx>
          <c:spPr>
            <a:ln w="31750" cap="rnd">
              <a:solidFill>
                <a:schemeClr val="accent2"/>
              </a:solidFill>
              <a:round/>
            </a:ln>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a:solidFill>
                  <a:schemeClr val="lt2"/>
                </a:solidFill>
                <a:round/>
              </a:ln>
              <a:effectLst/>
            </c:spPr>
          </c:marker>
          <c:dLbls>
            <c:dLbl>
              <c:idx val="1"/>
              <c:layout>
                <c:manualLayout>
                  <c:x val="0"/>
                  <c:y val="-4.06278855032317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F57-417C-9C03-69A25B2361DC}"/>
                </c:ext>
              </c:extLst>
            </c:dLbl>
            <c:dLbl>
              <c:idx val="2"/>
              <c:layout>
                <c:manualLayout>
                  <c:x val="-4.226096143687191E-3"/>
                  <c:y val="-3.32409972299169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57-417C-9C03-69A25B2361DC}"/>
                </c:ext>
              </c:extLst>
            </c:dLbl>
            <c:dLbl>
              <c:idx val="3"/>
              <c:layout>
                <c:manualLayout>
                  <c:x val="-2.1130480718437893E-3"/>
                  <c:y val="-2.9547553093259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F57-417C-9C03-69A25B2361D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'Grafik 1'!$A$2:$A$5</c:f>
              <c:strCache>
                <c:ptCount val="4"/>
                <c:pt idx="0">
                  <c:v>31.12.2023.</c:v>
                </c:pt>
                <c:pt idx="1">
                  <c:v>31.03.2024.</c:v>
                </c:pt>
                <c:pt idx="2">
                  <c:v>30.06.2024.</c:v>
                </c:pt>
                <c:pt idx="3">
                  <c:v>30.09.2024.</c:v>
                </c:pt>
              </c:strCache>
            </c:strRef>
          </c:cat>
          <c:val>
            <c:numRef>
              <c:f>'Grafik 1'!$C$2:$C$5</c:f>
              <c:numCache>
                <c:formatCode>0.0%</c:formatCode>
                <c:ptCount val="4"/>
                <c:pt idx="0">
                  <c:v>0.59259306522567656</c:v>
                </c:pt>
                <c:pt idx="1">
                  <c:v>0.63832715401596873</c:v>
                </c:pt>
                <c:pt idx="2">
                  <c:v>0.61219306623430225</c:v>
                </c:pt>
                <c:pt idx="3">
                  <c:v>0.60193548279495568</c:v>
                </c:pt>
              </c:numCache>
            </c:numRef>
          </c:val>
          <c:smooth val="0"/>
          <c:extLst>
            <c:ext xmlns:c16="http://schemas.microsoft.com/office/drawing/2014/chart" uri="{C3380CC4-5D6E-409C-BE32-E72D297353CC}">
              <c16:uniqueId val="{00000007-1F57-417C-9C03-69A25B2361DC}"/>
            </c:ext>
          </c:extLst>
        </c:ser>
        <c:dLbls>
          <c:showLegendKey val="0"/>
          <c:showVal val="0"/>
          <c:showCatName val="0"/>
          <c:showSerName val="0"/>
          <c:showPercent val="0"/>
          <c:showBubbleSize val="0"/>
        </c:dLbls>
        <c:marker val="1"/>
        <c:smooth val="0"/>
        <c:axId val="326207792"/>
        <c:axId val="326207400"/>
      </c:lineChart>
      <c:valAx>
        <c:axId val="326208968"/>
        <c:scaling>
          <c:orientation val="minMax"/>
          <c:max val="5000000000"/>
          <c:min val="3000000000"/>
        </c:scaling>
        <c:delete val="0"/>
        <c:axPos val="r"/>
        <c:majorGridlines>
          <c:spPr>
            <a:ln w="9525" cap="flat" cmpd="sng" algn="ctr">
              <a:solidFill>
                <a:schemeClr val="tx2">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26206224"/>
        <c:crosses val="max"/>
        <c:crossBetween val="between"/>
        <c:majorUnit val="1000000000"/>
      </c:valAx>
      <c:catAx>
        <c:axId val="3262062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26208968"/>
        <c:crosses val="autoZero"/>
        <c:auto val="1"/>
        <c:lblAlgn val="ctr"/>
        <c:lblOffset val="100"/>
        <c:noMultiLvlLbl val="0"/>
      </c:catAx>
      <c:valAx>
        <c:axId val="32620740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26207792"/>
        <c:crosses val="autoZero"/>
        <c:crossBetween val="between"/>
      </c:valAx>
      <c:catAx>
        <c:axId val="326207792"/>
        <c:scaling>
          <c:orientation val="minMax"/>
        </c:scaling>
        <c:delete val="1"/>
        <c:axPos val="t"/>
        <c:numFmt formatCode="General" sourceLinked="1"/>
        <c:majorTickMark val="none"/>
        <c:minorTickMark val="none"/>
        <c:tickLblPos val="nextTo"/>
        <c:crossAx val="326207400"/>
        <c:crosses val="max"/>
        <c:auto val="1"/>
        <c:lblAlgn val="ctr"/>
        <c:lblOffset val="100"/>
        <c:noMultiLvlLbl val="0"/>
      </c:catAx>
      <c:spPr>
        <a:noFill/>
        <a:ln>
          <a:noFill/>
        </a:ln>
        <a:effectLst/>
      </c:spPr>
    </c:plotArea>
    <c:legend>
      <c:legendPos val="b"/>
      <c:layout>
        <c:manualLayout>
          <c:xMode val="edge"/>
          <c:yMode val="edge"/>
          <c:x val="2.2668842070416875E-2"/>
          <c:y val="0.88311524009139142"/>
          <c:w val="0.89762198901048618"/>
          <c:h val="0.113970974216458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accent4">
                    <a:lumMod val="50000"/>
                  </a:schemeClr>
                </a:solidFill>
                <a:latin typeface="+mn-lt"/>
                <a:ea typeface="+mn-ea"/>
                <a:cs typeface="+mn-cs"/>
              </a:defRPr>
            </a:pPr>
            <a:r>
              <a:rPr lang="en-US" sz="900" b="1">
                <a:solidFill>
                  <a:schemeClr val="accent4">
                    <a:lumMod val="50000"/>
                  </a:schemeClr>
                </a:solidFill>
                <a:effectLst/>
                <a:latin typeface="Cambria" panose="02040503050406030204" pitchFamily="18" charset="0"/>
                <a:ea typeface="Cambria" panose="02040503050406030204" pitchFamily="18" charset="0"/>
              </a:rPr>
              <a:t>Grafik br. 2:  Neto dr</a:t>
            </a:r>
            <a:r>
              <a:rPr lang="sr-Latn-ME" sz="900" b="1">
                <a:solidFill>
                  <a:schemeClr val="accent4">
                    <a:lumMod val="50000"/>
                  </a:schemeClr>
                </a:solidFill>
                <a:effectLst/>
                <a:latin typeface="Cambria" panose="02040503050406030204" pitchFamily="18" charset="0"/>
                <a:ea typeface="Cambria" panose="02040503050406030204" pitchFamily="18" charset="0"/>
              </a:rPr>
              <a:t>žavni i neto javni dug </a:t>
            </a:r>
            <a:r>
              <a:rPr lang="en-US" sz="900" b="1">
                <a:solidFill>
                  <a:schemeClr val="accent4">
                    <a:lumMod val="50000"/>
                  </a:schemeClr>
                </a:solidFill>
                <a:effectLst/>
                <a:latin typeface="Cambria" panose="02040503050406030204" pitchFamily="18" charset="0"/>
                <a:ea typeface="Cambria" panose="02040503050406030204" pitchFamily="18" charset="0"/>
              </a:rPr>
              <a:t>Crne Gore u mlrd. eur i % BDP-a tokom 2024.  godine</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accent4">
                  <a:lumMod val="50000"/>
                </a:schemeClr>
              </a:solidFill>
              <a:latin typeface="+mn-lt"/>
              <a:ea typeface="+mn-ea"/>
              <a:cs typeface="+mn-cs"/>
            </a:defRPr>
          </a:pPr>
          <a:endParaRPr lang="en-US"/>
        </a:p>
      </c:txPr>
    </c:title>
    <c:autoTitleDeleted val="0"/>
    <c:plotArea>
      <c:layout>
        <c:manualLayout>
          <c:layoutTarget val="inner"/>
          <c:xMode val="edge"/>
          <c:yMode val="edge"/>
          <c:x val="0.12677090482548634"/>
          <c:y val="0.14713425000979352"/>
          <c:w val="0.78506391138508635"/>
          <c:h val="0.5921670388216399"/>
        </c:manualLayout>
      </c:layout>
      <c:barChart>
        <c:barDir val="col"/>
        <c:grouping val="clustered"/>
        <c:varyColors val="0"/>
        <c:ser>
          <c:idx val="2"/>
          <c:order val="2"/>
          <c:tx>
            <c:strRef>
              <c:f>'Grafik 1 (a)'!$D$1</c:f>
              <c:strCache>
                <c:ptCount val="1"/>
                <c:pt idx="0">
                  <c:v>Neto državni dug</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'Grafik 1 (a)'!$A$2:$A$5</c:f>
              <c:strCache>
                <c:ptCount val="4"/>
                <c:pt idx="0">
                  <c:v>31.12.2023.</c:v>
                </c:pt>
                <c:pt idx="1">
                  <c:v>31.03.2024.</c:v>
                </c:pt>
                <c:pt idx="2">
                  <c:v>30.06.2024.</c:v>
                </c:pt>
                <c:pt idx="3">
                  <c:v>30.09.2024.</c:v>
                </c:pt>
              </c:strCache>
            </c:strRef>
          </c:cat>
          <c:val>
            <c:numRef>
              <c:f>'Grafik 1 (a)'!$D$2:$D$5</c:f>
              <c:numCache>
                <c:formatCode>0.0,,</c:formatCode>
                <c:ptCount val="4"/>
                <c:pt idx="0">
                  <c:v>3907497271.8916116</c:v>
                </c:pt>
                <c:pt idx="1">
                  <c:v>3893707042.4602351</c:v>
                </c:pt>
                <c:pt idx="2">
                  <c:v>3844467079.9399495</c:v>
                </c:pt>
                <c:pt idx="3">
                  <c:v>3784614375.705348</c:v>
                </c:pt>
              </c:numCache>
            </c:numRef>
          </c:val>
          <c:extLst>
            <c:ext xmlns:c16="http://schemas.microsoft.com/office/drawing/2014/chart" uri="{C3380CC4-5D6E-409C-BE32-E72D297353CC}">
              <c16:uniqueId val="{00000000-8E5C-4406-88B4-DECF953A1202}"/>
            </c:ext>
          </c:extLst>
        </c:ser>
        <c:ser>
          <c:idx val="3"/>
          <c:order val="3"/>
          <c:tx>
            <c:strRef>
              <c:f>'Grafik 1 (a)'!$E$1</c:f>
              <c:strCache>
                <c:ptCount val="1"/>
                <c:pt idx="0">
                  <c:v>Neto javni dug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dLbl>
              <c:idx val="3"/>
              <c:layout>
                <c:manualLayout>
                  <c:x val="7.5476354929318043E-3"/>
                  <c:y val="0.228312610177459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5C-4406-88B4-DECF953A1202}"/>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'Grafik 1 (a)'!$A$2:$A$5</c:f>
              <c:strCache>
                <c:ptCount val="4"/>
                <c:pt idx="0">
                  <c:v>31.12.2023.</c:v>
                </c:pt>
                <c:pt idx="1">
                  <c:v>31.03.2024.</c:v>
                </c:pt>
                <c:pt idx="2">
                  <c:v>30.06.2024.</c:v>
                </c:pt>
                <c:pt idx="3">
                  <c:v>30.09.2024.</c:v>
                </c:pt>
              </c:strCache>
            </c:strRef>
          </c:cat>
          <c:val>
            <c:numRef>
              <c:f>'Grafik 1 (a)'!$E$2:$E$5</c:f>
              <c:numCache>
                <c:formatCode>0.0,,</c:formatCode>
                <c:ptCount val="4"/>
                <c:pt idx="0">
                  <c:v>3974407790.1816115</c:v>
                </c:pt>
                <c:pt idx="1">
                  <c:v>3960042475.4602351</c:v>
                </c:pt>
                <c:pt idx="2">
                  <c:v>3906890039.2399497</c:v>
                </c:pt>
                <c:pt idx="3">
                  <c:v>3846434345.205348</c:v>
                </c:pt>
              </c:numCache>
            </c:numRef>
          </c:val>
          <c:extLst>
            <c:ext xmlns:c16="http://schemas.microsoft.com/office/drawing/2014/chart" uri="{C3380CC4-5D6E-409C-BE32-E72D297353CC}">
              <c16:uniqueId val="{00000002-8E5C-4406-88B4-DECF953A1202}"/>
            </c:ext>
          </c:extLst>
        </c:ser>
        <c:dLbls>
          <c:showLegendKey val="0"/>
          <c:showVal val="0"/>
          <c:showCatName val="0"/>
          <c:showSerName val="0"/>
          <c:showPercent val="0"/>
          <c:showBubbleSize val="0"/>
        </c:dLbls>
        <c:gapWidth val="150"/>
        <c:axId val="326206224"/>
        <c:axId val="326208968"/>
      </c:barChart>
      <c:lineChart>
        <c:grouping val="standard"/>
        <c:varyColors val="0"/>
        <c:ser>
          <c:idx val="0"/>
          <c:order val="0"/>
          <c:tx>
            <c:strRef>
              <c:f>'Grafik 1 (a)'!$B$1</c:f>
              <c:strCache>
                <c:ptCount val="1"/>
                <c:pt idx="0">
                  <c:v>Neto državni dug u % BDP-a</c:v>
                </c:pt>
              </c:strCache>
            </c:strRef>
          </c:tx>
          <c:spPr>
            <a:ln w="31750" cap="rnd">
              <a:solidFill>
                <a:schemeClr val="accent1"/>
              </a:solidFill>
              <a:round/>
            </a:ln>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12700">
                <a:solidFill>
                  <a:schemeClr val="l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'Grafik 1 (a)'!$A$2:$A$5</c:f>
              <c:strCache>
                <c:ptCount val="4"/>
                <c:pt idx="0">
                  <c:v>31.12.2023.</c:v>
                </c:pt>
                <c:pt idx="1">
                  <c:v>31.03.2024.</c:v>
                </c:pt>
                <c:pt idx="2">
                  <c:v>30.06.2024.</c:v>
                </c:pt>
                <c:pt idx="3">
                  <c:v>30.09.2024.</c:v>
                </c:pt>
              </c:strCache>
            </c:strRef>
          </c:cat>
          <c:val>
            <c:numRef>
              <c:f>'Grafik 1 (a)'!$B$2:$B$5</c:f>
              <c:numCache>
                <c:formatCode>0.0%</c:formatCode>
                <c:ptCount val="4"/>
                <c:pt idx="0">
                  <c:v>0.56109955081729057</c:v>
                </c:pt>
                <c:pt idx="1">
                  <c:v>0.52499184845824087</c:v>
                </c:pt>
                <c:pt idx="2">
                  <c:v>0.51835278222658998</c:v>
                </c:pt>
                <c:pt idx="3">
                  <c:v>0.51028279095896401</c:v>
                </c:pt>
              </c:numCache>
            </c:numRef>
          </c:val>
          <c:smooth val="0"/>
          <c:extLst>
            <c:ext xmlns:c16="http://schemas.microsoft.com/office/drawing/2014/chart" uri="{C3380CC4-5D6E-409C-BE32-E72D297353CC}">
              <c16:uniqueId val="{00000003-8E5C-4406-88B4-DECF953A1202}"/>
            </c:ext>
          </c:extLst>
        </c:ser>
        <c:ser>
          <c:idx val="1"/>
          <c:order val="1"/>
          <c:tx>
            <c:strRef>
              <c:f>'Grafik 1 (a)'!$C$1</c:f>
              <c:strCache>
                <c:ptCount val="1"/>
                <c:pt idx="0">
                  <c:v>Neto javni dug u % BDP-a</c:v>
                </c:pt>
              </c:strCache>
            </c:strRef>
          </c:tx>
          <c:spPr>
            <a:ln w="31750" cap="rnd">
              <a:solidFill>
                <a:schemeClr val="accent2"/>
              </a:solidFill>
              <a:round/>
            </a:ln>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a:solidFill>
                  <a:schemeClr val="lt2"/>
                </a:solidFill>
                <a:round/>
              </a:ln>
              <a:effectLst/>
            </c:spPr>
          </c:marker>
          <c:dLbls>
            <c:dLbl>
              <c:idx val="1"/>
              <c:layout>
                <c:manualLayout>
                  <c:x val="0"/>
                  <c:y val="-4.06278855032317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5C-4406-88B4-DECF953A1202}"/>
                </c:ext>
              </c:extLst>
            </c:dLbl>
            <c:dLbl>
              <c:idx val="2"/>
              <c:layout>
                <c:manualLayout>
                  <c:x val="-4.226096143687191E-3"/>
                  <c:y val="-3.32409972299169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E5C-4406-88B4-DECF953A1202}"/>
                </c:ext>
              </c:extLst>
            </c:dLbl>
            <c:dLbl>
              <c:idx val="3"/>
              <c:layout>
                <c:manualLayout>
                  <c:x val="-2.1130480718437893E-3"/>
                  <c:y val="-2.9547553093259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E5C-4406-88B4-DECF953A120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'Grafik 1 (a)'!$A$2:$A$5</c:f>
              <c:strCache>
                <c:ptCount val="4"/>
                <c:pt idx="0">
                  <c:v>31.12.2023.</c:v>
                </c:pt>
                <c:pt idx="1">
                  <c:v>31.03.2024.</c:v>
                </c:pt>
                <c:pt idx="2">
                  <c:v>30.06.2024.</c:v>
                </c:pt>
                <c:pt idx="3">
                  <c:v>30.09.2024.</c:v>
                </c:pt>
              </c:strCache>
            </c:strRef>
          </c:cat>
          <c:val>
            <c:numRef>
              <c:f>'Grafik 1 (a)'!$C$2:$C$5</c:f>
              <c:numCache>
                <c:formatCode>0.0%</c:formatCode>
                <c:ptCount val="4"/>
                <c:pt idx="0">
                  <c:v>0.57070760915876095</c:v>
                </c:pt>
                <c:pt idx="1">
                  <c:v>0.53393591158604703</c:v>
                </c:pt>
                <c:pt idx="2">
                  <c:v>0.52676932318146208</c:v>
                </c:pt>
                <c:pt idx="3">
                  <c:v>0.51861803028373099</c:v>
                </c:pt>
              </c:numCache>
            </c:numRef>
          </c:val>
          <c:smooth val="0"/>
          <c:extLst>
            <c:ext xmlns:c16="http://schemas.microsoft.com/office/drawing/2014/chart" uri="{C3380CC4-5D6E-409C-BE32-E72D297353CC}">
              <c16:uniqueId val="{00000007-8E5C-4406-88B4-DECF953A1202}"/>
            </c:ext>
          </c:extLst>
        </c:ser>
        <c:dLbls>
          <c:showLegendKey val="0"/>
          <c:showVal val="0"/>
          <c:showCatName val="0"/>
          <c:showSerName val="0"/>
          <c:showPercent val="0"/>
          <c:showBubbleSize val="0"/>
        </c:dLbls>
        <c:marker val="1"/>
        <c:smooth val="0"/>
        <c:axId val="326207792"/>
        <c:axId val="326207400"/>
      </c:lineChart>
      <c:valAx>
        <c:axId val="326208968"/>
        <c:scaling>
          <c:orientation val="minMax"/>
          <c:max val="5000000000"/>
          <c:min val="3000000000"/>
        </c:scaling>
        <c:delete val="0"/>
        <c:axPos val="r"/>
        <c:majorGridlines>
          <c:spPr>
            <a:ln w="9525" cap="flat" cmpd="sng" algn="ctr">
              <a:solidFill>
                <a:schemeClr val="tx2">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26206224"/>
        <c:crosses val="max"/>
        <c:crossBetween val="between"/>
        <c:majorUnit val="1000000000"/>
      </c:valAx>
      <c:catAx>
        <c:axId val="3262062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26208968"/>
        <c:crosses val="autoZero"/>
        <c:auto val="1"/>
        <c:lblAlgn val="ctr"/>
        <c:lblOffset val="100"/>
        <c:noMultiLvlLbl val="0"/>
      </c:catAx>
      <c:valAx>
        <c:axId val="326207400"/>
        <c:scaling>
          <c:orientation val="minMax"/>
          <c:max val="0.60000000000000009"/>
          <c:min val="0.5"/>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26207792"/>
        <c:crosses val="autoZero"/>
        <c:crossBetween val="between"/>
      </c:valAx>
      <c:catAx>
        <c:axId val="326207792"/>
        <c:scaling>
          <c:orientation val="minMax"/>
        </c:scaling>
        <c:delete val="1"/>
        <c:axPos val="t"/>
        <c:numFmt formatCode="General" sourceLinked="1"/>
        <c:majorTickMark val="none"/>
        <c:minorTickMark val="none"/>
        <c:tickLblPos val="nextTo"/>
        <c:crossAx val="326207400"/>
        <c:crosses val="max"/>
        <c:auto val="1"/>
        <c:lblAlgn val="ctr"/>
        <c:lblOffset val="100"/>
        <c:noMultiLvlLbl val="0"/>
      </c:catAx>
      <c:spPr>
        <a:noFill/>
        <a:ln>
          <a:noFill/>
        </a:ln>
        <a:effectLst/>
      </c:spPr>
    </c:plotArea>
    <c:legend>
      <c:legendPos val="b"/>
      <c:layout>
        <c:manualLayout>
          <c:xMode val="edge"/>
          <c:yMode val="edge"/>
          <c:x val="4.2973786930479853E-2"/>
          <c:y val="0.83141871971885872"/>
          <c:w val="0.89762198901048618"/>
          <c:h val="0.113970974216458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accent4">
                    <a:lumMod val="50000"/>
                  </a:schemeClr>
                </a:solidFill>
                <a:latin typeface="+mn-lt"/>
                <a:ea typeface="+mn-ea"/>
                <a:cs typeface="+mn-cs"/>
              </a:defRPr>
            </a:pPr>
            <a:r>
              <a:rPr lang="sr-Latn-ME" sz="900" b="1" i="0" u="none" strike="noStrike" baseline="0">
                <a:solidFill>
                  <a:schemeClr val="accent4">
                    <a:lumMod val="50000"/>
                  </a:schemeClr>
                </a:solidFill>
                <a:effectLst/>
                <a:latin typeface="Cambria" panose="02040503050406030204" pitchFamily="18" charset="0"/>
                <a:ea typeface="Cambria" panose="02040503050406030204" pitchFamily="18" charset="0"/>
              </a:rPr>
              <a:t>Grafik br. 3: Struktura spoljnjeg duga na 30.09.2024. godine</a:t>
            </a:r>
            <a:endParaRPr lang="en-US" sz="900" b="1">
              <a:solidFill>
                <a:schemeClr val="accent4">
                  <a:lumMod val="50000"/>
                </a:schemeClr>
              </a:solidFill>
              <a:latin typeface="Cambria" panose="02040503050406030204" pitchFamily="18" charset="0"/>
              <a:ea typeface="Cambria" panose="020405030504060302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accent4">
                  <a:lumMod val="50000"/>
                </a:schemeClr>
              </a:solidFill>
              <a:latin typeface="+mn-lt"/>
              <a:ea typeface="+mn-ea"/>
              <a:cs typeface="+mn-cs"/>
            </a:defRPr>
          </a:pPr>
          <a:endParaRPr lang="en-US"/>
        </a:p>
      </c:txPr>
    </c:title>
    <c:autoTitleDeleted val="0"/>
    <c:view3D>
      <c:rotX val="40"/>
      <c:rotY val="3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6400581024268527E-2"/>
          <c:y val="1.2249318349769393E-2"/>
          <c:w val="0.37314451512769947"/>
          <c:h val="0.96184338608159425"/>
        </c:manualLayout>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E5B9-49C8-A3D4-9F8EC508A4D0}"/>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E5B9-49C8-A3D4-9F8EC508A4D0}"/>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E5B9-49C8-A3D4-9F8EC508A4D0}"/>
              </c:ext>
            </c:extLst>
          </c:dPt>
          <c:dPt>
            <c:idx val="3"/>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E5B9-49C8-A3D4-9F8EC508A4D0}"/>
              </c:ext>
            </c:extLst>
          </c:dPt>
          <c:dPt>
            <c:idx val="4"/>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E5B9-49C8-A3D4-9F8EC508A4D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'4 grafik (a)'!$F$17:$F$21</c:f>
              <c:strCache>
                <c:ptCount val="5"/>
                <c:pt idx="0">
                  <c:v>Međunarodne finansijke institucije (SB, EIB, EBRD, CEB, EU, MMF, IFAD)</c:v>
                </c:pt>
                <c:pt idx="1">
                  <c:v>Bilateralni krediti (obaveze prema Vladama drugih zemalja)</c:v>
                </c:pt>
                <c:pt idx="2">
                  <c:v>Komercijani krediti</c:v>
                </c:pt>
                <c:pt idx="3">
                  <c:v>Kredit kod Exim Kina banke za autoput</c:v>
                </c:pt>
                <c:pt idx="4">
                  <c:v>Euroobveznice</c:v>
                </c:pt>
              </c:strCache>
            </c:strRef>
          </c:cat>
          <c:val>
            <c:numRef>
              <c:f>'4 grafik (a)'!$G$17:$G$21</c:f>
              <c:numCache>
                <c:formatCode>0.0%</c:formatCode>
                <c:ptCount val="5"/>
                <c:pt idx="0">
                  <c:v>0.12699483696525271</c:v>
                </c:pt>
                <c:pt idx="1">
                  <c:v>2.4616479695111552E-2</c:v>
                </c:pt>
                <c:pt idx="2">
                  <c:v>8.9296527247427745E-2</c:v>
                </c:pt>
                <c:pt idx="3">
                  <c:v>0.15659145788382306</c:v>
                </c:pt>
                <c:pt idx="4">
                  <c:v>0.60250069820838492</c:v>
                </c:pt>
              </c:numCache>
            </c:numRef>
          </c:val>
          <c:extLst>
            <c:ext xmlns:c16="http://schemas.microsoft.com/office/drawing/2014/chart" uri="{C3380CC4-5D6E-409C-BE32-E72D297353CC}">
              <c16:uniqueId val="{0000000A-E5B9-49C8-A3D4-9F8EC508A4D0}"/>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54864468360668894"/>
          <c:y val="0.18266369533996929"/>
          <c:w val="0.33558092356359387"/>
          <c:h val="0.7773656217501114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 id="17">
  <a:schemeClr val="accent4"/>
</cs:colorStyle>
</file>

<file path=word/charts/colors11.xml><?xml version="1.0" encoding="utf-8"?>
<cs:colorStyle xmlns:cs="http://schemas.microsoft.com/office/drawing/2012/chartStyle" xmlns:a="http://schemas.openxmlformats.org/drawingml/2006/main" meth="withinLinearReversed" id="24">
  <a:schemeClr val="accent4"/>
</cs:colorStyle>
</file>

<file path=word/charts/colors1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 id="16">
  <a:schemeClr val="accent3"/>
</cs:colorStyle>
</file>

<file path=word/charts/colors9.xml><?xml version="1.0" encoding="utf-8"?>
<cs:colorStyle xmlns:cs="http://schemas.microsoft.com/office/drawing/2012/chartStyle" xmlns:a="http://schemas.openxmlformats.org/drawingml/2006/main" meth="withinLinearReversed" id="23">
  <a:schemeClr val="accent3"/>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0.68483</cdr:x>
      <cdr:y>0.90783</cdr:y>
    </cdr:from>
    <cdr:to>
      <cdr:x>0.982</cdr:x>
      <cdr:y>1</cdr:y>
    </cdr:to>
    <cdr:sp macro="" textlink="">
      <cdr:nvSpPr>
        <cdr:cNvPr id="3" name="Text Box 2"/>
        <cdr:cNvSpPr txBox="1"/>
      </cdr:nvSpPr>
      <cdr:spPr>
        <a:xfrm xmlns:a="http://schemas.openxmlformats.org/drawingml/2006/main">
          <a:off x="2162174" y="1876425"/>
          <a:ext cx="938213"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r-Latn-ME" sz="800" i="1"/>
            <a:t>Izvor: MF</a:t>
          </a:r>
        </a:p>
      </cdr:txBody>
    </cdr:sp>
  </cdr:relSizeAnchor>
</c:userShapes>
</file>

<file path=word/drawings/drawing2.xml><?xml version="1.0" encoding="utf-8"?>
<c:userShapes xmlns:c="http://schemas.openxmlformats.org/drawingml/2006/chart">
  <cdr:relSizeAnchor xmlns:cdr="http://schemas.openxmlformats.org/drawingml/2006/chartDrawing">
    <cdr:from>
      <cdr:x>0.21497</cdr:x>
      <cdr:y>0.06651</cdr:y>
    </cdr:from>
    <cdr:to>
      <cdr:x>0.73455</cdr:x>
      <cdr:y>0.15545</cdr:y>
    </cdr:to>
    <cdr:sp macro="" textlink="">
      <cdr:nvSpPr>
        <cdr:cNvPr id="2" name="Text Box 1"/>
        <cdr:cNvSpPr txBox="1"/>
      </cdr:nvSpPr>
      <cdr:spPr>
        <a:xfrm xmlns:a="http://schemas.openxmlformats.org/drawingml/2006/main">
          <a:off x="784239" y="131763"/>
          <a:ext cx="1895445" cy="176209"/>
        </a:xfrm>
        <a:prstGeom xmlns:a="http://schemas.openxmlformats.org/drawingml/2006/main" prst="rect">
          <a:avLst/>
        </a:prstGeom>
      </cdr:spPr>
    </cdr:sp>
  </cdr:relSizeAnchor>
  <cdr:relSizeAnchor xmlns:cdr="http://schemas.openxmlformats.org/drawingml/2006/chartDrawing">
    <cdr:from>
      <cdr:x>0.20888</cdr:x>
      <cdr:y>0.09615</cdr:y>
    </cdr:from>
    <cdr:to>
      <cdr:x>0.64774</cdr:x>
      <cdr:y>0.1899</cdr:y>
    </cdr:to>
    <cdr:sp macro="" textlink="">
      <cdr:nvSpPr>
        <cdr:cNvPr id="3" name="Text Box 2"/>
        <cdr:cNvSpPr txBox="1"/>
      </cdr:nvSpPr>
      <cdr:spPr>
        <a:xfrm xmlns:a="http://schemas.openxmlformats.org/drawingml/2006/main">
          <a:off x="663451" y="181769"/>
          <a:ext cx="1393949" cy="177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r-Latn-ME" sz="900" i="1">
              <a:solidFill>
                <a:schemeClr val="bg2">
                  <a:lumMod val="50000"/>
                </a:schemeClr>
              </a:solidFill>
            </a:rPr>
            <a:t>Produktivnost</a:t>
          </a:r>
          <a:r>
            <a:rPr lang="sr-Latn-ME" sz="900" i="1" baseline="0">
              <a:solidFill>
                <a:schemeClr val="bg2">
                  <a:lumMod val="50000"/>
                </a:schemeClr>
              </a:solidFill>
            </a:rPr>
            <a:t> 2007=100</a:t>
          </a:r>
          <a:endParaRPr lang="sr-Latn-ME" sz="900" i="1">
            <a:solidFill>
              <a:schemeClr val="bg2">
                <a:lumMod val="50000"/>
              </a:schemeClr>
            </a:solidFill>
          </a:endParaRPr>
        </a:p>
      </cdr:txBody>
    </cdr:sp>
  </cdr:relSizeAnchor>
  <cdr:relSizeAnchor xmlns:cdr="http://schemas.openxmlformats.org/drawingml/2006/chartDrawing">
    <cdr:from>
      <cdr:x>0.71164</cdr:x>
      <cdr:y>0.72599</cdr:y>
    </cdr:from>
    <cdr:to>
      <cdr:x>0.95533</cdr:x>
      <cdr:y>0.81974</cdr:y>
    </cdr:to>
    <cdr:sp macro="" textlink="">
      <cdr:nvSpPr>
        <cdr:cNvPr id="5" name="Text Box 1"/>
        <cdr:cNvSpPr txBox="1"/>
      </cdr:nvSpPr>
      <cdr:spPr>
        <a:xfrm xmlns:a="http://schemas.openxmlformats.org/drawingml/2006/main">
          <a:off x="2260373" y="1372407"/>
          <a:ext cx="774025" cy="1772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sr-Latn-ME" sz="900" i="1">
              <a:solidFill>
                <a:schemeClr val="bg2">
                  <a:lumMod val="50000"/>
                </a:schemeClr>
              </a:solidFill>
            </a:rPr>
            <a:t>Izvor: MF</a:t>
          </a:r>
        </a:p>
      </cdr:txBody>
    </cdr:sp>
  </cdr:relSizeAnchor>
</c:userShapes>
</file>

<file path=word/drawings/drawing3.xml><?xml version="1.0" encoding="utf-8"?>
<c:userShapes xmlns:c="http://schemas.openxmlformats.org/drawingml/2006/chart">
  <cdr:relSizeAnchor xmlns:cdr="http://schemas.openxmlformats.org/drawingml/2006/chartDrawing">
    <cdr:from>
      <cdr:x>0.80507</cdr:x>
      <cdr:y>0.60853</cdr:y>
    </cdr:from>
    <cdr:to>
      <cdr:x>1</cdr:x>
      <cdr:y>0.70194</cdr:y>
    </cdr:to>
    <cdr:sp macro="" textlink="">
      <cdr:nvSpPr>
        <cdr:cNvPr id="2" name="Text Box 1"/>
        <cdr:cNvSpPr txBox="1"/>
      </cdr:nvSpPr>
      <cdr:spPr>
        <a:xfrm xmlns:a="http://schemas.openxmlformats.org/drawingml/2006/main">
          <a:off x="4703208" y="1279038"/>
          <a:ext cx="1138792" cy="19634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r-Latn-ME" sz="900" i="1"/>
            <a:t>Projekcije MF</a:t>
          </a:r>
          <a:endParaRPr lang="en-US" sz="900" i="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89A9A-DF6B-461A-8218-5EBFBDE3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68</Pages>
  <Words>24902</Words>
  <Characters>141945</Characters>
  <Application>Microsoft Office Word</Application>
  <DocSecurity>0</DocSecurity>
  <Lines>1182</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Radojicic</dc:creator>
  <cp:keywords/>
  <dc:description/>
  <cp:lastModifiedBy>Win</cp:lastModifiedBy>
  <cp:revision>4</cp:revision>
  <cp:lastPrinted>2023-11-27T06:51:00Z</cp:lastPrinted>
  <dcterms:created xsi:type="dcterms:W3CDTF">2024-12-08T19:19:00Z</dcterms:created>
  <dcterms:modified xsi:type="dcterms:W3CDTF">2024-12-08T23:17:00Z</dcterms:modified>
</cp:coreProperties>
</file>