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B89" w:rsidRPr="00DE0F68" w:rsidRDefault="00F63B89" w:rsidP="00F63B89">
      <w:pPr>
        <w:autoSpaceDE w:val="0"/>
        <w:autoSpaceDN w:val="0"/>
        <w:adjustRightInd w:val="0"/>
        <w:spacing w:after="0" w:line="240" w:lineRule="auto"/>
        <w:jc w:val="right"/>
        <w:rPr>
          <w:rFonts w:ascii="Arial" w:eastAsia="Times New Roman" w:hAnsi="Arial" w:cs="Arial"/>
          <w:b/>
          <w:bCs/>
          <w:lang w:val="sr-Latn-ME" w:eastAsia="en-GB"/>
        </w:rPr>
      </w:pPr>
      <w:r w:rsidRPr="00DE0F68">
        <w:rPr>
          <w:rFonts w:ascii="Arial" w:eastAsia="Times New Roman" w:hAnsi="Arial" w:cs="Arial"/>
          <w:b/>
          <w:bCs/>
          <w:lang w:val="sr-Latn-ME" w:eastAsia="en-GB"/>
        </w:rPr>
        <w:t>OBRAZAC</w:t>
      </w: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A0" w:firstRow="1" w:lastRow="0" w:firstColumn="1" w:lastColumn="0" w:noHBand="0" w:noVBand="0"/>
      </w:tblPr>
      <w:tblGrid>
        <w:gridCol w:w="3886"/>
        <w:gridCol w:w="5454"/>
      </w:tblGrid>
      <w:tr w:rsidR="00F63B89" w:rsidRPr="00DE0F68" w:rsidTr="00E27883">
        <w:tc>
          <w:tcPr>
            <w:tcW w:w="9576" w:type="dxa"/>
            <w:gridSpan w:val="2"/>
            <w:tcBorders>
              <w:bottom w:val="single" w:sz="18" w:space="0" w:color="4BACC6"/>
            </w:tcBorders>
          </w:tcPr>
          <w:p w:rsidR="00F63B89" w:rsidRPr="00DE0F68" w:rsidRDefault="00F63B89" w:rsidP="00F63B89">
            <w:pPr>
              <w:autoSpaceDE w:val="0"/>
              <w:autoSpaceDN w:val="0"/>
              <w:adjustRightInd w:val="0"/>
              <w:spacing w:before="120" w:after="120" w:line="240" w:lineRule="auto"/>
              <w:jc w:val="center"/>
              <w:rPr>
                <w:rFonts w:ascii="Arial" w:eastAsia="Times New Roman" w:hAnsi="Arial" w:cs="Arial"/>
                <w:b/>
                <w:lang w:val="sr-Latn-ME" w:eastAsia="en-GB"/>
              </w:rPr>
            </w:pPr>
            <w:r w:rsidRPr="00DE0F68">
              <w:rPr>
                <w:rFonts w:ascii="Arial" w:eastAsia="Times New Roman" w:hAnsi="Arial" w:cs="Arial"/>
                <w:b/>
                <w:lang w:val="sr-Latn-ME" w:eastAsia="en-GB"/>
              </w:rPr>
              <w:t>IZVJEŠTAJ O SPROVEDENOJ ANALIZI PROCJENE UTICAJA PROPISA</w:t>
            </w:r>
          </w:p>
        </w:tc>
      </w:tr>
      <w:tr w:rsidR="00F63B89" w:rsidRPr="00DE0F68" w:rsidTr="00E27883">
        <w:tc>
          <w:tcPr>
            <w:tcW w:w="3978" w:type="dxa"/>
            <w:shd w:val="clear" w:color="auto" w:fill="D2EAF1"/>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PREDLAGAČ PROPISA</w:t>
            </w:r>
          </w:p>
        </w:tc>
        <w:tc>
          <w:tcPr>
            <w:tcW w:w="5598" w:type="dxa"/>
            <w:shd w:val="clear" w:color="auto" w:fill="D2EAF1"/>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bCs/>
                <w:lang w:val="sr-Latn-ME" w:eastAsia="en-GB"/>
              </w:rPr>
            </w:pPr>
            <w:r w:rsidRPr="00DE0F68">
              <w:rPr>
                <w:rFonts w:ascii="Arial" w:eastAsia="Times New Roman" w:hAnsi="Arial" w:cs="Arial"/>
                <w:b/>
                <w:bCs/>
                <w:lang w:val="sr-Latn-ME" w:eastAsia="en-GB"/>
              </w:rPr>
              <w:t>MINISTARSTVO FINANSIJA</w:t>
            </w:r>
            <w:r w:rsidR="00DE0F68">
              <w:rPr>
                <w:rFonts w:ascii="Arial" w:eastAsia="Times New Roman" w:hAnsi="Arial" w:cs="Arial"/>
                <w:b/>
                <w:bCs/>
                <w:lang w:val="sr-Latn-ME" w:eastAsia="en-GB"/>
              </w:rPr>
              <w:t>- KOMISIJA ZA TRŽIŠTE KAPITALA</w:t>
            </w:r>
          </w:p>
        </w:tc>
      </w:tr>
      <w:tr w:rsidR="00F63B89" w:rsidRPr="00DE0F68" w:rsidTr="00E27883">
        <w:tc>
          <w:tcPr>
            <w:tcW w:w="3978" w:type="dxa"/>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NAZIV PROPISA</w:t>
            </w:r>
          </w:p>
        </w:tc>
        <w:tc>
          <w:tcPr>
            <w:tcW w:w="5598" w:type="dxa"/>
          </w:tcPr>
          <w:p w:rsidR="00F63B89" w:rsidRPr="00DE0F68" w:rsidRDefault="00F63B89" w:rsidP="00180905">
            <w:pPr>
              <w:autoSpaceDE w:val="0"/>
              <w:autoSpaceDN w:val="0"/>
              <w:adjustRightInd w:val="0"/>
              <w:spacing w:before="120" w:after="120" w:line="240" w:lineRule="auto"/>
              <w:jc w:val="both"/>
              <w:rPr>
                <w:rFonts w:ascii="Arial" w:eastAsia="Times New Roman" w:hAnsi="Arial" w:cs="Arial"/>
                <w:b/>
                <w:bCs/>
                <w:lang w:val="sr-Latn-ME" w:eastAsia="en-GB"/>
              </w:rPr>
            </w:pPr>
            <w:r w:rsidRPr="00DE0F68">
              <w:rPr>
                <w:rFonts w:ascii="Arial" w:eastAsia="Times New Roman" w:hAnsi="Arial" w:cs="Arial"/>
                <w:b/>
                <w:bCs/>
                <w:lang w:val="sr-Latn-ME" w:eastAsia="en-GB"/>
              </w:rPr>
              <w:t xml:space="preserve">Nacrt </w:t>
            </w:r>
            <w:r w:rsidR="00DE0F68">
              <w:rPr>
                <w:rFonts w:ascii="Arial" w:eastAsia="Times New Roman" w:hAnsi="Arial" w:cs="Arial"/>
                <w:b/>
                <w:bCs/>
                <w:lang w:val="sr-Latn-ME" w:eastAsia="en-GB"/>
              </w:rPr>
              <w:t>z</w:t>
            </w:r>
            <w:bookmarkStart w:id="0" w:name="_GoBack"/>
            <w:bookmarkEnd w:id="0"/>
            <w:r w:rsidRPr="00DE0F68">
              <w:rPr>
                <w:rFonts w:ascii="Arial" w:eastAsia="Times New Roman" w:hAnsi="Arial" w:cs="Arial"/>
                <w:b/>
                <w:bCs/>
                <w:lang w:val="sr-Latn-ME" w:eastAsia="en-GB"/>
              </w:rPr>
              <w:t xml:space="preserve">akona o </w:t>
            </w:r>
            <w:r w:rsidR="00180905" w:rsidRPr="00DE0F68">
              <w:rPr>
                <w:rFonts w:ascii="Arial" w:eastAsia="Times New Roman" w:hAnsi="Arial" w:cs="Arial"/>
                <w:b/>
                <w:bCs/>
                <w:lang w:val="sr-Latn-ME" w:eastAsia="en-GB"/>
              </w:rPr>
              <w:t>izdavanju pokrivenih obveznica i nadzoru pokrivenih obveznica</w:t>
            </w: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1. Definisanje problema</w:t>
            </w:r>
          </w:p>
          <w:p w:rsidR="00F63B89" w:rsidRPr="00DE0F68" w:rsidRDefault="00F63B89" w:rsidP="00F63B89">
            <w:pPr>
              <w:numPr>
                <w:ilvl w:val="0"/>
                <w:numId w:val="1"/>
              </w:numPr>
              <w:autoSpaceDE w:val="0"/>
              <w:autoSpaceDN w:val="0"/>
              <w:adjustRightInd w:val="0"/>
              <w:spacing w:before="120" w:after="12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Koje probleme  treba da riješi predloženi akt?</w:t>
            </w:r>
          </w:p>
          <w:p w:rsidR="00F63B89" w:rsidRPr="00DE0F68" w:rsidRDefault="00F63B89" w:rsidP="00F63B89">
            <w:pPr>
              <w:numPr>
                <w:ilvl w:val="0"/>
                <w:numId w:val="1"/>
              </w:numPr>
              <w:autoSpaceDE w:val="0"/>
              <w:autoSpaceDN w:val="0"/>
              <w:adjustRightInd w:val="0"/>
              <w:spacing w:before="120" w:after="12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Koji su uzroci problema?</w:t>
            </w:r>
          </w:p>
          <w:p w:rsidR="00F63B89" w:rsidRPr="00DE0F68" w:rsidRDefault="00F63B89" w:rsidP="00F63B89">
            <w:pPr>
              <w:numPr>
                <w:ilvl w:val="0"/>
                <w:numId w:val="1"/>
              </w:numPr>
              <w:autoSpaceDE w:val="0"/>
              <w:autoSpaceDN w:val="0"/>
              <w:adjustRightInd w:val="0"/>
              <w:spacing w:before="120" w:after="12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Koje su posljedice problema?</w:t>
            </w:r>
          </w:p>
          <w:p w:rsidR="00F63B89" w:rsidRPr="00DE0F68" w:rsidRDefault="00F63B89" w:rsidP="00F63B89">
            <w:pPr>
              <w:numPr>
                <w:ilvl w:val="0"/>
                <w:numId w:val="1"/>
              </w:numPr>
              <w:autoSpaceDE w:val="0"/>
              <w:autoSpaceDN w:val="0"/>
              <w:adjustRightInd w:val="0"/>
              <w:spacing w:before="120" w:after="12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Koji su subjekti oštećeni, na koji način i u kojoj mjeri?</w:t>
            </w:r>
          </w:p>
          <w:p w:rsidR="00F63B89" w:rsidRPr="00DE0F68" w:rsidRDefault="00F63B89" w:rsidP="00F63B89">
            <w:pPr>
              <w:numPr>
                <w:ilvl w:val="0"/>
                <w:numId w:val="1"/>
              </w:numPr>
              <w:autoSpaceDE w:val="0"/>
              <w:autoSpaceDN w:val="0"/>
              <w:adjustRightInd w:val="0"/>
              <w:spacing w:before="120" w:after="12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Kako bi problem evoluirao bez promjene propisa (“status quo” opcija)?</w:t>
            </w:r>
          </w:p>
        </w:tc>
      </w:tr>
      <w:tr w:rsidR="00F63B89" w:rsidRPr="00DE0F68" w:rsidTr="00E27883">
        <w:tc>
          <w:tcPr>
            <w:tcW w:w="9576" w:type="dxa"/>
            <w:gridSpan w:val="2"/>
          </w:tcPr>
          <w:p w:rsidR="00F63B89" w:rsidRPr="00DE0F68" w:rsidRDefault="00F63B89" w:rsidP="00F63B89">
            <w:pPr>
              <w:spacing w:after="0" w:line="240" w:lineRule="auto"/>
              <w:jc w:val="both"/>
              <w:rPr>
                <w:rFonts w:ascii="Arial" w:eastAsia="Times New Roman" w:hAnsi="Arial" w:cs="Arial"/>
                <w:bCs/>
                <w:lang w:val="sr-Latn-ME"/>
              </w:rPr>
            </w:pPr>
          </w:p>
          <w:p w:rsidR="00B97114" w:rsidRPr="00DE0F68" w:rsidRDefault="00B97114" w:rsidP="00B97114">
            <w:pPr>
              <w:spacing w:after="0" w:line="240" w:lineRule="auto"/>
              <w:jc w:val="both"/>
              <w:rPr>
                <w:rFonts w:ascii="Arial" w:eastAsia="Times New Roman" w:hAnsi="Arial" w:cs="Arial"/>
                <w:bCs/>
                <w:noProof/>
                <w:lang w:val="sr-Latn-ME"/>
              </w:rPr>
            </w:pPr>
            <w:r w:rsidRPr="00DE0F68">
              <w:rPr>
                <w:rFonts w:ascii="Arial" w:eastAsia="Times New Roman" w:hAnsi="Arial" w:cs="Arial"/>
                <w:bCs/>
                <w:noProof/>
                <w:lang w:val="sr-Latn-ME"/>
              </w:rPr>
              <w:t>Predloženi Zakon o izdavanju pokrivenih obveznica i nadzoru pokrivenih obveznica ima za cilj da r</w:t>
            </w:r>
            <w:r w:rsidR="005939D2" w:rsidRPr="00DE0F68">
              <w:rPr>
                <w:rFonts w:ascii="Arial" w:eastAsia="Times New Roman" w:hAnsi="Arial" w:cs="Arial"/>
                <w:bCs/>
                <w:noProof/>
                <w:lang w:val="sr-Latn-ME"/>
              </w:rPr>
              <w:t>ij</w:t>
            </w:r>
            <w:r w:rsidRPr="00DE0F68">
              <w:rPr>
                <w:rFonts w:ascii="Arial" w:eastAsia="Times New Roman" w:hAnsi="Arial" w:cs="Arial"/>
                <w:bCs/>
                <w:noProof/>
                <w:lang w:val="sr-Latn-ME"/>
              </w:rPr>
              <w:t>eši nekoliko ključnih problema u crnogorskoj e</w:t>
            </w:r>
            <w:r w:rsidR="00552C20" w:rsidRPr="00DE0F68">
              <w:rPr>
                <w:rFonts w:ascii="Arial" w:eastAsia="Times New Roman" w:hAnsi="Arial" w:cs="Arial"/>
                <w:bCs/>
                <w:noProof/>
                <w:lang w:val="sr-Latn-ME"/>
              </w:rPr>
              <w:t>konomiji i finansijskom sektoru i to:</w:t>
            </w:r>
          </w:p>
          <w:p w:rsidR="005939D2" w:rsidRPr="00DE0F68" w:rsidRDefault="005939D2" w:rsidP="00552C20">
            <w:pPr>
              <w:numPr>
                <w:ilvl w:val="0"/>
                <w:numId w:val="20"/>
              </w:num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Ograničenost izvora finansiranja za kreditne institucije</w:t>
            </w:r>
            <w:r w:rsidRPr="00DE0F68">
              <w:rPr>
                <w:rFonts w:ascii="Arial" w:eastAsia="Times New Roman" w:hAnsi="Arial" w:cs="Arial"/>
                <w:lang w:val="sr-Latn-ME"/>
              </w:rPr>
              <w:t>: Crnogorske banke su u velikoj mjeri zavisne od depozita kao glavnog izvora finansiranja, što ih čini ranjivim na promjene u ekonomiji i tržištu. Ovaj sistem je stvorio značajnu prepreku za dalji rast banaka, naročito manjih kreditnih institucija, koje ne mogu efikasno diversifikovati izvore finansiranja i stiču prednost u odnosu na konkurenciju.</w:t>
            </w:r>
          </w:p>
          <w:p w:rsidR="005939D2" w:rsidRPr="00DE0F68" w:rsidRDefault="005939D2" w:rsidP="00552C20">
            <w:pPr>
              <w:numPr>
                <w:ilvl w:val="0"/>
                <w:numId w:val="20"/>
              </w:num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Nedostatak adekvatnog regulativnog okvira za tržište pokrivenih obveznica</w:t>
            </w:r>
            <w:r w:rsidRPr="00DE0F68">
              <w:rPr>
                <w:rFonts w:ascii="Arial" w:eastAsia="Times New Roman" w:hAnsi="Arial" w:cs="Arial"/>
                <w:lang w:val="sr-Latn-ME"/>
              </w:rPr>
              <w:t>: Prije donošenja predloženog zakona, tržište pokrivenih obveznica u Crnoj Gori nije bilo regulisano, što je činilo ovu vrstu obveznica neatraktivnom za investitore. Bez jasnog pravnog okvira, tržište kapitala u Crnoj Gori nije bilo dovoljno razvijeno da omogući sigurno i efektivno izdavanje takvih instrumenata.</w:t>
            </w:r>
          </w:p>
          <w:p w:rsidR="005939D2" w:rsidRPr="00DE0F68" w:rsidRDefault="005939D2" w:rsidP="00552C20">
            <w:pPr>
              <w:numPr>
                <w:ilvl w:val="0"/>
                <w:numId w:val="20"/>
              </w:num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Nedostatak zaštite za investitore</w:t>
            </w:r>
            <w:r w:rsidRPr="00DE0F68">
              <w:rPr>
                <w:rFonts w:ascii="Arial" w:eastAsia="Times New Roman" w:hAnsi="Arial" w:cs="Arial"/>
                <w:lang w:val="sr-Latn-ME"/>
              </w:rPr>
              <w:t>: Bez odgovarajuće zakonske regulative, investitori nisu imali dovoljno sigurnosnih mehanizama koji bi ih zaštitili u slučaju problema sa izdavaocima pokrivenih obveznica, kao što su likvidacija ili stečaj. Prethodni zakonodavni okvir nije predviđao poseban tretman imovine koja bi bila korišćena kao osiguranje za ove obveznice, što je ulaganja činilo rizičnijim za investitore.</w:t>
            </w:r>
          </w:p>
          <w:p w:rsidR="005939D2" w:rsidRPr="00DE0F68" w:rsidRDefault="005939D2" w:rsidP="00552C20">
            <w:p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Uzroci problema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Zavisnost od depozita kao glavnog izvora finansiranja</w:t>
            </w:r>
            <w:r w:rsidRPr="00DE0F68">
              <w:rPr>
                <w:rFonts w:ascii="Arial" w:eastAsia="Times New Roman" w:hAnsi="Arial" w:cs="Arial"/>
                <w:lang w:val="sr-Latn-ME"/>
              </w:rPr>
              <w:t>: Kreditne institucije u Crnoj Gori, naročito manje banke, previše se oslanjaju na depozite i kratkoročne izvore kapitala. Takva zavisnost čini ih osjetljivima na promjene u tržištu i povećava njihove troškove finansiranja, ograničavajući mogućnost za dugoročni razvoj i konkurenciju sa velikim bankama.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Nedostatak regulative za pokrivene obveznice</w:t>
            </w:r>
            <w:r w:rsidRPr="00DE0F68">
              <w:rPr>
                <w:rFonts w:ascii="Arial" w:eastAsia="Times New Roman" w:hAnsi="Arial" w:cs="Arial"/>
                <w:lang w:val="sr-Latn-ME"/>
              </w:rPr>
              <w:t>: Prije donošenja ovog zakona, nije postojala specifična regulativa koja bi omogućila izdavanje pokrivenih obveznica u Crnoj Gori. Ovaj pravni vakuum stvorio je prepreke za razvoj tržišta kapitala u zemlji, jer investitori nisu bili sigurni u pravnu sigurnost i zaštitu svojih ulaganja.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Nedostatak zaštite za investitore</w:t>
            </w:r>
            <w:r w:rsidRPr="00DE0F68">
              <w:rPr>
                <w:rFonts w:ascii="Arial" w:eastAsia="Times New Roman" w:hAnsi="Arial" w:cs="Arial"/>
                <w:lang w:val="sr-Latn-ME"/>
              </w:rPr>
              <w:t xml:space="preserve">: Bez posebnog zakonskog okvira koji se odnosi na pokrivene obveznice, investitori nisu imali dovoljno sigurnosti u vezi sa njihovim ulaganjem. </w:t>
            </w:r>
            <w:r w:rsidRPr="00DE0F68">
              <w:rPr>
                <w:rFonts w:ascii="Arial" w:eastAsia="Times New Roman" w:hAnsi="Arial" w:cs="Arial"/>
                <w:lang w:val="sr-Latn-ME"/>
              </w:rPr>
              <w:lastRenderedPageBreak/>
              <w:t>U slučaju stečaja ili likvidacije banaka, investitori nisu imali osiguranje koje bi im omogućilo da sačuvaju svoja ulaganja, što je smanjilo atraktivnost ovih instrumenata.</w:t>
            </w:r>
          </w:p>
          <w:p w:rsidR="005939D2" w:rsidRPr="00DE0F68" w:rsidRDefault="005939D2" w:rsidP="00552C20">
            <w:p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Posljedice problema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Smanjena mogućnost finansiranja za banke</w:t>
            </w:r>
            <w:r w:rsidRPr="00DE0F68">
              <w:rPr>
                <w:rFonts w:ascii="Arial" w:eastAsia="Times New Roman" w:hAnsi="Arial" w:cs="Arial"/>
                <w:lang w:val="sr-Latn-ME"/>
              </w:rPr>
              <w:t>: Ograničenje na depozite kao izvor finansiranja stavlja banke, naročito manje kreditne institucije, u nepovoljan položaj u odnosu na konkurenciju. Banke nisu u mogućnosti da diversifikuju izvore kapitala, što povećava njihove troškove, smanjuje profitabilnost i otežava dalji rast i širenje poslovanja.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Nedostatak povjerenja investitora</w:t>
            </w:r>
            <w:r w:rsidRPr="00DE0F68">
              <w:rPr>
                <w:rFonts w:ascii="Arial" w:eastAsia="Times New Roman" w:hAnsi="Arial" w:cs="Arial"/>
                <w:lang w:val="sr-Latn-ME"/>
              </w:rPr>
              <w:t>: Investitori su skloniji izbjegavanju ulaganja u tržište kapitala u Crnoj Gori zbog nesigurnosti u vezi sa zakonskim okvirima koji regulišu izdavanje obveznica. Bez zaštite imovine i obezbjeđenja za pokrivene obveznice, investitori se boje da bi mogli da ostanu oštećeni u slučaju finansijskih teškoća ili likvidacije izdavaoca, što smanjuje povjerenje u tržište.</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Smanjena konkurentnost crnogorskog tržišta kapitala</w:t>
            </w:r>
            <w:r w:rsidRPr="00DE0F68">
              <w:rPr>
                <w:rFonts w:ascii="Arial" w:eastAsia="Times New Roman" w:hAnsi="Arial" w:cs="Arial"/>
                <w:lang w:val="sr-Latn-ME"/>
              </w:rPr>
              <w:t>: Zbog nedostatka regulative koja bi omogućila izdavanje pokrivenih obveznica, Crna Gora je bila isključena iz šireg evropskog tržišta, čime se smanjivala privlačnost za strane investitore. To je smanjilo konkurentnost crnogorskog tržišta u odnosu na druge zemlje koje imaju razvijene zakone o pokrivenim obveznicama, kao što je to slučaj u Evropskoj uniji.</w:t>
            </w:r>
          </w:p>
          <w:p w:rsidR="005939D2" w:rsidRPr="00DE0F68" w:rsidRDefault="005939D2" w:rsidP="00552C20">
            <w:pPr>
              <w:spacing w:before="100" w:beforeAutospacing="1" w:after="100" w:afterAutospacing="1" w:line="240" w:lineRule="auto"/>
              <w:rPr>
                <w:rFonts w:ascii="Arial" w:eastAsia="Times New Roman" w:hAnsi="Arial" w:cs="Arial"/>
                <w:lang w:val="sr-Latn-ME"/>
              </w:rPr>
            </w:pPr>
            <w:r w:rsidRPr="00DE0F68">
              <w:rPr>
                <w:rFonts w:ascii="Arial" w:eastAsia="Times New Roman" w:hAnsi="Arial" w:cs="Arial"/>
                <w:b/>
                <w:bCs/>
                <w:lang w:val="sr-Latn-ME"/>
              </w:rPr>
              <w:t>Subjekti koji su oštećeni</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Kreditne institucije</w:t>
            </w:r>
            <w:r w:rsidRPr="00DE0F68">
              <w:rPr>
                <w:rFonts w:ascii="Arial" w:eastAsia="Times New Roman" w:hAnsi="Arial" w:cs="Arial"/>
                <w:lang w:val="sr-Latn-ME"/>
              </w:rPr>
              <w:t>: Manje banke su posebno oštećene jer nisu imale mogućnost da diversifikuju svoje izvore finansiranja putem tržišta kapitala. Ove banke su se morale oslanjati na depozite, što je povećavalo njihove troškove i smanjivalo konkurentnost. Na taj način su bile u nepovoljnom položaju u odnosu na velike banke koje su imale bolji pristup tržištima kapitala.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Investitori</w:t>
            </w:r>
            <w:r w:rsidRPr="00DE0F68">
              <w:rPr>
                <w:rFonts w:ascii="Arial" w:eastAsia="Times New Roman" w:hAnsi="Arial" w:cs="Arial"/>
                <w:lang w:val="sr-Latn-ME"/>
              </w:rPr>
              <w:t>: Investitori su bili oštećeni jer nisu imali odgovarajuće zakonske mehanizme zaštite kada su ulagali u obveznice ili druge instrumente. U slučaju ekonomskih problema ili stečaja banaka, investitori su bili u mogućnosti da izgube svoja ulaganja jer nisu imali garantovanu zaštitu, što je smanjilo privlačnost tržišta kapitala.</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Privreda (posebno mala i srednja preduzeća)</w:t>
            </w:r>
            <w:r w:rsidRPr="00DE0F68">
              <w:rPr>
                <w:rFonts w:ascii="Arial" w:eastAsia="Times New Roman" w:hAnsi="Arial" w:cs="Arial"/>
                <w:lang w:val="sr-Latn-ME"/>
              </w:rPr>
              <w:t>: Mala i srednja preduzeća, koja zavise od kredita za finansiranje svojih operacija i rasta, suočavaju se s problemima zbog ograničenog pristupa povoljnim kreditima. Ove kompanije nemaju dovoljno konkurentne banke koje bi im omogućile povoljne uslove za kreditiranje, što negativno utiče na njihovu sposobnost da se razvijaju i rastu.</w:t>
            </w:r>
          </w:p>
          <w:p w:rsidR="005939D2" w:rsidRPr="00DE0F68" w:rsidRDefault="005939D2" w:rsidP="00552C20">
            <w:p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b/>
                <w:bCs/>
                <w:lang w:val="sr-Latn-ME"/>
              </w:rPr>
              <w:t>“Status quo” opcija</w:t>
            </w:r>
          </w:p>
          <w:p w:rsidR="005939D2" w:rsidRPr="00DE0F68" w:rsidRDefault="005939D2" w:rsidP="00552C20">
            <w:p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lang w:val="sr-Latn-ME"/>
              </w:rPr>
              <w:t>Ako se ne donese zakon, situacija će vjerovatno evoluirati u sljedećem pravcu:</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Kreditne institucije bi ostale zavisne od depozita</w:t>
            </w:r>
            <w:r w:rsidRPr="00DE0F68">
              <w:rPr>
                <w:rFonts w:ascii="Arial" w:eastAsia="Times New Roman" w:hAnsi="Arial" w:cs="Arial"/>
                <w:lang w:val="sr-Latn-ME"/>
              </w:rPr>
              <w:t xml:space="preserve">, čime bi bile suočene sa visokom zavisnošću od specifičnih izvora finansiranja, što bi povećalo njihove troškove i smanjilo </w:t>
            </w:r>
            <w:r w:rsidRPr="00DE0F68">
              <w:rPr>
                <w:rFonts w:ascii="Arial" w:eastAsia="Times New Roman" w:hAnsi="Arial" w:cs="Arial"/>
                <w:lang w:val="sr-Latn-ME"/>
              </w:rPr>
              <w:lastRenderedPageBreak/>
              <w:t>konkurentnost na tržištu. Ovo bi moglo dovesti do smanjenja broja manjih banaka koje bi bile u mogućnosti da opstanu u konkurentnom okruženju.</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Investitori bi i dalje bili oprezni</w:t>
            </w:r>
            <w:r w:rsidRPr="00DE0F68">
              <w:rPr>
                <w:rFonts w:ascii="Arial" w:eastAsia="Times New Roman" w:hAnsi="Arial" w:cs="Arial"/>
                <w:lang w:val="sr-Latn-ME"/>
              </w:rPr>
              <w:t xml:space="preserve"> u pogledu ulaganja na crnogorskom tržištu kapitala zbog nepostojanja odgovarajuće zaštite, smanjujući tako priliv stranog kapitala u zemlju.</w:t>
            </w:r>
          </w:p>
          <w:p w:rsidR="005939D2" w:rsidRPr="00DE0F68" w:rsidRDefault="005939D2" w:rsidP="00552C20">
            <w:pPr>
              <w:spacing w:before="100" w:beforeAutospacing="1" w:after="100" w:afterAutospacing="1" w:line="240" w:lineRule="auto"/>
              <w:ind w:left="360"/>
              <w:jc w:val="both"/>
              <w:rPr>
                <w:rFonts w:ascii="Arial" w:eastAsia="Times New Roman" w:hAnsi="Arial" w:cs="Arial"/>
                <w:lang w:val="sr-Latn-ME"/>
              </w:rPr>
            </w:pPr>
            <w:r w:rsidRPr="00DE0F68">
              <w:rPr>
                <w:rFonts w:ascii="Arial" w:eastAsia="Times New Roman" w:hAnsi="Arial" w:cs="Arial"/>
                <w:b/>
                <w:bCs/>
                <w:lang w:val="sr-Latn-ME"/>
              </w:rPr>
              <w:t>Mala i srednja preduzeća bi nastavila da imaju teškoće u pristupu povoljnim izvorima kapitala</w:t>
            </w:r>
            <w:r w:rsidRPr="00DE0F68">
              <w:rPr>
                <w:rFonts w:ascii="Arial" w:eastAsia="Times New Roman" w:hAnsi="Arial" w:cs="Arial"/>
                <w:lang w:val="sr-Latn-ME"/>
              </w:rPr>
              <w:t>, što bi usporilo privredni rast i razvoj u zemlji. Banke bi i dalje bile ograničene u svojoj sposobnosti da pruže potrebne izvore finansiranja preduzetnicima.</w:t>
            </w:r>
          </w:p>
          <w:p w:rsidR="005939D2" w:rsidRPr="00DE0F68" w:rsidRDefault="005939D2" w:rsidP="00552C20">
            <w:pPr>
              <w:spacing w:before="100" w:beforeAutospacing="1" w:after="100" w:afterAutospacing="1" w:line="240" w:lineRule="auto"/>
              <w:jc w:val="both"/>
              <w:rPr>
                <w:rFonts w:ascii="Arial" w:eastAsia="Times New Roman" w:hAnsi="Arial" w:cs="Arial"/>
                <w:lang w:val="sr-Latn-ME"/>
              </w:rPr>
            </w:pPr>
            <w:r w:rsidRPr="00DE0F68">
              <w:rPr>
                <w:rFonts w:ascii="Arial" w:eastAsia="Times New Roman" w:hAnsi="Arial" w:cs="Arial"/>
                <w:lang w:val="sr-Latn-ME"/>
              </w:rPr>
              <w:t>Predloženi zakon o pokrivenim obveznicama pruža odgovore na ključne probleme u crnogorskom finansijskom sistemu, omogućavajući bankama diversifikaciju izvora kapitala, poboljšanje zaštite investitora i jačanje konkurentnosti crnogorskog tržišta kapitala. Bez ovog zakona, Crna Gora bi nastavila da se suočava sa problemima u pogledu finansiranja banaka, privrede i ulaganja na tržištu kapitala.</w:t>
            </w:r>
          </w:p>
          <w:p w:rsidR="00F63B89" w:rsidRPr="00DE0F68" w:rsidRDefault="00F63B89" w:rsidP="00E76CF1">
            <w:pPr>
              <w:spacing w:after="0" w:line="240" w:lineRule="auto"/>
              <w:jc w:val="both"/>
              <w:rPr>
                <w:rFonts w:ascii="Arial" w:eastAsia="Times New Roman" w:hAnsi="Arial" w:cs="Arial"/>
                <w:lang w:val="sr-Latn-ME"/>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lastRenderedPageBreak/>
              <w:t>2. Ciljevi</w:t>
            </w:r>
          </w:p>
          <w:p w:rsidR="00F63B89" w:rsidRPr="00DE0F68" w:rsidRDefault="00F63B89" w:rsidP="00F63B89">
            <w:pPr>
              <w:numPr>
                <w:ilvl w:val="0"/>
                <w:numId w:val="1"/>
              </w:numPr>
              <w:autoSpaceDE w:val="0"/>
              <w:autoSpaceDN w:val="0"/>
              <w:adjustRightInd w:val="0"/>
              <w:spacing w:before="120" w:after="120" w:line="240" w:lineRule="auto"/>
              <w:ind w:left="450" w:hanging="180"/>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Koji ciljevi se postižu predloženim propisom?</w:t>
            </w:r>
          </w:p>
          <w:p w:rsidR="00F63B89" w:rsidRPr="00DE0F68" w:rsidRDefault="00F63B89" w:rsidP="00F63B89">
            <w:pPr>
              <w:numPr>
                <w:ilvl w:val="0"/>
                <w:numId w:val="1"/>
              </w:numPr>
              <w:autoSpaceDE w:val="0"/>
              <w:autoSpaceDN w:val="0"/>
              <w:adjustRightInd w:val="0"/>
              <w:spacing w:before="120" w:after="120" w:line="240" w:lineRule="auto"/>
              <w:ind w:left="450" w:hanging="180"/>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Navesti usklađenost ovih ciljeva sa postojećim strategijama ili programima Vlade, ako je primjenljivo.</w:t>
            </w:r>
          </w:p>
        </w:tc>
      </w:tr>
      <w:tr w:rsidR="00F63B89" w:rsidRPr="00DE0F68" w:rsidTr="00E27883">
        <w:tc>
          <w:tcPr>
            <w:tcW w:w="9576" w:type="dxa"/>
            <w:gridSpan w:val="2"/>
          </w:tcPr>
          <w:p w:rsidR="00B97114" w:rsidRPr="00DE0F68" w:rsidRDefault="00B97114" w:rsidP="00B97114">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Predloženi zakon o izdavanju pokrivenih obveznica i nadzoru nad pokrivenim obveznicama ima nekoliko ključnih ciljeva koji utiču na stabilnost i dinamiku finansijskog sistema u Crnoj Gori:</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Diversifikacija izvora finansiranja kreditnih institucija</w:t>
            </w:r>
            <w:r w:rsidRPr="00DE0F68">
              <w:rPr>
                <w:rFonts w:ascii="Arial" w:eastAsia="MS Mincho" w:hAnsi="Arial" w:cs="Arial"/>
                <w:noProof/>
                <w:lang w:val="sr-Latn-ME"/>
              </w:rPr>
              <w:t>: Predloženi zakon omogućava kreditnim institucijama, posebno manjim i srednjim bankama, da koriste pokrivene obveznice kao alternativni izvor finansiranja. Ovaj korak doprinosi smanjenju zavisnosti od tradicionalnih izvora kapitala kao što su depoziti i interbankno pozajmljivanje, čime se stabilizuje finansijsko tržište.</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Povećanje likvidnosti i stabilnosti finansijskog sistema</w:t>
            </w:r>
            <w:r w:rsidRPr="00DE0F68">
              <w:rPr>
                <w:rFonts w:ascii="Arial" w:eastAsia="MS Mincho" w:hAnsi="Arial" w:cs="Arial"/>
                <w:noProof/>
                <w:lang w:val="sr-Latn-ME"/>
              </w:rPr>
              <w:t>: Zakon omogućava uvođenje novih finansijskih instrumenata koji mogu privući domaće i strane investitore. Uvođenjem pokrivenih obveznica, tržište kapitala postaje likvidnije, jer će biti veći broj investicija i mogućnosti za plasman kapitala. Ovo doprinosi povećanju finansijske stabilnosti i smanjuje volatilnost na tržištu.</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Zaštita investitora i očuvanje njihovih prava</w:t>
            </w:r>
            <w:r w:rsidRPr="00DE0F68">
              <w:rPr>
                <w:rFonts w:ascii="Arial" w:eastAsia="MS Mincho" w:hAnsi="Arial" w:cs="Arial"/>
                <w:noProof/>
                <w:lang w:val="sr-Latn-ME"/>
              </w:rPr>
              <w:t>: Predloženi zakon postavlja jasne okvire za zaštitu investitora kroz zakonske garancije koje osiguravaju da imovina koja služi kao pokriće za obveznice bude odvojena i zaštićena od drugih obaveza kreditnih institucija. Ovaj mehanizam daje investitorima veće povjerenje, smanjujući rizik gubitka u slučaju likvidacije ili stečaja.</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Podsticanje konkurencije na tržištu kapitala</w:t>
            </w:r>
            <w:r w:rsidRPr="00DE0F68">
              <w:rPr>
                <w:rFonts w:ascii="Arial" w:eastAsia="MS Mincho" w:hAnsi="Arial" w:cs="Arial"/>
                <w:noProof/>
                <w:lang w:val="sr-Latn-ME"/>
              </w:rPr>
              <w:t>: Zakon omogućava malim kreditnim institucijama da udruže sredstva i izdaju zajedničke pokrivene obveznice. Ovaj korak omogućava manjim bankama da smanje početne troškove povezane sa izdavanjem pokrivenih obveznica, čime se stvara veća konkurencija i otvaraju nove prilike za razvoj.</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Usklađivanje sa međunarodnim standardima i olakšavanje pristupa stranim investitorima</w:t>
            </w:r>
            <w:r w:rsidRPr="00DE0F68">
              <w:rPr>
                <w:rFonts w:ascii="Arial" w:eastAsia="MS Mincho" w:hAnsi="Arial" w:cs="Arial"/>
                <w:noProof/>
                <w:lang w:val="sr-Latn-ME"/>
              </w:rPr>
              <w:t>: Zakon je usklađen sa međunarodnim standardima koji se primenjuju u EU i drugih razvijenim tržištima kapitala. Ovim se omogućava Crnoj Gori da bude konkurentnija na međunarodnom tržištu, privuče strane investicije i postane atraktivniji finansijski centar.</w:t>
            </w:r>
          </w:p>
          <w:p w:rsidR="00B97114" w:rsidRPr="00DE0F68" w:rsidRDefault="00B97114" w:rsidP="00B97114">
            <w:pPr>
              <w:numPr>
                <w:ilvl w:val="0"/>
                <w:numId w:val="13"/>
              </w:numPr>
              <w:spacing w:after="0" w:line="240" w:lineRule="auto"/>
              <w:jc w:val="both"/>
              <w:rPr>
                <w:rFonts w:ascii="Arial" w:eastAsia="MS Mincho" w:hAnsi="Arial" w:cs="Arial"/>
                <w:noProof/>
                <w:lang w:val="sr-Latn-ME"/>
              </w:rPr>
            </w:pPr>
            <w:r w:rsidRPr="00DE0F68">
              <w:rPr>
                <w:rFonts w:ascii="Arial" w:eastAsia="MS Mincho" w:hAnsi="Arial" w:cs="Arial"/>
                <w:b/>
                <w:bCs/>
                <w:noProof/>
                <w:lang w:val="sr-Latn-ME"/>
              </w:rPr>
              <w:t>Povećanje mogućnosti za dugoročno finansiranje privrede</w:t>
            </w:r>
            <w:r w:rsidRPr="00DE0F68">
              <w:rPr>
                <w:rFonts w:ascii="Arial" w:eastAsia="MS Mincho" w:hAnsi="Arial" w:cs="Arial"/>
                <w:noProof/>
                <w:lang w:val="sr-Latn-ME"/>
              </w:rPr>
              <w:t xml:space="preserve">: Pokrivene obveznice omogućavaju bolje uslove za dugoročno kreditiranje, što je od ključnog značaja za </w:t>
            </w:r>
            <w:r w:rsidRPr="00DE0F68">
              <w:rPr>
                <w:rFonts w:ascii="Arial" w:eastAsia="MS Mincho" w:hAnsi="Arial" w:cs="Arial"/>
                <w:noProof/>
                <w:lang w:val="sr-Latn-ME"/>
              </w:rPr>
              <w:lastRenderedPageBreak/>
              <w:t>privredu, posebno za projekte koji zahtevaju dugoročno finansiranje. Ovaj zakon doprinosi ekonomskom razvoju kroz lakši pristup kapitalu za preduzeća, naročito za sektore koji teže dugoročnim ulaganjima, kao što su infrastrukturni projekti.</w:t>
            </w:r>
          </w:p>
          <w:p w:rsidR="00B97114" w:rsidRPr="00DE0F68" w:rsidRDefault="00B97114" w:rsidP="00552C20">
            <w:pPr>
              <w:spacing w:after="0" w:line="240" w:lineRule="auto"/>
              <w:jc w:val="both"/>
              <w:rPr>
                <w:rFonts w:ascii="Arial" w:eastAsia="MS Mincho" w:hAnsi="Arial" w:cs="Arial"/>
                <w:b/>
                <w:bCs/>
                <w:noProof/>
                <w:lang w:val="sr-Latn-ME"/>
              </w:rPr>
            </w:pPr>
          </w:p>
          <w:p w:rsidR="00B97114" w:rsidRPr="00DE0F68" w:rsidRDefault="00B97114" w:rsidP="00552C20">
            <w:pPr>
              <w:spacing w:after="0" w:line="240" w:lineRule="auto"/>
              <w:jc w:val="both"/>
              <w:rPr>
                <w:rFonts w:ascii="Arial" w:eastAsia="MS Mincho" w:hAnsi="Arial" w:cs="Arial"/>
                <w:b/>
                <w:bCs/>
                <w:noProof/>
                <w:lang w:val="sr-Latn-ME"/>
              </w:rPr>
            </w:pPr>
            <w:r w:rsidRPr="00DE0F68">
              <w:rPr>
                <w:rFonts w:ascii="Arial" w:eastAsia="MS Mincho" w:hAnsi="Arial" w:cs="Arial"/>
                <w:b/>
                <w:bCs/>
                <w:noProof/>
                <w:lang w:val="sr-Latn-ME"/>
              </w:rPr>
              <w:t>Strateški okvir za razvoj finansijskog sektora Crne Gore</w:t>
            </w:r>
          </w:p>
          <w:p w:rsidR="00B97114" w:rsidRPr="00DE0F68" w:rsidRDefault="00B97114" w:rsidP="00552C20">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Ovaj zakon direktno doprinosi ciljevima Vlade da modernizuje i ojača finansijski sektor. Diversifikacija izvora finansiranja kroz uvođenje pokrivenih obveznica usklađuje se sa ciljem unapređenja tržišta kapitala i razvijanja novih finansijskih instrumenata, čime se stvara stabilniji, otporniji finansijski sektor.</w:t>
            </w:r>
          </w:p>
          <w:p w:rsidR="00B97114" w:rsidRPr="00DE0F68" w:rsidRDefault="00B97114" w:rsidP="00552C20">
            <w:pPr>
              <w:spacing w:after="0" w:line="240" w:lineRule="auto"/>
              <w:jc w:val="both"/>
              <w:rPr>
                <w:rFonts w:ascii="Arial" w:eastAsia="MS Mincho" w:hAnsi="Arial" w:cs="Arial"/>
                <w:b/>
                <w:bCs/>
                <w:noProof/>
                <w:lang w:val="sr-Latn-ME"/>
              </w:rPr>
            </w:pPr>
            <w:r w:rsidRPr="00DE0F68">
              <w:rPr>
                <w:rFonts w:ascii="Arial" w:eastAsia="MS Mincho" w:hAnsi="Arial" w:cs="Arial"/>
                <w:b/>
                <w:bCs/>
                <w:noProof/>
                <w:lang w:val="sr-Latn-ME"/>
              </w:rPr>
              <w:t>Nacionalni plan za ekonomski oporavak i razvoj</w:t>
            </w:r>
          </w:p>
          <w:p w:rsidR="00B97114" w:rsidRPr="00DE0F68" w:rsidRDefault="00B97114" w:rsidP="00552C20">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Kao dio plana za ekonomski oporavak, zakon omogućava veću dostupnost kapitala za privredu, čime se podstiče rast i razvoj malih i srednjih preduzeća (MSP). Ovaj zakon takođe doprinosi smanjenju ekonomskih disbalansa, jer omogućava brži oporavak sektora koji su najviše pogođeni krizama, poput građevinskog sektora, i olakšava pristup kapitalu za preduzetnike.</w:t>
            </w:r>
          </w:p>
          <w:p w:rsidR="00B97114" w:rsidRPr="00DE0F68" w:rsidRDefault="00B97114" w:rsidP="00552C20">
            <w:pPr>
              <w:spacing w:after="0" w:line="240" w:lineRule="auto"/>
              <w:jc w:val="both"/>
              <w:rPr>
                <w:rFonts w:ascii="Arial" w:eastAsia="MS Mincho" w:hAnsi="Arial" w:cs="Arial"/>
                <w:b/>
                <w:bCs/>
                <w:noProof/>
                <w:lang w:val="sr-Latn-ME"/>
              </w:rPr>
            </w:pPr>
            <w:r w:rsidRPr="00DE0F68">
              <w:rPr>
                <w:rFonts w:ascii="Arial" w:eastAsia="MS Mincho" w:hAnsi="Arial" w:cs="Arial"/>
                <w:b/>
                <w:bCs/>
                <w:noProof/>
                <w:lang w:val="sr-Latn-ME"/>
              </w:rPr>
              <w:t>Strategija za integraciju u Evropsku uniju (EU)</w:t>
            </w:r>
          </w:p>
          <w:p w:rsidR="00B97114" w:rsidRPr="00DE0F68" w:rsidRDefault="00B97114" w:rsidP="00552C20">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Predloženi zakon u potpunosti usklađuje crnogorsko zakonodavstvo sa standardima EU u oblasti tržišta kapitala. Ovim zakonom Crna Gora pokazuje opredeljenje za jačanje svoje finansijske infrastrukture i omogućavanje ravnopravnog učešća na evropskom tržištu kapitala, što je ključno za buduće pregovore o pristupanju EU.</w:t>
            </w:r>
          </w:p>
          <w:p w:rsidR="00B97114" w:rsidRPr="00DE0F68" w:rsidRDefault="00B97114" w:rsidP="00552C20">
            <w:pPr>
              <w:spacing w:after="0" w:line="240" w:lineRule="auto"/>
              <w:jc w:val="both"/>
              <w:rPr>
                <w:rFonts w:ascii="Arial" w:eastAsia="MS Mincho" w:hAnsi="Arial" w:cs="Arial"/>
                <w:b/>
                <w:bCs/>
                <w:noProof/>
                <w:lang w:val="sr-Latn-ME"/>
              </w:rPr>
            </w:pPr>
            <w:r w:rsidRPr="00DE0F68">
              <w:rPr>
                <w:rFonts w:ascii="Arial" w:eastAsia="MS Mincho" w:hAnsi="Arial" w:cs="Arial"/>
                <w:b/>
                <w:bCs/>
                <w:noProof/>
                <w:lang w:val="sr-Latn-ME"/>
              </w:rPr>
              <w:t>Strategija za podršku malim i srednjim preduzećima</w:t>
            </w:r>
          </w:p>
          <w:p w:rsidR="00B97114" w:rsidRPr="00DE0F68" w:rsidRDefault="00B97114" w:rsidP="00552C20">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Ovaj zakon usklađen je sa ciljevima Vlade za podršku MSP-u, jer pruža bolje mogućnosti za pristup finansijskim sredstvima. Pokrivene obveznice mogu biti izvor dugoročnog finansiranja koji će omogućiti MSP-ima da se lakše pozabave dugoročnim investicijama i širenjem poslovanja, čime se direktno podstiče njihov rast i konkurentnost.</w:t>
            </w:r>
          </w:p>
          <w:p w:rsidR="00B97114" w:rsidRPr="00DE0F68" w:rsidRDefault="00B97114" w:rsidP="00552C20">
            <w:pPr>
              <w:spacing w:after="0" w:line="240" w:lineRule="auto"/>
              <w:jc w:val="both"/>
              <w:rPr>
                <w:rFonts w:ascii="Arial" w:eastAsia="MS Mincho" w:hAnsi="Arial" w:cs="Arial"/>
                <w:b/>
                <w:bCs/>
                <w:noProof/>
                <w:lang w:val="sr-Latn-ME"/>
              </w:rPr>
            </w:pPr>
            <w:r w:rsidRPr="00DE0F68">
              <w:rPr>
                <w:rFonts w:ascii="Arial" w:eastAsia="MS Mincho" w:hAnsi="Arial" w:cs="Arial"/>
                <w:b/>
                <w:bCs/>
                <w:noProof/>
                <w:lang w:val="sr-Latn-ME"/>
              </w:rPr>
              <w:t>Plan za digitalizaciju i modernizaciju finansijskog sektora</w:t>
            </w:r>
          </w:p>
          <w:p w:rsidR="00B97114" w:rsidRPr="00DE0F68" w:rsidRDefault="00B97114" w:rsidP="00552C20">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Predloženi zakon je usklađen sa strateškim ciljem modernizacije finansijskog sektora, jer omogućava primjenu novih tehnologija u izdavanju i praćenju pokrivenih obveznica. Kroz digitalizaciju procesa i veće integracije sa međunarodnim tržištima, Crna Gora može postati konkurentnija u globalnom kontekstu.</w:t>
            </w:r>
          </w:p>
          <w:p w:rsidR="00B97114" w:rsidRPr="00DE0F68" w:rsidRDefault="00B97114" w:rsidP="00B97114">
            <w:pPr>
              <w:spacing w:after="0" w:line="240" w:lineRule="auto"/>
              <w:jc w:val="both"/>
              <w:rPr>
                <w:rFonts w:ascii="Arial" w:eastAsia="MS Mincho" w:hAnsi="Arial" w:cs="Arial"/>
                <w:noProof/>
                <w:lang w:val="sr-Latn-ME"/>
              </w:rPr>
            </w:pPr>
          </w:p>
          <w:p w:rsidR="00B97114" w:rsidRPr="00DE0F68" w:rsidRDefault="00B97114" w:rsidP="00B97114">
            <w:pPr>
              <w:spacing w:after="0" w:line="240" w:lineRule="auto"/>
              <w:jc w:val="both"/>
              <w:rPr>
                <w:rFonts w:ascii="Arial" w:eastAsia="MS Mincho" w:hAnsi="Arial" w:cs="Arial"/>
                <w:noProof/>
                <w:lang w:val="sr-Latn-ME"/>
              </w:rPr>
            </w:pPr>
            <w:r w:rsidRPr="00DE0F68">
              <w:rPr>
                <w:rFonts w:ascii="Arial" w:eastAsia="MS Mincho" w:hAnsi="Arial" w:cs="Arial"/>
                <w:noProof/>
                <w:lang w:val="sr-Latn-ME"/>
              </w:rPr>
              <w:t>Predloženi zakon o izdavanju pokrivenih obveznica ima jasan strateški cilj da unapredi finansijski sektor, stabilizuje tržište kapitala, poboljša likvidnost i omogući bolji pristup kapitalu za preduzeća, posebno mala i srednja. Usklađenost sa postojećim strategijama Vlade, kao i njegov doprinos ciljevima ekonomskog rasta, konkurentnosti, kao i integraciji u EU, čini ovaj zakon ključnim za dugoročnu stabilnost i razvoj Crne Gore.</w:t>
            </w:r>
          </w:p>
          <w:p w:rsidR="004A5AAF" w:rsidRPr="00DE0F68" w:rsidRDefault="004A5AAF" w:rsidP="00E973DA">
            <w:pPr>
              <w:numPr>
                <w:ilvl w:val="0"/>
                <w:numId w:val="3"/>
              </w:numPr>
              <w:spacing w:after="0" w:line="240" w:lineRule="auto"/>
              <w:jc w:val="both"/>
              <w:rPr>
                <w:rFonts w:ascii="Arial" w:eastAsia="MS Mincho" w:hAnsi="Arial" w:cs="Arial"/>
                <w:noProof/>
                <w:lang w:val="sr-Latn-ME"/>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before="120" w:after="12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3. Opcije</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Koje su moguće opcije za ispunjavanje ciljeva i rješavanje problema? (uvijek treba razmatrati “status quo” opciju i preporučljivo je uključiti i neregulatornu opciju, osim ako postoji obaveza donošenja predloženog propisa).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Obrazložiti preferiranu opciju?</w:t>
            </w:r>
          </w:p>
        </w:tc>
      </w:tr>
      <w:tr w:rsidR="00F63B89" w:rsidRPr="00DE0F68" w:rsidTr="00E27883">
        <w:tc>
          <w:tcPr>
            <w:tcW w:w="9576" w:type="dxa"/>
            <w:gridSpan w:val="2"/>
          </w:tcPr>
          <w:p w:rsidR="00F63B89" w:rsidRPr="00DE0F68" w:rsidRDefault="00F63B89" w:rsidP="00F63B89">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
                <w:bCs/>
                <w:lang w:val="sr-Latn-ME" w:eastAsia="en-GB"/>
              </w:rPr>
              <w:t>Status quo opcija</w:t>
            </w:r>
            <w:r w:rsidRPr="00DE0F68">
              <w:rPr>
                <w:rFonts w:ascii="Arial" w:eastAsia="Times New Roman" w:hAnsi="Arial" w:cs="Arial"/>
                <w:bCs/>
                <w:lang w:val="sr-Latn-ME" w:eastAsia="en-GB"/>
              </w:rPr>
              <w:t xml:space="preserve"> podrazumijeva održavanje trenutnog zakonskog okvira bez donošenja specifičnog zakona o izdavanju pokrivenih obveznica. U ovom slučaju, tržište kapitala u Crnoj Gori i dalje ne bi imao definisan pravni okvir za izdavanje ovog tipa finansijskog instrumenta. Posl</w:t>
            </w:r>
            <w:r w:rsidR="009307FF" w:rsidRPr="00DE0F68">
              <w:rPr>
                <w:rFonts w:ascii="Arial" w:eastAsia="Times New Roman" w:hAnsi="Arial" w:cs="Arial"/>
                <w:bCs/>
                <w:lang w:val="sr-Latn-ME" w:eastAsia="en-GB"/>
              </w:rPr>
              <w:t>j</w:t>
            </w:r>
            <w:r w:rsidRPr="00DE0F68">
              <w:rPr>
                <w:rFonts w:ascii="Arial" w:eastAsia="Times New Roman" w:hAnsi="Arial" w:cs="Arial"/>
                <w:bCs/>
                <w:lang w:val="sr-Latn-ME" w:eastAsia="en-GB"/>
              </w:rPr>
              <w:t>edice ove opcije uključuju:</w:t>
            </w:r>
          </w:p>
          <w:p w:rsidR="006F0D24" w:rsidRPr="00DE0F68" w:rsidRDefault="006F0D24" w:rsidP="00552C20">
            <w:pPr>
              <w:pStyle w:val="ListParagraph"/>
              <w:numPr>
                <w:ilvl w:val="0"/>
                <w:numId w:val="9"/>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 xml:space="preserve">Nedostatak specifične regulative: Kreditne institucije ne bi imale pravnu osnovu za izdavanje pokrivenih obveznica, što bi onemogućilo korišćenje ovog finansijskog </w:t>
            </w:r>
            <w:r w:rsidRPr="00DE0F68">
              <w:rPr>
                <w:rFonts w:ascii="Arial" w:eastAsia="Times New Roman" w:hAnsi="Arial" w:cs="Arial"/>
                <w:bCs/>
                <w:lang w:val="sr-Latn-ME" w:eastAsia="en-GB"/>
              </w:rPr>
              <w:lastRenderedPageBreak/>
              <w:t>instrumenta kao opcije za dugoročno finansiranje. To bi moglo negativno uticati na dostupnost kapitala za banke, posebno za manje kreditne institucije koje se suočavaju s izazovima prikupljanja kapitala.</w:t>
            </w:r>
          </w:p>
          <w:p w:rsidR="006F0D24" w:rsidRPr="00DE0F68" w:rsidRDefault="006F0D24" w:rsidP="00552C20">
            <w:pPr>
              <w:pStyle w:val="ListParagraph"/>
              <w:numPr>
                <w:ilvl w:val="0"/>
                <w:numId w:val="9"/>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Ograničena konkurencija i inovacije: Bez zakonskog okvira za pokrivene obveznice, tržište kapitala bi bilo usmjereno samo na tradicionalne oblike finansiranja, što bi smanjilo konkurenciju i inovacije u sektoru finansijskih instrumenata.</w:t>
            </w:r>
          </w:p>
          <w:p w:rsidR="006F0D24" w:rsidRPr="00DE0F68" w:rsidRDefault="006F0D24" w:rsidP="00552C20">
            <w:pPr>
              <w:pStyle w:val="ListParagraph"/>
              <w:numPr>
                <w:ilvl w:val="0"/>
                <w:numId w:val="9"/>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Povećana nesigurnost za investitore: Nedostatak zakonske regulative mogao bi povećati nesigurnost među investitorima, koji bi tražili sigurnost i pravnu zaštitu za svoja ulaganja. To bi moglo smanjiti atraktivnost crnogorskog tržišta kapitala za strane i domaće investitore.</w:t>
            </w:r>
          </w:p>
          <w:p w:rsidR="009307FF" w:rsidRPr="00DE0F68" w:rsidRDefault="009307FF" w:rsidP="006F0D24">
            <w:pPr>
              <w:autoSpaceDE w:val="0"/>
              <w:autoSpaceDN w:val="0"/>
              <w:adjustRightInd w:val="0"/>
              <w:spacing w:after="0" w:line="240" w:lineRule="auto"/>
              <w:jc w:val="both"/>
              <w:rPr>
                <w:rFonts w:ascii="Arial" w:eastAsia="Times New Roman" w:hAnsi="Arial" w:cs="Arial"/>
                <w:bCs/>
                <w:lang w:val="sr-Latn-ME" w:eastAsia="en-GB"/>
              </w:rPr>
            </w:pPr>
          </w:p>
          <w:p w:rsidR="009307FF"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
                <w:bCs/>
                <w:lang w:val="sr-Latn-ME" w:eastAsia="en-GB"/>
              </w:rPr>
              <w:t>Neregulatorna opcija</w:t>
            </w:r>
            <w:r w:rsidR="009307FF" w:rsidRPr="00DE0F68">
              <w:rPr>
                <w:rFonts w:ascii="Arial" w:eastAsia="Times New Roman" w:hAnsi="Arial" w:cs="Arial"/>
                <w:b/>
                <w:bCs/>
                <w:lang w:val="sr-Latn-ME" w:eastAsia="en-GB"/>
              </w:rPr>
              <w:t xml:space="preserve"> </w:t>
            </w:r>
            <w:r w:rsidRPr="00DE0F68">
              <w:rPr>
                <w:rFonts w:ascii="Arial" w:eastAsia="Times New Roman" w:hAnsi="Arial" w:cs="Arial"/>
                <w:bCs/>
                <w:lang w:val="sr-Latn-ME" w:eastAsia="en-GB"/>
              </w:rPr>
              <w:t xml:space="preserve">podrazumijeva da se tržištu pokrivenih obveznica omogući razvoj bez donošenja posebnog zakona, tj. da se prepušta tržištu da samostalno razvije prakse i mehanizme za izdavanje pokrivenih obveznica. </w:t>
            </w:r>
          </w:p>
          <w:p w:rsidR="009307FF" w:rsidRPr="00DE0F68" w:rsidRDefault="009307FF"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Glavni aspekti ove opcije uključuju:</w:t>
            </w:r>
          </w:p>
          <w:p w:rsidR="006F0D24" w:rsidRPr="00DE0F68" w:rsidRDefault="006F0D24" w:rsidP="00552C20">
            <w:pPr>
              <w:pStyle w:val="ListParagraph"/>
              <w:numPr>
                <w:ilvl w:val="0"/>
                <w:numId w:val="10"/>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Fleksibilnost, ali i nesigurnost: Iako bi tržište bilo fleksibilno u pogledu uslova za izdavanje pokrivenih obveznica, ova opcija nosi značajne rizike jer bi se mogla dogoditi neusklađenost sa međunarodnim praksama i standardima, što bi smanjilo pov</w:t>
            </w:r>
            <w:r w:rsidR="009307FF" w:rsidRPr="00DE0F68">
              <w:rPr>
                <w:rFonts w:ascii="Arial" w:eastAsia="Times New Roman" w:hAnsi="Arial" w:cs="Arial"/>
                <w:bCs/>
                <w:lang w:val="sr-Latn-ME" w:eastAsia="en-GB"/>
              </w:rPr>
              <w:t>j</w:t>
            </w:r>
            <w:r w:rsidRPr="00DE0F68">
              <w:rPr>
                <w:rFonts w:ascii="Arial" w:eastAsia="Times New Roman" w:hAnsi="Arial" w:cs="Arial"/>
                <w:bCs/>
                <w:lang w:val="sr-Latn-ME" w:eastAsia="en-GB"/>
              </w:rPr>
              <w:t>erenje investitora.</w:t>
            </w:r>
          </w:p>
          <w:p w:rsidR="006F0D24" w:rsidRPr="00DE0F68" w:rsidRDefault="006F0D24" w:rsidP="00552C20">
            <w:pPr>
              <w:pStyle w:val="ListParagraph"/>
              <w:numPr>
                <w:ilvl w:val="0"/>
                <w:numId w:val="10"/>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Nedostatak zaštite za investitore: Bez regulacije, investitori bi bili izloženi većem riziku jer ne bi imali pravnu zaštitu u slučaju stečaja ili likvidacije izdavaoca. Osim toga, tržište bi bilo izloženo većim rizicima od nestabilnosti, jer bi moglo doći do nesigurnosti u vezi sa kvalitetom imovine koja služi kao pokriće.</w:t>
            </w:r>
          </w:p>
          <w:p w:rsidR="006F0D24" w:rsidRPr="00DE0F68" w:rsidRDefault="006F0D24" w:rsidP="00552C20">
            <w:pPr>
              <w:pStyle w:val="ListParagraph"/>
              <w:numPr>
                <w:ilvl w:val="0"/>
                <w:numId w:val="10"/>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Loša povezanost sa međunarodnim tržištima: Neregulatorni pristup bi mogao omesti integraciju crnogorskog tržišta kapitala sa širim međunarodnim tržištima, jer investitori često traže jasno definisane i standardizovane regulative kada ulažu u finan</w:t>
            </w:r>
            <w:r w:rsidR="009307FF" w:rsidRPr="00DE0F68">
              <w:rPr>
                <w:rFonts w:ascii="Arial" w:eastAsia="Times New Roman" w:hAnsi="Arial" w:cs="Arial"/>
                <w:bCs/>
                <w:lang w:val="sr-Latn-ME" w:eastAsia="en-GB"/>
              </w:rPr>
              <w:t>s</w:t>
            </w:r>
            <w:r w:rsidRPr="00DE0F68">
              <w:rPr>
                <w:rFonts w:ascii="Arial" w:eastAsia="Times New Roman" w:hAnsi="Arial" w:cs="Arial"/>
                <w:bCs/>
                <w:lang w:val="sr-Latn-ME" w:eastAsia="en-GB"/>
              </w:rPr>
              <w:t>ijske instrumente.</w:t>
            </w:r>
          </w:p>
          <w:p w:rsidR="009307FF" w:rsidRPr="00DE0F68" w:rsidRDefault="009307FF" w:rsidP="006F0D24">
            <w:pPr>
              <w:autoSpaceDE w:val="0"/>
              <w:autoSpaceDN w:val="0"/>
              <w:adjustRightInd w:val="0"/>
              <w:spacing w:after="0" w:line="240" w:lineRule="auto"/>
              <w:jc w:val="both"/>
              <w:rPr>
                <w:rFonts w:ascii="Arial" w:eastAsia="Times New Roman" w:hAnsi="Arial" w:cs="Arial"/>
                <w:bCs/>
                <w:lang w:val="sr-Latn-ME" w:eastAsia="en-GB"/>
              </w:rPr>
            </w:pPr>
          </w:p>
          <w:p w:rsidR="009307FF"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
                <w:bCs/>
                <w:lang w:val="sr-Latn-ME" w:eastAsia="en-GB"/>
              </w:rPr>
              <w:t>Regulatorna opcija (predloženi zakon)</w:t>
            </w:r>
            <w:r w:rsidRPr="00DE0F68">
              <w:rPr>
                <w:rFonts w:ascii="Arial" w:eastAsia="Times New Roman" w:hAnsi="Arial" w:cs="Arial"/>
                <w:bCs/>
                <w:lang w:val="sr-Latn-ME" w:eastAsia="en-GB"/>
              </w:rPr>
              <w:t xml:space="preserve"> uključuje donošenje zakona koji bi omogućio izdavanje pokrivenih obveznica u Crnoj Gori uz jasno definisan regulatorni okvir. Ovaj zakon uključ</w:t>
            </w:r>
            <w:r w:rsidR="009307FF" w:rsidRPr="00DE0F68">
              <w:rPr>
                <w:rFonts w:ascii="Arial" w:eastAsia="Times New Roman" w:hAnsi="Arial" w:cs="Arial"/>
                <w:bCs/>
                <w:lang w:val="sr-Latn-ME" w:eastAsia="en-GB"/>
              </w:rPr>
              <w:t>uje</w:t>
            </w:r>
            <w:r w:rsidRPr="00DE0F68">
              <w:rPr>
                <w:rFonts w:ascii="Arial" w:eastAsia="Times New Roman" w:hAnsi="Arial" w:cs="Arial"/>
                <w:bCs/>
                <w:lang w:val="sr-Latn-ME" w:eastAsia="en-GB"/>
              </w:rPr>
              <w:t xml:space="preserve"> odredbe o vrsti imovine koja se koristi kao pokriće, procedurama za izdavanje obveznica, nadzoru i zaštiti investitora. </w:t>
            </w:r>
          </w:p>
          <w:p w:rsidR="009307FF" w:rsidRPr="00DE0F68" w:rsidRDefault="009307FF"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Prednosti ove opcije uključuju:</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1"/>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Povećanje stabilnosti tržišta kapitala: Donošenje zakona o izdavanju pokrivenih obveznica omogućilo bi stabilnost i pouzdanost crnogorskog tržišta kapitala. Ovo bi povećalo pov</w:t>
            </w:r>
            <w:r w:rsidR="009307FF" w:rsidRPr="00DE0F68">
              <w:rPr>
                <w:rFonts w:ascii="Arial" w:eastAsia="Times New Roman" w:hAnsi="Arial" w:cs="Arial"/>
                <w:bCs/>
                <w:lang w:val="sr-Latn-ME" w:eastAsia="en-GB"/>
              </w:rPr>
              <w:t>j</w:t>
            </w:r>
            <w:r w:rsidRPr="00DE0F68">
              <w:rPr>
                <w:rFonts w:ascii="Arial" w:eastAsia="Times New Roman" w:hAnsi="Arial" w:cs="Arial"/>
                <w:bCs/>
                <w:lang w:val="sr-Latn-ME" w:eastAsia="en-GB"/>
              </w:rPr>
              <w:t>erenje investitora, kako domaćih, tako i stranih, koji bi znali da je instrument pokriven obveznicama regulisan, a njihova ulaganja zaštićena zakonom.</w:t>
            </w:r>
          </w:p>
          <w:p w:rsidR="006F0D24" w:rsidRPr="00DE0F68" w:rsidRDefault="006F0D24" w:rsidP="00552C20">
            <w:pPr>
              <w:pStyle w:val="ListParagraph"/>
              <w:numPr>
                <w:ilvl w:val="0"/>
                <w:numId w:val="11"/>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Širenje opcija za finansiranje: Kreditne institucije bi mogle koristiti pokrivene obveznice kao alternativu tradicionalnim izvorima finansiranja, što bi im omogućilo bolji pristup kapitalu, posebno u situacijama kada im je potreban dugoročan kapital za stabilizaciju i širenje poslovanja. Ovo je posebno važno za manje kreditne institucije koje često nemaju dovoljno sredstava za veće projekte.</w:t>
            </w:r>
          </w:p>
          <w:p w:rsidR="006F0D24" w:rsidRPr="00DE0F68" w:rsidRDefault="006F0D24" w:rsidP="00552C20">
            <w:pPr>
              <w:pStyle w:val="ListParagraph"/>
              <w:numPr>
                <w:ilvl w:val="0"/>
                <w:numId w:val="11"/>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Povećanje konkurencije i smanjenje troškova: Novi instrumenti finansiranja povećavaju konkurenciju među bankama i drugim finansijskim institucijama, što može dovesti do smanjenja kamata na kredite i povoljnijih u</w:t>
            </w:r>
            <w:r w:rsidR="009307FF" w:rsidRPr="00DE0F68">
              <w:rPr>
                <w:rFonts w:ascii="Arial" w:eastAsia="Times New Roman" w:hAnsi="Arial" w:cs="Arial"/>
                <w:bCs/>
                <w:lang w:val="sr-Latn-ME" w:eastAsia="en-GB"/>
              </w:rPr>
              <w:t>slova</w:t>
            </w:r>
            <w:r w:rsidRPr="00DE0F68">
              <w:rPr>
                <w:rFonts w:ascii="Arial" w:eastAsia="Times New Roman" w:hAnsi="Arial" w:cs="Arial"/>
                <w:bCs/>
                <w:lang w:val="sr-Latn-ME" w:eastAsia="en-GB"/>
              </w:rPr>
              <w:t xml:space="preserve"> za krajnje korisnike, uključujući mala i srednja preduzeća.</w:t>
            </w:r>
          </w:p>
          <w:p w:rsidR="006F0D24" w:rsidRPr="00DE0F68" w:rsidRDefault="006F0D24" w:rsidP="00552C20">
            <w:pPr>
              <w:pStyle w:val="ListParagraph"/>
              <w:numPr>
                <w:ilvl w:val="0"/>
                <w:numId w:val="11"/>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 xml:space="preserve">Zaštita investitora i međunarodne standarde: Zakon bi definisao jasne standarde o tome koja imovina može služiti kao pokriće i u kojem okviru se mogu izdavati pokrivene </w:t>
            </w:r>
            <w:r w:rsidRPr="00DE0F68">
              <w:rPr>
                <w:rFonts w:ascii="Arial" w:eastAsia="Times New Roman" w:hAnsi="Arial" w:cs="Arial"/>
                <w:bCs/>
                <w:lang w:val="sr-Latn-ME" w:eastAsia="en-GB"/>
              </w:rPr>
              <w:lastRenderedPageBreak/>
              <w:t>obveznice. Takođe bi uključivao zaštitu interesa investitora, jer bi imovina koja služi kao pokriće bila zakonski odvojena od ostatka imovine kreditnih institucija, čime bi se osigurala prioritetna zaštita u slučaju stečaja ili likvidacije.</w:t>
            </w:r>
          </w:p>
          <w:p w:rsidR="009307FF" w:rsidRPr="00DE0F68" w:rsidRDefault="009307FF"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
                <w:bCs/>
                <w:lang w:val="sr-Latn-ME" w:eastAsia="en-GB"/>
              </w:rPr>
              <w:t>Preferirana opcija je regulatorna opcija</w:t>
            </w:r>
            <w:r w:rsidRPr="00DE0F68">
              <w:rPr>
                <w:rFonts w:ascii="Arial" w:eastAsia="Times New Roman" w:hAnsi="Arial" w:cs="Arial"/>
                <w:bCs/>
                <w:lang w:val="sr-Latn-ME" w:eastAsia="en-GB"/>
              </w:rPr>
              <w:t xml:space="preserve"> (predloženi zakon), iz nekoliko ključnih razloga:</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2"/>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Stabilnost i pravna sigurnost: Donošenje zakona o pokrivenim obveznicama pruža neophodnu pravnu sigurnost za investitore, kreditne institucije i korisnike finansijskih usluga. Ovaj zakon bi obezbijedio jasnu i stabilnu pravnu osnovu koja je u skladu sa međunarodnim standardima i praksama, čime bi se povećalo povjerenje na tržištu.</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2"/>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Razvoj tržišta kapitala: Uvođenjem pokrivenih obveznica kao novog instrumenta finansiranja, tržište kapitala u Crnoj Gori dobija dodatnu opciju koja bi omogućila kreditnim institucijama da diversifikuju svoje izvore finansiranja. Ovo bi dodatno stimulisalo razvoj finansijskog sektora i omogućilo lakši pristup kapitalu, što bi bilo korisno za privredu, uključujući mala i srednja preduzeća.</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2"/>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Zaštita investitora i transparentnost: Predloženi zakon daje posebnu pažnju zaštiti investitora, što je ključni faktor u povećanju privlačnosti crnogorskog tržišta kapitala. Uvođenjem jasnih regulativa o vrsti imovine koja može služiti kao pokriće, kao i o postupcima za izdavanje pokrivenih obveznica, zakon omogućava da investitori imaju sigurnost u svoje investicije, što bi povećalo broj potencijalnih ulaganja.</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2"/>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Povećanje konkurencije i smanjenje troškova za privredu: Pored toga što omogućava bolji pristup kapitalu za kreditne institucije, zakon bi mogao dovesti i do smanjenja troškova finan</w:t>
            </w:r>
            <w:r w:rsidR="009307FF" w:rsidRPr="00DE0F68">
              <w:rPr>
                <w:rFonts w:ascii="Arial" w:eastAsia="Times New Roman" w:hAnsi="Arial" w:cs="Arial"/>
                <w:bCs/>
                <w:lang w:val="sr-Latn-ME" w:eastAsia="en-GB"/>
              </w:rPr>
              <w:t>s</w:t>
            </w:r>
            <w:r w:rsidRPr="00DE0F68">
              <w:rPr>
                <w:rFonts w:ascii="Arial" w:eastAsia="Times New Roman" w:hAnsi="Arial" w:cs="Arial"/>
                <w:bCs/>
                <w:lang w:val="sr-Latn-ME" w:eastAsia="en-GB"/>
              </w:rPr>
              <w:t>iranja za privredu. Veća konkurencija na tržištu kapitala može se pren</w:t>
            </w:r>
            <w:r w:rsidR="009307FF" w:rsidRPr="00DE0F68">
              <w:rPr>
                <w:rFonts w:ascii="Arial" w:eastAsia="Times New Roman" w:hAnsi="Arial" w:cs="Arial"/>
                <w:bCs/>
                <w:lang w:val="sr-Latn-ME" w:eastAsia="en-GB"/>
              </w:rPr>
              <w:t>ij</w:t>
            </w:r>
            <w:r w:rsidRPr="00DE0F68">
              <w:rPr>
                <w:rFonts w:ascii="Arial" w:eastAsia="Times New Roman" w:hAnsi="Arial" w:cs="Arial"/>
                <w:bCs/>
                <w:lang w:val="sr-Latn-ME" w:eastAsia="en-GB"/>
              </w:rPr>
              <w:t>eti na niže kamate na kredite za preduzetnike i krajnje korisnike, što je od velike koristi za male i srednje preduzetnike.</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6F0D24" w:rsidRPr="00DE0F68" w:rsidRDefault="006F0D24" w:rsidP="00552C20">
            <w:pPr>
              <w:pStyle w:val="ListParagraph"/>
              <w:numPr>
                <w:ilvl w:val="0"/>
                <w:numId w:val="12"/>
              </w:num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Sinergija između regulatora: Zakon predviđa blisku saradnju između Komisije za tržište kapitala i Centralne banke Crne Gore, što omogućava efikasan nadzor i kontrolu tržišta pokrivenih obveznica. Ova koordinacija doprinosi stabilnosti finansijskog sistema i smanjuje rizik od zloupotreba.</w:t>
            </w:r>
          </w:p>
          <w:p w:rsidR="006F0D24" w:rsidRPr="00DE0F68" w:rsidRDefault="006F0D24" w:rsidP="006F0D24">
            <w:pPr>
              <w:autoSpaceDE w:val="0"/>
              <w:autoSpaceDN w:val="0"/>
              <w:adjustRightInd w:val="0"/>
              <w:spacing w:after="0" w:line="240" w:lineRule="auto"/>
              <w:jc w:val="both"/>
              <w:rPr>
                <w:rFonts w:ascii="Arial" w:eastAsia="Times New Roman" w:hAnsi="Arial" w:cs="Arial"/>
                <w:bCs/>
                <w:lang w:val="sr-Latn-ME" w:eastAsia="en-GB"/>
              </w:rPr>
            </w:pPr>
          </w:p>
          <w:p w:rsidR="009307FF" w:rsidRPr="00DE0F68" w:rsidRDefault="006F0D24" w:rsidP="002E1240">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Zaključ</w:t>
            </w:r>
            <w:r w:rsidR="009307FF" w:rsidRPr="00DE0F68">
              <w:rPr>
                <w:rFonts w:ascii="Arial" w:eastAsia="Times New Roman" w:hAnsi="Arial" w:cs="Arial"/>
                <w:bCs/>
                <w:lang w:val="sr-Latn-ME" w:eastAsia="en-GB"/>
              </w:rPr>
              <w:t>ak je da d</w:t>
            </w:r>
            <w:r w:rsidRPr="00DE0F68">
              <w:rPr>
                <w:rFonts w:ascii="Arial" w:eastAsia="Times New Roman" w:hAnsi="Arial" w:cs="Arial"/>
                <w:bCs/>
                <w:lang w:val="sr-Latn-ME" w:eastAsia="en-GB"/>
              </w:rPr>
              <w:t>onošenje zakona o izdavanju pokrivenih obveznica omogućava sigurnost, transparentnost i dugoročne koristi za tržište kapitala i širu ekonomiju Crne Gore. To je ujedno i najbolja opcija za ostvarivanje ciljeva koji se odnose na stabilnost finansijskog sektora i dostupnost kapitala.</w:t>
            </w:r>
          </w:p>
          <w:p w:rsidR="00F63B89" w:rsidRPr="00DE0F68" w:rsidRDefault="00F63B89" w:rsidP="002E1240">
            <w:pPr>
              <w:autoSpaceDE w:val="0"/>
              <w:autoSpaceDN w:val="0"/>
              <w:adjustRightInd w:val="0"/>
              <w:spacing w:after="0" w:line="240" w:lineRule="auto"/>
              <w:jc w:val="both"/>
              <w:rPr>
                <w:rFonts w:ascii="Arial" w:eastAsia="Times New Roman" w:hAnsi="Arial" w:cs="Arial"/>
                <w:bCs/>
                <w:lang w:val="sr-Latn-ME" w:eastAsia="en-GB"/>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lastRenderedPageBreak/>
              <w:t>4. Analiza uticaja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Na koga će i kako će najvjerovatnije uticati rješenja u propisu - nabrojati pozitivne i negativne uticaje, direktne i indirektne.</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Koje troškove će primjena propisa izazvati građanima i privredi (naročito malim i srednjim preduzećima).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Da li pozitivne posljedice donošenja propisa opravdavaju troškove koje će on stvoriti.</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Da li se propisom podržava stvaranje novih privrednih subjekata na tržištu i tržišna konkurencija.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Uključiti procjenu administrativnih opterećenja i biznis barijera.</w:t>
            </w:r>
          </w:p>
          <w:p w:rsidR="00F63B89" w:rsidRPr="00DE0F68" w:rsidRDefault="00F63B89" w:rsidP="00F63B89">
            <w:pPr>
              <w:autoSpaceDE w:val="0"/>
              <w:autoSpaceDN w:val="0"/>
              <w:adjustRightInd w:val="0"/>
              <w:spacing w:after="0" w:line="240" w:lineRule="auto"/>
              <w:ind w:left="720"/>
              <w:contextualSpacing/>
              <w:jc w:val="both"/>
              <w:rPr>
                <w:rFonts w:ascii="Arial" w:eastAsia="Times New Roman" w:hAnsi="Arial" w:cs="Arial"/>
                <w:b/>
                <w:lang w:val="sr-Latn-ME" w:eastAsia="en-GB"/>
              </w:rPr>
            </w:pPr>
          </w:p>
        </w:tc>
      </w:tr>
      <w:tr w:rsidR="00F63B89" w:rsidRPr="00DE0F68" w:rsidTr="00E27883">
        <w:tc>
          <w:tcPr>
            <w:tcW w:w="9576" w:type="dxa"/>
            <w:gridSpan w:val="2"/>
          </w:tcPr>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noProof/>
                <w:lang w:val="sr-Latn-ME"/>
              </w:rPr>
              <w:lastRenderedPageBreak/>
              <w:t>Propisi koji se odnose na izdavanje pokrivenih obveznica prvenstveno će uticati na kreditne institucije, investitore, kao i na same građane kroz različite kanale.</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b/>
                <w:noProof/>
                <w:lang w:val="sr-Latn-ME"/>
              </w:rPr>
            </w:pPr>
            <w:r w:rsidRPr="00DE0F68">
              <w:rPr>
                <w:rFonts w:ascii="Arial" w:eastAsia="MS Mincho" w:hAnsi="Arial" w:cs="Arial"/>
                <w:b/>
                <w:noProof/>
                <w:lang w:val="sr-Latn-ME"/>
              </w:rPr>
              <w:t>Pozitivni uticaji</w:t>
            </w:r>
          </w:p>
          <w:p w:rsidR="006F0D24" w:rsidRPr="00DE0F68" w:rsidRDefault="006F0D24" w:rsidP="00552C20">
            <w:pPr>
              <w:pStyle w:val="ListParagraph"/>
              <w:numPr>
                <w:ilvl w:val="0"/>
                <w:numId w:val="7"/>
              </w:num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Za kreditne institucije: Uvođenje pokrivenih obveznica kao novog instrumenta omogućava bankama i drugim kreditnim institucijama pristup novim izvorima finansiranja. To će omogućiti diversifikaciju njihovih izvora kapitala i olakšati pristup likvidnosti, naročito manjim institucijama koje mogu da udruže sredstva sa drugim bankama, čime se smanjuje teret visokih početnih troškova.</w:t>
            </w:r>
          </w:p>
          <w:p w:rsidR="006F0D24" w:rsidRPr="00DE0F68" w:rsidRDefault="006F0D24" w:rsidP="00552C20">
            <w:pPr>
              <w:pStyle w:val="ListParagraph"/>
              <w:numPr>
                <w:ilvl w:val="0"/>
                <w:numId w:val="7"/>
              </w:num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Za investitore: Novi investicioni instrumenti omogućavaju investitorima, naročito institucionalnim, veće mogućnosti za ulaganje u visokokvalitetne, sigurne proizvode s prioritetnim statusom u slučaju likvidacije.</w:t>
            </w:r>
          </w:p>
          <w:p w:rsidR="006F0D24" w:rsidRPr="00DE0F68" w:rsidRDefault="006F0D24" w:rsidP="00552C20">
            <w:pPr>
              <w:pStyle w:val="ListParagraph"/>
              <w:numPr>
                <w:ilvl w:val="0"/>
                <w:numId w:val="7"/>
              </w:num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Za privredu i tržište: Zakon može dovesti do jačanja tržišne konkurencije i obezbjeđenja stabilnog finansijskog sistema, što je od koristi za sve privredne subjekte, uključujući mala i srednja preduzeća koja će imati lakši pristup kreditima.</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b/>
                <w:noProof/>
                <w:lang w:val="sr-Latn-ME"/>
              </w:rPr>
            </w:pP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b/>
                <w:noProof/>
                <w:lang w:val="sr-Latn-ME"/>
              </w:rPr>
              <w:t>Negativni uticaji</w:t>
            </w:r>
          </w:p>
          <w:p w:rsidR="006F0D24" w:rsidRPr="00DE0F68" w:rsidRDefault="006F0D24" w:rsidP="00552C20">
            <w:pPr>
              <w:pStyle w:val="ListParagraph"/>
              <w:numPr>
                <w:ilvl w:val="0"/>
                <w:numId w:val="8"/>
              </w:num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Za kreditne institucije: Postoji obavezno formiranje i održavanje specijalizovane imovine koja mora da pokriva obaveze po izdatim obveznicama. To može stvoriti administrativne i operativne troškove u procesu održavanja pokrića i promjena u sastavu imovine, što može biti izazovno za manja preduzeća.</w:t>
            </w:r>
          </w:p>
          <w:p w:rsidR="006F0D24" w:rsidRPr="00DE0F68" w:rsidRDefault="006F0D24" w:rsidP="00552C20">
            <w:pPr>
              <w:pStyle w:val="ListParagraph"/>
              <w:numPr>
                <w:ilvl w:val="0"/>
                <w:numId w:val="8"/>
              </w:num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Za investitore: Potrebna je određena stručnost i pažnja u procjeni pokrivača i investiranja u pokrivene obveznice, jer mogu postojati specifični rizici povezani sa upravljanjem imovinom.</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p>
          <w:p w:rsidR="006F0D24" w:rsidRPr="00DE0F68" w:rsidRDefault="006F0D24" w:rsidP="006F0D24">
            <w:pPr>
              <w:autoSpaceDE w:val="0"/>
              <w:autoSpaceDN w:val="0"/>
              <w:adjustRightInd w:val="0"/>
              <w:spacing w:after="0" w:line="240" w:lineRule="auto"/>
              <w:jc w:val="both"/>
              <w:rPr>
                <w:rFonts w:ascii="Arial" w:eastAsia="MS Mincho" w:hAnsi="Arial" w:cs="Arial"/>
                <w:noProof/>
                <w:lang w:val="sr-Latn-ME"/>
              </w:rPr>
            </w:pPr>
            <w:r w:rsidRPr="00DE0F68">
              <w:rPr>
                <w:rFonts w:ascii="Arial" w:eastAsia="MS Mincho" w:hAnsi="Arial" w:cs="Arial"/>
                <w:noProof/>
                <w:lang w:val="sr-Latn-ME"/>
              </w:rPr>
              <w:t>Primjena ovog zakona neće izazvati direktne troškove za građane, jer zakon ne uvodi nove obaveze niti utiče na svakodnevne finansijske aktivnosti građana. Indirektno, mogu se pojaviti nove investicione prilike kroz tržište pokrivenih obveznica, ali to neće značiti veće troškove za korisnike tih usluga.</w:t>
            </w:r>
          </w:p>
          <w:p w:rsidR="006F0D24" w:rsidRPr="00DE0F68" w:rsidRDefault="006F0D24" w:rsidP="006F0D24">
            <w:pPr>
              <w:autoSpaceDE w:val="0"/>
              <w:autoSpaceDN w:val="0"/>
              <w:adjustRightInd w:val="0"/>
              <w:spacing w:after="0" w:line="240" w:lineRule="auto"/>
              <w:jc w:val="both"/>
              <w:rPr>
                <w:rFonts w:ascii="Arial" w:eastAsia="MS Mincho" w:hAnsi="Arial" w:cs="Arial"/>
                <w:noProof/>
                <w:lang w:val="sr-Latn-ME"/>
              </w:rPr>
            </w:pP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noProof/>
                <w:lang w:val="sr-Latn-ME"/>
              </w:rPr>
              <w:t>Za privredu, naročito mala i srednja preduzeća, primjena zakona neće dovesti do značajnih troškova. Zakon omogućava manjoj konkurenciji da se udruži sa većim bankama radi zajedničkog izdavanja obveznica, čime se smanjuje teret početnih troškova. Takođe, sve obaveze vezane za održavanje imovine koja služi kao pokriće nisu preterano opterećujuće za privredu, jer zakon omogućava fleksibilnost u održavanju te imovine i obezbjeđuje veću konkurenciju na tržištu.</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noProof/>
                <w:lang w:val="sr-Latn-ME"/>
              </w:rPr>
              <w:t>Pozitivni efekti donošenja ovog zakona svakako opravdavaju troškove. Iako primjena zakona neće donijeti značajne direktne troškove za građane i preduzetnike, dugoročno gledano, zakon doprinosi stabilizaciji i diverzifikaciji tržišta kapitala. To će omogućiti veći pristup tržištima finansiranja za kreditne institucije, poboljšati likvidnost i novčane tokove, te podstaknuti konkurenciju, što sve doprinosi održivom privrednom rastu i jačanju finansijskog sistema Crne Gore.</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p>
          <w:p w:rsidR="006F0D24" w:rsidRPr="00DE0F68" w:rsidRDefault="00552C20"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noProof/>
                <w:lang w:val="sr-Latn-ME"/>
              </w:rPr>
              <w:t>P</w:t>
            </w:r>
            <w:r w:rsidR="006F0D24" w:rsidRPr="00DE0F68">
              <w:rPr>
                <w:rFonts w:ascii="Arial" w:eastAsia="MS Mincho" w:hAnsi="Arial" w:cs="Arial"/>
                <w:noProof/>
                <w:lang w:val="sr-Latn-ME"/>
              </w:rPr>
              <w:t>ropis omogućava veću konkurenciju na tržištu, jer male kreditne institucije mogu udružiti sredstva i zajednički izdavati pokrivene obveznice, čime im se omogućava pristup finansijskim sredstvima koja bi im inače bila nedostupna zbog visokih početnih troškova. Ovo takođe stvara povoljniji ambijent za stvaranje novih privrednih subjekata na tržištu.</w:t>
            </w: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p>
          <w:p w:rsidR="006F0D24" w:rsidRPr="00DE0F68" w:rsidRDefault="006F0D24" w:rsidP="006F0D24">
            <w:pPr>
              <w:autoSpaceDE w:val="0"/>
              <w:autoSpaceDN w:val="0"/>
              <w:adjustRightInd w:val="0"/>
              <w:spacing w:after="0" w:line="240" w:lineRule="auto"/>
              <w:contextualSpacing/>
              <w:jc w:val="both"/>
              <w:rPr>
                <w:rFonts w:ascii="Arial" w:eastAsia="MS Mincho" w:hAnsi="Arial" w:cs="Arial"/>
                <w:noProof/>
                <w:lang w:val="sr-Latn-ME"/>
              </w:rPr>
            </w:pPr>
            <w:r w:rsidRPr="00DE0F68">
              <w:rPr>
                <w:rFonts w:ascii="Arial" w:eastAsia="MS Mincho" w:hAnsi="Arial" w:cs="Arial"/>
                <w:noProof/>
                <w:lang w:val="sr-Latn-ME"/>
              </w:rPr>
              <w:t xml:space="preserve">Komisija za tržište kapitala smatra da predloženi zakon neće stvoriti značajna administrativna opterećenja niti biznis barijere za kreditne institucije. Iako je potrebno formirati specijalizovane </w:t>
            </w:r>
            <w:r w:rsidRPr="00DE0F68">
              <w:rPr>
                <w:rFonts w:ascii="Arial" w:eastAsia="MS Mincho" w:hAnsi="Arial" w:cs="Arial"/>
                <w:noProof/>
                <w:lang w:val="sr-Latn-ME"/>
              </w:rPr>
              <w:lastRenderedPageBreak/>
              <w:t>registre i imenovati upravnika imovine, sve obaveze su jasno definisane, a regulatorni okvir je dizajniran kako bi minimizirao administrativni teret. Takođe, regulisanje izdavanja pokrivenih obveznica ima jasne procedure, koje omogućavaju lako praćenje usklađenosti sa zakonodavstvom i minimalizovanje potencijalnih problema u primjeni.</w:t>
            </w:r>
          </w:p>
          <w:p w:rsidR="0056757B" w:rsidRPr="00DE0F68" w:rsidRDefault="0056757B" w:rsidP="006F0D24">
            <w:pPr>
              <w:autoSpaceDE w:val="0"/>
              <w:autoSpaceDN w:val="0"/>
              <w:adjustRightInd w:val="0"/>
              <w:spacing w:after="0" w:line="240" w:lineRule="auto"/>
              <w:contextualSpacing/>
              <w:jc w:val="both"/>
              <w:rPr>
                <w:rFonts w:ascii="Arial" w:eastAsia="Times New Roman" w:hAnsi="Arial" w:cs="Arial"/>
                <w:bCs/>
                <w:highlight w:val="yellow"/>
                <w:lang w:val="sr-Latn-ME" w:eastAsia="en-GB"/>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lastRenderedPageBreak/>
              <w:t>5. Procjena fiskalnog uticaja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Da li je potrebno obezbjeđenje finansijskih sredstava iz budžeta Crne Gore za implementaciju propisa i u kom iznosu?</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je obezbjeđenje finansijskih sredstava jednokratno, ili tokom određenog vremenskog perioda?  Obrazložiti.</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implementacijom propisa proizilaze međunarodne finansijske obaveze? Obrazložiti.</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su neophodna finansijska sredstva obezbijeđena u budžetu za tekuću fiskalnu godinu, odnosno da li su planirana u budžetu za narednu fiskanu godinu?</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je usvajanjem propisa predviđeno donošenje podzakonskih akata iz kojih će proisteći finansijske obaveze?</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će se implementacijom propisa ostvariti prihod za budžet Crne Gore?</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Obrazložiti metodologiju koja je korišćenja prilikom obračuna finansijskih izdataka/prihoda.</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su postojali problemi u preciznom obračunu finansijskih izdataka/prihoda? Obrazložiti.</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su postojale sugestije Ministarstva finansija na nacrt/predlog propisa?</w:t>
            </w:r>
          </w:p>
          <w:p w:rsidR="00F63B89" w:rsidRPr="00DE0F68" w:rsidRDefault="00F63B89" w:rsidP="00F63B89">
            <w:pPr>
              <w:numPr>
                <w:ilvl w:val="0"/>
                <w:numId w:val="1"/>
              </w:numPr>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Da li su dobijene primjedbe uključene u tekst propisa? Obrazložiti.</w:t>
            </w:r>
          </w:p>
        </w:tc>
      </w:tr>
      <w:tr w:rsidR="00F63B89" w:rsidRPr="00DE0F68" w:rsidTr="00E27883">
        <w:tc>
          <w:tcPr>
            <w:tcW w:w="9576" w:type="dxa"/>
            <w:gridSpan w:val="2"/>
          </w:tcPr>
          <w:p w:rsidR="00C04528" w:rsidRPr="00DE0F68" w:rsidRDefault="00C04528" w:rsidP="00F63B89">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Za sprovođenje ovog zakona i podzakonskih akata koji će biti donijeti po osnovu ovog zakona nije potrebno obezbjeđenje finansijskih sredstava iz budžeta Crne Gore.</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Budući da za implementaciju ovog zakona nisu potrebna finansijska sredstva iz budžeta Crne Gore, ne postoji potreba za obezbjeđenjem bilo kakvih sredstava, bilo jednokratno ili na duži vremenski period.</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Implementacijom zakona i podzakonskih akata ne proizilaze međunarodne finansijske obaveze. Propis je osmišljen tako da se oslanja na postojeće resurse i nadležnosti regulatornih tijela.</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S obzirom na to da zakon ne zahtijeva izdvajanje finansijskih sredstava iz budžeta, nisu potrebne posebne budžetske stavke ni u tekućoj ni u narednoj fiskalnoj godini.</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Podzakonski akti koji će biti doneseni na osnovu ovog zakona neće generisati finansijske obaveze za budžet Crne Gore.</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Implementacijom ovog zakona neće se direktno ostvariti prihodi za budžet Crne Gore.</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Obzirom na to da zakon ne zahtijeva dodatna sredstva iz budžeta i ne predviđa direktne finansijske prihode, nije bilo potrebe za izradom posebnih obračuna finansijskih izdataka ili prihoda.</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Nisu postojali problemi u obračunu finansijskih izdataka ili prihoda, jer zakon ne generiše troškove ili direktne prihode za budžet.</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F63B89">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lastRenderedPageBreak/>
              <w:t>Komisija za tržište kapitala Crne Gore bila je u kontinuitetu u komunikaciji sa Ministarstvom finansija tokom izrade nacrta zakona. Ministarstvo finansija je dostavilo svoje komentare i sugestije koje su se odnosile na različite aspekte nacrta zakona. Ove primjedbe su pažljivo razmotrene, a relevantne sugestije su uvrštene u tekst nacrta zakona kako bi se poboljšao zakonodavni okvir.</w:t>
            </w:r>
          </w:p>
          <w:p w:rsidR="00950FD0" w:rsidRPr="00DE0F68" w:rsidRDefault="00950FD0" w:rsidP="00F63B89">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Tokom procesa izrade nacrta zakona, Centralna banka Crne Gore (CBCG), kao ključni regulator kreditnih institucija, dostavila je svoje primjedbe i komentare na tekst nacrta zakona. S obzirom na važnost i stručnost CBCG u oblasti finansijskog sistema, svi njihovi predlozi pažljivo su analizirani i razmotreni. Nakon temeljne evaluacije, relevantne primjedbe i sugestije CBCG su uvrštene u tekst nacrta zakona.</w:t>
            </w:r>
          </w:p>
          <w:p w:rsidR="00950FD0" w:rsidRPr="00DE0F68" w:rsidRDefault="00950FD0" w:rsidP="00950FD0">
            <w:pPr>
              <w:spacing w:after="0" w:line="240" w:lineRule="auto"/>
              <w:jc w:val="both"/>
              <w:rPr>
                <w:rFonts w:ascii="Arial" w:eastAsia="Times New Roman" w:hAnsi="Arial" w:cs="Arial"/>
                <w:bCs/>
                <w:lang w:val="sr-Latn-ME" w:eastAsia="en-GB"/>
              </w:rPr>
            </w:pPr>
          </w:p>
          <w:p w:rsidR="00950FD0" w:rsidRPr="00DE0F68" w:rsidRDefault="00950FD0" w:rsidP="00950FD0">
            <w:pPr>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Uključivanje komentara CBCG doprinijelo je poboljšanju kvaliteta zakonskog okvira, osiguravajući usklađenost propisa sa najboljim međunarodnim praksama i potrebama domaćeg finansijskog tržišta. Na ovaj način, obezbijeđena je jača pravna i operativna osnova za izdavanje pokrivenih obveznica i sprovođenje nadzora nad kreditnim institucijama koje učestvuju u ovom procesu.</w:t>
            </w:r>
          </w:p>
          <w:p w:rsidR="00F63B89" w:rsidRPr="00DE0F68" w:rsidRDefault="00F63B89" w:rsidP="00F63B89">
            <w:pPr>
              <w:spacing w:after="0" w:line="240" w:lineRule="auto"/>
              <w:jc w:val="both"/>
              <w:rPr>
                <w:rFonts w:ascii="Arial" w:eastAsia="Times New Roman" w:hAnsi="Arial" w:cs="Arial"/>
                <w:b/>
                <w:lang w:val="sr-Latn-ME" w:eastAsia="en-GB"/>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lastRenderedPageBreak/>
              <w:t xml:space="preserve">6. </w:t>
            </w:r>
            <w:r w:rsidRPr="00DE0F68">
              <w:rPr>
                <w:rFonts w:ascii="Arial" w:eastAsia="Times New Roman" w:hAnsi="Arial" w:cs="Arial"/>
                <w:lang w:val="sr-Latn-ME" w:eastAsia="en-GB"/>
              </w:rPr>
              <w:t>K</w:t>
            </w:r>
            <w:r w:rsidRPr="00DE0F68">
              <w:rPr>
                <w:rFonts w:ascii="Arial" w:eastAsia="Times New Roman" w:hAnsi="Arial" w:cs="Arial"/>
                <w:b/>
                <w:lang w:val="sr-Latn-ME" w:eastAsia="en-GB"/>
              </w:rPr>
              <w:t>onsultacije zainteresovanih strana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Naznačiti da li je korišćena eksterna ekspertska podrška i ako da, kako.</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Naznačiti koje su grupe zainteresovanih strana konsultovane, u kojoj fazi RIA procesa i kako (javne ili ciljane konsultacije).</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Naznačiti glavne rezultate konsultacija, i koji su predlozi i sugestije zainteresovanih strana prihvaćeni odnosno nijesu prihvaćeni. Obrazložiti.</w:t>
            </w:r>
          </w:p>
        </w:tc>
      </w:tr>
      <w:tr w:rsidR="00F63B89" w:rsidRPr="00DE0F68" w:rsidTr="00E27883">
        <w:tc>
          <w:tcPr>
            <w:tcW w:w="9576" w:type="dxa"/>
            <w:gridSpan w:val="2"/>
          </w:tcPr>
          <w:p w:rsidR="00F63B89" w:rsidRPr="00DE0F68" w:rsidRDefault="00F63B89" w:rsidP="00F63B89">
            <w:pPr>
              <w:autoSpaceDE w:val="0"/>
              <w:autoSpaceDN w:val="0"/>
              <w:adjustRightInd w:val="0"/>
              <w:spacing w:after="0" w:line="240" w:lineRule="auto"/>
              <w:jc w:val="both"/>
              <w:rPr>
                <w:rFonts w:ascii="Arial" w:eastAsia="Times New Roman" w:hAnsi="Arial" w:cs="Arial"/>
                <w:bCs/>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Komisija za tržište kapitala prilikom izrade Nacrta zakona o izdavanju pokrivenih obveznica i nadzoru pokrivenih obveznica nije koristila</w:t>
            </w:r>
            <w:r w:rsidR="00552C20" w:rsidRPr="00DE0F68">
              <w:rPr>
                <w:rFonts w:ascii="Arial" w:eastAsia="Times New Roman" w:hAnsi="Arial" w:cs="Arial"/>
                <w:bCs/>
                <w:lang w:val="sr-Latn-ME" w:eastAsia="en-GB"/>
              </w:rPr>
              <w:t xml:space="preserve"> ekspertsku</w:t>
            </w:r>
            <w:r w:rsidRPr="00DE0F68">
              <w:rPr>
                <w:rFonts w:ascii="Arial" w:eastAsia="Times New Roman" w:hAnsi="Arial" w:cs="Arial"/>
                <w:bCs/>
                <w:lang w:val="sr-Latn-ME" w:eastAsia="en-GB"/>
              </w:rPr>
              <w:t xml:space="preserve"> podršk</w:t>
            </w:r>
            <w:r w:rsidR="00552C20" w:rsidRPr="00DE0F68">
              <w:rPr>
                <w:rFonts w:ascii="Arial" w:eastAsia="Times New Roman" w:hAnsi="Arial" w:cs="Arial"/>
                <w:bCs/>
                <w:lang w:val="sr-Latn-ME" w:eastAsia="en-GB"/>
              </w:rPr>
              <w:t>u</w:t>
            </w:r>
            <w:r w:rsidRPr="00DE0F68">
              <w:rPr>
                <w:rFonts w:ascii="Arial" w:eastAsia="Times New Roman" w:hAnsi="Arial" w:cs="Arial"/>
                <w:bCs/>
                <w:lang w:val="sr-Latn-ME" w:eastAsia="en-GB"/>
              </w:rPr>
              <w:t xml:space="preserve"> međunarodnih institucija ili konsultanata. Komisija se oslonila na visoke standarde u oblasti regulacije pokrivenih obveznica, kao i na najbolja tržišna iskustva iz pravnih sistema drugih zemalja koje imaju razvijen okvir u ovoj oblasti. Cilj je bio da se kreira pravni okvir koji će omogućiti stabilan razvoj tržišta pokrivenih obveznica u Crnoj Gori, uz potpuno poštovanje međunarodnih standarda i prilagođavanje specifičnostima domaćeg finansijskog tržišta.</w:t>
            </w:r>
          </w:p>
          <w:p w:rsidR="00CC3316" w:rsidRPr="00DE0F68" w:rsidRDefault="00CC3316" w:rsidP="00CC3316">
            <w:pPr>
              <w:autoSpaceDE w:val="0"/>
              <w:autoSpaceDN w:val="0"/>
              <w:adjustRightInd w:val="0"/>
              <w:spacing w:after="0" w:line="240" w:lineRule="auto"/>
              <w:jc w:val="both"/>
              <w:rPr>
                <w:rFonts w:ascii="Arial" w:eastAsia="Times New Roman" w:hAnsi="Arial" w:cs="Arial"/>
                <w:bCs/>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U procesu izrade Nacrta zakona, Komisija je primila komentare Centralne banke Crne Gore (CBCG). S obzirom na to da je CBCG primarni regulator kreditnih institucija i da ima ključnu ulogu u osiguravanju stabilnosti finansijskog sistema, njihove komentare smatramo izuzetno značajnim za unaprjeđenje ovog zakonodavnog rješenja. Komisija je pažljivo razmotrila sve dostavljene primjedbe i sugestije CBCG i iste u najvećoj mjeri inkorporirala u tekst Nacrta zakona.</w:t>
            </w:r>
          </w:p>
          <w:p w:rsidR="00CC3316" w:rsidRPr="00DE0F68" w:rsidRDefault="00CC3316" w:rsidP="00CC3316">
            <w:pPr>
              <w:autoSpaceDE w:val="0"/>
              <w:autoSpaceDN w:val="0"/>
              <w:adjustRightInd w:val="0"/>
              <w:spacing w:after="0" w:line="240" w:lineRule="auto"/>
              <w:jc w:val="both"/>
              <w:rPr>
                <w:rFonts w:ascii="Arial" w:eastAsia="Times New Roman" w:hAnsi="Arial" w:cs="Arial"/>
                <w:bCs/>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bCs/>
                <w:lang w:val="sr-Latn-ME" w:eastAsia="en-GB"/>
              </w:rPr>
            </w:pPr>
            <w:r w:rsidRPr="00DE0F68">
              <w:rPr>
                <w:rFonts w:ascii="Arial" w:eastAsia="Times New Roman" w:hAnsi="Arial" w:cs="Arial"/>
                <w:bCs/>
                <w:lang w:val="sr-Latn-ME" w:eastAsia="en-GB"/>
              </w:rPr>
              <w:t>Nacrt zakona o izdavanju pokrivenih obveznica i nadzoru pokrivenih obveznica biće dostupan za javnu raspravu, čime će se omogućiti svim zainteresovanim stranama, uključujući stručnu i širu javnost, da daju svoje komentare i sugestije. Nakon završetka javne rasprave, svi primljeni komentari biće pažljivo analizirani, a relevantne primjedbe i preporuke biće ugrađene u konačnu verziju zakona, kako bi se obezbijedila njegova cjelovitost, održivost i primjenjivost u praksi.</w:t>
            </w:r>
          </w:p>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p>
        </w:tc>
      </w:tr>
      <w:tr w:rsidR="00F63B89" w:rsidRPr="00DE0F68" w:rsidTr="00E27883">
        <w:tc>
          <w:tcPr>
            <w:tcW w:w="9576" w:type="dxa"/>
            <w:gridSpan w:val="2"/>
            <w:shd w:val="clear" w:color="auto" w:fill="D2EAF1"/>
          </w:tcPr>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r w:rsidRPr="00DE0F68">
              <w:rPr>
                <w:rFonts w:ascii="Arial" w:eastAsia="Times New Roman" w:hAnsi="Arial" w:cs="Arial"/>
                <w:b/>
                <w:lang w:val="sr-Latn-ME" w:eastAsia="en-GB"/>
              </w:rPr>
              <w:t>7. Monitoring i evaluacija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 xml:space="preserve">Koje su potencijalne prepreke za implementaciju propisa? </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Koje će mjere biti preduzete tokom primjene propisa da bi se ispunili ciljevi?</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lastRenderedPageBreak/>
              <w:t>Koji su glavni indikatori prema kojima će se mjeriti ispunjenje ciljeva?</w:t>
            </w:r>
          </w:p>
          <w:p w:rsidR="00F63B89" w:rsidRPr="00DE0F68" w:rsidRDefault="00F63B89" w:rsidP="00F63B89">
            <w:pPr>
              <w:numPr>
                <w:ilvl w:val="0"/>
                <w:numId w:val="1"/>
              </w:numPr>
              <w:autoSpaceDE w:val="0"/>
              <w:autoSpaceDN w:val="0"/>
              <w:adjustRightInd w:val="0"/>
              <w:spacing w:after="0" w:line="240" w:lineRule="auto"/>
              <w:contextualSpacing/>
              <w:jc w:val="both"/>
              <w:rPr>
                <w:rFonts w:ascii="Arial" w:eastAsia="Times New Roman" w:hAnsi="Arial" w:cs="Arial"/>
                <w:b/>
                <w:lang w:val="sr-Latn-ME" w:eastAsia="en-GB"/>
              </w:rPr>
            </w:pPr>
            <w:r w:rsidRPr="00DE0F68">
              <w:rPr>
                <w:rFonts w:ascii="Arial" w:eastAsia="Times New Roman" w:hAnsi="Arial" w:cs="Arial"/>
                <w:b/>
                <w:lang w:val="sr-Latn-ME" w:eastAsia="en-GB"/>
              </w:rPr>
              <w:t>Ko će biti zadužen za sprovođenje monitoringa i evaluacije primjene propisa?</w:t>
            </w:r>
          </w:p>
        </w:tc>
      </w:tr>
      <w:tr w:rsidR="00F63B89" w:rsidRPr="00DE0F68" w:rsidTr="00E27883">
        <w:tc>
          <w:tcPr>
            <w:tcW w:w="9576" w:type="dxa"/>
            <w:gridSpan w:val="2"/>
          </w:tcPr>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Ne postoje identifikovane prepreke za implementaciju ovog zakona. Prilikom izrade zakona, Komisija za tržište kapitala Crne Gore uzela je u obzir pravne, operativne i regulatorne aspekte kako bi se osiguralo njegovo nesmetano sprovođenje u praksi. Usvajanje zakona stvoriće regulatorni okvir koji omogućava izdavanje pokrivenih obveznica uz poštovanje visokih međunarodnih standarda i dobrih tržišnih praksi.</w:t>
            </w: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Da bi se osigurala uspješna primjena zakona i postigli njegovi ciljevi, biće preduzete sljedeće mjere:</w:t>
            </w:r>
          </w:p>
          <w:p w:rsidR="00CC3316" w:rsidRPr="00DE0F68" w:rsidRDefault="00CC3316" w:rsidP="00552C20">
            <w:pPr>
              <w:pStyle w:val="ListParagraph"/>
              <w:numPr>
                <w:ilvl w:val="0"/>
                <w:numId w:val="5"/>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Nadzor i inspekcija: Kontinuirani nadzor nad kreditnim institucijama izdavaocima pokrivenih obveznica kako bi se osigurala usklađenost s važećim zakonskim odredbama.</w:t>
            </w:r>
          </w:p>
          <w:p w:rsidR="00CC3316" w:rsidRPr="00DE0F68" w:rsidRDefault="00CC3316" w:rsidP="00552C20">
            <w:pPr>
              <w:pStyle w:val="ListParagraph"/>
              <w:numPr>
                <w:ilvl w:val="0"/>
                <w:numId w:val="5"/>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Izvještavanje i transparentnost: Kreditne institucije biće obavezne da redovno dostavljaju izvještaje o svom poslovanju vezanom za pokrivene obveznice, uključujući informacije o fondu za pokriće, ročnosti dospijeća i drugim relevantnim parametrima.</w:t>
            </w:r>
          </w:p>
          <w:p w:rsidR="00CC3316" w:rsidRPr="00DE0F68" w:rsidRDefault="00CC3316" w:rsidP="00552C20">
            <w:pPr>
              <w:pStyle w:val="ListParagraph"/>
              <w:numPr>
                <w:ilvl w:val="0"/>
                <w:numId w:val="5"/>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Edukacija i podrška učesnicima: Organizacija edukativnih aktivnosti za kreditne institucije i investitore kako bi se povećalo razumijevanje propisa i podstaklo povjerenje u tržište pokrivenih obveznica.</w:t>
            </w:r>
          </w:p>
          <w:p w:rsidR="00CC3316" w:rsidRPr="00DE0F68" w:rsidRDefault="00CC3316" w:rsidP="00552C20">
            <w:pPr>
              <w:pStyle w:val="ListParagraph"/>
              <w:numPr>
                <w:ilvl w:val="0"/>
                <w:numId w:val="5"/>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Saradnja institucija: Bliska saradnja između Komisije za tržište kapitala i Centralne banke Crne Gore, s ciljem koordinacije nadzora nad svim relevantnim aspektima poslovanja kreditnih institucija i izdavanja pokrivenih obveznica.</w:t>
            </w: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Za mjerenje uspješnosti primjene zakona koristiće se sljedeći indikatori:</w:t>
            </w:r>
          </w:p>
          <w:p w:rsidR="00CC3316" w:rsidRPr="00DE0F68" w:rsidRDefault="00CC3316" w:rsidP="00CC3316">
            <w:pPr>
              <w:autoSpaceDE w:val="0"/>
              <w:autoSpaceDN w:val="0"/>
              <w:adjustRightInd w:val="0"/>
              <w:spacing w:after="0" w:line="240" w:lineRule="auto"/>
              <w:jc w:val="both"/>
              <w:rPr>
                <w:rFonts w:ascii="Arial" w:eastAsia="Times New Roman" w:hAnsi="Arial" w:cs="Arial"/>
                <w:lang w:val="sr-Latn-ME" w:eastAsia="en-GB"/>
              </w:rPr>
            </w:pP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Broj licenciranih kreditnih institucija koje učestvuju u izdavanju pokrivenih obveznica;</w:t>
            </w: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Obim i vrijednost izdatih pokrivenih obveznica na domaćem tržištu;</w:t>
            </w: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Raznolikost i kvalitet imovine uključene u fond za pokriće (kvalitet i sigurnost kolaterala);</w:t>
            </w: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Struktura i ročnost dospijeća pokrivenih obveznica, kao i prilagođavanje njihovog izdavanja potrebama investitora;</w:t>
            </w: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Stepen povjerenja investitora, mjeren kroz interesovanje i volumen ulaganja u pokrivene obveznice;</w:t>
            </w:r>
          </w:p>
          <w:p w:rsidR="00CC3316" w:rsidRPr="00DE0F68" w:rsidRDefault="00CC3316" w:rsidP="00552C20">
            <w:pPr>
              <w:pStyle w:val="ListParagraph"/>
              <w:numPr>
                <w:ilvl w:val="0"/>
                <w:numId w:val="6"/>
              </w:num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Usklađenost poslovanja kreditnih institucija sa zakonom i visokim standardima upravljanja rizicima.</w:t>
            </w:r>
          </w:p>
          <w:p w:rsidR="00950FD0" w:rsidRPr="00DE0F68" w:rsidRDefault="00950FD0" w:rsidP="00CC3316">
            <w:pPr>
              <w:autoSpaceDE w:val="0"/>
              <w:autoSpaceDN w:val="0"/>
              <w:adjustRightInd w:val="0"/>
              <w:spacing w:after="0" w:line="240" w:lineRule="auto"/>
              <w:jc w:val="both"/>
              <w:rPr>
                <w:rFonts w:ascii="Arial" w:eastAsia="Times New Roman" w:hAnsi="Arial" w:cs="Arial"/>
                <w:lang w:val="sr-Latn-ME" w:eastAsia="en-GB"/>
              </w:rPr>
            </w:pPr>
          </w:p>
          <w:p w:rsidR="00F63B89" w:rsidRPr="00DE0F68" w:rsidRDefault="00CC3316" w:rsidP="000D4032">
            <w:pPr>
              <w:autoSpaceDE w:val="0"/>
              <w:autoSpaceDN w:val="0"/>
              <w:adjustRightInd w:val="0"/>
              <w:spacing w:after="0" w:line="240" w:lineRule="auto"/>
              <w:jc w:val="both"/>
              <w:rPr>
                <w:rFonts w:ascii="Arial" w:eastAsia="Times New Roman" w:hAnsi="Arial" w:cs="Arial"/>
                <w:lang w:val="sr-Latn-ME" w:eastAsia="en-GB"/>
              </w:rPr>
            </w:pPr>
            <w:r w:rsidRPr="00DE0F68">
              <w:rPr>
                <w:rFonts w:ascii="Arial" w:eastAsia="Times New Roman" w:hAnsi="Arial" w:cs="Arial"/>
                <w:lang w:val="sr-Latn-ME" w:eastAsia="en-GB"/>
              </w:rPr>
              <w:t>Za sprovođenje monitoringa i evaluaci</w:t>
            </w:r>
            <w:r w:rsidR="00950FD0" w:rsidRPr="00DE0F68">
              <w:rPr>
                <w:rFonts w:ascii="Arial" w:eastAsia="Times New Roman" w:hAnsi="Arial" w:cs="Arial"/>
                <w:lang w:val="sr-Latn-ME" w:eastAsia="en-GB"/>
              </w:rPr>
              <w:t xml:space="preserve">je primjene zakona biće zadužena </w:t>
            </w:r>
            <w:r w:rsidRPr="00DE0F68">
              <w:rPr>
                <w:rFonts w:ascii="Arial" w:eastAsia="Times New Roman" w:hAnsi="Arial" w:cs="Arial"/>
                <w:lang w:val="sr-Latn-ME" w:eastAsia="en-GB"/>
              </w:rPr>
              <w:t>Komisija za tržište kapitala Crne Gore</w:t>
            </w:r>
            <w:r w:rsidR="00950FD0" w:rsidRPr="00DE0F68">
              <w:rPr>
                <w:rFonts w:ascii="Arial" w:eastAsia="Times New Roman" w:hAnsi="Arial" w:cs="Arial"/>
                <w:lang w:val="sr-Latn-ME" w:eastAsia="en-GB"/>
              </w:rPr>
              <w:t xml:space="preserve">. Komisija za tržište kapitala Crne Gore </w:t>
            </w:r>
            <w:r w:rsidRPr="00DE0F68">
              <w:rPr>
                <w:rFonts w:ascii="Arial" w:eastAsia="Times New Roman" w:hAnsi="Arial" w:cs="Arial"/>
                <w:lang w:val="sr-Latn-ME" w:eastAsia="en-GB"/>
              </w:rPr>
              <w:t xml:space="preserve">zadužena </w:t>
            </w:r>
            <w:r w:rsidR="00950FD0" w:rsidRPr="00DE0F68">
              <w:rPr>
                <w:rFonts w:ascii="Arial" w:eastAsia="Times New Roman" w:hAnsi="Arial" w:cs="Arial"/>
                <w:lang w:val="sr-Latn-ME" w:eastAsia="en-GB"/>
              </w:rPr>
              <w:t xml:space="preserve">je </w:t>
            </w:r>
            <w:r w:rsidRPr="00DE0F68">
              <w:rPr>
                <w:rFonts w:ascii="Arial" w:eastAsia="Times New Roman" w:hAnsi="Arial" w:cs="Arial"/>
                <w:lang w:val="sr-Latn-ME" w:eastAsia="en-GB"/>
              </w:rPr>
              <w:t>za nadzor nad postupanjem kreditnih institucija izdavaoca pokrivenih obveznica, praćenje usklađenosti poslovanja sa zakonskim okvirom i osiguranje transparentnosti i zakonitosti poslovanja svih učesnika na tržištu pokrivenih obveznica.</w:t>
            </w:r>
            <w:r w:rsidR="00950FD0" w:rsidRPr="00DE0F68">
              <w:rPr>
                <w:rFonts w:ascii="Arial" w:eastAsia="Times New Roman" w:hAnsi="Arial" w:cs="Arial"/>
                <w:lang w:val="sr-Latn-ME" w:eastAsia="en-GB"/>
              </w:rPr>
              <w:t xml:space="preserve"> Centralna banka Crne Gore nastaviće da obavlja ulogu matičnog regulatora za poslovanje kreditnih institucija, s ciljem osiguravanja njihove stabilnosti i zakonitosti poslovanja. Njene ključne odgovornosti obuhvataju praćenje stabilnosti kreditnih institucija, nadzor nad adekvatnim upravljanjem rizicima i očuvanje sigurnosti cjelokupnog finansijskog sistema.</w:t>
            </w:r>
          </w:p>
        </w:tc>
      </w:tr>
    </w:tbl>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p>
    <w:p w:rsidR="00F63B89" w:rsidRPr="00DE0F68" w:rsidRDefault="00F63B89" w:rsidP="00F63B89">
      <w:pPr>
        <w:autoSpaceDE w:val="0"/>
        <w:autoSpaceDN w:val="0"/>
        <w:adjustRightInd w:val="0"/>
        <w:spacing w:after="0" w:line="240" w:lineRule="auto"/>
        <w:jc w:val="both"/>
        <w:rPr>
          <w:rFonts w:ascii="Arial" w:eastAsia="Times New Roman" w:hAnsi="Arial" w:cs="Arial"/>
          <w:b/>
          <w:lang w:val="sr-Latn-ME" w:eastAsia="en-GB"/>
        </w:rPr>
      </w:pPr>
    </w:p>
    <w:p w:rsidR="00F63B89" w:rsidRPr="00DE0F68" w:rsidRDefault="00BD64E3" w:rsidP="00F63B89">
      <w:pPr>
        <w:spacing w:after="0" w:line="240" w:lineRule="auto"/>
        <w:jc w:val="both"/>
        <w:rPr>
          <w:rFonts w:ascii="Arial" w:eastAsia="Times New Roman" w:hAnsi="Arial" w:cs="Arial"/>
          <w:b/>
          <w:bCs/>
          <w:lang w:val="sr-Latn-ME" w:eastAsia="en-GB"/>
        </w:rPr>
      </w:pPr>
      <w:r w:rsidRPr="00DE0F68">
        <w:rPr>
          <w:rFonts w:ascii="Arial" w:eastAsia="Times New Roman" w:hAnsi="Arial" w:cs="Arial"/>
          <w:b/>
          <w:bCs/>
          <w:lang w:val="sr-Latn-ME" w:eastAsia="en-GB"/>
        </w:rPr>
        <w:t xml:space="preserve">    </w:t>
      </w:r>
      <w:r w:rsidRPr="00DE0F68">
        <w:rPr>
          <w:rFonts w:ascii="Arial" w:eastAsia="Times New Roman" w:hAnsi="Arial" w:cs="Arial"/>
          <w:b/>
          <w:bCs/>
          <w:lang w:val="sr-Latn-ME" w:eastAsia="en-GB"/>
        </w:rPr>
        <w:tab/>
        <w:t xml:space="preserve">Datum i mjesto   </w:t>
      </w:r>
      <w:r w:rsidRPr="00DE0F68">
        <w:rPr>
          <w:rFonts w:ascii="Arial" w:eastAsia="Times New Roman" w:hAnsi="Arial" w:cs="Arial"/>
          <w:b/>
          <w:bCs/>
          <w:lang w:val="sr-Latn-ME" w:eastAsia="en-GB"/>
        </w:rPr>
        <w:tab/>
      </w:r>
      <w:r w:rsidRPr="00DE0F68">
        <w:rPr>
          <w:rFonts w:ascii="Arial" w:eastAsia="Times New Roman" w:hAnsi="Arial" w:cs="Arial"/>
          <w:b/>
          <w:bCs/>
          <w:lang w:val="sr-Latn-ME" w:eastAsia="en-GB"/>
        </w:rPr>
        <w:tab/>
      </w:r>
      <w:r w:rsidRPr="00DE0F68">
        <w:rPr>
          <w:rFonts w:ascii="Arial" w:eastAsia="Times New Roman" w:hAnsi="Arial" w:cs="Arial"/>
          <w:b/>
          <w:bCs/>
          <w:lang w:val="sr-Latn-ME" w:eastAsia="en-GB"/>
        </w:rPr>
        <w:tab/>
      </w:r>
      <w:r w:rsidRPr="00DE0F68">
        <w:rPr>
          <w:rFonts w:ascii="Arial" w:eastAsia="Times New Roman" w:hAnsi="Arial" w:cs="Arial"/>
          <w:b/>
          <w:bCs/>
          <w:lang w:val="sr-Latn-ME" w:eastAsia="en-GB"/>
        </w:rPr>
        <w:tab/>
      </w:r>
      <w:r w:rsidR="00F63B89" w:rsidRPr="00DE0F68">
        <w:rPr>
          <w:rFonts w:ascii="Arial" w:eastAsia="Times New Roman" w:hAnsi="Arial" w:cs="Arial"/>
          <w:b/>
          <w:bCs/>
          <w:lang w:val="sr-Latn-ME" w:eastAsia="en-GB"/>
        </w:rPr>
        <w:t xml:space="preserve">         Starješina </w:t>
      </w:r>
    </w:p>
    <w:p w:rsidR="00F63B89" w:rsidRPr="00DE0F68" w:rsidRDefault="00F63B89" w:rsidP="00F63B89">
      <w:pPr>
        <w:spacing w:after="0" w:line="240" w:lineRule="auto"/>
        <w:jc w:val="both"/>
        <w:rPr>
          <w:rFonts w:ascii="Arial" w:eastAsia="Times New Roman" w:hAnsi="Arial" w:cs="Arial"/>
          <w:bCs/>
          <w:lang w:val="sr-Latn-ME" w:eastAsia="en-GB"/>
        </w:rPr>
      </w:pPr>
    </w:p>
    <w:p w:rsidR="007E562E" w:rsidRPr="00DE0F68" w:rsidRDefault="00BD64E3" w:rsidP="00BD64E3">
      <w:pPr>
        <w:spacing w:after="0" w:line="240" w:lineRule="auto"/>
        <w:jc w:val="both"/>
        <w:rPr>
          <w:rFonts w:ascii="Arial" w:hAnsi="Arial" w:cs="Arial"/>
          <w:lang w:val="sr-Latn-ME"/>
        </w:rPr>
      </w:pPr>
      <w:r w:rsidRPr="00DE0F68">
        <w:rPr>
          <w:rFonts w:ascii="Arial" w:eastAsia="Times New Roman" w:hAnsi="Arial" w:cs="Arial"/>
          <w:bCs/>
          <w:lang w:val="sr-Latn-ME" w:eastAsia="en-GB"/>
        </w:rPr>
        <w:t xml:space="preserve">Podgorica, </w:t>
      </w:r>
      <w:r w:rsidR="00552C20" w:rsidRPr="00DE0F68">
        <w:rPr>
          <w:rFonts w:ascii="Arial" w:eastAsia="Times New Roman" w:hAnsi="Arial" w:cs="Arial"/>
          <w:bCs/>
          <w:lang w:val="sr-Latn-ME" w:eastAsia="en-GB"/>
        </w:rPr>
        <w:t>24.1</w:t>
      </w:r>
      <w:r w:rsidRPr="00DE0F68">
        <w:rPr>
          <w:rFonts w:ascii="Arial" w:eastAsia="Times New Roman" w:hAnsi="Arial" w:cs="Arial"/>
          <w:bCs/>
          <w:lang w:val="sr-Latn-ME" w:eastAsia="en-GB"/>
        </w:rPr>
        <w:t>.202</w:t>
      </w:r>
      <w:r w:rsidR="00552C20" w:rsidRPr="00DE0F68">
        <w:rPr>
          <w:rFonts w:ascii="Arial" w:eastAsia="Times New Roman" w:hAnsi="Arial" w:cs="Arial"/>
          <w:bCs/>
          <w:lang w:val="sr-Latn-ME" w:eastAsia="en-GB"/>
        </w:rPr>
        <w:t>5</w:t>
      </w:r>
      <w:r w:rsidRPr="00DE0F68">
        <w:rPr>
          <w:rFonts w:ascii="Arial" w:eastAsia="Times New Roman" w:hAnsi="Arial" w:cs="Arial"/>
          <w:bCs/>
          <w:lang w:val="sr-Latn-ME" w:eastAsia="en-GB"/>
        </w:rPr>
        <w:t>. godine</w:t>
      </w:r>
      <w:r w:rsidRPr="00DE0F68">
        <w:rPr>
          <w:rFonts w:ascii="Arial" w:eastAsia="Times New Roman" w:hAnsi="Arial" w:cs="Arial"/>
          <w:bCs/>
          <w:lang w:val="sr-Latn-ME" w:eastAsia="en-GB"/>
        </w:rPr>
        <w:tab/>
      </w:r>
      <w:r w:rsidRPr="00DE0F68">
        <w:rPr>
          <w:rFonts w:ascii="Arial" w:eastAsia="Times New Roman" w:hAnsi="Arial" w:cs="Arial"/>
          <w:bCs/>
          <w:lang w:val="sr-Latn-ME" w:eastAsia="en-GB"/>
        </w:rPr>
        <w:tab/>
        <w:t xml:space="preserve">           Željko Drinčić, predsjednik Komisije</w:t>
      </w:r>
    </w:p>
    <w:sectPr w:rsidR="007E562E" w:rsidRPr="00DE0F68" w:rsidSect="00D372A1">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144" w:rsidRDefault="006B6144">
      <w:pPr>
        <w:spacing w:after="0" w:line="240" w:lineRule="auto"/>
      </w:pPr>
      <w:r>
        <w:separator/>
      </w:r>
    </w:p>
  </w:endnote>
  <w:endnote w:type="continuationSeparator" w:id="0">
    <w:p w:rsidR="006B6144" w:rsidRDefault="006B6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2A1" w:rsidRDefault="00753ADC">
    <w:pPr>
      <w:pStyle w:val="Footer"/>
      <w:jc w:val="right"/>
    </w:pPr>
    <w:r>
      <w:fldChar w:fldCharType="begin"/>
    </w:r>
    <w:r>
      <w:instrText xml:space="preserve"> PAGE   \* MERGEFORMAT </w:instrText>
    </w:r>
    <w:r>
      <w:fldChar w:fldCharType="separate"/>
    </w:r>
    <w:r w:rsidR="0020446F">
      <w:rPr>
        <w:noProof/>
      </w:rPr>
      <w:t>11</w:t>
    </w:r>
    <w:r>
      <w:rPr>
        <w:noProof/>
      </w:rPr>
      <w:fldChar w:fldCharType="end"/>
    </w:r>
  </w:p>
  <w:p w:rsidR="00D372A1" w:rsidRDefault="006B6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144" w:rsidRDefault="006B6144">
      <w:pPr>
        <w:spacing w:after="0" w:line="240" w:lineRule="auto"/>
      </w:pPr>
      <w:r>
        <w:separator/>
      </w:r>
    </w:p>
  </w:footnote>
  <w:footnote w:type="continuationSeparator" w:id="0">
    <w:p w:rsidR="006B6144" w:rsidRDefault="006B6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FA" w:rsidRDefault="00F63B89">
    <w:pPr>
      <w:pStyle w:val="Header"/>
    </w:pPr>
    <w:r>
      <w:rPr>
        <w:noProof/>
        <w:lang w:val="en-US" w:eastAsia="en-US"/>
      </w:rPr>
      <mc:AlternateContent>
        <mc:Choice Requires="wps">
          <w:drawing>
            <wp:anchor distT="0" distB="0" distL="114300" distR="114300" simplePos="0" relativeHeight="251659264" behindDoc="0" locked="1" layoutInCell="0" allowOverlap="1">
              <wp:simplePos x="0" y="0"/>
              <wp:positionH relativeFrom="margin">
                <wp:align>right</wp:align>
              </wp:positionH>
              <wp:positionV relativeFrom="page">
                <wp:posOffset>228600</wp:posOffset>
              </wp:positionV>
              <wp:extent cx="254000" cy="23749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4FA" w:rsidRPr="00785639" w:rsidRDefault="006B6144" w:rsidP="00785639">
                          <w:pPr>
                            <w:jc w:val="cente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2pt;margin-top:18pt;width:20pt;height:18.7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" o:allowincell="f" stroked="f">
              <v:textbox style="mso-fit-shape-to-text:t">
                <w:txbxContent>
                  <w:p w:rsidR="003A74FA" w:rsidRPr="00785639" w:rsidRDefault="006B6144" w:rsidP="00785639">
                    <w:pPr>
                      <w:jc w:val="center"/>
                      <w:rPr>
                        <w:rFonts w:ascii="Arial" w:hAnsi="Arial" w:cs="Arial"/>
                        <w:b/>
                        <w:color w:val="000000"/>
                        <w:sz w:val="20"/>
                      </w:rPr>
                    </w:pPr>
                  </w:p>
                </w:txbxContent>
              </v:textbox>
              <w10:wrap anchorx="margin"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FA" w:rsidRDefault="00F63B89">
    <w:pPr>
      <w:pStyle w:val="Header"/>
    </w:pPr>
    <w:r>
      <w:rPr>
        <w:noProof/>
        <w:lang w:val="en-US" w:eastAsia="en-US"/>
      </w:rPr>
      <mc:AlternateContent>
        <mc:Choice Requires="wps">
          <w:drawing>
            <wp:anchor distT="0" distB="0" distL="114300" distR="114300" simplePos="0" relativeHeight="251660288" behindDoc="0" locked="1" layoutInCell="0" allowOverlap="1">
              <wp:simplePos x="0" y="0"/>
              <wp:positionH relativeFrom="margin">
                <wp:align>right</wp:align>
              </wp:positionH>
              <wp:positionV relativeFrom="page">
                <wp:posOffset>228600</wp:posOffset>
              </wp:positionV>
              <wp:extent cx="254000" cy="237490"/>
              <wp:effectExtent l="254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74FA" w:rsidRPr="00785639" w:rsidRDefault="006B6144" w:rsidP="006C4F23">
                          <w:pPr>
                            <w:rPr>
                              <w:rFonts w:ascii="Arial" w:hAnsi="Arial" w:cs="Arial"/>
                              <w:b/>
                              <w:color w:val="000000"/>
                              <w:sz w:val="20"/>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31.2pt;margin-top:18pt;width:20pt;height:18.7pt;z-index:251660288;visibility:visible;mso-wrap-style:non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" o:allowincell="f" stroked="f">
              <v:textbox style="mso-fit-shape-to-text:t">
                <w:txbxContent>
                  <w:p w:rsidR="003A74FA" w:rsidRPr="00785639" w:rsidRDefault="006B6144" w:rsidP="006C4F23">
                    <w:pPr>
                      <w:rPr>
                        <w:rFonts w:ascii="Arial" w:hAnsi="Arial" w:cs="Arial"/>
                        <w:b/>
                        <w:color w:val="000000"/>
                        <w:sz w:val="20"/>
                      </w:rPr>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2FD3"/>
    <w:multiLevelType w:val="hybridMultilevel"/>
    <w:tmpl w:val="C7C09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86BA8"/>
    <w:multiLevelType w:val="hybridMultilevel"/>
    <w:tmpl w:val="AC105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E2D8D"/>
    <w:multiLevelType w:val="multilevel"/>
    <w:tmpl w:val="8090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25B1F"/>
    <w:multiLevelType w:val="multilevel"/>
    <w:tmpl w:val="0AE0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D3D9B"/>
    <w:multiLevelType w:val="multilevel"/>
    <w:tmpl w:val="2260F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6437E"/>
    <w:multiLevelType w:val="hybridMultilevel"/>
    <w:tmpl w:val="03F64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6555A"/>
    <w:multiLevelType w:val="hybridMultilevel"/>
    <w:tmpl w:val="6502931A"/>
    <w:lvl w:ilvl="0" w:tplc="3822B8EE">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C44B17"/>
    <w:multiLevelType w:val="hybridMultilevel"/>
    <w:tmpl w:val="CFACA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7F264A"/>
    <w:multiLevelType w:val="hybridMultilevel"/>
    <w:tmpl w:val="33B8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8B1FF7"/>
    <w:multiLevelType w:val="multilevel"/>
    <w:tmpl w:val="D95A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D7F5D"/>
    <w:multiLevelType w:val="hybridMultilevel"/>
    <w:tmpl w:val="DFBE09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190D07"/>
    <w:multiLevelType w:val="hybridMultilevel"/>
    <w:tmpl w:val="D1A07E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8E0626"/>
    <w:multiLevelType w:val="hybridMultilevel"/>
    <w:tmpl w:val="18027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EBC3F0D"/>
    <w:multiLevelType w:val="multilevel"/>
    <w:tmpl w:val="1284C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303CAF"/>
    <w:multiLevelType w:val="multilevel"/>
    <w:tmpl w:val="9400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767268"/>
    <w:multiLevelType w:val="hybridMultilevel"/>
    <w:tmpl w:val="A1C0ED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F2D56"/>
    <w:multiLevelType w:val="multilevel"/>
    <w:tmpl w:val="D3ACF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D416B4"/>
    <w:multiLevelType w:val="multilevel"/>
    <w:tmpl w:val="5FDE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755025"/>
    <w:multiLevelType w:val="hybridMultilevel"/>
    <w:tmpl w:val="CE1818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04045F"/>
    <w:multiLevelType w:val="multilevel"/>
    <w:tmpl w:val="9B3E4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1343D"/>
    <w:multiLevelType w:val="multilevel"/>
    <w:tmpl w:val="7206F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5831AB"/>
    <w:multiLevelType w:val="multilevel"/>
    <w:tmpl w:val="528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75389A"/>
    <w:multiLevelType w:val="multilevel"/>
    <w:tmpl w:val="4162E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17FDF"/>
    <w:multiLevelType w:val="hybridMultilevel"/>
    <w:tmpl w:val="B0AE9E8E"/>
    <w:lvl w:ilvl="0" w:tplc="3822B8EE">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4"/>
  </w:num>
  <w:num w:numId="4">
    <w:abstractNumId w:val="6"/>
  </w:num>
  <w:num w:numId="5">
    <w:abstractNumId w:val="7"/>
  </w:num>
  <w:num w:numId="6">
    <w:abstractNumId w:val="19"/>
  </w:num>
  <w:num w:numId="7">
    <w:abstractNumId w:val="0"/>
  </w:num>
  <w:num w:numId="8">
    <w:abstractNumId w:val="16"/>
  </w:num>
  <w:num w:numId="9">
    <w:abstractNumId w:val="11"/>
  </w:num>
  <w:num w:numId="10">
    <w:abstractNumId w:val="12"/>
  </w:num>
  <w:num w:numId="11">
    <w:abstractNumId w:val="5"/>
  </w:num>
  <w:num w:numId="12">
    <w:abstractNumId w:val="10"/>
  </w:num>
  <w:num w:numId="13">
    <w:abstractNumId w:val="21"/>
  </w:num>
  <w:num w:numId="14">
    <w:abstractNumId w:val="23"/>
  </w:num>
  <w:num w:numId="15">
    <w:abstractNumId w:val="9"/>
  </w:num>
  <w:num w:numId="16">
    <w:abstractNumId w:val="15"/>
  </w:num>
  <w:num w:numId="17">
    <w:abstractNumId w:val="17"/>
  </w:num>
  <w:num w:numId="18">
    <w:abstractNumId w:val="14"/>
  </w:num>
  <w:num w:numId="19">
    <w:abstractNumId w:val="2"/>
  </w:num>
  <w:num w:numId="20">
    <w:abstractNumId w:val="4"/>
  </w:num>
  <w:num w:numId="21">
    <w:abstractNumId w:val="18"/>
  </w:num>
  <w:num w:numId="22">
    <w:abstractNumId w:val="3"/>
  </w:num>
  <w:num w:numId="23">
    <w:abstractNumId w:val="20"/>
  </w:num>
  <w:num w:numId="24">
    <w:abstractNumId w:val="2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2F"/>
    <w:rsid w:val="00050305"/>
    <w:rsid w:val="00050E36"/>
    <w:rsid w:val="000540CD"/>
    <w:rsid w:val="000C0A31"/>
    <w:rsid w:val="000D4032"/>
    <w:rsid w:val="00110C35"/>
    <w:rsid w:val="0013545C"/>
    <w:rsid w:val="0014404A"/>
    <w:rsid w:val="00180905"/>
    <w:rsid w:val="001916AE"/>
    <w:rsid w:val="001A6D8F"/>
    <w:rsid w:val="0020446F"/>
    <w:rsid w:val="002E1240"/>
    <w:rsid w:val="002F2543"/>
    <w:rsid w:val="00356A18"/>
    <w:rsid w:val="0039265C"/>
    <w:rsid w:val="0039678C"/>
    <w:rsid w:val="003C67B3"/>
    <w:rsid w:val="0049408D"/>
    <w:rsid w:val="004A5AAF"/>
    <w:rsid w:val="00552C20"/>
    <w:rsid w:val="0056733B"/>
    <w:rsid w:val="0056757B"/>
    <w:rsid w:val="005939D2"/>
    <w:rsid w:val="005B3844"/>
    <w:rsid w:val="0065725D"/>
    <w:rsid w:val="006B6144"/>
    <w:rsid w:val="006C7477"/>
    <w:rsid w:val="006E7140"/>
    <w:rsid w:val="006F0D24"/>
    <w:rsid w:val="007327A6"/>
    <w:rsid w:val="00753ADC"/>
    <w:rsid w:val="007C1128"/>
    <w:rsid w:val="007E2D0F"/>
    <w:rsid w:val="007E562E"/>
    <w:rsid w:val="008332F7"/>
    <w:rsid w:val="008A4FB8"/>
    <w:rsid w:val="009307FF"/>
    <w:rsid w:val="00950FD0"/>
    <w:rsid w:val="00956289"/>
    <w:rsid w:val="0098160A"/>
    <w:rsid w:val="009B21E7"/>
    <w:rsid w:val="00A45F37"/>
    <w:rsid w:val="00A8430B"/>
    <w:rsid w:val="00B146E8"/>
    <w:rsid w:val="00B82A69"/>
    <w:rsid w:val="00B97114"/>
    <w:rsid w:val="00BC11A9"/>
    <w:rsid w:val="00BD64E3"/>
    <w:rsid w:val="00BE12BE"/>
    <w:rsid w:val="00C04528"/>
    <w:rsid w:val="00CC3316"/>
    <w:rsid w:val="00D12609"/>
    <w:rsid w:val="00DA4726"/>
    <w:rsid w:val="00DD742F"/>
    <w:rsid w:val="00DE0F68"/>
    <w:rsid w:val="00E53E59"/>
    <w:rsid w:val="00E63CC1"/>
    <w:rsid w:val="00E76CF1"/>
    <w:rsid w:val="00E973DA"/>
    <w:rsid w:val="00F529D8"/>
    <w:rsid w:val="00F57102"/>
    <w:rsid w:val="00F63B89"/>
    <w:rsid w:val="00F9091E"/>
    <w:rsid w:val="00FC6B9C"/>
    <w:rsid w:val="00FE13BF"/>
    <w:rsid w:val="00FE3A3F"/>
    <w:rsid w:val="00FE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5019F"/>
  <w15:chartTrackingRefBased/>
  <w15:docId w15:val="{052E7C45-1D91-41CD-A5CE-1F577210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B89"/>
    <w:pPr>
      <w:tabs>
        <w:tab w:val="center" w:pos="4680"/>
        <w:tab w:val="right" w:pos="9360"/>
      </w:tabs>
      <w:spacing w:after="0" w:line="240" w:lineRule="auto"/>
      <w:jc w:val="both"/>
    </w:pPr>
    <w:rPr>
      <w:rFonts w:ascii="Garamond" w:eastAsia="Times New Roman" w:hAnsi="Garamond" w:cs="Times New Roman"/>
      <w:bCs/>
      <w:sz w:val="24"/>
      <w:lang w:val="en-GB" w:eastAsia="en-GB"/>
    </w:rPr>
  </w:style>
  <w:style w:type="character" w:customStyle="1" w:styleId="HeaderChar">
    <w:name w:val="Header Char"/>
    <w:basedOn w:val="DefaultParagraphFont"/>
    <w:link w:val="Header"/>
    <w:uiPriority w:val="99"/>
    <w:rsid w:val="00F63B89"/>
    <w:rPr>
      <w:rFonts w:ascii="Garamond" w:eastAsia="Times New Roman" w:hAnsi="Garamond" w:cs="Times New Roman"/>
      <w:bCs/>
      <w:sz w:val="24"/>
      <w:lang w:val="en-GB" w:eastAsia="en-GB"/>
    </w:rPr>
  </w:style>
  <w:style w:type="paragraph" w:styleId="Footer">
    <w:name w:val="footer"/>
    <w:basedOn w:val="Normal"/>
    <w:link w:val="FooterChar"/>
    <w:uiPriority w:val="99"/>
    <w:unhideWhenUsed/>
    <w:rsid w:val="00F63B89"/>
    <w:pPr>
      <w:tabs>
        <w:tab w:val="center" w:pos="4680"/>
        <w:tab w:val="right" w:pos="9360"/>
      </w:tabs>
      <w:spacing w:after="0" w:line="240" w:lineRule="auto"/>
      <w:jc w:val="both"/>
    </w:pPr>
    <w:rPr>
      <w:rFonts w:ascii="Garamond" w:eastAsia="Times New Roman" w:hAnsi="Garamond" w:cs="Times New Roman"/>
      <w:bCs/>
      <w:sz w:val="24"/>
      <w:lang w:val="en-GB" w:eastAsia="en-GB"/>
    </w:rPr>
  </w:style>
  <w:style w:type="character" w:customStyle="1" w:styleId="FooterChar">
    <w:name w:val="Footer Char"/>
    <w:basedOn w:val="DefaultParagraphFont"/>
    <w:link w:val="Footer"/>
    <w:uiPriority w:val="99"/>
    <w:rsid w:val="00F63B89"/>
    <w:rPr>
      <w:rFonts w:ascii="Garamond" w:eastAsia="Times New Roman" w:hAnsi="Garamond" w:cs="Times New Roman"/>
      <w:bCs/>
      <w:sz w:val="24"/>
      <w:lang w:val="en-GB" w:eastAsia="en-GB"/>
    </w:rPr>
  </w:style>
  <w:style w:type="paragraph" w:styleId="ListParagraph">
    <w:name w:val="List Paragraph"/>
    <w:basedOn w:val="Normal"/>
    <w:uiPriority w:val="34"/>
    <w:qFormat/>
    <w:rsid w:val="00E973DA"/>
    <w:pPr>
      <w:ind w:left="720"/>
      <w:contextualSpacing/>
    </w:pPr>
  </w:style>
  <w:style w:type="paragraph" w:styleId="BalloonText">
    <w:name w:val="Balloon Text"/>
    <w:basedOn w:val="Normal"/>
    <w:link w:val="BalloonTextChar"/>
    <w:uiPriority w:val="99"/>
    <w:semiHidden/>
    <w:unhideWhenUsed/>
    <w:rsid w:val="00FC6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B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6636">
      <w:bodyDiv w:val="1"/>
      <w:marLeft w:val="0"/>
      <w:marRight w:val="0"/>
      <w:marTop w:val="0"/>
      <w:marBottom w:val="0"/>
      <w:divBdr>
        <w:top w:val="none" w:sz="0" w:space="0" w:color="auto"/>
        <w:left w:val="none" w:sz="0" w:space="0" w:color="auto"/>
        <w:bottom w:val="none" w:sz="0" w:space="0" w:color="auto"/>
        <w:right w:val="none" w:sz="0" w:space="0" w:color="auto"/>
      </w:divBdr>
    </w:div>
    <w:div w:id="307905333">
      <w:bodyDiv w:val="1"/>
      <w:marLeft w:val="0"/>
      <w:marRight w:val="0"/>
      <w:marTop w:val="0"/>
      <w:marBottom w:val="0"/>
      <w:divBdr>
        <w:top w:val="none" w:sz="0" w:space="0" w:color="auto"/>
        <w:left w:val="none" w:sz="0" w:space="0" w:color="auto"/>
        <w:bottom w:val="none" w:sz="0" w:space="0" w:color="auto"/>
        <w:right w:val="none" w:sz="0" w:space="0" w:color="auto"/>
      </w:divBdr>
    </w:div>
    <w:div w:id="1375932901">
      <w:bodyDiv w:val="1"/>
      <w:marLeft w:val="0"/>
      <w:marRight w:val="0"/>
      <w:marTop w:val="0"/>
      <w:marBottom w:val="0"/>
      <w:divBdr>
        <w:top w:val="none" w:sz="0" w:space="0" w:color="auto"/>
        <w:left w:val="none" w:sz="0" w:space="0" w:color="auto"/>
        <w:bottom w:val="none" w:sz="0" w:space="0" w:color="auto"/>
        <w:right w:val="none" w:sz="0" w:space="0" w:color="auto"/>
      </w:divBdr>
    </w:div>
    <w:div w:id="16105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4574</Words>
  <Characters>26072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Ilda Sabovic</dc:creator>
  <cp:keywords/>
  <dc:description/>
  <cp:lastModifiedBy>User </cp:lastModifiedBy>
  <cp:revision>3</cp:revision>
  <dcterms:created xsi:type="dcterms:W3CDTF">2025-01-24T08:46:00Z</dcterms:created>
  <dcterms:modified xsi:type="dcterms:W3CDTF">2025-01-24T09:23:00Z</dcterms:modified>
</cp:coreProperties>
</file>