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Default="001B6104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047461" w:rsidRPr="00AE2C6D" w:rsidRDefault="00A66276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AE2C6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Broj: </w:t>
      </w:r>
      <w:r w:rsidR="00AE2C6D" w:rsidRPr="00AE2C6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01-076/24-4474</w:t>
      </w:r>
    </w:p>
    <w:p w:rsidR="00A66276" w:rsidRPr="00AE2C6D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lang w:val="sr-Latn-ME"/>
        </w:rPr>
      </w:pPr>
      <w:r w:rsidRPr="00AE2C6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Podgorica, </w:t>
      </w:r>
      <w:r w:rsidR="00AE2C6D" w:rsidRPr="00AE2C6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18.12.2024. godine</w:t>
      </w:r>
    </w:p>
    <w:p w:rsidR="00F536EC" w:rsidRPr="00AE2C6D" w:rsidRDefault="00046C86" w:rsidP="009A2F73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hd w:val="clear" w:color="auto" w:fill="FEFEFE"/>
          <w:lang w:val="sr-Latn-ME"/>
        </w:rPr>
      </w:pPr>
      <w:r w:rsidRPr="00AE2C6D">
        <w:rPr>
          <w:rFonts w:ascii="Arial" w:eastAsia="Calibri" w:hAnsi="Arial" w:cs="Arial"/>
          <w:color w:val="000000" w:themeColor="text1"/>
          <w:lang w:val="sr-Latn-ME"/>
        </w:rPr>
        <w:t xml:space="preserve">                                                                                     </w:t>
      </w:r>
    </w:p>
    <w:p w:rsidR="006756E9" w:rsidRPr="00AE2C6D" w:rsidRDefault="003031BE" w:rsidP="00594579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AE2C6D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Klub poslanika </w:t>
      </w:r>
      <w:r w:rsidR="00AE2C6D" w:rsidRPr="00AE2C6D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Bošnjačke stranke</w:t>
      </w:r>
    </w:p>
    <w:p w:rsidR="00594579" w:rsidRPr="00AE2C6D" w:rsidRDefault="00047461" w:rsidP="00594579">
      <w:pPr>
        <w:spacing w:before="0" w:after="0" w:line="240" w:lineRule="auto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AE2C6D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AE2C6D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3031BE" w:rsidRPr="00AE2C6D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k</w:t>
      </w:r>
      <w:r w:rsidR="00AE2C6D" w:rsidRPr="00AE2C6D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  <w:t>, g-din Admir Adrović</w:t>
      </w:r>
    </w:p>
    <w:p w:rsidR="006756E9" w:rsidRPr="007936AE" w:rsidRDefault="006756E9" w:rsidP="00594579">
      <w:pPr>
        <w:spacing w:before="0" w:after="0" w:line="240" w:lineRule="auto"/>
        <w:rPr>
          <w:rFonts w:ascii="Arial" w:eastAsia="Calibri" w:hAnsi="Arial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C059F7" w:rsidRPr="007936AE" w:rsidRDefault="00C059F7" w:rsidP="009A2F73">
      <w:pPr>
        <w:spacing w:before="0" w:after="0" w:line="240" w:lineRule="auto"/>
        <w:jc w:val="left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3C17AA" w:rsidRPr="00E3331F" w:rsidRDefault="00046C86" w:rsidP="00E3331F">
      <w:pPr>
        <w:spacing w:before="0" w:after="0" w:line="240" w:lineRule="auto"/>
        <w:jc w:val="center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bookmarkStart w:id="0" w:name="OLE_LINK9"/>
      <w:bookmarkStart w:id="1" w:name="OLE_LINK10"/>
      <w:r w:rsidRPr="007936AE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2D374C" w:rsidRDefault="002D374C" w:rsidP="00AF72B6">
      <w:pPr>
        <w:spacing w:before="0" w:after="0" w:line="240" w:lineRule="auto"/>
        <w:jc w:val="left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233D09" w:rsidRDefault="00E3331F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Obzirom na ogroman potencijal naše dijaspore, posebno iz redova bošnjačke zajednice, da li Vlada ima plan za podsticanje povratka dijaspore kroz posebne programe i olakšice za investitore koji bi svoj kapital uložili u Crnu Goru, a posebno za one koji su usmjereni na sjeverni region?</w:t>
      </w:r>
    </w:p>
    <w:p w:rsidR="00E3331F" w:rsidRPr="001B6104" w:rsidRDefault="00E3331F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F536EC" w:rsidRPr="007936AE" w:rsidRDefault="00046C86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  <w:r w:rsidRPr="007936AE"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  <w:t>ODGOVOR</w:t>
      </w:r>
    </w:p>
    <w:p w:rsidR="00233D09" w:rsidRPr="007936AE" w:rsidRDefault="00233D09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F536EC" w:rsidRPr="007936AE" w:rsidRDefault="00F536EC" w:rsidP="009A2F73">
      <w:pPr>
        <w:spacing w:before="0" w:after="0" w:line="240" w:lineRule="auto"/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AE2C6D" w:rsidRDefault="00046C86" w:rsidP="00D53F95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7936A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Uvaženi poslani</w:t>
      </w:r>
      <w:r w:rsidR="005878EC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če</w:t>
      </w:r>
      <w:r w:rsidR="00FC69E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Adroviću</w:t>
      </w:r>
      <w:r w:rsidR="00594579" w:rsidRPr="007936A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,</w:t>
      </w:r>
      <w:r w:rsidR="009E4573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</w:t>
      </w:r>
    </w:p>
    <w:p w:rsidR="00AE2C6D" w:rsidRDefault="00AE2C6D" w:rsidP="00D53F95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D53F95" w:rsidRPr="00D53F95" w:rsidRDefault="00AE2C6D" w:rsidP="00D53F95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Ž</w:t>
      </w:r>
      <w:r w:rsidR="00D53F95" w:rsidRPr="00D53F9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elim da istaknem da Crna Gora, kao država s</w:t>
      </w:r>
      <w:r w:rsidR="00D53F9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</w:t>
      </w:r>
      <w:r w:rsidR="00D53F95" w:rsidRPr="00D53F9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relativno malim brojem stanovnika, ali i velikom dijasporom, mora s posebn</w:t>
      </w:r>
      <w:r w:rsidR="00D53F9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o</w:t>
      </w:r>
      <w:r w:rsidR="00D53F95" w:rsidRPr="00D53F9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m</w:t>
      </w:r>
      <w:r w:rsidR="00D53F9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</w:t>
      </w:r>
      <w:r w:rsidR="00D53F95" w:rsidRPr="00D53F9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pažnjom i senzibilitetom njegovati odnose sa svojim iseljenicima.</w:t>
      </w:r>
    </w:p>
    <w:p w:rsidR="00303D61" w:rsidRDefault="00303D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303D61" w:rsidRDefault="00303D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U tom kontekstu </w:t>
      </w:r>
      <w:r w:rsidR="00D53F9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podsjetiću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, da</w:t>
      </w:r>
      <w:r w:rsidR="00651181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</w:t>
      </w:r>
      <w:r w:rsidR="00D53F95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sam već na početku mandata posjetio</w:t>
      </w:r>
      <w:r w:rsidR="00651181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Luksemburg, gdje živi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naš</w:t>
      </w:r>
      <w:r w:rsidR="00651181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brojn</w:t>
      </w:r>
      <w:r w:rsidR="00651181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dijaspor</w:t>
      </w:r>
      <w:r w:rsidR="00651181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a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, kako bi potvrdio opredijeljenost Vlade da prepozna sve napore naših ljudi iz inostranstva da pomognu Crnoj Gori. </w:t>
      </w:r>
    </w:p>
    <w:p w:rsidR="00594579" w:rsidRPr="007936AE" w:rsidRDefault="00594579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E3331F" w:rsidRPr="00E3331F" w:rsidRDefault="00E3331F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Najvidljiviji doprinos naše dijaspore ekonomskom razvoju su finansijske doznake. Prema podacima Centralne banke Crne Gore, naša dijaspora godišnje šalje značajne sume novca </w:t>
      </w:r>
      <w:r w:rsidR="00303D61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čime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podiž</w:t>
      </w:r>
      <w:r w:rsidR="00185C3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e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životni standard građana, </w:t>
      </w:r>
      <w:r w:rsidR="00303D61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ali 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i podstič</w:t>
      </w:r>
      <w:r w:rsidR="00FC69E9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e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domaću potrošnju, </w:t>
      </w:r>
      <w:r w:rsidR="00185C3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doprinoseći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ekonomskim aktivnostima u zemlji. </w:t>
      </w:r>
    </w:p>
    <w:p w:rsidR="00E3331F" w:rsidRPr="00E3331F" w:rsidRDefault="00E3331F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E3331F" w:rsidRDefault="00FC69E9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Pored toga</w:t>
      </w:r>
      <w:r w:rsidR="00E3331F"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, dijaspora ulaže i kroz direktne investicije. Sektori kao što su turizam, nekretnine i mala preduzeća posebno su privlačni našim ljudima </w:t>
      </w:r>
      <w:r w:rsidR="00E3331F"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lastRenderedPageBreak/>
        <w:t xml:space="preserve">u inostranstvu. Ove investicije omogućavaju otvaranje novih radnih mjesta, povećanje proizvodnih kapaciteta i transfer znanja i tehnologije. </w:t>
      </w:r>
    </w:p>
    <w:p w:rsidR="00303D61" w:rsidRDefault="00303D61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777BAE" w:rsidRPr="00777BAE" w:rsidRDefault="00777BAE" w:rsidP="00777BAE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U cilju stvaranja povoljnijih uslova za dodatna ulaganja, na snazi su brojni poreski podsticaji, s posebnim naglaskom na najmanje razvijeni region – sjever. Ekonomske reforme u okviru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programa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 „Evropa Sad 1“ i „Evropa Sad 2“ pokrenute su s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a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 nam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j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erom da se eliminišu poslovne barijere i stvori povoljan okvir za investicij</w:t>
      </w:r>
      <w:r w:rsidR="008D663B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e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.</w:t>
      </w:r>
    </w:p>
    <w:p w:rsidR="00777BAE" w:rsidRPr="00777BAE" w:rsidRDefault="00777BAE" w:rsidP="00777BAE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</w:p>
    <w:p w:rsidR="00651181" w:rsidRPr="00651181" w:rsidRDefault="00777BAE" w:rsidP="00651181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</w:pP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Dodatno, jačanje privredne aktivnosti nije moguće bez odgovarajuće infrastrukture. Zbog toga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smo ušli u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veliki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 investicioni ciklus, koji će omogućiti bolju regionalnu povezanost unutar zemlje, ali i olakšati transport ljudi i roba ka zemljama region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a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 i Evrops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ke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 unij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e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.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Tek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 kada završimo izgradnju savremenih saobraćajnica, rekonstrukciju željezničke mreže i aerodroma, kao i </w:t>
      </w:r>
      <w:r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osiguramo 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potpunu valorizaciju potencijala Luke Bar, možemo biti sigurni da smo stvorili sve neophodne uslove da investitori – bez obzira da li dolaze </w:t>
      </w:r>
      <w:r w:rsidR="0090697B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od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 naše dijaspore ili </w:t>
      </w:r>
      <w:r w:rsidR="0090697B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>ne</w:t>
      </w:r>
      <w:r w:rsidRPr="00777BAE">
        <w:rPr>
          <w:rFonts w:ascii="Arial" w:eastAsia="Calibri" w:hAnsi="Arial" w:cs="Arial"/>
          <w:color w:val="000000" w:themeColor="text1"/>
          <w:sz w:val="28"/>
          <w:szCs w:val="28"/>
          <w:lang w:val="sr-Latn-RS"/>
        </w:rPr>
        <w:t xml:space="preserve"> – mogu ulagati na ekonomski održiv način.</w:t>
      </w:r>
    </w:p>
    <w:p w:rsidR="00303D61" w:rsidRPr="00E3331F" w:rsidRDefault="00303D61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E3331F" w:rsidRPr="00E3331F" w:rsidRDefault="00E3331F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Pored </w:t>
      </w:r>
      <w:r w:rsidR="00777BA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ekonomskog dijela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, dijaspora igra </w:t>
      </w:r>
      <w:r w:rsidR="00777BA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važnu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ulogu u promociji Crne Gore kao turističke i investicione destinacije. Naši iseljenici širom svijeta su ambasadori </w:t>
      </w:r>
      <w:r w:rsidR="00777BAE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crnogorske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kulture, prirodnih ljepota i ekonomskih potencijala. Njihova iskustva i preporuke ne samo da privlače turiste već i podstiču interesovanje za ulaganja u našu zemlju, dodatno jačajući i turistički i poslovni sektor.</w:t>
      </w:r>
    </w:p>
    <w:p w:rsidR="00E3331F" w:rsidRPr="00E3331F" w:rsidRDefault="00E3331F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p w:rsidR="00E3331F" w:rsidRDefault="00E3331F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Ministarstvo dijaspore aktivno komunicira sa našom dijasporom kako bi </w:t>
      </w:r>
      <w:r w:rsidR="000130CD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bili predstavljeni svi potencijali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. U planu je da</w:t>
      </w:r>
      <w:r w:rsidR="007D37DC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se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, u saradnji sa lokalnim zajednicama, dijaspori pruž</w:t>
      </w:r>
      <w:r w:rsidR="00EF0326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e</w:t>
      </w: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 detaljne informacije o biznis zonama opština, koje mogu biti atraktivne za ulaganja. Cilj je povezati dijasporu sa konkretnim mogućnostima u njihovim zavičajnim krajevima, pružajući im jasnu viziju kako njihove investicije mogu doprinijeti lokalnom razvoju. </w:t>
      </w:r>
      <w:r w:rsidR="009869B6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Ministarstvo dijaspore koristi zakonsku mogućnost za sufinansiranje projekata iz dijaspore do 70%, koji promovišu manje razvijena područja, u koja spada i sjever Crne Gore.</w:t>
      </w:r>
    </w:p>
    <w:p w:rsidR="009869B6" w:rsidRPr="00E3331F" w:rsidRDefault="009869B6" w:rsidP="00E3331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bookmarkStart w:id="2" w:name="_GoBack"/>
      <w:bookmarkEnd w:id="2"/>
    </w:p>
    <w:p w:rsidR="006756E9" w:rsidRDefault="00E3331F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 w:rsidRPr="00E3331F"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>Naša snaga leži u saradnji, a dijaspora ostaje ključni partner u stvaranju prosperitetne budućnosti za Crnu Goru.</w:t>
      </w:r>
    </w:p>
    <w:bookmarkEnd w:id="0"/>
    <w:bookmarkEnd w:id="1"/>
    <w:p w:rsidR="005252AF" w:rsidRPr="005252AF" w:rsidRDefault="005252AF" w:rsidP="005252AF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p w:rsidR="00F536EC" w:rsidRDefault="00047461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  <w:t xml:space="preserve">S poštovanjem, </w:t>
      </w:r>
    </w:p>
    <w:p w:rsidR="005252AF" w:rsidRPr="00594579" w:rsidRDefault="005252AF" w:rsidP="009A2F73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p w:rsidR="00F536EC" w:rsidRPr="009A2F73" w:rsidRDefault="00046C86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  <w:r w:rsidRPr="00594579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                                                                                               </w:t>
      </w: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PREDSJEDNIK</w:t>
      </w:r>
      <w:r w:rsidR="00AE2C6D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 xml:space="preserve"> VLADE </w:t>
      </w:r>
    </w:p>
    <w:p w:rsidR="00F536EC" w:rsidRPr="00AE2C6D" w:rsidRDefault="00046C86" w:rsidP="00AE2C6D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ab/>
      </w: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ab/>
        <w:t xml:space="preserve">                                                                                </w:t>
      </w:r>
      <w:r w:rsidR="00594579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 xml:space="preserve">  </w:t>
      </w:r>
      <w:r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 xml:space="preserve"> </w:t>
      </w:r>
      <w:r w:rsidR="009A2F73" w:rsidRPr="009A2F73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Milojko Spajić</w:t>
      </w:r>
    </w:p>
    <w:sectPr w:rsidR="00F536EC" w:rsidRPr="00AE2C6D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DFE" w:rsidRDefault="00FA4DFE">
      <w:pPr>
        <w:spacing w:line="240" w:lineRule="auto"/>
      </w:pPr>
      <w:r>
        <w:separator/>
      </w:r>
    </w:p>
  </w:endnote>
  <w:endnote w:type="continuationSeparator" w:id="0">
    <w:p w:rsidR="00FA4DFE" w:rsidRDefault="00FA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DFE" w:rsidRDefault="00FA4DFE">
      <w:pPr>
        <w:spacing w:before="0" w:after="0"/>
      </w:pPr>
      <w:r>
        <w:separator/>
      </w:r>
    </w:p>
  </w:footnote>
  <w:footnote w:type="continuationSeparator" w:id="0">
    <w:p w:rsidR="00FA4DFE" w:rsidRDefault="00FA4DF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30CD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5C3E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03D61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3F491D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477F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1181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25CD7"/>
    <w:rsid w:val="0073561A"/>
    <w:rsid w:val="007461A7"/>
    <w:rsid w:val="00760EB4"/>
    <w:rsid w:val="0077100B"/>
    <w:rsid w:val="00773B7D"/>
    <w:rsid w:val="007741A7"/>
    <w:rsid w:val="00777BAE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D37DC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D663B"/>
    <w:rsid w:val="008E162F"/>
    <w:rsid w:val="008E1C01"/>
    <w:rsid w:val="008E66CA"/>
    <w:rsid w:val="008F4A87"/>
    <w:rsid w:val="00902E6C"/>
    <w:rsid w:val="0090697B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869B6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573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7BDB"/>
    <w:rsid w:val="00A50B34"/>
    <w:rsid w:val="00A53465"/>
    <w:rsid w:val="00A6505B"/>
    <w:rsid w:val="00A66276"/>
    <w:rsid w:val="00A765A5"/>
    <w:rsid w:val="00A77847"/>
    <w:rsid w:val="00A84545"/>
    <w:rsid w:val="00AA625C"/>
    <w:rsid w:val="00AB4EDC"/>
    <w:rsid w:val="00AB6C91"/>
    <w:rsid w:val="00AC03FC"/>
    <w:rsid w:val="00AC571A"/>
    <w:rsid w:val="00AC7E6C"/>
    <w:rsid w:val="00AE2C6D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4435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53F95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3331F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0326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0023"/>
    <w:rsid w:val="00F825AC"/>
    <w:rsid w:val="00FA3CC6"/>
    <w:rsid w:val="00FA4DFE"/>
    <w:rsid w:val="00FA7540"/>
    <w:rsid w:val="00FC69E9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C623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37</cp:revision>
  <cp:lastPrinted>2022-06-16T12:02:00Z</cp:lastPrinted>
  <dcterms:created xsi:type="dcterms:W3CDTF">2023-12-27T07:14:00Z</dcterms:created>
  <dcterms:modified xsi:type="dcterms:W3CDTF">2024-12-19T07:50:00Z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