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14028C">
      <w:pPr>
        <w:pStyle w:val="2zakon"/>
        <w:rPr>
          <w:rFonts w:ascii="Tahoma" w:hAnsi="Tahoma" w:cs="Tahoma"/>
        </w:rPr>
      </w:pPr>
      <w:bookmarkStart w:id="0" w:name="_GoBack"/>
      <w:bookmarkEnd w:id="0"/>
      <w:r>
        <w:rPr>
          <w:rFonts w:ascii="Tahoma" w:hAnsi="Tahoma" w:cs="Tahoma"/>
        </w:rPr>
        <w:t>Odluka o obrazovanju Komisije za evropske integracije</w:t>
      </w:r>
    </w:p>
    <w:p w:rsidR="00000000" w:rsidRDefault="0014028C">
      <w:pPr>
        <w:pStyle w:val="3mesto"/>
        <w:rPr>
          <w:rFonts w:ascii="Tahoma" w:hAnsi="Tahoma" w:cs="Tahoma"/>
        </w:rPr>
      </w:pPr>
      <w:r>
        <w:rPr>
          <w:rFonts w:ascii="Tahoma" w:hAnsi="Tahoma" w:cs="Tahoma"/>
        </w:rPr>
        <w:t xml:space="preserve">Odluka je objavljena u "Službenom listu CG", br. </w:t>
      </w:r>
      <w:hyperlink r:id="rId4" w:history="1">
        <w:r>
          <w:rPr>
            <w:rStyle w:val="Hyperlink"/>
            <w:rFonts w:ascii="Tahoma" w:hAnsi="Tahoma" w:cs="Tahoma"/>
            <w:color w:val="CC0000"/>
          </w:rPr>
          <w:t>75/2024</w:t>
        </w:r>
      </w:hyperlink>
      <w:r>
        <w:rPr>
          <w:rFonts w:ascii="Tahoma" w:hAnsi="Tahoma" w:cs="Tahoma"/>
        </w:rPr>
        <w:t xml:space="preserve">, </w:t>
      </w:r>
      <w:hyperlink r:id="rId5" w:history="1">
        <w:r>
          <w:rPr>
            <w:rStyle w:val="Hyperlink"/>
            <w:rFonts w:ascii="Tahoma" w:hAnsi="Tahoma" w:cs="Tahoma"/>
          </w:rPr>
          <w:t>128/2025</w:t>
        </w:r>
      </w:hyperlink>
      <w:r>
        <w:rPr>
          <w:rFonts w:ascii="Tahoma" w:hAnsi="Tahoma" w:cs="Tahoma"/>
        </w:rPr>
        <w:t xml:space="preserve"> i </w:t>
      </w:r>
      <w:hyperlink r:id="rId6" w:history="1">
        <w:r>
          <w:rPr>
            <w:rStyle w:val="Hyperlink"/>
            <w:rFonts w:ascii="Tahoma" w:hAnsi="Tahoma" w:cs="Tahoma"/>
          </w:rPr>
          <w:t>135/2026</w:t>
        </w:r>
      </w:hyperlink>
      <w:r>
        <w:rPr>
          <w:rFonts w:ascii="Tahoma" w:hAnsi="Tahoma" w:cs="Tahoma"/>
        </w:rPr>
        <w:t>.</w:t>
      </w:r>
    </w:p>
    <w:p w:rsidR="00000000" w:rsidRDefault="0014028C">
      <w:pPr>
        <w:jc w:val="center"/>
        <w:divId w:val="1265767760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1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Obrazuje se Komisija za evropske integracije (u daljem tekstu: Komisija), kao radno tijelo Vlade Crne Gore, u sastavu: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1) dr Filip Ivanović, potpredsjednik Vlade za vanjske i evropske poslove, predsjednik;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2) Ervin Ibrahimović, potpredsjednik Vlade za među</w:t>
      </w:r>
      <w:r>
        <w:rPr>
          <w:rFonts w:ascii="Tahoma" w:hAnsi="Tahoma" w:cs="Tahoma"/>
        </w:rPr>
        <w:t>narodne odnose i ministar vanjskih poslova, zamjenik predsjednika;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3) Maida Gorčević, ministarka evropskih poslova, članica;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4) Bojan Božović, ministar pravde, član;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5) mr Dragoljub Nikolić, generalni sekretar Vlade, član;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6) Predrag Zenović, glavni pregov</w:t>
      </w:r>
      <w:r>
        <w:rPr>
          <w:rFonts w:ascii="Tahoma" w:hAnsi="Tahoma" w:cs="Tahoma"/>
        </w:rPr>
        <w:t>arač za pregovore o pristupanju Crne Gore Evropskoj uniji, član;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7) Milica Perišić, savjetnica predsjednika Vlade za vanjske poslove, članica;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8) Nikola Marković, v.d. sekretara Sekretarijata za zakonodavstvo, član;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 xml:space="preserve">8a) Biljana Papović, državna sekretarka </w:t>
      </w:r>
      <w:r>
        <w:rPr>
          <w:rFonts w:ascii="Tahoma" w:hAnsi="Tahoma" w:cs="Tahoma"/>
        </w:rPr>
        <w:t>u Ministarstvu evropskih poslova, članica;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8b) Jelena Vuković, savjetnica u Kabinetu predsjednika Vlade, članica;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8v) Renata Gojković, savjetnica potpredsjednika Vlade za vanjske i evropske poslove, članica;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8g) Violeta Berišaj, direktorica Direkcije za EU</w:t>
      </w:r>
      <w:r>
        <w:rPr>
          <w:rFonts w:ascii="Tahoma" w:hAnsi="Tahoma" w:cs="Tahoma"/>
        </w:rPr>
        <w:t xml:space="preserve"> inicijative i susjedstvo u Ministarstvu vanjskih poslova, članica;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8d) Slavica Mikulić, ataše u Kabinetu ministra vanjskih poslova;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9) Danijela Srdanović, savjetnica u Kabinetu predsjednika Vlade, sekretarka.</w:t>
      </w:r>
    </w:p>
    <w:p w:rsidR="00000000" w:rsidRDefault="0014028C">
      <w:pPr>
        <w:jc w:val="center"/>
        <w:divId w:val="1300652019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2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Zadaci Komisije su: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- koordinacija u i</w:t>
      </w:r>
      <w:r>
        <w:rPr>
          <w:rFonts w:ascii="Tahoma" w:hAnsi="Tahoma" w:cs="Tahoma"/>
        </w:rPr>
        <w:t>zradi Programa pristupanja Crne Gore Evropskoj uniji;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- razmatranje otvorenih pitanja vezanih za pravnu tekovinu Evropske unije;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- analitičko sagledavanje i razmatranje pitanja od značaja za realizaciju spoljnopolitičkog cilja pridruživanja Crne Gore Evrop</w:t>
      </w:r>
      <w:r>
        <w:rPr>
          <w:rFonts w:ascii="Tahoma" w:hAnsi="Tahoma" w:cs="Tahoma"/>
        </w:rPr>
        <w:t>skoj uniji;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- verifikacija drugih pitanja i materijala od značaja za proces evropske integracije.</w:t>
      </w:r>
    </w:p>
    <w:p w:rsidR="00000000" w:rsidRDefault="0014028C">
      <w:pPr>
        <w:jc w:val="center"/>
        <w:divId w:val="594292039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3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Radi izvršavanja zadataka iz člana 2 ove odluke, Komisija može da traži podatke i objašnjenja od ministarstava i organa uprave.</w:t>
      </w:r>
    </w:p>
    <w:p w:rsidR="00000000" w:rsidRDefault="0014028C">
      <w:pPr>
        <w:jc w:val="center"/>
        <w:divId w:val="1905722835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4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O izvršavanju za</w:t>
      </w:r>
      <w:r>
        <w:rPr>
          <w:rFonts w:ascii="Tahoma" w:hAnsi="Tahoma" w:cs="Tahoma"/>
        </w:rPr>
        <w:t>dataka iz člana 2 ove odluke Komisija dostavlja Vladi izvještaje jednom godišnje.</w:t>
      </w:r>
    </w:p>
    <w:p w:rsidR="00000000" w:rsidRDefault="0014028C">
      <w:pPr>
        <w:jc w:val="center"/>
        <w:divId w:val="635574078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5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 xml:space="preserve">Predsjedniku, zamjeniku predsjednika, članovima/icama i sekretarki Komisije pripada naknada za rad, u skladu sa članom 2 Odluke o kriterijumima za </w:t>
      </w:r>
      <w:r>
        <w:rPr>
          <w:rFonts w:ascii="Tahoma" w:hAnsi="Tahoma" w:cs="Tahoma"/>
        </w:rPr>
        <w:t>utvrđivanje visine naknade za rad člana radnog tijela ili drugog oblika rada („Službeni list CG”, br. 26/12, 27/13, 44/22 i 78/22), i to: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- predsjedniku Komisije, u iznosu od 70% prosječne bruto zarade iz prethodne godine;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- zamjeniku predsjednika Komisije</w:t>
      </w:r>
      <w:r>
        <w:rPr>
          <w:rFonts w:ascii="Tahoma" w:hAnsi="Tahoma" w:cs="Tahoma"/>
        </w:rPr>
        <w:t>, u iznosu od 60% prosječne bruto zarade iz prethodne godine;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- članovima/icama i sekretarki Komisije u iznosu od 50% prosječne bruto zarade iz prethodne godine.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Naknada iz stava 1 ovog člana isplaćuje se iz budžetskih sredstava organa na čiji predlog su p</w:t>
      </w:r>
      <w:r>
        <w:rPr>
          <w:rFonts w:ascii="Tahoma" w:hAnsi="Tahoma" w:cs="Tahoma"/>
        </w:rPr>
        <w:t>redsjednik, zamjenik predsjednika, članovi/ice i sekretarka Komisije određeni.</w:t>
      </w:r>
    </w:p>
    <w:p w:rsidR="00000000" w:rsidRDefault="0014028C">
      <w:pPr>
        <w:jc w:val="center"/>
        <w:divId w:val="57441539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6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Administrativno-tehničke poslove za potrebe Komisije vrši sekretarka Komisije.</w:t>
      </w:r>
    </w:p>
    <w:p w:rsidR="00000000" w:rsidRDefault="0014028C">
      <w:pPr>
        <w:jc w:val="center"/>
        <w:divId w:val="871959885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7</w:t>
      </w:r>
    </w:p>
    <w:p w:rsidR="00000000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Danom stupanja na snagu ove odluke prestaje da važi Odluka o obrazovanju Komisije z</w:t>
      </w:r>
      <w:r>
        <w:rPr>
          <w:rFonts w:ascii="Tahoma" w:hAnsi="Tahoma" w:cs="Tahoma"/>
        </w:rPr>
        <w:t>a evropske integracije („Službeni list CG”, broj 120/21).</w:t>
      </w:r>
    </w:p>
    <w:p w:rsidR="00000000" w:rsidRDefault="0014028C">
      <w:pPr>
        <w:jc w:val="center"/>
        <w:divId w:val="1854758583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8</w:t>
      </w:r>
    </w:p>
    <w:p w:rsidR="0014028C" w:rsidRDefault="0014028C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Ova odluka stupa na snagu osmog dana od dana objavljivanja u „Službenom listu Crne Gore”.</w:t>
      </w:r>
    </w:p>
    <w:sectPr w:rsidR="001402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44B"/>
    <w:rsid w:val="0014028C"/>
    <w:rsid w:val="0045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2C1BDF-0849-483F-A328-BEDDB91DD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000080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1tekst">
    <w:name w:val="_1tekst"/>
    <w:basedOn w:val="Normal"/>
    <w:pPr>
      <w:ind w:left="150" w:right="150" w:firstLine="240"/>
      <w:jc w:val="both"/>
    </w:pPr>
    <w:rPr>
      <w:sz w:val="23"/>
      <w:szCs w:val="23"/>
    </w:rPr>
  </w:style>
  <w:style w:type="paragraph" w:customStyle="1" w:styleId="osnovnitekst">
    <w:name w:val="osnovnitekst"/>
    <w:basedOn w:val="Normal"/>
    <w:pPr>
      <w:spacing w:before="100" w:beforeAutospacing="1" w:after="100" w:afterAutospacing="1"/>
      <w:ind w:left="240" w:right="240"/>
    </w:pPr>
    <w:rPr>
      <w:b/>
      <w:bCs/>
      <w:color w:val="FF0000"/>
      <w:sz w:val="36"/>
      <w:szCs w:val="36"/>
    </w:rPr>
  </w:style>
  <w:style w:type="paragraph" w:customStyle="1" w:styleId="rasir">
    <w:name w:val="rasir"/>
    <w:basedOn w:val="Normal"/>
    <w:pPr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obrazac">
    <w:name w:val="obrazac"/>
    <w:basedOn w:val="Normal"/>
    <w:pPr>
      <w:spacing w:before="100" w:beforeAutospacing="1" w:after="100" w:afterAutospacing="1"/>
      <w:jc w:val="right"/>
    </w:pPr>
    <w:rPr>
      <w:b/>
      <w:bCs/>
    </w:rPr>
  </w:style>
  <w:style w:type="paragraph" w:customStyle="1" w:styleId="izmene">
    <w:name w:val="izmene"/>
    <w:basedOn w:val="Normal"/>
    <w:pPr>
      <w:shd w:val="clear" w:color="auto" w:fill="FFCCCC"/>
      <w:spacing w:before="100" w:beforeAutospacing="1" w:after="100" w:afterAutospacing="1"/>
      <w:ind w:firstLine="240"/>
    </w:pPr>
    <w:rPr>
      <w:b/>
      <w:bCs/>
      <w:color w:val="000080"/>
      <w:sz w:val="36"/>
      <w:szCs w:val="36"/>
    </w:rPr>
  </w:style>
  <w:style w:type="paragraph" w:customStyle="1" w:styleId="napomena">
    <w:name w:val="napomena"/>
    <w:basedOn w:val="Normal"/>
    <w:pPr>
      <w:shd w:val="clear" w:color="auto" w:fill="FFCCCC"/>
      <w:spacing w:before="100" w:beforeAutospacing="1" w:after="100" w:afterAutospacing="1"/>
      <w:ind w:firstLine="240"/>
    </w:pPr>
    <w:rPr>
      <w:b/>
      <w:bCs/>
      <w:color w:val="008080"/>
      <w:sz w:val="36"/>
      <w:szCs w:val="36"/>
    </w:rPr>
  </w:style>
  <w:style w:type="paragraph" w:customStyle="1" w:styleId="2zakon">
    <w:name w:val="_2zakon"/>
    <w:basedOn w:val="Normal"/>
    <w:pPr>
      <w:spacing w:before="100" w:beforeAutospacing="1" w:after="100" w:afterAutospacing="1"/>
      <w:jc w:val="center"/>
    </w:pPr>
    <w:rPr>
      <w:color w:val="0033CC"/>
      <w:sz w:val="42"/>
      <w:szCs w:val="42"/>
    </w:rPr>
  </w:style>
  <w:style w:type="paragraph" w:customStyle="1" w:styleId="6naslov">
    <w:name w:val="_6naslov"/>
    <w:basedOn w:val="Normal"/>
    <w:pPr>
      <w:spacing w:before="60" w:after="30"/>
      <w:jc w:val="center"/>
    </w:pPr>
    <w:rPr>
      <w:sz w:val="32"/>
      <w:szCs w:val="32"/>
    </w:rPr>
  </w:style>
  <w:style w:type="paragraph" w:customStyle="1" w:styleId="5nadnaslov">
    <w:name w:val="_5nadnaslov"/>
    <w:basedOn w:val="Normal"/>
    <w:pPr>
      <w:spacing w:before="240"/>
      <w:jc w:val="center"/>
    </w:pPr>
    <w:rPr>
      <w:b/>
      <w:bCs/>
      <w:sz w:val="33"/>
      <w:szCs w:val="33"/>
    </w:rPr>
  </w:style>
  <w:style w:type="paragraph" w:customStyle="1" w:styleId="7podnas">
    <w:name w:val="_7podnas"/>
    <w:basedOn w:val="Normal"/>
    <w:pPr>
      <w:spacing w:before="60"/>
      <w:jc w:val="center"/>
    </w:pPr>
    <w:rPr>
      <w:b/>
      <w:bCs/>
      <w:sz w:val="27"/>
      <w:szCs w:val="27"/>
    </w:rPr>
  </w:style>
  <w:style w:type="paragraph" w:customStyle="1" w:styleId="8podpodnas">
    <w:name w:val="_8podpodnas"/>
    <w:basedOn w:val="Normal"/>
    <w:pPr>
      <w:spacing w:before="240" w:after="240"/>
      <w:jc w:val="center"/>
    </w:pPr>
    <w:rPr>
      <w:i/>
      <w:iCs/>
      <w:sz w:val="27"/>
      <w:szCs w:val="27"/>
    </w:rPr>
  </w:style>
  <w:style w:type="paragraph" w:customStyle="1" w:styleId="odeljak">
    <w:name w:val="odeljak"/>
    <w:basedOn w:val="Normal"/>
    <w:pPr>
      <w:spacing w:before="240" w:after="240"/>
      <w:jc w:val="center"/>
    </w:pPr>
  </w:style>
  <w:style w:type="paragraph" w:customStyle="1" w:styleId="3mesto">
    <w:name w:val="_3mesto"/>
    <w:basedOn w:val="Normal"/>
    <w:pPr>
      <w:spacing w:before="100" w:beforeAutospacing="1" w:after="100" w:afterAutospacing="1"/>
      <w:ind w:left="375" w:right="375"/>
      <w:jc w:val="center"/>
    </w:pPr>
  </w:style>
  <w:style w:type="paragraph" w:customStyle="1" w:styleId="4clan">
    <w:name w:val="_4clan"/>
    <w:basedOn w:val="Normal"/>
    <w:pPr>
      <w:spacing w:before="240" w:after="240"/>
      <w:jc w:val="center"/>
    </w:pPr>
    <w:rPr>
      <w:b/>
      <w:bCs/>
    </w:rPr>
  </w:style>
  <w:style w:type="paragraph" w:customStyle="1" w:styleId="medjclan">
    <w:name w:val="medjclan"/>
    <w:basedOn w:val="Normal"/>
    <w:pPr>
      <w:spacing w:before="240" w:after="240"/>
      <w:jc w:val="center"/>
    </w:pPr>
    <w:rPr>
      <w:b/>
      <w:bCs/>
      <w:sz w:val="29"/>
      <w:szCs w:val="29"/>
    </w:rPr>
  </w:style>
  <w:style w:type="paragraph" w:customStyle="1" w:styleId="medjtekst">
    <w:name w:val="medjtekst"/>
    <w:basedOn w:val="Normal"/>
    <w:pPr>
      <w:ind w:left="525" w:right="525" w:firstLine="240"/>
      <w:jc w:val="both"/>
    </w:pPr>
    <w:rPr>
      <w:sz w:val="27"/>
      <w:szCs w:val="27"/>
    </w:rPr>
  </w:style>
  <w:style w:type="paragraph" w:customStyle="1" w:styleId="glava">
    <w:name w:val="glava"/>
    <w:basedOn w:val="Normal"/>
    <w:pPr>
      <w:spacing w:before="240" w:after="240"/>
      <w:jc w:val="center"/>
    </w:pPr>
    <w:rPr>
      <w:b/>
      <w:bCs/>
      <w:i/>
      <w:iCs/>
      <w:sz w:val="36"/>
      <w:szCs w:val="36"/>
    </w:rPr>
  </w:style>
  <w:style w:type="paragraph" w:customStyle="1" w:styleId="deo">
    <w:name w:val="deo"/>
    <w:basedOn w:val="Normal"/>
    <w:pPr>
      <w:spacing w:before="240" w:after="240"/>
      <w:jc w:val="center"/>
    </w:pPr>
    <w:rPr>
      <w:b/>
      <w:bCs/>
      <w:sz w:val="33"/>
      <w:szCs w:val="33"/>
    </w:rPr>
  </w:style>
  <w:style w:type="paragraph" w:customStyle="1" w:styleId="vidi">
    <w:name w:val="vidi"/>
    <w:basedOn w:val="Normal"/>
    <w:pPr>
      <w:ind w:right="1650"/>
    </w:pPr>
    <w:rPr>
      <w:b/>
      <w:bCs/>
      <w:color w:val="800000"/>
      <w:sz w:val="20"/>
      <w:szCs w:val="20"/>
    </w:rPr>
  </w:style>
  <w:style w:type="paragraph" w:customStyle="1" w:styleId="vidividi">
    <w:name w:val="vidi_vidi"/>
    <w:basedOn w:val="Normal"/>
    <w:rPr>
      <w:b/>
      <w:bCs/>
      <w:color w:val="800000"/>
      <w:sz w:val="20"/>
      <w:szCs w:val="20"/>
    </w:rPr>
  </w:style>
  <w:style w:type="paragraph" w:customStyle="1" w:styleId="nodis">
    <w:name w:val="nodis"/>
    <w:basedOn w:val="Normal"/>
    <w:pPr>
      <w:spacing w:before="100" w:beforeAutospacing="1" w:after="100" w:afterAutospacing="1"/>
    </w:pPr>
    <w:rPr>
      <w:vanish/>
    </w:rPr>
  </w:style>
  <w:style w:type="paragraph" w:customStyle="1" w:styleId="vlinkovi">
    <w:name w:val="vlinkovi"/>
    <w:basedOn w:val="Normal"/>
    <w:pPr>
      <w:ind w:left="375" w:right="375"/>
    </w:pPr>
    <w:rPr>
      <w:sz w:val="20"/>
      <w:szCs w:val="20"/>
    </w:rPr>
  </w:style>
  <w:style w:type="paragraph" w:customStyle="1" w:styleId="vlb">
    <w:name w:val="vlb"/>
    <w:basedOn w:val="Normal"/>
    <w:pPr>
      <w:spacing w:before="100" w:beforeAutospacing="1" w:after="100" w:afterAutospacing="1"/>
    </w:pPr>
    <w:rPr>
      <w:b/>
      <w:bCs/>
      <w:sz w:val="17"/>
      <w:szCs w:val="17"/>
    </w:rPr>
  </w:style>
  <w:style w:type="paragraph" w:customStyle="1" w:styleId="vlnowrap">
    <w:name w:val="vlnowrap"/>
    <w:basedOn w:val="Normal"/>
    <w:pPr>
      <w:spacing w:before="100" w:beforeAutospacing="1" w:after="100" w:afterAutospacing="1"/>
    </w:pPr>
    <w:rPr>
      <w:color w:val="000080"/>
    </w:rPr>
  </w:style>
  <w:style w:type="paragraph" w:customStyle="1" w:styleId="vlf">
    <w:name w:val="vlf"/>
    <w:basedOn w:val="Normal"/>
    <w:pPr>
      <w:shd w:val="clear" w:color="auto" w:fill="FFFFFF"/>
      <w:spacing w:before="75"/>
      <w:ind w:right="225"/>
    </w:pPr>
    <w:rPr>
      <w:b/>
      <w:bCs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101140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1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76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474531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48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72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031474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1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5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2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2173108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52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4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713300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3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8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57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643298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58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5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2923909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43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75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3024185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7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65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void(0)" TargetMode="External"/><Relationship Id="rId5" Type="http://schemas.openxmlformats.org/officeDocument/2006/relationships/hyperlink" Target="javascript:void(0)" TargetMode="External"/><Relationship Id="rId4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Knezevic</dc:creator>
  <cp:keywords/>
  <dc:description/>
  <cp:lastModifiedBy>Lidija Knezevic</cp:lastModifiedBy>
  <cp:revision>2</cp:revision>
  <dcterms:created xsi:type="dcterms:W3CDTF">2026-10-06T08:21:00Z</dcterms:created>
  <dcterms:modified xsi:type="dcterms:W3CDTF">2026-10-06T08:21:00Z</dcterms:modified>
</cp:coreProperties>
</file>