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600"/>
        <w:gridCol w:w="1600"/>
        <w:gridCol w:w="1600"/>
        <w:gridCol w:w="1600"/>
        <w:gridCol w:w="2000"/>
        <w:gridCol w:w="400"/>
        <w:gridCol w:w="400"/>
        <w:gridCol w:w="400"/>
        <w:gridCol w:w="2000"/>
        <w:gridCol w:w="1400"/>
        <w:gridCol w:w="1400"/>
        <w:gridCol w:w="400"/>
        <w:gridCol w:w="1200"/>
        <w:gridCol w:w="40"/>
      </w:tblGrid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16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20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4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4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4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20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4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4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4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200" w:type="dxa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r>
              <w:rPr>
                <w:rFonts w:ascii="DejaVu Sans" w:eastAsia="DejaVu Sans" w:hAnsi="DejaVu Sans" w:cs="DejaVu Sans"/>
                <w:color w:val="000000"/>
                <w:sz w:val="24"/>
              </w:rPr>
              <w:t xml:space="preserve"> Plan integriteta</w:t>
            </w: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r>
              <w:rPr>
                <w:rFonts w:ascii="SansSerif" w:eastAsia="SansSerif" w:hAnsi="SansSerif" w:cs="SansSerif"/>
                <w:color w:val="000000"/>
                <w:sz w:val="24"/>
              </w:rPr>
              <w:t xml:space="preserve"> Fond za obeštećenje</w:t>
            </w: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4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0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</w:rPr>
              <w:t>REGISTAR RIZIKA</w:t>
            </w:r>
          </w:p>
        </w:tc>
        <w:tc>
          <w:tcPr>
            <w:tcW w:w="4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</w:rPr>
              <w:t>PROCJENE I MJERENJE RIZIKA</w:t>
            </w:r>
          </w:p>
        </w:tc>
        <w:tc>
          <w:tcPr>
            <w:tcW w:w="4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</w:rPr>
              <w:t>REAGOVANJE NA RIZIK</w:t>
            </w: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87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</w:rPr>
              <w:t>PREGLED I IZVJEŠTAVANJE O RIZICIMA</w:t>
            </w: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0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Oblasti rizika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0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Radna mjesta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0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Osnovni rizici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Postojeće mjere kontrole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Preostali rizici(rezidualni)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Vjer.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Posljedice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B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Procjena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Predložene mjere za smanjenje/otklanjanje rizika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Ogovorna osoba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Rok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87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St.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87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670F" w:rsidRDefault="00990CE4">
            <w:pPr>
              <w:ind w:left="80" w:right="8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Kratak opis i ocjena realizacije mjere</w:t>
            </w: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774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774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72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1.1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Rukovođenje i upravljanje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članovi upravnog odbora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Donošenje nezakonitih odluka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integriteta institucije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strateško planiranje rada institucije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Nedokumentovanost procedura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 ili drugi nejavni uticaj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Nepostojanje jasne strategije upravljanja, misije i vizije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Odstupanje u sprovođenju strategije razvoja institucije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8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Široka diskreciona ovlašćenja u donošenju akata i odluka koje se odnose na rukovođenje i upravljanje institucijom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Sukob interesa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Zloupotr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eba službenih podataka i informacija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Gubitak povjerenja građana u rad službenika i 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Etički kodeks državnih službenika i namještenika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akta institucije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Podnošenje izvještaja Vladi Crne Gore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Statut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74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Donošenje odluka pod eksternim uticajem, suprotno javnom interesu zbog nepostojanja jasnih propisa za korišćenje diskreconih ovlašćenja.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Primanje sponzorstava i donacija suprotno odredbama Zakona o sprečavanju korupcije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Nepoštovanje zakonske obaveze eviden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tiranja primljenih sponzorstava i donacija i njihove vrijednosti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neadekvatno kreiranje politike razvoja i upravljanja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Kršenje pravila prilikom donošenja odluka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Negativna ocjena javnog mnjenja i gubitak povjerenja u rad institucije zbog nedovoljne transpare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ntnosti i informisanosti javnosti o radu institucije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Nedovoljno jasna podjela  i razgraničenja sistema kontrole i vršenja ovlašćenja zbog velike koncentracije zadataka na samo jednoj osobi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14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Puna transparentnost u procedurama odlučivanja u oblastima iz nadležnosti institucije.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članovi upravnog odbora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2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Upoznavanje sa novim antikorupcijskim propisima.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članovi upravnog odbora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Osigurati učešće svih relevantnih subjekata prilikom kreiranja politike razvoja i upravljanja.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kontinuirano 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članovi upravnog odbora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Vođenje zapisnika na sjednicama Upravnog odbora i čuvanje kompledne dokumentacije sa usvojenim odlukama.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članovi upravnog odbora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Nakon što su isti usvojeni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670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7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6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1.1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Rukovođenje i upravljanje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članovi upravnog odbora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institucije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Etički kodeks državnih službenika i namještenika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akta institucije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Podnošenje izvještaja Vladi Crne Gore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Statut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7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Donošenje odluka pod eksternim uticajem, suprotno javnom interesu zbog nepostojanja jasnih propisa za korišćenje diskreconih ovlašćenja.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Primanje sponzorstava i donacija suprotno odredbama Zakona o sprečavanju korupcije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Nepoštovanje zakonske obaveze eviden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tiranja primljenih sponzorstava i donacija i njihove vrijednosti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neadekvatno kreiranje politike razvoja i upravljanja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Kršenje pravila prilikom donošenja odluka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Negativna ocjena javnog mnjenja i gubitak povjerenja u rad institucije zbog nedovoljne transpare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ntnosti i informisanosti javnosti o radu institucije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Nedovoljno jasna podjela  i razgraničenja sistema kontrole i vršenja ovlašćenja zbog velike koncentracije zadataka na samo jednoj osobi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14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Omogućiti dostupnost i preglednost bitnih dokumennata na internet stranici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institucije .</w:t>
                        </w:r>
                        <w:proofErr w:type="gramEnd"/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Upoznavanje sa odredbama zakona o lobiranju.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8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438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38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6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članovi upravnog odbora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ostali zaposleni 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Primanje nedozvoljenih poklona ili druge nedozvoljene koristi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Etički kodeks državnih službenika i namještenika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8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Zaposleni nijesu upoznati sa propisima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primanje poklona suproptno odredbama zakona o sprečavanju korupcije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Nepoštovanje zakonske obaveze evidentiranja primljenih poklona i njihove vrijednosti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21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Vršiti redovnu kontrolu evidencije o primljenim poklonima.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Voditi evidenciju poklona na propisanom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obrascu .</w:t>
                        </w:r>
                        <w:proofErr w:type="gramEnd"/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Dostaviti Agenciji za sprečavanje korupcije izvod iz evidencije poklona na propisanom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obrascu .</w:t>
                        </w:r>
                        <w:proofErr w:type="gramEnd"/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 zakonskom roku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  <w:pageBreakBefore/>
            </w:pPr>
            <w:bookmarkStart w:id="3" w:name="JR_PAGE_ANCHOR_0_3"/>
            <w:bookmarkEnd w:id="3"/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80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članovi upravnog odbora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ostali zaposleni 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Primanje nedozvoljenih poklona ili druge nedozvoljene koristi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Etički kodeks državnih službenika i namještenika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Zaposleni nijesu upoznati sa propisima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primanje poklona suproptno odredbama zakona o sprečavanju korupcije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Nepoštovanje zakonske obaveze evidentiranja primljenih poklona i njihove vrijednosti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21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Službenike edukovati i upoznavati u kontinuitetu sa obavezom prijavljivanja svih poklona a neposrednog rukovodioca obavezati da ažurno vodi evidenciju o primljenim poklonima i izvještavaju direktora.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5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2.2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Neblagovremeno i nepotpuno dostavljanje izvještaja o imovini i prihodima javnih funkcionera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21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Redovno dostavljati izvještaje o imovini i prihodima javnih funkcionera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 u zakonskim rokovima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4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2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2.3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 ili drugi nejavni uticaj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2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Veliki i/ili nekontrolisan prostor donošenja diskrecionih odluka prilikom donošenja prerasporednih rješenja, odluka o varijabilnom dijelu zarade i drugih odluka od značaja za rad edukaciju, usavršavanje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  materijalni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status zaposlenih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21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Objavljivanje svih odluka od značaja za rad, edukaciju, usavršavanje i materijalni status zaposlenih na oglasnoj tabli institucije zbog povećanja transparentnosti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nakon usvajanja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42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22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0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2.4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odgovorno lice za prijem i postupanje po prijavi zviždača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Neprijavljivanje korupcije i drugih nezakonitih radnji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2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postupanje po prijavi zviždača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Narušavanje zaštite identiteta i prava zviždača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Obezbjediti zaštitu zviždača od svih oblika diskriminacije i ograničavanja i uskraćivanja prava zviždača.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odgovorno lice za prijem i postupanje po prijavi zviždača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Obavještavati zviždače o mjerama koje su preduzete po njihovoj prijavi.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odgovorno lice za prijem i postupanje po prijavi zviždača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hitno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  <w:pageBreakBefore/>
            </w:pPr>
            <w:bookmarkStart w:id="4" w:name="JR_PAGE_ANCHOR_0_4"/>
            <w:bookmarkEnd w:id="4"/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634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34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32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2.4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odgovorno lice za prijem i postupanje po prijavi zviždača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Neprijavljivanje korupcije i drugih nezakonitih radnji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sprječavanju korupcije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34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postupanje po prijavi zviždača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zaštite identiteta i prava zviždača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Postupati po preporukama Agencije za sprečavanje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korupcije( u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slučajevima kad agencija sprovodi postupak po prijavi) i izvještavati Agenciju o preduzetim radnjama.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Sprovoditi kontinuirano edukaciju zaposlenih o mehanizmima prijavljivanja korupcije i drugih nezakonitih radnji kroz zvanične programe i unutar institucije prema ciljnim grupama, posebno prema službenicima koji pokrivaju rizične grupe poslova i nastaviti 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dukaciju na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kolegijumima  o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temi integriteta i prevencije korupcije kao jednoj od obaveznih tačaka dnevnog reda.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474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74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2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2.5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Nestručan i neprofesionalan rad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Neblagovremeno i neažurno obavljanje povjerenih poslova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Etički kodeks državnih službenika i namještenika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Eksterna revizija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Obuke i seminari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4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Nedovoljni kadrovski kapaciteti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Puno sprovođenje obaveze o opštem i posebnom programu obuka za sve zaposlene.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Edukativi seminari za zaposlene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  oblastima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u kojima su usvojeni novi propisi ili izmijenjene dosadašnje procedure.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Sprovoditi u kontinuitetu obuke zaposlenih o etici i integritetu.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  <w:pageBreakBefore/>
            </w:pPr>
            <w:bookmarkStart w:id="5" w:name="JR_PAGE_ANCHOR_0_5"/>
            <w:bookmarkEnd w:id="5"/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2.5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Kadrovska politika, etično i profesionalno ponašanje zaposlenih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Nestručan i neprofesionalan rad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Neblagovremeno i neažurno obavljanje povjerenih poslova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Etički kodeks državnih službenika i namještenika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Eksterna revizija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Obuke i seminari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Nedovoljni kadrovski kapaciteti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00"/>
                    </w:trPr>
                    <w:tc>
                      <w:tcPr>
                        <w:tcW w:w="48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938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938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36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3.1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Planiranje i upravljanje finansijama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planiranje i izvršavanje budžeta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Zloupotreba finansijskih ovlašćenja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Edukacija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Eksterna revizija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Obaveza sastavljanja izvještaja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budžetu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sistemu unutrašnjih finansijskih kontrola u javnom sektoru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pravilnici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38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Neadekvatno planiranje bužeta.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Neblagovremena  naplata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prihoda Fonda za obeštećenje utvrđenih shodno članu 44 Zakona o povraćaju oduzetih imovinskih prava i obeštećenju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21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Osigurati učešće svih relevantnih subjekata i jedinica prilikom planiranja budžeta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Pohađati relevantne obuke i seminare na temu planiranja budžeta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Voditi evidenciju prihoda Fonda za obeštećenje i blagovremeno naplaćivati sve dospjele obaveze shodno članu 44 zakona o povraćaju oduzetih imovinskih prava i obeštećenju.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Redovno sprovođenje unutrašnjih finansijskih kontrola i postupatnje po preporukama iz izvještaja o izvršenoj reviziji.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  <w:pageBreakBefore/>
            </w:pPr>
            <w:bookmarkStart w:id="6" w:name="JR_PAGE_ANCHOR_0_6"/>
            <w:bookmarkEnd w:id="6"/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66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6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3.1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Planiranje i upravljanje finansijama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planiranje i izvršavanje budžeta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Zloupotreba finansijskih ovlašćenja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Edukacija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Eksterna revizija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Obaveza sastavljanja izvještaja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budžetu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sistemu unutrašnjih finansijskih kontrola u javnom sektoru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pravilnici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6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Neadekvatno planiranje bužeta. 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Neblagovremena  naplata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prihoda Fonda za obeštećenje utvrđenih shodno članu 44 Zakona o povraćaju oduzetih imovinskih prava i obeštećenju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21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60"/>
                    </w:trPr>
                    <w:tc>
                      <w:tcPr>
                        <w:tcW w:w="48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448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48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6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3.2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Planiranje i upravljanje finansijama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sprovođenje postupaka javnih nabavki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Prekoračenje i zloupotreba službenih nadležnosti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 javnih nabavki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Obaveza sastavljanja izvještaja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Ugovor o javnoj nabavci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8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Odstupanje od realizacije aktivnosti predviđenih ugovorima o javnoj nabavci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18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Izvještavanje o realizaciji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ugovora  javnim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nabavkama.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polugodišnje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Dostavljanje godišnjih izvještaja Upravi za javne nabavke o sprovedenim javnim nabavkama i zaključenim ugovorima kao i dostavljenje polugodišnjih izvještaja o sprovedenim postupcima jednostavnih nabavki.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Svake godine za postupke sprovedene u preth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odnoj godini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31.01.2025.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39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92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0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3.3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Planiranje i upravljanje finansijama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Nedozvoljeno lobiranje ili drugi nejavni uticaj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Pravilnici i uputstva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Portal javnih nabavki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2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Nedovoljna transpsrentnost javnih nabavki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12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Objavljivati ugovore i sve anekse ugovora na internet stranici i portalu javnih nabavki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Objavljivati pozive za učešće u postupcima javnih nabavki i druge dokumente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Objavljivati pozive za učešće u postupcima javnih nabavki i druge dokumente.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  <w:pageBreakBefore/>
            </w:pPr>
            <w:bookmarkStart w:id="7" w:name="JR_PAGE_ANCHOR_0_7"/>
            <w:bookmarkEnd w:id="7"/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354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54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2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3.4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Planiranje i upravljanje finansijama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članovi komisije za otvaranje i vrednovanje ponuda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Donošenje nezakonitih odluka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Iskorišćavanje javne funkcije ili službenog položaja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Sukob interesa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Nepravilnosti i narušavanje integriteta u postupcima javnih nabavki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pravilnici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Mogućnost ulaganja žalbi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Obaveza sastavljanja izvještaja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akta institucije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Inspekcijska kontrola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Verifikacija od strane kolega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4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Postoji mogućnost davanja prednosti određenoj firmi kroz neobjektivno bodovanje pristiglih ponuda zbog prijateljskih i rođačkih veza (klijentelizam, nepotizam, kronizam) ili sukoba interesa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Unijeti antikorupcijsku klauzulu u sve ugovore o javnim nabavkama.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sastavni dio ugovora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Provjera izjava o nepostojanju sukoba interesa članova tenderskih komisija i službenika za javne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nabavke .</w:t>
                        </w:r>
                        <w:proofErr w:type="gramEnd"/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danom potpisivanja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javne nabavke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6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6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4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3.5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Planiranje i upravljanje finansijama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službenici koji pripremaju tehničke specifikacije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Iskorišćavanje javne funkcije ili službenog položaja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Etički kodeks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Inspekcijska kontrola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Zakoni i podzakonska akta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Mogućnost ulaganja žalbi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6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Davanje prednosti određenom ponuđaču u procesu javne nabavke, na način da se tehnička specifikacija prilagođava za određenu firmu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Obavezno uključivanje po jednog eksperta iz oblasti na koju se odnosi konkretna javna nabavka u sastav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komisije  za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otvaranje i vrednovanje ponuda.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danom imenovanja komisije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546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46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4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4.1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Čuvanje i bezbjednost podataka i dokumenata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Curenje informacija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Ugrožavanje zaštite podataka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Neadekvatni mehanizmi formalne i faktičke zaštite podataka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kontrola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Knjiga procedura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Mjere tehničkog i fizičkog obezbjeđenja prostorija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Pojačan stručni nadzor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6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Nedovoljna IT bezbjednost podataka kao i njihovo korišćenje za privatne svrhe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postupanje sa službenom dokumentacijom i informacijama zbog nedovoljnih mjera fizičke bezbjednosti i tehničke sigurnosti.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Svake godine obnavljati licencu za podršku za posebni IT sistem po principu Data Menagament za elektronsku bazu podataka – dokumenata u posjedu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institucije .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Obezbijediti kontinuirani stručni nadzor nad podacima.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6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 vršiti obuku zaposleneih o bezbjednom rukovanju podacima u elektronskoj formi.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službenik za finansijsko poslovanje izdavanje i realizaciju obveznica i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  <w:pageBreakBefore/>
            </w:pPr>
            <w:bookmarkStart w:id="8" w:name="JR_PAGE_ANCHOR_0_8"/>
            <w:bookmarkEnd w:id="8"/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304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4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4.1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Čuvanje i bezbjednost podataka i dokumenata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svi zaposleni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Curenje informacija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Ugrožavanje zaštite podataka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Neadekvatni mehanizmi formalne i faktičke zaštite podataka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kontrola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Knjiga procedura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Mjere tehničkog i fizičkog obezbjeđenja prostorija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Pojačan stručni nadzor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4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Nedovoljna IT bezbjednost podataka kao i njihovo korišćenje za privatne svrhe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  <w:t>Neadekvatno postupanje sa službenom dokumentacijom i informacijama zbog nedovoljnih mjera fizičke bez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bjednosti i tehničke sigurnosti.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bužet</w:t>
                        </w: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 vršiti analizu da li su mjere fizičke i tehničke bezbjednosti efikasne i primjenjive.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80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4.2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Čuvanje i bezbjednost podataka i dokumenata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arhivar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Neblagovremeni prijem, dostavljanje i otpremanje pismena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Nedokumentovanost procedura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Neuredno vođenje arhive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akta institucije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Edukacija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Knjiga procedura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Neadekvatan ili neefikasan sistem kontrole nad prijemom i razvrstavanjem dokumentacije 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15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Vršiti redovne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kontrole  kroz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upisnik e i internu dostavnu knjigu nad prijemom i razvrstavanjem dokumentacije u cilju sprečavanja gubljenja, oštećenja ili neevidentiranja dokumentacije.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arhivar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51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12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10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4.3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Čuvanje i bezbjednost podataka i dokumenata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Neblagovremen i netačan unos podataka u informacioni sistem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Zloupotreba finansijskih ovlašćenja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postupanje sa povjerljivim i ličnim podacima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Eksterna revizija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Interna akta institucije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Knjiga procedura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Obaveza sastavljanja izvještaja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budžetu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sistemu unutrašnjih finansijskih kontrola u javnom sektoru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12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Mogućnost da zbog velike koncentracije posla na jednoj osobi dođe do greške prilikom unosa podataka ili postupanja po zahtjevima zainetesovanih lica.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Obezbijediti kontinuiran stručni nadzor i verifikaciju od strane starješine organa.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Samostalni svjetnik I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-  službenik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za finansijsko poslovanje, izdavanje i realizaciju obveznica i bužet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Uz softversko unapređenje IT sistema evidencije i obrade podataka omogućiti jednostavni unos i obradu podataka kao i brže postupanje po zahtjevima zainteresovanih lica.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ano u skladu sa tehnološkim mogućnostima 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  <w:pageBreakBefore/>
            </w:pPr>
            <w:bookmarkStart w:id="9" w:name="JR_PAGE_ANCHOR_0_9"/>
            <w:bookmarkEnd w:id="9"/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428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28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6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5.1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Slobodan pristup informacijama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slobodan pristup informacijama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Neblagovremeno postupanje po zahtjevima za slobodan pristup informacijama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92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Povrede profesionalnih, etičkih pravila i pristrasno ponašanje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slobodnom pristupu informacijama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Edukacija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Etički kodeks državnih službenika i namještenika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8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Neosnovano uskraćivanje podnosiocu zahtjeva pristup informaciji, neobavještavanje podnosioca zahtjeva o rješavanju zahtjeva.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77ED38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zelena"/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18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Voditi evidenciju o broju podnijetih i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riješenih  zahtjeva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za pristup informacijama i isti unijeti u godišnji izvještaj o radu koji se podnosi Vladi Crne Gore.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Do kraja marta dostaviti izvještaj o radu Vladi Crne Gore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slobodan pristup informacijama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31.03.2025.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Redovno ažurirati objavljeni vodič za slobodan pristup informacijama na internet stranici Fonda za obeštećenje.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slobodan pristup informacijama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Prvog januara svake godine i u kontinuitetu ako postoji potreba.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01.01.2025.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478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78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6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5.2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Slobodan pristup informacijama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slobodan pristup informacijama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Narušavanje principa transparentnosti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Gubitak povjerenja građana u rad službenika i institucije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Etički kodeks državnih službenika i namještenika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slobodnom pristupu informacijama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zaštiti podataka o ličnosti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8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Neobjavljivanje dokumenata shodno zakonu o slobodnom pristupu informacijama, kao i ostalih informacija od zančaja za građane.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Redovno objavljivati i ažurirati propise koji regulišu rad Fonda za obeštećenje, odluke o isplati godišnje rate obeštećenja kao i sve informacije od značaja za korisnike prava na obeštećenje.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Obavezno petnaestog jula svake godine i zavisno od pot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reba i tokom god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slobodan pristup informacijama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15.07.2025.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Redovno ažurirati objavljeni vodič za slobodan pristup informacijama na internet stranici.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slobodan pristup informacijama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 kontinuitetu zavisno od potreba i izmjena koje je neophodno unijeti.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01.01.2025.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0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8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6.1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Ispunjavanje obaveza iz nadležnosti Fonda za obeštećenje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zastupanje interesa institucije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Nedovoljna stručnost kadrova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Nedostatak kadra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Izvještaj o radu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Obuke i seminari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Podjela radnih zadataka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Podnošenje izvještaja Vladi Crne Gore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Nedovoljni kadrovski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kapaciteti .</w:t>
                        </w:r>
                        <w:proofErr w:type="gramEnd"/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Praćenje sprovođenja svih aktivnosti od strane neposrednog rukovodioca i starješne organa.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  <w:pageBreakBefore/>
            </w:pPr>
            <w:bookmarkStart w:id="10" w:name="JR_PAGE_ANCHOR_0_10"/>
            <w:bookmarkEnd w:id="10"/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466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66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4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6.1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Ispunjavanje obaveza iz nadležnosti Fonda za obeštećenje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samostalni savjetnik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Neadekvatno zastupanje interesa institucije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Nedovoljna stručnost kadrova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Nedostatak kadra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Izvještaj o radu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Obuke i seminari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Podjela radnih zadataka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Podnošenje izvještaja Vladi Crne Gore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6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Nedovoljni kadrovski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kapaciteti .</w:t>
                        </w:r>
                        <w:proofErr w:type="gramEnd"/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24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Angažovanje stručnih lica - konsultanata u postupcima koji se vode pred komisijama za povraćaj i obeštećenje u cilju proaktvnog pristupa u zaštiti interesa Fonda za obeštećenje u postpcima koji su u toku.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Upotreba informatičkog sistema prilikom provjere nalaza i procjene vrijednosti imovine čiji se povraćaj traži.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načelnik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64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42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40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7.1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Isplata obeštećenja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Neblagovremeno i neažurno obavljanje povjerenih poslova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Nedokumentovanost procedura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Nedostatak kadra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Neefikasan sistem računovodstvene evidencije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Odsustvo informacione bezbjednosti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Zloupotreba finansijskih ovlašćenja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Eksterna revizija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Godišnji plan rada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Podnošenje izvještaja Vladi Crne Gore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budžetu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Uredba o isplati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povraćaju oduzetih imovinskih prava i obeštećenju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 unapređenja rada u odnosu na preporuke DRI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42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 izvršavanje zakonske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obaveze  od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strane obveznika - lokalnih samouprava i drugih subjekata u dijelu koji se odnosi na obezbjeđenje sredstava za obeštećenje bivših vlasnika  shodno članu 44 Zakona o povra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ćaju oduzetih imovinskih prava i obeštećenju.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40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Vršiti ažurnu i pravovremenu naplatu potraživanja od prihoda ostvarenih prodajom državne imovine koje Fond za obeštećenje ima prema lokalnim samoupravama shodno članu 44 Zakona o povraćaju oduzetih imovinskih prava i obeštećenju.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</w:t>
                        </w: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8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Shodno preporukama Državne revizorske institucije (DRI), potrebno je nastaviti sa mjerama preduzetim, kojima se poboljšala naplata navedenih prihoda i kojima Ministarstvo finansija u saglasnosti za prodaju opštinske imovine, koje daje lokalnim samoupravama</w:t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, obavezuje iste da postupaju u skladu sa čl. 44 Zakona o povraćaju oduzetih </w:t>
                        </w: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  <w:tc>
                      <w:tcPr>
                        <w:tcW w:w="14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kontinuirano u toku cijele godine</w:t>
                        </w: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br/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0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000" w:type="dxa"/>
                        <w:vMerge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17670F" w:rsidRDefault="0017670F">
            <w:pPr>
              <w:pStyle w:val="EMPTYCELLSTYLE"/>
              <w:pageBreakBefore/>
            </w:pPr>
            <w:bookmarkStart w:id="11" w:name="JR_PAGE_ANCHOR_0_11"/>
            <w:bookmarkEnd w:id="11"/>
          </w:p>
        </w:tc>
        <w:tc>
          <w:tcPr>
            <w:tcW w:w="16000" w:type="dxa"/>
            <w:gridSpan w:val="13"/>
          </w:tcPr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  <w:tr w:rsidR="0017670F">
        <w:tblPrEx>
          <w:tblCellMar>
            <w:top w:w="0" w:type="dxa"/>
            <w:bottom w:w="0" w:type="dxa"/>
          </w:tblCellMar>
        </w:tblPrEx>
        <w:trPr>
          <w:trHeight w:hRule="exact" w:val="3020"/>
        </w:trPr>
        <w:tc>
          <w:tcPr>
            <w:tcW w:w="1" w:type="dxa"/>
          </w:tcPr>
          <w:p w:rsidR="0017670F" w:rsidRDefault="0017670F">
            <w:pPr>
              <w:pStyle w:val="EMPTYCELLSTYLE"/>
            </w:pPr>
          </w:p>
        </w:tc>
        <w:tc>
          <w:tcPr>
            <w:tcW w:w="1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0"/>
              <w:gridCol w:w="1600"/>
              <w:gridCol w:w="1600"/>
              <w:gridCol w:w="1600"/>
              <w:gridCol w:w="2000"/>
              <w:gridCol w:w="1200"/>
              <w:gridCol w:w="6400"/>
            </w:tblGrid>
            <w:tr w:rsidR="0017670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20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0"/>
                    </w:trPr>
                    <w:tc>
                      <w:tcPr>
                        <w:tcW w:w="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</w:rPr>
                          <w:t>7.1</w:t>
                        </w:r>
                      </w:p>
                    </w:tc>
                    <w:tc>
                      <w:tcPr>
                        <w:tcW w:w="1200" w:type="dxa"/>
                        <w:tcMar>
                          <w:top w:w="0" w:type="dxa"/>
                          <w:left w:w="0" w:type="dxa"/>
                          <w:bottom w:w="20" w:type="dxa"/>
                          <w:right w:w="0" w:type="dxa"/>
                        </w:tcMar>
                      </w:tcPr>
                      <w:p w:rsidR="0017670F" w:rsidRDefault="00990CE4"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Isplata obeštećenja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direktor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službenik za finansijsko poslovanje izdavanje i realizaciju obveznica i bužet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Neblagovremeno i neažurno obavljanje povjerenih poslova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Nedokumentovanost procedura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Nedostatak kadra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Neefikasan sistem računovodstvene evidencije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Odsustvo informacione bezbjednosti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Zloupotreba finansijskih ovlašćenja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Eksterna revizija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Godišnji plan rada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Podnošenje izvještaja Vladi Crne Gore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budžetu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Uredba o isplati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Zakon o povraćaju oduzetih imovinskih prava i obeštećenju</w:t>
                        </w: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40"/>
                    </w:trPr>
                    <w:tc>
                      <w:tcPr>
                        <w:tcW w:w="1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Plan unapređenja rada u odnosu na preporuke DRI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2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Ne izvršavanje zakonske </w:t>
                        </w:r>
                        <w:proofErr w:type="gramStart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obaveze  od</w:t>
                        </w:r>
                        <w:proofErr w:type="gramEnd"/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 xml:space="preserve"> strane obveznika - lokalnih samouprava i drugih subjekata u dijelu koji se odnosi na obezbjeđenje sredstava za obeštećenje bivših vlasnika  shodno članu 44 Zakona o povraćaju oduzetih imovinskih prava i obeštećenju.</w:t>
                        </w: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20"/>
                    </w:trPr>
                    <w:tc>
                      <w:tcPr>
                        <w:tcW w:w="12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  <w:gridCol w:w="400"/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20"/>
                          </w:trPr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00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crvena"/>
                                      <w:jc w:val="center"/>
                                    </w:pPr>
                                    <w:r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  <w:tc>
                            <w:tcPr>
                              <w:tcW w:w="40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0"/>
                              </w:tblGrid>
                              <w:tr w:rsidR="0017670F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hRule="exact" w:val="620"/>
                                </w:trPr>
                                <w:tc>
                                  <w:tcPr>
                                    <w:tcW w:w="400" w:type="dxa"/>
                                    <w:shd w:val="clear" w:color="auto" w:fill="FF990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7670F" w:rsidRDefault="00990CE4">
                                    <w:pPr>
                                      <w:pStyle w:val="narandzasta"/>
                                      <w:jc w:val="center"/>
                                    </w:pPr>
                                    <w:r>
                                      <w:t>40</w:t>
                                    </w:r>
                                  </w:p>
                                </w:tc>
                              </w:tr>
                            </w:tbl>
                            <w:p w:rsidR="0017670F" w:rsidRDefault="0017670F">
                              <w:pPr>
                                <w:pStyle w:val="EMPTYCELLSTYLE"/>
                              </w:pP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  <w:tc>
                <w:tcPr>
                  <w:tcW w:w="6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0"/>
                    <w:gridCol w:w="1400"/>
                    <w:gridCol w:w="1400"/>
                    <w:gridCol w:w="400"/>
                    <w:gridCol w:w="1200"/>
                  </w:tblGrid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00"/>
                    </w:trPr>
                    <w:tc>
                      <w:tcPr>
                        <w:tcW w:w="20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990CE4">
                        <w:pPr>
                          <w:ind w:left="40" w:right="40"/>
                        </w:pPr>
                        <w:r>
                          <w:rPr>
                            <w:rFonts w:ascii="SansSerif" w:eastAsia="SansSerif" w:hAnsi="SansSerif" w:cs="SansSerif"/>
                            <w:color w:val="000000"/>
                            <w:sz w:val="16"/>
                          </w:rPr>
                          <w:t>imovinskih prava i obeštećenju tako što će od prihoda od prodaje imovine pravovremeno uplaćivati propisani iznos Fondu za obeštećenje.</w:t>
                        </w: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0"/>
                        </w:tblGrid>
                        <w:tr w:rsidR="0017670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hRule="exact" w:val="600"/>
                          </w:trPr>
                          <w:tc>
                            <w:tcPr>
                              <w:tcW w:w="40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7670F" w:rsidRDefault="00990CE4">
                              <w:pPr>
                                <w:jc w:val="center"/>
                              </w:pPr>
                              <w:r>
                                <w:rPr>
                                  <w:rFonts w:ascii="DejaVu Sans" w:eastAsia="DejaVu Sans" w:hAnsi="DejaVu Sans" w:cs="DejaVu Sans"/>
                                  <w:color w:val="000000"/>
                                </w:rPr>
                                <w:t>↔</w:t>
                              </w:r>
                            </w:p>
                          </w:tc>
                        </w:tr>
                      </w:tbl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ind w:left="40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  <w:tr w:rsidR="0017670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80"/>
                    </w:trPr>
                    <w:tc>
                      <w:tcPr>
                        <w:tcW w:w="20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4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40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00" w:type="dxa"/>
                      </w:tcPr>
                      <w:p w:rsidR="0017670F" w:rsidRDefault="0017670F">
                        <w:pPr>
                          <w:pStyle w:val="EMPTYCELLSTYLE"/>
                        </w:pPr>
                      </w:p>
                    </w:tc>
                  </w:tr>
                </w:tbl>
                <w:p w:rsidR="0017670F" w:rsidRDefault="0017670F">
                  <w:pPr>
                    <w:pStyle w:val="EMPTYCELLSTYLE"/>
                  </w:pPr>
                </w:p>
              </w:tc>
            </w:tr>
          </w:tbl>
          <w:p w:rsidR="0017670F" w:rsidRDefault="0017670F">
            <w:pPr>
              <w:pStyle w:val="EMPTYCELLSTYLE"/>
            </w:pPr>
          </w:p>
        </w:tc>
        <w:tc>
          <w:tcPr>
            <w:tcW w:w="40" w:type="dxa"/>
          </w:tcPr>
          <w:p w:rsidR="0017670F" w:rsidRDefault="0017670F">
            <w:pPr>
              <w:pStyle w:val="EMPTYCELLSTYLE"/>
            </w:pPr>
          </w:p>
        </w:tc>
      </w:tr>
    </w:tbl>
    <w:p w:rsidR="00990CE4" w:rsidRDefault="00990CE4"/>
    <w:sectPr w:rsidR="00990CE4">
      <w:pgSz w:w="16840" w:h="11900" w:orient="landscape"/>
      <w:pgMar w:top="400" w:right="400" w:bottom="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0F"/>
    <w:rsid w:val="0017670F"/>
    <w:rsid w:val="00990CE4"/>
    <w:rsid w:val="00C9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CFDEF3-7736-462F-9323-2D847917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TableTH">
    <w:name w:val="Table_TH"/>
    <w:qFormat/>
    <w:rPr>
      <w:rFonts w:ascii="SansSerif" w:eastAsia="SansSerif" w:hAnsi="SansSerif" w:cs="SansSerif"/>
      <w:color w:val="000000"/>
    </w:rPr>
  </w:style>
  <w:style w:type="paragraph" w:customStyle="1" w:styleId="TableCH">
    <w:name w:val="Table_CH"/>
    <w:qFormat/>
    <w:rPr>
      <w:rFonts w:ascii="SansSerif" w:eastAsia="SansSerif" w:hAnsi="SansSerif" w:cs="SansSerif"/>
      <w:color w:val="000000"/>
    </w:rPr>
  </w:style>
  <w:style w:type="paragraph" w:customStyle="1" w:styleId="TableTD">
    <w:name w:val="Table_TD"/>
    <w:qFormat/>
    <w:rPr>
      <w:rFonts w:ascii="SansSerif" w:eastAsia="SansSerif" w:hAnsi="SansSerif" w:cs="SansSerif"/>
      <w:color w:val="000000"/>
    </w:rPr>
  </w:style>
  <w:style w:type="paragraph" w:customStyle="1" w:styleId="narandzasta">
    <w:name w:val="narandzasta"/>
    <w:qFormat/>
    <w:rPr>
      <w:rFonts w:ascii="SansSerif" w:eastAsia="SansSerif" w:hAnsi="SansSerif" w:cs="SansSerif"/>
      <w:color w:val="000000"/>
    </w:rPr>
  </w:style>
  <w:style w:type="paragraph" w:customStyle="1" w:styleId="zelena">
    <w:name w:val="zelena"/>
    <w:qFormat/>
    <w:rPr>
      <w:rFonts w:ascii="SansSerif" w:eastAsia="SansSerif" w:hAnsi="SansSerif" w:cs="SansSerif"/>
      <w:color w:val="000000"/>
    </w:rPr>
  </w:style>
  <w:style w:type="paragraph" w:customStyle="1" w:styleId="crvena">
    <w:name w:val="crvena"/>
    <w:qFormat/>
    <w:rPr>
      <w:rFonts w:ascii="SansSerif" w:eastAsia="SansSerif" w:hAnsi="SansSerif" w:cs="SansSerif"/>
      <w:color w:val="000000"/>
    </w:rPr>
  </w:style>
  <w:style w:type="paragraph" w:customStyle="1" w:styleId="Style1">
    <w:name w:val="Style1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3796</Words>
  <Characters>21641</Characters>
  <Application>Microsoft Office Word</Application>
  <DocSecurity>0</DocSecurity>
  <Lines>180</Lines>
  <Paragraphs>50</Paragraphs>
  <ScaleCrop>false</ScaleCrop>
  <Company/>
  <LinksUpToDate>false</LinksUpToDate>
  <CharactersWithSpaces>25387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 Vlahovic</dc:creator>
  <cp:lastModifiedBy>Jovan Vlahovic</cp:lastModifiedBy>
  <cp:revision>2</cp:revision>
  <dcterms:created xsi:type="dcterms:W3CDTF">2024-11-20T10:16:00Z</dcterms:created>
  <dcterms:modified xsi:type="dcterms:W3CDTF">2024-11-20T10:16:00Z</dcterms:modified>
</cp:coreProperties>
</file>