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027" w:rsidRDefault="00A66276" w:rsidP="009A2F73">
      <w:pPr>
        <w:spacing w:before="0" w:after="0" w:line="240" w:lineRule="auto"/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</w:pPr>
      <w:r w:rsidRPr="00BD6640"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  <w:t xml:space="preserve">Broj: </w:t>
      </w:r>
      <w:r w:rsidR="00BD6640"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  <w:t xml:space="preserve"> </w:t>
      </w:r>
      <w:r w:rsidR="00012027"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  <w:t>01-008/24-1379</w:t>
      </w:r>
      <w:r w:rsidR="00BD6640"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  <w:t xml:space="preserve">                                                                                       </w:t>
      </w:r>
    </w:p>
    <w:p w:rsidR="00A66276" w:rsidRPr="00012027" w:rsidRDefault="00047461" w:rsidP="009A2F73">
      <w:pPr>
        <w:spacing w:before="0" w:after="0" w:line="240" w:lineRule="auto"/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</w:pPr>
      <w:r w:rsidRPr="00012027"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  <w:t xml:space="preserve">Podgorica, </w:t>
      </w:r>
      <w:r w:rsidR="00354CCA" w:rsidRPr="00012027"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  <w:t>0</w:t>
      </w:r>
      <w:r w:rsidR="00012027"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  <w:t>3</w:t>
      </w:r>
      <w:r w:rsidR="00354CCA" w:rsidRPr="00012027"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  <w:t>.04.2024. godine</w:t>
      </w:r>
    </w:p>
    <w:p w:rsidR="00F536EC" w:rsidRPr="00BD6640" w:rsidRDefault="00046C86" w:rsidP="009A2F73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26"/>
          <w:szCs w:val="26"/>
          <w:shd w:val="clear" w:color="auto" w:fill="FEFEFE"/>
          <w:lang w:val="sr-Latn-ME"/>
        </w:rPr>
      </w:pPr>
      <w:r w:rsidRPr="00BD6640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 xml:space="preserve">                                                                                     </w:t>
      </w:r>
    </w:p>
    <w:p w:rsidR="00012027" w:rsidRPr="00BD6640" w:rsidRDefault="00012027" w:rsidP="00012027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26"/>
          <w:szCs w:val="26"/>
          <w:shd w:val="clear" w:color="auto" w:fill="FEFEFE"/>
          <w:lang w:val="sr-Latn-ME"/>
        </w:rPr>
      </w:pPr>
      <w:r w:rsidRPr="00BD6640">
        <w:rPr>
          <w:rFonts w:asciiTheme="majorHAnsi" w:eastAsia="Calibri" w:hAnsiTheme="majorHAnsi" w:cs="Arial"/>
          <w:b/>
          <w:bCs/>
          <w:color w:val="000000" w:themeColor="text1"/>
          <w:sz w:val="26"/>
          <w:szCs w:val="26"/>
          <w:shd w:val="clear" w:color="auto" w:fill="FEFEFE"/>
          <w:lang w:val="sr-Latn-ME"/>
        </w:rPr>
        <w:t xml:space="preserve">POSEBAN KLUB POSLANIKA </w:t>
      </w:r>
    </w:p>
    <w:p w:rsidR="00012027" w:rsidRDefault="00012027" w:rsidP="00594579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26"/>
          <w:szCs w:val="26"/>
          <w:shd w:val="clear" w:color="auto" w:fill="FEFEFE"/>
          <w:lang w:val="sr-Latn-ME"/>
        </w:rPr>
      </w:pPr>
    </w:p>
    <w:p w:rsidR="00012027" w:rsidRDefault="00BD6640" w:rsidP="00594579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26"/>
          <w:szCs w:val="26"/>
          <w:shd w:val="clear" w:color="auto" w:fill="FEFEFE"/>
          <w:lang w:val="sr-Latn-ME"/>
        </w:rPr>
      </w:pPr>
      <w:r w:rsidRPr="00BD6640">
        <w:rPr>
          <w:rFonts w:asciiTheme="majorHAnsi" w:eastAsia="Calibri" w:hAnsiTheme="majorHAnsi" w:cs="Arial"/>
          <w:b/>
          <w:bCs/>
          <w:color w:val="000000" w:themeColor="text1"/>
          <w:sz w:val="26"/>
          <w:szCs w:val="26"/>
          <w:shd w:val="clear" w:color="auto" w:fill="FEFEFE"/>
          <w:lang w:val="sr-Latn-ME"/>
        </w:rPr>
        <w:t>Poslanica</w:t>
      </w:r>
      <w:r w:rsidR="00012027">
        <w:rPr>
          <w:rFonts w:asciiTheme="majorHAnsi" w:eastAsia="Calibri" w:hAnsiTheme="majorHAnsi" w:cs="Arial"/>
          <w:b/>
          <w:bCs/>
          <w:color w:val="000000" w:themeColor="text1"/>
          <w:sz w:val="26"/>
          <w:szCs w:val="26"/>
          <w:shd w:val="clear" w:color="auto" w:fill="FEFEFE"/>
          <w:lang w:val="sr-Latn-ME"/>
        </w:rPr>
        <w:t>, g-đa</w:t>
      </w:r>
      <w:r w:rsidRPr="00BD6640">
        <w:rPr>
          <w:rFonts w:asciiTheme="majorHAnsi" w:eastAsia="Calibri" w:hAnsiTheme="majorHAnsi" w:cs="Arial"/>
          <w:b/>
          <w:bCs/>
          <w:color w:val="000000" w:themeColor="text1"/>
          <w:sz w:val="26"/>
          <w:szCs w:val="26"/>
          <w:shd w:val="clear" w:color="auto" w:fill="FEFEFE"/>
          <w:lang w:val="sr-Latn-ME"/>
        </w:rPr>
        <w:t xml:space="preserve"> Jevrosima Pejović</w:t>
      </w:r>
      <w:r>
        <w:rPr>
          <w:rFonts w:asciiTheme="majorHAnsi" w:eastAsia="Calibri" w:hAnsiTheme="majorHAnsi" w:cs="Arial"/>
          <w:b/>
          <w:bCs/>
          <w:color w:val="000000" w:themeColor="text1"/>
          <w:sz w:val="26"/>
          <w:szCs w:val="26"/>
          <w:shd w:val="clear" w:color="auto" w:fill="FEFEFE"/>
          <w:lang w:val="sr-Latn-ME"/>
        </w:rPr>
        <w:t xml:space="preserve">, </w:t>
      </w:r>
    </w:p>
    <w:p w:rsidR="006756E9" w:rsidRPr="00BD6640" w:rsidRDefault="006756E9" w:rsidP="00594579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26"/>
          <w:szCs w:val="26"/>
          <w:shd w:val="clear" w:color="auto" w:fill="FEFEFE"/>
          <w:lang w:val="sr-Latn-ME"/>
        </w:rPr>
      </w:pPr>
    </w:p>
    <w:p w:rsidR="00F536EC" w:rsidRPr="00BD6640" w:rsidRDefault="00046C86" w:rsidP="009A2F73">
      <w:pPr>
        <w:spacing w:before="0" w:after="0" w:line="240" w:lineRule="auto"/>
        <w:jc w:val="center"/>
        <w:rPr>
          <w:rFonts w:asciiTheme="majorHAnsi" w:eastAsia="Calibri" w:hAnsiTheme="majorHAnsi" w:cs="Arial"/>
          <w:bCs/>
          <w:color w:val="000000" w:themeColor="text1"/>
          <w:sz w:val="26"/>
          <w:szCs w:val="26"/>
          <w:shd w:val="clear" w:color="auto" w:fill="FEFEFE"/>
          <w:lang w:val="sr-Latn-ME"/>
        </w:rPr>
      </w:pPr>
      <w:r w:rsidRPr="00BD6640"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  <w:t>POSLANIČKO PITANJE</w:t>
      </w:r>
    </w:p>
    <w:p w:rsidR="003C17AA" w:rsidRPr="00BD6640" w:rsidRDefault="003C17AA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6"/>
          <w:szCs w:val="26"/>
        </w:rPr>
      </w:pPr>
    </w:p>
    <w:p w:rsidR="00354CCA" w:rsidRPr="00BD6640" w:rsidRDefault="00354CCA" w:rsidP="00354CCA">
      <w:pPr>
        <w:tabs>
          <w:tab w:val="left" w:pos="1620"/>
        </w:tabs>
        <w:spacing w:line="240" w:lineRule="auto"/>
        <w:rPr>
          <w:rFonts w:asciiTheme="majorHAnsi" w:hAnsiTheme="majorHAnsi" w:cs="Arial"/>
          <w:sz w:val="26"/>
          <w:szCs w:val="26"/>
        </w:rPr>
      </w:pPr>
      <w:r w:rsidRPr="00BD6640">
        <w:rPr>
          <w:rFonts w:asciiTheme="majorHAnsi" w:hAnsiTheme="majorHAnsi" w:cs="Arial"/>
          <w:sz w:val="26"/>
          <w:szCs w:val="26"/>
        </w:rPr>
        <w:t>S obzirom na potrebu da se osigura praćenje i identifikovanje kriptoimovine, kako bi se spriječilo pranje novca, finansiranje terorizma i druga krivična djela, da li Vlada preduzima aktivnosti na izradi normative koja uređuej oblast digitalne imovine i šta percipirate kao najveće izazove u ovom segmentu?</w:t>
      </w:r>
    </w:p>
    <w:p w:rsidR="00F536EC" w:rsidRPr="00BD6640" w:rsidRDefault="00046C86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</w:pPr>
      <w:r w:rsidRPr="00BD6640"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  <w:t>ODGOVOR</w:t>
      </w:r>
    </w:p>
    <w:p w:rsidR="00233D09" w:rsidRPr="00BD6640" w:rsidRDefault="00233D09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</w:pPr>
    </w:p>
    <w:p w:rsidR="00F536EC" w:rsidRPr="00BD6640" w:rsidRDefault="00046C86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</w:pPr>
      <w:r w:rsidRPr="00BD6640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>Uvažen</w:t>
      </w:r>
      <w:r w:rsidR="00354CCA" w:rsidRPr="00BD6640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>a</w:t>
      </w:r>
      <w:r w:rsidRPr="00BD6640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 xml:space="preserve"> poslani</w:t>
      </w:r>
      <w:r w:rsidR="00354CCA" w:rsidRPr="00BD6640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>ce Pejović</w:t>
      </w:r>
      <w:r w:rsidR="00594579" w:rsidRPr="00BD6640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>,</w:t>
      </w:r>
    </w:p>
    <w:p w:rsidR="006756E9" w:rsidRPr="00BD6640" w:rsidRDefault="006756E9" w:rsidP="005252A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</w:pPr>
    </w:p>
    <w:p w:rsidR="008866F0" w:rsidRPr="00BD6640" w:rsidRDefault="008866F0" w:rsidP="005252A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</w:pPr>
      <w:r w:rsidRPr="00BD6640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>Crna Gora je zauzela jasan kurs ka Evropskoj uniji i na tom putu je neophodno usaglašavanje domaće regulative sa propisima koji važe u velikoj evropskoj porodici. Opredjeljenje Vlade da napravi tražene reforme i konačno završi pregovarački proces prepoznat je od naših međunarodnih partnera, a jedna od ključnih stavki u tom kontekstu je predloženi</w:t>
      </w:r>
      <w:r w:rsidR="00A6645B" w:rsidRPr="00BD6640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 xml:space="preserve">, </w:t>
      </w:r>
      <w:r w:rsidRPr="00BD6640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>i u Parlamentu usvojeni Zakon o sprečavanju pranja novca i finansiranja terorizma.</w:t>
      </w:r>
    </w:p>
    <w:p w:rsidR="00C924A7" w:rsidRPr="00BD6640" w:rsidRDefault="00C924A7" w:rsidP="005252A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</w:pPr>
    </w:p>
    <w:p w:rsidR="00C924A7" w:rsidRPr="00BD6640" w:rsidRDefault="00C924A7" w:rsidP="005252A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</w:pPr>
      <w:r w:rsidRPr="00BD6640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>Usvajanjem tog, ali i izmjenama drugih pravnih normi, izbjegli smo „sivu listu“ Manivala, a možda i još važnije dostigli smo nivo najrazvijenijih evropskih zemalja, kada govorimo o normativi u ovoj oblasti.</w:t>
      </w:r>
    </w:p>
    <w:p w:rsidR="008866F0" w:rsidRPr="00BD6640" w:rsidRDefault="008866F0" w:rsidP="005252A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</w:pPr>
      <w:r w:rsidRPr="00BD6640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br/>
      </w:r>
      <w:r w:rsidR="00C924A7" w:rsidRPr="00BD6640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>Zakonom o sprečavanju pranja novca i finansiranja terorizma</w:t>
      </w:r>
      <w:r w:rsidRPr="00BD6640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 xml:space="preserve"> je jasno stavljeno do znanja da </w:t>
      </w:r>
      <w:r w:rsidR="00A6645B" w:rsidRPr="00BD6640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>ćemo imati nultu stopu na bilo kakav oblik kriminaliteta i da ova Vlada želi da spriječi mogućnost korišćenja „prljavog novca“, što je jasna poruka da smo kredibilan partner, spreman da ispuni sve zahtjeve kako bi postao dio Evropske unije.</w:t>
      </w:r>
    </w:p>
    <w:p w:rsidR="00A6645B" w:rsidRPr="00BD6640" w:rsidRDefault="00A6645B" w:rsidP="005252AF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</w:pPr>
    </w:p>
    <w:p w:rsidR="008208DF" w:rsidRPr="00BD6640" w:rsidRDefault="00A6645B" w:rsidP="00A6645B">
      <w:pPr>
        <w:spacing w:before="0" w:after="0" w:line="240" w:lineRule="auto"/>
        <w:rPr>
          <w:rFonts w:asciiTheme="majorHAnsi" w:eastAsia="Times New Roman" w:hAnsiTheme="majorHAnsi" w:cs="Arial"/>
          <w:color w:val="212121"/>
          <w:sz w:val="26"/>
          <w:szCs w:val="26"/>
          <w:lang w:val="sr-Latn-RS"/>
        </w:rPr>
      </w:pPr>
      <w:r w:rsidRPr="00BD6640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 xml:space="preserve">Korak u tom smjeru je i </w:t>
      </w:r>
      <w:r w:rsidR="004078F9" w:rsidRPr="00BD6640">
        <w:rPr>
          <w:rFonts w:asciiTheme="majorHAnsi" w:eastAsia="Times New Roman" w:hAnsiTheme="majorHAnsi" w:cs="Arial"/>
          <w:color w:val="212121"/>
          <w:sz w:val="26"/>
          <w:szCs w:val="26"/>
          <w:lang w:val="sr-Latn-RS"/>
        </w:rPr>
        <w:t xml:space="preserve">pristupanje jedinstvenom području plaćanja u eurima (SEPA), što će omogućiti uplate i primanje uplata u eurima pod jednakim uslovima, pravima i obavezama, kao u zemljama EU, uz značajno smanjenje troškova prekograničnih plaćanja Crne Gore sa zemljama EU. </w:t>
      </w:r>
      <w:r w:rsidR="008208DF" w:rsidRPr="00BD6640">
        <w:rPr>
          <w:rFonts w:asciiTheme="majorHAnsi" w:eastAsia="Times New Roman" w:hAnsiTheme="majorHAnsi" w:cs="Arial"/>
          <w:color w:val="212121"/>
          <w:sz w:val="26"/>
          <w:szCs w:val="26"/>
          <w:lang w:val="sr-Latn-RS"/>
        </w:rPr>
        <w:t>Naravno garantovati još veću sigurnost u kontroli novca, koji ulazi u Crnu Goru i šalje se u inostranstvo.</w:t>
      </w:r>
    </w:p>
    <w:p w:rsidR="008208DF" w:rsidRPr="00BD6640" w:rsidRDefault="008208DF" w:rsidP="00A6645B">
      <w:pPr>
        <w:spacing w:before="0" w:after="0" w:line="240" w:lineRule="auto"/>
        <w:rPr>
          <w:rFonts w:asciiTheme="majorHAnsi" w:eastAsia="Times New Roman" w:hAnsiTheme="majorHAnsi" w:cs="Arial"/>
          <w:color w:val="212121"/>
          <w:sz w:val="26"/>
          <w:szCs w:val="26"/>
          <w:lang w:val="sr-Latn-RS"/>
        </w:rPr>
      </w:pPr>
    </w:p>
    <w:p w:rsidR="004078F9" w:rsidRPr="00BD6640" w:rsidRDefault="004078F9" w:rsidP="00A6645B">
      <w:pPr>
        <w:spacing w:before="0" w:after="0" w:line="240" w:lineRule="auto"/>
        <w:rPr>
          <w:rFonts w:asciiTheme="majorHAnsi" w:hAnsiTheme="majorHAnsi" w:cs="Arial"/>
          <w:b/>
          <w:bCs/>
          <w:sz w:val="26"/>
          <w:szCs w:val="26"/>
        </w:rPr>
      </w:pPr>
      <w:r w:rsidRPr="00BD6640">
        <w:rPr>
          <w:rFonts w:asciiTheme="majorHAnsi" w:eastAsia="Times New Roman" w:hAnsiTheme="majorHAnsi" w:cs="Arial"/>
          <w:b/>
          <w:bCs/>
          <w:color w:val="212121"/>
          <w:sz w:val="26"/>
          <w:szCs w:val="26"/>
          <w:lang w:val="sr-Latn-RS"/>
        </w:rPr>
        <w:t xml:space="preserve">S tim u vezi, </w:t>
      </w:r>
      <w:r w:rsidRPr="00BD6640">
        <w:rPr>
          <w:rFonts w:asciiTheme="majorHAnsi" w:hAnsiTheme="majorHAnsi" w:cs="Arial"/>
          <w:b/>
          <w:bCs/>
          <w:sz w:val="26"/>
          <w:szCs w:val="26"/>
        </w:rPr>
        <w:t>nadležne institucije koje su učestvovale u pripremi obimne dokumentacije</w:t>
      </w:r>
      <w:r w:rsidR="008208DF" w:rsidRPr="00BD6640">
        <w:rPr>
          <w:rFonts w:asciiTheme="majorHAnsi" w:hAnsiTheme="majorHAnsi" w:cs="Arial"/>
          <w:b/>
          <w:bCs/>
          <w:sz w:val="26"/>
          <w:szCs w:val="26"/>
        </w:rPr>
        <w:t>,</w:t>
      </w:r>
      <w:r w:rsidRPr="00BD6640">
        <w:rPr>
          <w:rFonts w:asciiTheme="majorHAnsi" w:hAnsiTheme="majorHAnsi" w:cs="Arial"/>
          <w:b/>
          <w:bCs/>
          <w:sz w:val="26"/>
          <w:szCs w:val="26"/>
        </w:rPr>
        <w:t xml:space="preserve"> koja čini sastavni dio procesa apliciranja pripremile su </w:t>
      </w:r>
      <w:r w:rsidRPr="00BD6640">
        <w:rPr>
          <w:rFonts w:asciiTheme="majorHAnsi" w:eastAsia="Times New Roman" w:hAnsiTheme="majorHAnsi" w:cs="Arial"/>
          <w:b/>
          <w:bCs/>
          <w:color w:val="212121"/>
          <w:sz w:val="26"/>
          <w:szCs w:val="26"/>
          <w:lang w:val="sr-Latn-RS"/>
        </w:rPr>
        <w:t>pred aplikacij</w:t>
      </w:r>
      <w:r w:rsidR="008208DF" w:rsidRPr="00BD6640">
        <w:rPr>
          <w:rFonts w:asciiTheme="majorHAnsi" w:eastAsia="Times New Roman" w:hAnsiTheme="majorHAnsi" w:cs="Arial"/>
          <w:b/>
          <w:bCs/>
          <w:color w:val="212121"/>
          <w:sz w:val="26"/>
          <w:szCs w:val="26"/>
          <w:lang w:val="sr-Latn-RS"/>
        </w:rPr>
        <w:t>u upućenu Evropskoj komisiji</w:t>
      </w:r>
      <w:r w:rsidRPr="00BD6640">
        <w:rPr>
          <w:rFonts w:asciiTheme="majorHAnsi" w:eastAsia="Times New Roman" w:hAnsiTheme="majorHAnsi" w:cs="Arial"/>
          <w:b/>
          <w:bCs/>
          <w:color w:val="212121"/>
          <w:sz w:val="26"/>
          <w:szCs w:val="26"/>
          <w:lang w:val="sr-Latn-RS"/>
        </w:rPr>
        <w:t xml:space="preserve"> 22.03.2024, na mišljenje. </w:t>
      </w:r>
      <w:r w:rsidRPr="00BD6640">
        <w:rPr>
          <w:rFonts w:asciiTheme="majorHAnsi" w:hAnsiTheme="majorHAnsi" w:cs="Arial"/>
          <w:b/>
          <w:bCs/>
          <w:sz w:val="26"/>
          <w:szCs w:val="26"/>
        </w:rPr>
        <w:t xml:space="preserve">Cilj je da dobijemo prethodno odobrenje od DG FISMA, kako bismo olakšali pravovremeno podnošenje naše aplikacije Evropskom savjetu za plaćanja (EPC), po mogućnosti  prije </w:t>
      </w:r>
      <w:r w:rsidR="00470124">
        <w:rPr>
          <w:rFonts w:asciiTheme="majorHAnsi" w:hAnsiTheme="majorHAnsi" w:cs="Arial"/>
          <w:b/>
          <w:bCs/>
          <w:sz w:val="26"/>
          <w:szCs w:val="26"/>
        </w:rPr>
        <w:t>kraja</w:t>
      </w:r>
      <w:bookmarkStart w:id="0" w:name="_GoBack"/>
      <w:bookmarkEnd w:id="0"/>
      <w:r w:rsidRPr="00BD6640">
        <w:rPr>
          <w:rFonts w:asciiTheme="majorHAnsi" w:hAnsiTheme="majorHAnsi" w:cs="Arial"/>
          <w:b/>
          <w:bCs/>
          <w:sz w:val="26"/>
          <w:szCs w:val="26"/>
        </w:rPr>
        <w:t xml:space="preserve"> aprila tekuće godine. Time bi Crna Gora postala prva država aplikant sa Zapadnog Balkana za uključenje u Jedinstveni sistem plaćanja u eurima (SEPA).  </w:t>
      </w:r>
    </w:p>
    <w:p w:rsidR="00DC74FC" w:rsidRPr="00BD6640" w:rsidRDefault="00DC74FC" w:rsidP="00A6645B">
      <w:pPr>
        <w:spacing w:before="0" w:after="0" w:line="240" w:lineRule="auto"/>
        <w:rPr>
          <w:rFonts w:asciiTheme="majorHAnsi" w:hAnsiTheme="majorHAnsi" w:cs="Arial"/>
          <w:bCs/>
          <w:sz w:val="26"/>
          <w:szCs w:val="26"/>
        </w:rPr>
      </w:pPr>
    </w:p>
    <w:p w:rsidR="00DC74FC" w:rsidRPr="00BD6640" w:rsidRDefault="00BD6640" w:rsidP="00A6645B">
      <w:pPr>
        <w:spacing w:before="0" w:after="0" w:line="240" w:lineRule="auto"/>
        <w:rPr>
          <w:rFonts w:asciiTheme="majorHAnsi" w:hAnsiTheme="majorHAnsi" w:cs="Arial"/>
          <w:bCs/>
          <w:sz w:val="26"/>
          <w:szCs w:val="26"/>
        </w:rPr>
      </w:pPr>
      <w:r>
        <w:rPr>
          <w:rFonts w:asciiTheme="majorHAnsi" w:hAnsiTheme="majorHAnsi" w:cs="Arial"/>
          <w:bCs/>
          <w:sz w:val="26"/>
          <w:szCs w:val="26"/>
        </w:rPr>
        <w:t>P</w:t>
      </w:r>
      <w:r w:rsidR="00DC74FC" w:rsidRPr="00BD6640">
        <w:rPr>
          <w:rFonts w:asciiTheme="majorHAnsi" w:hAnsiTheme="majorHAnsi" w:cs="Arial"/>
          <w:bCs/>
          <w:sz w:val="26"/>
          <w:szCs w:val="26"/>
        </w:rPr>
        <w:t>oslanice Pejović,</w:t>
      </w:r>
    </w:p>
    <w:p w:rsidR="00DC74FC" w:rsidRPr="00BD6640" w:rsidRDefault="00DC74FC" w:rsidP="00A6645B">
      <w:pPr>
        <w:spacing w:before="0" w:after="0" w:line="240" w:lineRule="auto"/>
        <w:rPr>
          <w:rFonts w:asciiTheme="majorHAnsi" w:hAnsiTheme="majorHAnsi" w:cs="Arial"/>
          <w:bCs/>
          <w:sz w:val="26"/>
          <w:szCs w:val="26"/>
        </w:rPr>
      </w:pPr>
    </w:p>
    <w:p w:rsidR="00A6645B" w:rsidRPr="00BD6640" w:rsidRDefault="00950F6C" w:rsidP="00A6645B">
      <w:pPr>
        <w:spacing w:before="0" w:after="0" w:line="240" w:lineRule="auto"/>
        <w:rPr>
          <w:rFonts w:asciiTheme="majorHAnsi" w:hAnsiTheme="majorHAnsi" w:cs="Arial"/>
          <w:bCs/>
          <w:sz w:val="26"/>
          <w:szCs w:val="26"/>
        </w:rPr>
      </w:pPr>
      <w:r w:rsidRPr="00BD6640">
        <w:rPr>
          <w:rFonts w:asciiTheme="majorHAnsi" w:hAnsiTheme="majorHAnsi" w:cs="Arial"/>
          <w:bCs/>
          <w:sz w:val="26"/>
          <w:szCs w:val="26"/>
        </w:rPr>
        <w:t xml:space="preserve">Želim da Vas obavijestim, da </w:t>
      </w:r>
      <w:r w:rsidR="001D282A" w:rsidRPr="00BD6640">
        <w:rPr>
          <w:rFonts w:asciiTheme="majorHAnsi" w:hAnsiTheme="majorHAnsi" w:cs="Arial"/>
          <w:bCs/>
          <w:sz w:val="26"/>
          <w:szCs w:val="26"/>
        </w:rPr>
        <w:t>više</w:t>
      </w:r>
      <w:r w:rsidRPr="00BD6640">
        <w:rPr>
          <w:rFonts w:asciiTheme="majorHAnsi" w:hAnsiTheme="majorHAnsi" w:cs="Arial"/>
          <w:bCs/>
          <w:sz w:val="26"/>
          <w:szCs w:val="26"/>
        </w:rPr>
        <w:t xml:space="preserve"> institucij</w:t>
      </w:r>
      <w:r w:rsidR="001D282A" w:rsidRPr="00BD6640">
        <w:rPr>
          <w:rFonts w:asciiTheme="majorHAnsi" w:hAnsiTheme="majorHAnsi" w:cs="Arial"/>
          <w:bCs/>
          <w:sz w:val="26"/>
          <w:szCs w:val="26"/>
        </w:rPr>
        <w:t>a</w:t>
      </w:r>
      <w:r w:rsidRPr="00BD6640">
        <w:rPr>
          <w:rFonts w:asciiTheme="majorHAnsi" w:hAnsiTheme="majorHAnsi" w:cs="Arial"/>
          <w:bCs/>
          <w:sz w:val="26"/>
          <w:szCs w:val="26"/>
        </w:rPr>
        <w:t xml:space="preserve"> rade na izradi zakona, kojim ćemo se i u oblasti praćenja i identifikovanja kripto-imovine izjednačiti sa najrazvijenijim evropskim zemljama.</w:t>
      </w:r>
    </w:p>
    <w:p w:rsidR="004078F9" w:rsidRPr="00BD6640" w:rsidRDefault="004078F9" w:rsidP="004078F9">
      <w:pPr>
        <w:shd w:val="clear" w:color="auto" w:fill="FFFFFF"/>
        <w:spacing w:line="240" w:lineRule="auto"/>
        <w:rPr>
          <w:rFonts w:asciiTheme="majorHAnsi" w:eastAsia="Times New Roman" w:hAnsiTheme="majorHAnsi" w:cs="Arial"/>
          <w:color w:val="000000"/>
          <w:sz w:val="26"/>
          <w:szCs w:val="26"/>
        </w:rPr>
      </w:pPr>
      <w:r w:rsidRPr="00BD6640">
        <w:rPr>
          <w:rFonts w:asciiTheme="majorHAnsi" w:eastAsia="Times New Roman" w:hAnsiTheme="majorHAnsi" w:cs="Arial"/>
          <w:color w:val="000000"/>
          <w:sz w:val="26"/>
          <w:szCs w:val="26"/>
        </w:rPr>
        <w:t>Evropska komisija je</w:t>
      </w:r>
      <w:r w:rsidRPr="00BD6640">
        <w:rPr>
          <w:rFonts w:asciiTheme="majorHAnsi" w:hAnsiTheme="majorHAnsi" w:cs="Arial"/>
          <w:sz w:val="26"/>
          <w:szCs w:val="26"/>
        </w:rPr>
        <w:t xml:space="preserve">, početkom juna 2023, donijela MiCA regulativu (Markets in Crypto-Assets Regulation), kojom se uređuje </w:t>
      </w:r>
      <w:r w:rsidRPr="00BD6640">
        <w:rPr>
          <w:rFonts w:asciiTheme="majorHAnsi" w:eastAsia="Times New Roman" w:hAnsiTheme="majorHAnsi" w:cs="Arial"/>
          <w:color w:val="000000"/>
          <w:sz w:val="26"/>
          <w:szCs w:val="26"/>
        </w:rPr>
        <w:t xml:space="preserve">regulatorni okvir za kripto imovinu. </w:t>
      </w:r>
    </w:p>
    <w:p w:rsidR="004078F9" w:rsidRPr="00BD6640" w:rsidRDefault="004078F9" w:rsidP="004078F9">
      <w:pPr>
        <w:shd w:val="clear" w:color="auto" w:fill="FFFFFF"/>
        <w:spacing w:line="240" w:lineRule="auto"/>
        <w:rPr>
          <w:rFonts w:asciiTheme="majorHAnsi" w:hAnsiTheme="majorHAnsi" w:cs="Arial"/>
          <w:sz w:val="26"/>
          <w:szCs w:val="26"/>
        </w:rPr>
      </w:pPr>
      <w:r w:rsidRPr="00BD6640">
        <w:rPr>
          <w:rFonts w:asciiTheme="majorHAnsi" w:hAnsiTheme="majorHAnsi" w:cs="Arial"/>
          <w:sz w:val="26"/>
          <w:szCs w:val="26"/>
        </w:rPr>
        <w:t>MICA regulativom se uređuju pitanja koja se odnose na izdavanje određenih vrsta kripto-imovine, uslovi i način trgovanja tim vrstama kripto-imovine na teritoriji Evropske unije, uključujući i liceniciranje pružalaca usluga. Takođe, uređuju se i nadležnosti nadzornih organa, kao i mjere i druge aktivnosti koje nadzorni organi preduzimaju.</w:t>
      </w:r>
    </w:p>
    <w:p w:rsidR="0043499A" w:rsidRPr="00BD6640" w:rsidRDefault="004078F9" w:rsidP="004078F9">
      <w:pPr>
        <w:shd w:val="clear" w:color="auto" w:fill="FFFFFF"/>
        <w:spacing w:line="240" w:lineRule="auto"/>
        <w:rPr>
          <w:rFonts w:asciiTheme="majorHAnsi" w:hAnsiTheme="majorHAnsi" w:cs="Arial"/>
          <w:sz w:val="26"/>
          <w:szCs w:val="26"/>
        </w:rPr>
      </w:pPr>
      <w:r w:rsidRPr="00BD6640">
        <w:rPr>
          <w:rFonts w:asciiTheme="majorHAnsi" w:eastAsia="Times New Roman" w:hAnsiTheme="majorHAnsi" w:cs="Arial"/>
          <w:color w:val="000000"/>
          <w:sz w:val="26"/>
          <w:szCs w:val="26"/>
        </w:rPr>
        <w:t xml:space="preserve">Ministarstvo finansija je, u saradnji sa Centralnom bankom Crne Gore i Komisijom za tržište kapitala započelo pripremne </w:t>
      </w:r>
      <w:r w:rsidRPr="00BD6640">
        <w:rPr>
          <w:rFonts w:asciiTheme="majorHAnsi" w:hAnsiTheme="majorHAnsi" w:cs="Arial"/>
          <w:sz w:val="26"/>
          <w:szCs w:val="26"/>
        </w:rPr>
        <w:t>aktivnosti na izradi zakona kojim će se urediti oblast digitalne odnosno kripto</w:t>
      </w:r>
      <w:r w:rsidR="0043499A" w:rsidRPr="00BD6640">
        <w:rPr>
          <w:rFonts w:asciiTheme="majorHAnsi" w:hAnsiTheme="majorHAnsi" w:cs="Arial"/>
          <w:sz w:val="26"/>
          <w:szCs w:val="26"/>
        </w:rPr>
        <w:t>-</w:t>
      </w:r>
      <w:r w:rsidRPr="00BD6640">
        <w:rPr>
          <w:rFonts w:asciiTheme="majorHAnsi" w:hAnsiTheme="majorHAnsi" w:cs="Arial"/>
          <w:sz w:val="26"/>
          <w:szCs w:val="26"/>
        </w:rPr>
        <w:t xml:space="preserve">imovine, u skladu sa MICA regulativom. </w:t>
      </w:r>
    </w:p>
    <w:p w:rsidR="00354CCA" w:rsidRDefault="004078F9" w:rsidP="0043499A">
      <w:pPr>
        <w:shd w:val="clear" w:color="auto" w:fill="FFFFFF"/>
        <w:spacing w:line="240" w:lineRule="auto"/>
        <w:rPr>
          <w:rFonts w:asciiTheme="majorHAnsi" w:hAnsiTheme="majorHAnsi" w:cs="Arial"/>
          <w:sz w:val="26"/>
          <w:szCs w:val="26"/>
        </w:rPr>
      </w:pPr>
      <w:r w:rsidRPr="00BD6640">
        <w:rPr>
          <w:rFonts w:asciiTheme="majorHAnsi" w:hAnsiTheme="majorHAnsi" w:cs="Arial"/>
          <w:sz w:val="26"/>
          <w:szCs w:val="26"/>
        </w:rPr>
        <w:t>Međutim, regulatorni okvir nije finalizovan na nivou Evropske unije, budući da je još uvijek u toku donošenje tehničkih standarda, koji treba da omoguće puno funkcionisanje regulatornog okvira. Nakon usaglašavanja regulative Evropske unije, Crna Gora će inte</w:t>
      </w:r>
      <w:r w:rsidR="0043499A" w:rsidRPr="00BD6640">
        <w:rPr>
          <w:rFonts w:asciiTheme="majorHAnsi" w:hAnsiTheme="majorHAnsi" w:cs="Arial"/>
          <w:sz w:val="26"/>
          <w:szCs w:val="26"/>
        </w:rPr>
        <w:t>n</w:t>
      </w:r>
      <w:r w:rsidRPr="00BD6640">
        <w:rPr>
          <w:rFonts w:asciiTheme="majorHAnsi" w:hAnsiTheme="majorHAnsi" w:cs="Arial"/>
          <w:sz w:val="26"/>
          <w:szCs w:val="26"/>
        </w:rPr>
        <w:t xml:space="preserve">zivirati aktivnosti na izradi nacionalnog regulatornog okvira. </w:t>
      </w:r>
    </w:p>
    <w:p w:rsidR="00012027" w:rsidRDefault="00012027" w:rsidP="0043499A">
      <w:pPr>
        <w:shd w:val="clear" w:color="auto" w:fill="FFFFFF"/>
        <w:spacing w:line="240" w:lineRule="auto"/>
        <w:rPr>
          <w:rFonts w:asciiTheme="majorHAnsi" w:hAnsiTheme="majorHAnsi" w:cs="Arial"/>
          <w:sz w:val="26"/>
          <w:szCs w:val="26"/>
        </w:rPr>
      </w:pPr>
    </w:p>
    <w:p w:rsidR="00012027" w:rsidRPr="00BD6640" w:rsidRDefault="00012027" w:rsidP="0043499A">
      <w:pPr>
        <w:shd w:val="clear" w:color="auto" w:fill="FFFFFF"/>
        <w:spacing w:line="240" w:lineRule="auto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 xml:space="preserve">S poštovanjem, </w:t>
      </w:r>
    </w:p>
    <w:p w:rsidR="00950F6C" w:rsidRPr="00BD6640" w:rsidRDefault="00950F6C" w:rsidP="00354CCA">
      <w:pPr>
        <w:pStyle w:val="NoSpacing"/>
        <w:jc w:val="both"/>
        <w:rPr>
          <w:rFonts w:asciiTheme="majorHAnsi" w:hAnsiTheme="majorHAnsi" w:cs="Arial"/>
          <w:sz w:val="26"/>
          <w:szCs w:val="26"/>
        </w:rPr>
      </w:pPr>
    </w:p>
    <w:p w:rsidR="00047461" w:rsidRPr="00BD6640" w:rsidRDefault="00047461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</w:pPr>
    </w:p>
    <w:p w:rsidR="005252AF" w:rsidRPr="00BD6640" w:rsidRDefault="005252AF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</w:pPr>
    </w:p>
    <w:p w:rsidR="00100877" w:rsidRPr="00BD6640" w:rsidRDefault="00046C86" w:rsidP="00BD6640">
      <w:pPr>
        <w:spacing w:before="0" w:after="0" w:line="240" w:lineRule="auto"/>
        <w:jc w:val="right"/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</w:pPr>
      <w:r w:rsidRPr="00BD6640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 xml:space="preserve">                                                                                                           </w:t>
      </w:r>
      <w:r w:rsidR="00BD6640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 xml:space="preserve">       </w:t>
      </w:r>
      <w:r w:rsidRPr="00BD6640">
        <w:rPr>
          <w:rFonts w:asciiTheme="majorHAnsi" w:eastAsia="Calibri" w:hAnsiTheme="majorHAnsi" w:cs="Arial"/>
          <w:color w:val="000000" w:themeColor="text1"/>
          <w:sz w:val="26"/>
          <w:szCs w:val="26"/>
          <w:lang w:val="sr-Latn-ME"/>
        </w:rPr>
        <w:t xml:space="preserve"> </w:t>
      </w:r>
      <w:r w:rsidRPr="00BD6640"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  <w:t>PREDSJEDNIK</w:t>
      </w:r>
      <w:r w:rsidRPr="00BD6640"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  <w:tab/>
        <w:t xml:space="preserve">                                                                             </w:t>
      </w:r>
    </w:p>
    <w:p w:rsidR="00F536EC" w:rsidRPr="00BD6640" w:rsidRDefault="00046C86" w:rsidP="00100877">
      <w:pPr>
        <w:spacing w:before="0" w:after="0" w:line="240" w:lineRule="auto"/>
        <w:jc w:val="right"/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</w:pPr>
      <w:r w:rsidRPr="00BD6640"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  <w:t xml:space="preserve">   </w:t>
      </w:r>
      <w:r w:rsidR="00594579" w:rsidRPr="00BD6640"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  <w:t xml:space="preserve">  </w:t>
      </w:r>
      <w:r w:rsidRPr="00BD6640"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  <w:t xml:space="preserve"> </w:t>
      </w:r>
      <w:r w:rsidR="006673E9" w:rsidRPr="00BD6640"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  <w:t>m</w:t>
      </w:r>
      <w:r w:rsidR="009A2F73" w:rsidRPr="00BD6640">
        <w:rPr>
          <w:rFonts w:asciiTheme="majorHAnsi" w:eastAsia="Calibri" w:hAnsiTheme="majorHAnsi" w:cs="Arial"/>
          <w:b/>
          <w:color w:val="000000" w:themeColor="text1"/>
          <w:sz w:val="26"/>
          <w:szCs w:val="26"/>
          <w:lang w:val="sr-Latn-ME"/>
        </w:rPr>
        <w:t>r Milojko Spajić</w:t>
      </w:r>
    </w:p>
    <w:p w:rsidR="00F536EC" w:rsidRPr="00CD0B6C" w:rsidRDefault="00F536EC" w:rsidP="00100877">
      <w:pPr>
        <w:tabs>
          <w:tab w:val="left" w:pos="7890"/>
        </w:tabs>
        <w:spacing w:before="0" w:after="0" w:line="240" w:lineRule="auto"/>
        <w:jc w:val="right"/>
        <w:rPr>
          <w:rFonts w:ascii="Arial" w:eastAsia="Calibri" w:hAnsi="Arial" w:cs="Arial"/>
          <w:color w:val="000000" w:themeColor="text1"/>
          <w:sz w:val="28"/>
          <w:szCs w:val="28"/>
          <w:lang w:val="sr-Latn-ME"/>
        </w:rPr>
      </w:pPr>
    </w:p>
    <w:sectPr w:rsidR="00F536EC" w:rsidRPr="00CD0B6C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3C9" w:rsidRDefault="004203C9">
      <w:pPr>
        <w:spacing w:line="240" w:lineRule="auto"/>
      </w:pPr>
      <w:r>
        <w:separator/>
      </w:r>
    </w:p>
  </w:endnote>
  <w:endnote w:type="continuationSeparator" w:id="0">
    <w:p w:rsidR="004203C9" w:rsidRDefault="00420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3C9" w:rsidRDefault="004203C9">
      <w:pPr>
        <w:spacing w:before="0" w:after="0"/>
      </w:pPr>
      <w:r>
        <w:separator/>
      </w:r>
    </w:p>
  </w:footnote>
  <w:footnote w:type="continuationSeparator" w:id="0">
    <w:p w:rsidR="004203C9" w:rsidRDefault="004203C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r>
      <w:t>Predsjednik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2027"/>
    <w:rsid w:val="00020673"/>
    <w:rsid w:val="00020E38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0877"/>
    <w:rsid w:val="00101C1A"/>
    <w:rsid w:val="001038A7"/>
    <w:rsid w:val="00103D63"/>
    <w:rsid w:val="001053EE"/>
    <w:rsid w:val="00107821"/>
    <w:rsid w:val="00112216"/>
    <w:rsid w:val="001136AE"/>
    <w:rsid w:val="00114E87"/>
    <w:rsid w:val="00114EBD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282A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1A4F"/>
    <w:rsid w:val="003027B7"/>
    <w:rsid w:val="003031BE"/>
    <w:rsid w:val="00310FDF"/>
    <w:rsid w:val="003142EA"/>
    <w:rsid w:val="0031579F"/>
    <w:rsid w:val="003168DA"/>
    <w:rsid w:val="003417B8"/>
    <w:rsid w:val="00350578"/>
    <w:rsid w:val="00354CCA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078F9"/>
    <w:rsid w:val="004112D5"/>
    <w:rsid w:val="004203C9"/>
    <w:rsid w:val="00424835"/>
    <w:rsid w:val="0043499A"/>
    <w:rsid w:val="004378E1"/>
    <w:rsid w:val="00442266"/>
    <w:rsid w:val="00451F6C"/>
    <w:rsid w:val="00451FF9"/>
    <w:rsid w:val="004679C3"/>
    <w:rsid w:val="00470124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E66A4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756E9"/>
    <w:rsid w:val="00690F68"/>
    <w:rsid w:val="006A22B2"/>
    <w:rsid w:val="006A24FA"/>
    <w:rsid w:val="006A2C40"/>
    <w:rsid w:val="006B0CEE"/>
    <w:rsid w:val="006C3633"/>
    <w:rsid w:val="006C4CA4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08DF"/>
    <w:rsid w:val="00825944"/>
    <w:rsid w:val="00840DD7"/>
    <w:rsid w:val="00846E5E"/>
    <w:rsid w:val="00851A09"/>
    <w:rsid w:val="0086104C"/>
    <w:rsid w:val="0087410C"/>
    <w:rsid w:val="0088156B"/>
    <w:rsid w:val="00885190"/>
    <w:rsid w:val="008866F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9FD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0F6C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50B34"/>
    <w:rsid w:val="00A52A9C"/>
    <w:rsid w:val="00A53465"/>
    <w:rsid w:val="00A6505B"/>
    <w:rsid w:val="00A66276"/>
    <w:rsid w:val="00A6645B"/>
    <w:rsid w:val="00A77847"/>
    <w:rsid w:val="00A84545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270FD"/>
    <w:rsid w:val="00B40A06"/>
    <w:rsid w:val="00B418E0"/>
    <w:rsid w:val="00B473C2"/>
    <w:rsid w:val="00B47D2C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6640"/>
    <w:rsid w:val="00BD79AA"/>
    <w:rsid w:val="00BE2511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24A7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B6C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BC"/>
    <w:rsid w:val="00D46178"/>
    <w:rsid w:val="00D4764A"/>
    <w:rsid w:val="00D53264"/>
    <w:rsid w:val="00D732B3"/>
    <w:rsid w:val="00D9467D"/>
    <w:rsid w:val="00DA4C1C"/>
    <w:rsid w:val="00DC5DF1"/>
    <w:rsid w:val="00DC74FC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47D1E"/>
    <w:rsid w:val="00F51D8B"/>
    <w:rsid w:val="00F536EC"/>
    <w:rsid w:val="00F57AF3"/>
    <w:rsid w:val="00F63FBA"/>
    <w:rsid w:val="00F74E63"/>
    <w:rsid w:val="00F80023"/>
    <w:rsid w:val="00F825AC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31C56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354CCA"/>
    <w:rPr>
      <w:rFonts w:ascii="Calibri" w:hAnsi="Calibri" w:cs="Calibri"/>
    </w:rPr>
  </w:style>
  <w:style w:type="paragraph" w:styleId="NoSpacing">
    <w:name w:val="No Spacing"/>
    <w:basedOn w:val="Normal"/>
    <w:link w:val="NoSpacingChar"/>
    <w:uiPriority w:val="1"/>
    <w:qFormat/>
    <w:rsid w:val="00354CCA"/>
    <w:pPr>
      <w:spacing w:before="0" w:after="0" w:line="240" w:lineRule="auto"/>
      <w:jc w:val="left"/>
    </w:pPr>
    <w:rPr>
      <w:rFonts w:ascii="Calibri" w:hAnsi="Calibri" w:cs="Calibri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8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Tanja Musterovic</cp:lastModifiedBy>
  <cp:revision>36</cp:revision>
  <cp:lastPrinted>2024-04-03T14:15:00Z</cp:lastPrinted>
  <dcterms:created xsi:type="dcterms:W3CDTF">2023-12-27T07:14:00Z</dcterms:created>
  <dcterms:modified xsi:type="dcterms:W3CDTF">2024-04-04T13:13:00Z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