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2E" w:rsidRPr="00807DAF" w:rsidRDefault="00D4765F" w:rsidP="00536D2E">
      <w:pPr>
        <w:spacing w:before="100" w:beforeAutospacing="1"/>
        <w:jc w:val="center"/>
        <w:rPr>
          <w:noProof/>
          <w:lang w:val="fr-FR" w:eastAsia="fr-FR"/>
        </w:rPr>
      </w:pPr>
      <w:bookmarkStart w:id="0" w:name="_GoBack"/>
      <w:bookmarkEnd w:id="0"/>
      <w:r w:rsidRPr="00807DAF">
        <w:rPr>
          <w:noProof/>
          <w:lang w:val="en-US"/>
        </w:rPr>
        <w:drawing>
          <wp:inline distT="0" distB="0" distL="0" distR="0">
            <wp:extent cx="15525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762000"/>
                    </a:xfrm>
                    <a:prstGeom prst="rect">
                      <a:avLst/>
                    </a:prstGeom>
                    <a:noFill/>
                    <a:ln>
                      <a:noFill/>
                    </a:ln>
                  </pic:spPr>
                </pic:pic>
              </a:graphicData>
            </a:graphic>
          </wp:inline>
        </w:drawing>
      </w:r>
    </w:p>
    <w:p w:rsidR="002A7F83" w:rsidRPr="002A76C8" w:rsidRDefault="002A7F83" w:rsidP="002A7F83">
      <w:pPr>
        <w:spacing w:before="960"/>
        <w:jc w:val="center"/>
        <w:rPr>
          <w:szCs w:val="22"/>
        </w:rPr>
      </w:pPr>
      <w:r w:rsidRPr="002A76C8">
        <w:rPr>
          <w:b/>
          <w:szCs w:val="22"/>
        </w:rPr>
        <w:t>Contracting authority</w:t>
      </w:r>
    </w:p>
    <w:p w:rsidR="002A7F83" w:rsidRPr="002A76C8" w:rsidRDefault="002A7F83" w:rsidP="002A7F83">
      <w:pPr>
        <w:spacing w:before="960"/>
        <w:jc w:val="center"/>
        <w:rPr>
          <w:szCs w:val="22"/>
        </w:rPr>
      </w:pPr>
      <w:r w:rsidRPr="002A76C8">
        <w:rPr>
          <w:szCs w:val="22"/>
        </w:rPr>
        <w:t>Public Work Administration of Montenegro (PWA)</w:t>
      </w:r>
    </w:p>
    <w:p w:rsidR="002A7F83" w:rsidRDefault="002A7F83" w:rsidP="002A7F83">
      <w:pPr>
        <w:pStyle w:val="SubTitle1"/>
        <w:rPr>
          <w:sz w:val="22"/>
          <w:szCs w:val="22"/>
        </w:rPr>
      </w:pPr>
    </w:p>
    <w:p w:rsidR="002A7F83" w:rsidRPr="002A76C8" w:rsidRDefault="002A7F83" w:rsidP="002A7F83">
      <w:pPr>
        <w:pStyle w:val="SubTitle1"/>
        <w:rPr>
          <w:sz w:val="22"/>
          <w:szCs w:val="22"/>
        </w:rPr>
      </w:pPr>
      <w:r>
        <w:rPr>
          <w:sz w:val="22"/>
          <w:szCs w:val="22"/>
        </w:rPr>
        <w:t>Increased Awareness on Environmental and Climate Action Policies</w:t>
      </w:r>
    </w:p>
    <w:p w:rsidR="002A7F83" w:rsidRPr="002A76C8" w:rsidRDefault="002A7F83" w:rsidP="002A7F83">
      <w:pPr>
        <w:pStyle w:val="SubTitle1"/>
        <w:spacing w:before="480"/>
        <w:rPr>
          <w:b w:val="0"/>
          <w:sz w:val="22"/>
          <w:szCs w:val="22"/>
        </w:rPr>
      </w:pPr>
      <w:r w:rsidRPr="002A76C8">
        <w:rPr>
          <w:b w:val="0"/>
          <w:sz w:val="22"/>
          <w:szCs w:val="22"/>
        </w:rPr>
        <w:t>Guidelines</w:t>
      </w:r>
      <w:r w:rsidRPr="002A76C8">
        <w:rPr>
          <w:b w:val="0"/>
          <w:sz w:val="22"/>
          <w:szCs w:val="22"/>
        </w:rPr>
        <w:br/>
        <w:t>for grant applicants</w:t>
      </w:r>
    </w:p>
    <w:p w:rsidR="002A7F83" w:rsidRPr="002A76C8" w:rsidRDefault="002A7F83" w:rsidP="002A7F83">
      <w:pPr>
        <w:pStyle w:val="SubTitle1"/>
        <w:spacing w:before="480"/>
        <w:rPr>
          <w:b w:val="0"/>
          <w:sz w:val="22"/>
          <w:szCs w:val="22"/>
        </w:rPr>
      </w:pPr>
      <w:r w:rsidRPr="002A76C8">
        <w:rPr>
          <w:b w:val="0"/>
          <w:sz w:val="22"/>
          <w:szCs w:val="22"/>
        </w:rPr>
        <w:t>Budget line: IPA II - Annual Country Action Programme for the year 2016</w:t>
      </w:r>
    </w:p>
    <w:p w:rsidR="002A7F83" w:rsidRPr="009229F1" w:rsidRDefault="002A7F83" w:rsidP="002A7F83">
      <w:pPr>
        <w:pStyle w:val="SubTitle2"/>
        <w:rPr>
          <w:sz w:val="22"/>
          <w:szCs w:val="22"/>
        </w:rPr>
      </w:pPr>
      <w:r w:rsidRPr="002A76C8">
        <w:rPr>
          <w:b w:val="0"/>
          <w:sz w:val="22"/>
          <w:szCs w:val="22"/>
        </w:rPr>
        <w:t xml:space="preserve">Reference: </w:t>
      </w:r>
      <w:r>
        <w:rPr>
          <w:b w:val="0"/>
          <w:sz w:val="22"/>
          <w:szCs w:val="22"/>
        </w:rPr>
        <w:t>EuropeAid/166754/IH/</w:t>
      </w:r>
      <w:r w:rsidRPr="009229F1">
        <w:rPr>
          <w:b w:val="0"/>
          <w:sz w:val="22"/>
          <w:szCs w:val="22"/>
        </w:rPr>
        <w:t>ACT/ME</w:t>
      </w:r>
    </w:p>
    <w:p w:rsidR="002A7F83" w:rsidRPr="002A76C8" w:rsidRDefault="002A7F83" w:rsidP="002A7F83">
      <w:pPr>
        <w:pStyle w:val="SubTitle2"/>
        <w:rPr>
          <w:sz w:val="22"/>
          <w:szCs w:val="22"/>
        </w:rPr>
      </w:pPr>
      <w:r w:rsidRPr="009229F1">
        <w:rPr>
          <w:b w:val="0"/>
          <w:sz w:val="22"/>
          <w:szCs w:val="22"/>
        </w:rPr>
        <w:t>Deadline for submission of concept note: 20.04.2020</w:t>
      </w:r>
    </w:p>
    <w:p w:rsidR="002A7F83" w:rsidRPr="002A76C8" w:rsidRDefault="002A7F83" w:rsidP="002A7F83">
      <w:pPr>
        <w:pStyle w:val="SubTitle1"/>
        <w:rPr>
          <w:sz w:val="22"/>
          <w:szCs w:val="22"/>
        </w:rPr>
      </w:pPr>
      <w:r w:rsidRPr="002A76C8">
        <w:rPr>
          <w:sz w:val="22"/>
          <w:szCs w:val="22"/>
        </w:rPr>
        <w:br w:type="page"/>
      </w:r>
      <w:r w:rsidRPr="002A76C8">
        <w:rPr>
          <w:sz w:val="22"/>
          <w:szCs w:val="22"/>
        </w:rPr>
        <w:lastRenderedPageBreak/>
        <w:t>NOTICE</w:t>
      </w:r>
    </w:p>
    <w:p w:rsidR="002A7F83" w:rsidRDefault="002A7F83" w:rsidP="002A7F83">
      <w:pPr>
        <w:rPr>
          <w:szCs w:val="22"/>
        </w:rPr>
      </w:pPr>
      <w:r w:rsidRPr="002A76C8">
        <w:rPr>
          <w:szCs w:val="22"/>
        </w:rPr>
        <w:t>This is a restricted call for proposals. In the first instance, only concept notes (Part A of the grant application form) must be submitted for evaluation. Thereafter, lead applicants who have been pre-selected will be invited to submit a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rsidR="002A7F83" w:rsidRPr="002A76C8" w:rsidRDefault="002A7F83" w:rsidP="002A7F83">
      <w:pPr>
        <w:rPr>
          <w:szCs w:val="22"/>
        </w:rPr>
        <w:sectPr w:rsidR="002A7F83" w:rsidRPr="002A76C8" w:rsidSect="00ED2366">
          <w:footerReference w:type="default" r:id="rId9"/>
          <w:footerReference w:type="first" r:id="rId10"/>
          <w:pgSz w:w="11906" w:h="16838" w:code="9"/>
          <w:pgMar w:top="1021" w:right="1134" w:bottom="1021" w:left="1134" w:header="567" w:footer="545" w:gutter="0"/>
          <w:pgNumType w:start="1"/>
          <w:cols w:space="720"/>
          <w:titlePg/>
        </w:sectPr>
      </w:pPr>
    </w:p>
    <w:p w:rsidR="002A7F83" w:rsidRPr="002A76C8" w:rsidRDefault="002A7F83" w:rsidP="002A7F83">
      <w:pPr>
        <w:pageBreakBefore/>
        <w:spacing w:after="600"/>
        <w:jc w:val="center"/>
        <w:rPr>
          <w:szCs w:val="22"/>
        </w:rPr>
      </w:pPr>
      <w:r w:rsidRPr="002A76C8">
        <w:rPr>
          <w:szCs w:val="22"/>
        </w:rPr>
        <w:lastRenderedPageBreak/>
        <w:t>Table of contents</w:t>
      </w:r>
    </w:p>
    <w:p w:rsidR="002A7F83" w:rsidRPr="00C56C64" w:rsidRDefault="002A7F83" w:rsidP="002A7F83">
      <w:pPr>
        <w:pStyle w:val="TOC1"/>
        <w:rPr>
          <w:rFonts w:ascii="Times New Roman" w:hAnsi="Times New Roman"/>
          <w:b w:val="0"/>
          <w:caps w:val="0"/>
          <w:noProof/>
          <w:szCs w:val="22"/>
          <w:lang w:eastAsia="en-GB"/>
        </w:rPr>
      </w:pPr>
      <w:r w:rsidRPr="00C56C64">
        <w:rPr>
          <w:rFonts w:ascii="Times New Roman" w:hAnsi="Times New Roman"/>
          <w:szCs w:val="22"/>
        </w:rPr>
        <w:fldChar w:fldCharType="begin"/>
      </w:r>
      <w:r w:rsidRPr="00C56C64">
        <w:rPr>
          <w:rFonts w:ascii="Times New Roman" w:hAnsi="Times New Roman"/>
          <w:szCs w:val="22"/>
        </w:rPr>
        <w:instrText xml:space="preserve"> TOC \h \z \t "Guidelines 1;1;Guidelines 2;2;Guidelines 3;3" </w:instrText>
      </w:r>
      <w:r w:rsidRPr="00C56C64">
        <w:rPr>
          <w:rFonts w:ascii="Times New Roman" w:hAnsi="Times New Roman"/>
          <w:szCs w:val="22"/>
        </w:rPr>
        <w:fldChar w:fldCharType="separate"/>
      </w:r>
      <w:hyperlink w:anchor="_Toc437893835" w:history="1">
        <w:r w:rsidRPr="00C56C64">
          <w:rPr>
            <w:rStyle w:val="Hyperlink"/>
            <w:rFonts w:ascii="Times New Roman" w:hAnsi="Times New Roman"/>
            <w:noProof/>
            <w:szCs w:val="22"/>
          </w:rPr>
          <w:t>1.</w:t>
        </w:r>
        <w:r w:rsidRPr="00C56C64">
          <w:rPr>
            <w:rFonts w:ascii="Times New Roman" w:hAnsi="Times New Roman"/>
            <w:b w:val="0"/>
            <w:caps w:val="0"/>
            <w:noProof/>
            <w:szCs w:val="22"/>
            <w:lang w:eastAsia="en-GB"/>
          </w:rPr>
          <w:tab/>
        </w:r>
        <w:r w:rsidRPr="00C56C64">
          <w:rPr>
            <w:rStyle w:val="Hyperlink"/>
            <w:rFonts w:ascii="Times New Roman" w:hAnsi="Times New Roman"/>
            <w:noProof/>
            <w:szCs w:val="22"/>
          </w:rPr>
          <w:t>PUBLIC AWARENESS</w:t>
        </w:r>
        <w:r w:rsidRPr="00C56C64">
          <w:rPr>
            <w:rFonts w:ascii="Times New Roman" w:hAnsi="Times New Roman"/>
            <w:noProof/>
            <w:webHidden/>
            <w:szCs w:val="22"/>
          </w:rPr>
          <w:tab/>
        </w:r>
        <w:r w:rsidRPr="00C56C64">
          <w:rPr>
            <w:rFonts w:ascii="Times New Roman" w:hAnsi="Times New Roman"/>
            <w:noProof/>
            <w:webHidden/>
            <w:szCs w:val="22"/>
          </w:rPr>
          <w:fldChar w:fldCharType="begin"/>
        </w:r>
        <w:r w:rsidRPr="00C56C64">
          <w:rPr>
            <w:rFonts w:ascii="Times New Roman" w:hAnsi="Times New Roman"/>
            <w:noProof/>
            <w:webHidden/>
            <w:szCs w:val="22"/>
          </w:rPr>
          <w:instrText xml:space="preserve"> PAGEREF _Toc437893835 \h </w:instrText>
        </w:r>
        <w:r w:rsidRPr="00C56C64">
          <w:rPr>
            <w:rFonts w:ascii="Times New Roman" w:hAnsi="Times New Roman"/>
            <w:noProof/>
            <w:webHidden/>
            <w:szCs w:val="22"/>
          </w:rPr>
        </w:r>
        <w:r w:rsidRPr="00C56C64">
          <w:rPr>
            <w:rFonts w:ascii="Times New Roman" w:hAnsi="Times New Roman"/>
            <w:noProof/>
            <w:webHidden/>
            <w:szCs w:val="22"/>
          </w:rPr>
          <w:fldChar w:fldCharType="separate"/>
        </w:r>
        <w:r w:rsidRPr="00C56C64">
          <w:rPr>
            <w:rFonts w:ascii="Times New Roman" w:hAnsi="Times New Roman"/>
            <w:noProof/>
            <w:webHidden/>
            <w:szCs w:val="22"/>
          </w:rPr>
          <w:t>4</w:t>
        </w:r>
        <w:r w:rsidRPr="00C56C64">
          <w:rPr>
            <w:rFonts w:ascii="Times New Roman" w:hAnsi="Times New Roman"/>
            <w:noProof/>
            <w:webHidden/>
            <w:szCs w:val="22"/>
          </w:rPr>
          <w:fldChar w:fldCharType="end"/>
        </w:r>
      </w:hyperlink>
    </w:p>
    <w:p w:rsidR="002A7F83" w:rsidRPr="00C56C64" w:rsidRDefault="002A7F83" w:rsidP="002A7F83">
      <w:pPr>
        <w:pStyle w:val="TOC2"/>
        <w:rPr>
          <w:lang w:eastAsia="en-GB"/>
        </w:rPr>
      </w:pPr>
      <w:hyperlink w:anchor="_Toc437893836" w:history="1">
        <w:r w:rsidRPr="00C56C64">
          <w:rPr>
            <w:rStyle w:val="Hyperlink"/>
          </w:rPr>
          <w:t>1.1.</w:t>
        </w:r>
        <w:r w:rsidRPr="00C56C64">
          <w:rPr>
            <w:lang w:eastAsia="en-GB"/>
          </w:rPr>
          <w:tab/>
        </w:r>
        <w:r w:rsidRPr="00C56C64">
          <w:rPr>
            <w:rStyle w:val="Hyperlink"/>
          </w:rPr>
          <w:t>Background</w:t>
        </w:r>
        <w:r w:rsidRPr="00C56C64">
          <w:rPr>
            <w:webHidden/>
          </w:rPr>
          <w:tab/>
        </w:r>
        <w:r w:rsidRPr="00C56C64">
          <w:rPr>
            <w:webHidden/>
          </w:rPr>
          <w:fldChar w:fldCharType="begin"/>
        </w:r>
        <w:r w:rsidRPr="00C56C64">
          <w:rPr>
            <w:webHidden/>
          </w:rPr>
          <w:instrText xml:space="preserve"> PAGEREF _Toc437893836 \h </w:instrText>
        </w:r>
        <w:r w:rsidRPr="00C56C64">
          <w:rPr>
            <w:webHidden/>
          </w:rPr>
        </w:r>
        <w:r w:rsidRPr="00C56C64">
          <w:rPr>
            <w:webHidden/>
          </w:rPr>
          <w:fldChar w:fldCharType="separate"/>
        </w:r>
        <w:r w:rsidRPr="00C56C64">
          <w:rPr>
            <w:webHidden/>
          </w:rPr>
          <w:t>5</w:t>
        </w:r>
        <w:r w:rsidRPr="00C56C64">
          <w:rPr>
            <w:webHidden/>
          </w:rPr>
          <w:fldChar w:fldCharType="end"/>
        </w:r>
      </w:hyperlink>
    </w:p>
    <w:p w:rsidR="002A7F83" w:rsidRPr="00C56C64" w:rsidRDefault="002A7F83" w:rsidP="002A7F83">
      <w:pPr>
        <w:pStyle w:val="TOC2"/>
        <w:rPr>
          <w:lang w:eastAsia="en-GB"/>
        </w:rPr>
      </w:pPr>
      <w:hyperlink w:anchor="_Toc437893837" w:history="1">
        <w:r w:rsidRPr="00C56C64">
          <w:rPr>
            <w:rStyle w:val="Hyperlink"/>
          </w:rPr>
          <w:t>1.2.</w:t>
        </w:r>
        <w:r w:rsidRPr="00C56C64">
          <w:rPr>
            <w:lang w:eastAsia="en-GB"/>
          </w:rPr>
          <w:tab/>
        </w:r>
        <w:r w:rsidRPr="00C56C64">
          <w:rPr>
            <w:rStyle w:val="Hyperlink"/>
          </w:rPr>
          <w:t>Objectives of the programme and priority issues</w:t>
        </w:r>
        <w:r w:rsidRPr="00C56C64">
          <w:rPr>
            <w:webHidden/>
          </w:rPr>
          <w:tab/>
        </w:r>
        <w:r w:rsidRPr="00C56C64">
          <w:rPr>
            <w:webHidden/>
          </w:rPr>
          <w:fldChar w:fldCharType="begin"/>
        </w:r>
        <w:r w:rsidRPr="00C56C64">
          <w:rPr>
            <w:webHidden/>
          </w:rPr>
          <w:instrText xml:space="preserve"> PAGEREF _Toc437893837 \h </w:instrText>
        </w:r>
        <w:r w:rsidRPr="00C56C64">
          <w:rPr>
            <w:webHidden/>
          </w:rPr>
        </w:r>
        <w:r w:rsidRPr="00C56C64">
          <w:rPr>
            <w:webHidden/>
          </w:rPr>
          <w:fldChar w:fldCharType="separate"/>
        </w:r>
        <w:r w:rsidRPr="00C56C64">
          <w:rPr>
            <w:webHidden/>
          </w:rPr>
          <w:t>4</w:t>
        </w:r>
        <w:r w:rsidRPr="00C56C64">
          <w:rPr>
            <w:webHidden/>
          </w:rPr>
          <w:fldChar w:fldCharType="end"/>
        </w:r>
      </w:hyperlink>
    </w:p>
    <w:p w:rsidR="002A7F83" w:rsidRPr="00C56C64" w:rsidRDefault="002A7F83" w:rsidP="002A7F83">
      <w:pPr>
        <w:pStyle w:val="TOC2"/>
        <w:rPr>
          <w:lang w:eastAsia="en-GB"/>
        </w:rPr>
      </w:pPr>
      <w:hyperlink w:anchor="_Toc437893838" w:history="1">
        <w:r w:rsidRPr="00C56C64">
          <w:rPr>
            <w:rStyle w:val="Hyperlink"/>
          </w:rPr>
          <w:t>1.3.</w:t>
        </w:r>
        <w:r w:rsidRPr="00C56C64">
          <w:rPr>
            <w:lang w:eastAsia="en-GB"/>
          </w:rPr>
          <w:tab/>
        </w:r>
        <w:r w:rsidRPr="00C56C64">
          <w:rPr>
            <w:rStyle w:val="Hyperlink"/>
          </w:rPr>
          <w:t>Financial allocation provided by the contracting authority</w:t>
        </w:r>
        <w:r w:rsidRPr="00C56C64">
          <w:rPr>
            <w:webHidden/>
          </w:rPr>
          <w:tab/>
        </w:r>
        <w:r w:rsidRPr="00C56C64">
          <w:rPr>
            <w:webHidden/>
          </w:rPr>
          <w:fldChar w:fldCharType="begin"/>
        </w:r>
        <w:r w:rsidRPr="00C56C64">
          <w:rPr>
            <w:webHidden/>
          </w:rPr>
          <w:instrText xml:space="preserve"> PAGEREF _Toc437893838 \h </w:instrText>
        </w:r>
        <w:r w:rsidRPr="00C56C64">
          <w:rPr>
            <w:webHidden/>
          </w:rPr>
        </w:r>
        <w:r w:rsidRPr="00C56C64">
          <w:rPr>
            <w:webHidden/>
          </w:rPr>
          <w:fldChar w:fldCharType="separate"/>
        </w:r>
        <w:r w:rsidRPr="00C56C64">
          <w:rPr>
            <w:webHidden/>
          </w:rPr>
          <w:t>6</w:t>
        </w:r>
        <w:r w:rsidRPr="00C56C64">
          <w:rPr>
            <w:webHidden/>
          </w:rPr>
          <w:fldChar w:fldCharType="end"/>
        </w:r>
      </w:hyperlink>
    </w:p>
    <w:p w:rsidR="002A7F83" w:rsidRPr="00C56C64" w:rsidRDefault="002A7F83" w:rsidP="002A7F83">
      <w:pPr>
        <w:pStyle w:val="TOC1"/>
        <w:rPr>
          <w:rFonts w:ascii="Times New Roman" w:hAnsi="Times New Roman"/>
          <w:b w:val="0"/>
          <w:caps w:val="0"/>
          <w:noProof/>
          <w:szCs w:val="22"/>
          <w:lang w:eastAsia="en-GB"/>
        </w:rPr>
      </w:pPr>
      <w:hyperlink w:anchor="_Toc437893839" w:history="1">
        <w:r w:rsidRPr="00C56C64">
          <w:rPr>
            <w:rStyle w:val="Hyperlink"/>
            <w:rFonts w:ascii="Times New Roman" w:hAnsi="Times New Roman"/>
            <w:noProof/>
            <w:szCs w:val="22"/>
          </w:rPr>
          <w:t>2.</w:t>
        </w:r>
        <w:r w:rsidRPr="00C56C64">
          <w:rPr>
            <w:rFonts w:ascii="Times New Roman" w:hAnsi="Times New Roman"/>
            <w:b w:val="0"/>
            <w:caps w:val="0"/>
            <w:noProof/>
            <w:szCs w:val="22"/>
            <w:lang w:eastAsia="en-GB"/>
          </w:rPr>
          <w:tab/>
        </w:r>
        <w:r w:rsidRPr="00C56C64">
          <w:rPr>
            <w:rStyle w:val="Hyperlink"/>
            <w:rFonts w:ascii="Times New Roman" w:hAnsi="Times New Roman"/>
            <w:noProof/>
            <w:szCs w:val="22"/>
          </w:rPr>
          <w:t>Rules FOR thIS call for proposalS</w:t>
        </w:r>
        <w:r w:rsidRPr="00C56C64">
          <w:rPr>
            <w:rFonts w:ascii="Times New Roman" w:hAnsi="Times New Roman"/>
            <w:noProof/>
            <w:webHidden/>
            <w:szCs w:val="22"/>
          </w:rPr>
          <w:tab/>
        </w:r>
        <w:r w:rsidRPr="00C56C64">
          <w:rPr>
            <w:rFonts w:ascii="Times New Roman" w:hAnsi="Times New Roman"/>
            <w:noProof/>
            <w:webHidden/>
            <w:szCs w:val="22"/>
          </w:rPr>
          <w:fldChar w:fldCharType="begin"/>
        </w:r>
        <w:r w:rsidRPr="00C56C64">
          <w:rPr>
            <w:rFonts w:ascii="Times New Roman" w:hAnsi="Times New Roman"/>
            <w:noProof/>
            <w:webHidden/>
            <w:szCs w:val="22"/>
          </w:rPr>
          <w:instrText xml:space="preserve"> PAGEREF _Toc437893839 \h </w:instrText>
        </w:r>
        <w:r w:rsidRPr="00C56C64">
          <w:rPr>
            <w:rFonts w:ascii="Times New Roman" w:hAnsi="Times New Roman"/>
            <w:noProof/>
            <w:webHidden/>
            <w:szCs w:val="22"/>
          </w:rPr>
        </w:r>
        <w:r w:rsidRPr="00C56C64">
          <w:rPr>
            <w:rFonts w:ascii="Times New Roman" w:hAnsi="Times New Roman"/>
            <w:noProof/>
            <w:webHidden/>
            <w:szCs w:val="22"/>
          </w:rPr>
          <w:fldChar w:fldCharType="separate"/>
        </w:r>
        <w:r w:rsidRPr="00C56C64">
          <w:rPr>
            <w:rFonts w:ascii="Times New Roman" w:hAnsi="Times New Roman"/>
            <w:noProof/>
            <w:webHidden/>
            <w:szCs w:val="22"/>
          </w:rPr>
          <w:t>7</w:t>
        </w:r>
        <w:r w:rsidRPr="00C56C64">
          <w:rPr>
            <w:rFonts w:ascii="Times New Roman" w:hAnsi="Times New Roman"/>
            <w:noProof/>
            <w:webHidden/>
            <w:szCs w:val="22"/>
          </w:rPr>
          <w:fldChar w:fldCharType="end"/>
        </w:r>
      </w:hyperlink>
    </w:p>
    <w:p w:rsidR="002A7F83" w:rsidRPr="00C56C64" w:rsidRDefault="002A7F83" w:rsidP="002A7F83">
      <w:pPr>
        <w:pStyle w:val="TOC2"/>
        <w:rPr>
          <w:lang w:eastAsia="en-GB"/>
        </w:rPr>
      </w:pPr>
      <w:hyperlink w:anchor="_Toc437893840" w:history="1">
        <w:r w:rsidRPr="00C56C64">
          <w:rPr>
            <w:rStyle w:val="Hyperlink"/>
          </w:rPr>
          <w:t>2.1.</w:t>
        </w:r>
        <w:r w:rsidRPr="00C56C64">
          <w:rPr>
            <w:lang w:eastAsia="en-GB"/>
          </w:rPr>
          <w:tab/>
        </w:r>
        <w:r w:rsidRPr="00C56C64">
          <w:rPr>
            <w:rStyle w:val="Hyperlink"/>
          </w:rPr>
          <w:t>Eligibility criteria</w:t>
        </w:r>
        <w:r w:rsidRPr="00C56C64">
          <w:rPr>
            <w:webHidden/>
          </w:rPr>
          <w:tab/>
        </w:r>
        <w:r w:rsidRPr="00C56C64">
          <w:rPr>
            <w:webHidden/>
          </w:rPr>
          <w:fldChar w:fldCharType="begin"/>
        </w:r>
        <w:r w:rsidRPr="00C56C64">
          <w:rPr>
            <w:webHidden/>
          </w:rPr>
          <w:instrText xml:space="preserve"> PAGEREF _Toc437893840 \h </w:instrText>
        </w:r>
        <w:r w:rsidRPr="00C56C64">
          <w:rPr>
            <w:webHidden/>
          </w:rPr>
        </w:r>
        <w:r w:rsidRPr="00C56C64">
          <w:rPr>
            <w:webHidden/>
          </w:rPr>
          <w:fldChar w:fldCharType="separate"/>
        </w:r>
        <w:r w:rsidRPr="00C56C64">
          <w:rPr>
            <w:webHidden/>
          </w:rPr>
          <w:t>7</w:t>
        </w:r>
        <w:r w:rsidRPr="00C56C64">
          <w:rPr>
            <w:webHidden/>
          </w:rPr>
          <w:fldChar w:fldCharType="end"/>
        </w:r>
      </w:hyperlink>
    </w:p>
    <w:p w:rsidR="002A7F83" w:rsidRPr="00C56C64" w:rsidRDefault="002A7F83" w:rsidP="002A7F83">
      <w:pPr>
        <w:pStyle w:val="TOC3"/>
        <w:rPr>
          <w:lang w:eastAsia="en-GB"/>
        </w:rPr>
      </w:pPr>
      <w:hyperlink w:anchor="_Toc437893841" w:history="1">
        <w:r w:rsidRPr="00C56C64">
          <w:rPr>
            <w:rStyle w:val="Hyperlink"/>
          </w:rPr>
          <w:t>2.1.1.</w:t>
        </w:r>
        <w:r w:rsidRPr="00C56C64">
          <w:rPr>
            <w:lang w:eastAsia="en-GB"/>
          </w:rPr>
          <w:tab/>
        </w:r>
        <w:r w:rsidRPr="00C56C64">
          <w:rPr>
            <w:rStyle w:val="Hyperlink"/>
          </w:rPr>
          <w:t>Eligibility of applicants (i.e. lead applicant and co-applicant(s))</w:t>
        </w:r>
        <w:r w:rsidRPr="00C56C64">
          <w:rPr>
            <w:webHidden/>
          </w:rPr>
          <w:tab/>
        </w:r>
        <w:r w:rsidRPr="00C56C64">
          <w:rPr>
            <w:webHidden/>
          </w:rPr>
          <w:fldChar w:fldCharType="begin"/>
        </w:r>
        <w:r w:rsidRPr="00C56C64">
          <w:rPr>
            <w:webHidden/>
          </w:rPr>
          <w:instrText xml:space="preserve"> PAGEREF _Toc437893841 \h </w:instrText>
        </w:r>
        <w:r w:rsidRPr="00C56C64">
          <w:rPr>
            <w:webHidden/>
          </w:rPr>
        </w:r>
        <w:r w:rsidRPr="00C56C64">
          <w:rPr>
            <w:webHidden/>
          </w:rPr>
          <w:fldChar w:fldCharType="separate"/>
        </w:r>
        <w:r w:rsidRPr="00C56C64">
          <w:rPr>
            <w:webHidden/>
          </w:rPr>
          <w:t>7</w:t>
        </w:r>
        <w:r w:rsidRPr="00C56C64">
          <w:rPr>
            <w:webHidden/>
          </w:rPr>
          <w:fldChar w:fldCharType="end"/>
        </w:r>
      </w:hyperlink>
    </w:p>
    <w:p w:rsidR="002A7F83" w:rsidRPr="00C56C64" w:rsidRDefault="002A7F83" w:rsidP="002A7F83">
      <w:pPr>
        <w:pStyle w:val="TOC3"/>
        <w:rPr>
          <w:lang w:eastAsia="en-GB"/>
        </w:rPr>
      </w:pPr>
      <w:hyperlink w:anchor="_Toc437893842" w:history="1">
        <w:r w:rsidRPr="00C56C64">
          <w:rPr>
            <w:rStyle w:val="Hyperlink"/>
          </w:rPr>
          <w:t>2.1.2.</w:t>
        </w:r>
        <w:r w:rsidRPr="00C56C64">
          <w:rPr>
            <w:lang w:eastAsia="en-GB"/>
          </w:rPr>
          <w:tab/>
        </w:r>
        <w:r w:rsidRPr="00C56C64">
          <w:rPr>
            <w:rStyle w:val="Hyperlink"/>
          </w:rPr>
          <w:t>Affiliated entities</w:t>
        </w:r>
        <w:r w:rsidRPr="00C56C64">
          <w:rPr>
            <w:webHidden/>
          </w:rPr>
          <w:tab/>
        </w:r>
        <w:r w:rsidRPr="00C56C64">
          <w:rPr>
            <w:webHidden/>
          </w:rPr>
          <w:fldChar w:fldCharType="begin"/>
        </w:r>
        <w:r w:rsidRPr="00C56C64">
          <w:rPr>
            <w:webHidden/>
          </w:rPr>
          <w:instrText xml:space="preserve"> PAGEREF _Toc437893842 \h </w:instrText>
        </w:r>
        <w:r w:rsidRPr="00C56C64">
          <w:rPr>
            <w:webHidden/>
          </w:rPr>
        </w:r>
        <w:r w:rsidRPr="00C56C64">
          <w:rPr>
            <w:webHidden/>
          </w:rPr>
          <w:fldChar w:fldCharType="separate"/>
        </w:r>
        <w:r w:rsidRPr="00C56C64">
          <w:rPr>
            <w:webHidden/>
          </w:rPr>
          <w:t>9</w:t>
        </w:r>
        <w:r w:rsidRPr="00C56C64">
          <w:rPr>
            <w:webHidden/>
          </w:rPr>
          <w:fldChar w:fldCharType="end"/>
        </w:r>
      </w:hyperlink>
    </w:p>
    <w:p w:rsidR="002A7F83" w:rsidRPr="00C56C64" w:rsidRDefault="002A7F83" w:rsidP="002A7F83">
      <w:pPr>
        <w:pStyle w:val="TOC3"/>
        <w:rPr>
          <w:lang w:eastAsia="en-GB"/>
        </w:rPr>
      </w:pPr>
      <w:hyperlink w:anchor="_Toc437893843" w:history="1">
        <w:r w:rsidRPr="00C56C64">
          <w:rPr>
            <w:rStyle w:val="Hyperlink"/>
          </w:rPr>
          <w:t>2.1.3.</w:t>
        </w:r>
        <w:r w:rsidRPr="00C56C64">
          <w:rPr>
            <w:lang w:eastAsia="en-GB"/>
          </w:rPr>
          <w:tab/>
        </w:r>
        <w:r w:rsidRPr="00C56C64">
          <w:rPr>
            <w:rStyle w:val="Hyperlink"/>
          </w:rPr>
          <w:t>Associates and Contractors</w:t>
        </w:r>
        <w:r w:rsidRPr="00C56C64">
          <w:rPr>
            <w:webHidden/>
          </w:rPr>
          <w:tab/>
        </w:r>
        <w:r w:rsidRPr="00C56C64">
          <w:rPr>
            <w:webHidden/>
          </w:rPr>
          <w:fldChar w:fldCharType="begin"/>
        </w:r>
        <w:r w:rsidRPr="00C56C64">
          <w:rPr>
            <w:webHidden/>
          </w:rPr>
          <w:instrText xml:space="preserve"> PAGEREF _Toc437893843 \h </w:instrText>
        </w:r>
        <w:r w:rsidRPr="00C56C64">
          <w:rPr>
            <w:webHidden/>
          </w:rPr>
        </w:r>
        <w:r w:rsidRPr="00C56C64">
          <w:rPr>
            <w:webHidden/>
          </w:rPr>
          <w:fldChar w:fldCharType="separate"/>
        </w:r>
        <w:r w:rsidRPr="00C56C64">
          <w:rPr>
            <w:webHidden/>
          </w:rPr>
          <w:t>10</w:t>
        </w:r>
        <w:r w:rsidRPr="00C56C64">
          <w:rPr>
            <w:webHidden/>
          </w:rPr>
          <w:fldChar w:fldCharType="end"/>
        </w:r>
      </w:hyperlink>
    </w:p>
    <w:p w:rsidR="002A7F83" w:rsidRPr="00C56C64" w:rsidRDefault="002A7F83" w:rsidP="002A7F83">
      <w:pPr>
        <w:pStyle w:val="TOC3"/>
        <w:rPr>
          <w:lang w:eastAsia="en-GB"/>
        </w:rPr>
      </w:pPr>
      <w:hyperlink w:anchor="_Toc437893844" w:history="1">
        <w:r w:rsidRPr="00C56C64">
          <w:rPr>
            <w:rStyle w:val="Hyperlink"/>
          </w:rPr>
          <w:t>2.1.4.</w:t>
        </w:r>
        <w:r w:rsidRPr="00C56C64">
          <w:rPr>
            <w:lang w:eastAsia="en-GB"/>
          </w:rPr>
          <w:tab/>
        </w:r>
        <w:r w:rsidRPr="00C56C64">
          <w:rPr>
            <w:rStyle w:val="Hyperlink"/>
          </w:rPr>
          <w:t>Eligible actions: actions for which an application may be made</w:t>
        </w:r>
        <w:r w:rsidRPr="00C56C64">
          <w:rPr>
            <w:webHidden/>
          </w:rPr>
          <w:tab/>
        </w:r>
        <w:r w:rsidRPr="00C56C64">
          <w:rPr>
            <w:webHidden/>
          </w:rPr>
          <w:fldChar w:fldCharType="begin"/>
        </w:r>
        <w:r w:rsidRPr="00C56C64">
          <w:rPr>
            <w:webHidden/>
          </w:rPr>
          <w:instrText xml:space="preserve"> PAGEREF _Toc437893844 \h </w:instrText>
        </w:r>
        <w:r w:rsidRPr="00C56C64">
          <w:rPr>
            <w:webHidden/>
          </w:rPr>
        </w:r>
        <w:r w:rsidRPr="00C56C64">
          <w:rPr>
            <w:webHidden/>
          </w:rPr>
          <w:fldChar w:fldCharType="separate"/>
        </w:r>
        <w:r w:rsidRPr="00C56C64">
          <w:rPr>
            <w:webHidden/>
          </w:rPr>
          <w:t>9</w:t>
        </w:r>
        <w:r w:rsidRPr="00C56C64">
          <w:rPr>
            <w:webHidden/>
          </w:rPr>
          <w:fldChar w:fldCharType="end"/>
        </w:r>
      </w:hyperlink>
    </w:p>
    <w:p w:rsidR="002A7F83" w:rsidRPr="00C56C64" w:rsidRDefault="002A7F83" w:rsidP="002A7F83">
      <w:pPr>
        <w:pStyle w:val="TOC3"/>
        <w:rPr>
          <w:lang w:eastAsia="en-GB"/>
        </w:rPr>
      </w:pPr>
      <w:hyperlink w:anchor="_Toc437893845" w:history="1">
        <w:r w:rsidRPr="00C56C64">
          <w:rPr>
            <w:rStyle w:val="Hyperlink"/>
          </w:rPr>
          <w:t>2.1.5.</w:t>
        </w:r>
        <w:r w:rsidRPr="00C56C64">
          <w:rPr>
            <w:lang w:eastAsia="en-GB"/>
          </w:rPr>
          <w:tab/>
        </w:r>
        <w:r w:rsidRPr="00C56C64">
          <w:rPr>
            <w:rStyle w:val="Hyperlink"/>
          </w:rPr>
          <w:t>Eligibility of costs: costs that can be included</w:t>
        </w:r>
        <w:r w:rsidRPr="00C56C64">
          <w:rPr>
            <w:webHidden/>
          </w:rPr>
          <w:tab/>
        </w:r>
        <w:r w:rsidRPr="00C56C64">
          <w:rPr>
            <w:webHidden/>
          </w:rPr>
          <w:fldChar w:fldCharType="begin"/>
        </w:r>
        <w:r w:rsidRPr="00C56C64">
          <w:rPr>
            <w:webHidden/>
          </w:rPr>
          <w:instrText xml:space="preserve"> PAGEREF _Toc437893845 \h </w:instrText>
        </w:r>
        <w:r w:rsidRPr="00C56C64">
          <w:rPr>
            <w:webHidden/>
          </w:rPr>
        </w:r>
        <w:r w:rsidRPr="00C56C64">
          <w:rPr>
            <w:webHidden/>
          </w:rPr>
          <w:fldChar w:fldCharType="separate"/>
        </w:r>
        <w:r w:rsidRPr="00C56C64">
          <w:rPr>
            <w:webHidden/>
          </w:rPr>
          <w:t>1</w:t>
        </w:r>
        <w:r w:rsidRPr="00C56C64">
          <w:rPr>
            <w:webHidden/>
          </w:rPr>
          <w:fldChar w:fldCharType="end"/>
        </w:r>
      </w:hyperlink>
      <w:r w:rsidRPr="00C56C64">
        <w:rPr>
          <w:rStyle w:val="Hyperlink"/>
        </w:rPr>
        <w:t>3</w:t>
      </w:r>
    </w:p>
    <w:p w:rsidR="002A7F83" w:rsidRPr="00C56C64" w:rsidRDefault="002A7F83" w:rsidP="002A7F83">
      <w:pPr>
        <w:pStyle w:val="TOC2"/>
        <w:rPr>
          <w:lang w:eastAsia="en-GB"/>
        </w:rPr>
      </w:pPr>
      <w:r w:rsidRPr="00C56C64">
        <w:rPr>
          <w:rStyle w:val="Hyperlink"/>
        </w:rPr>
        <w:t>2.2.</w:t>
      </w:r>
      <w:r w:rsidRPr="00C56C64">
        <w:rPr>
          <w:lang w:eastAsia="en-GB"/>
        </w:rPr>
        <w:tab/>
      </w:r>
      <w:r w:rsidRPr="00C56C64">
        <w:rPr>
          <w:rStyle w:val="Hyperlink"/>
        </w:rPr>
        <w:t>How to apply and the procedures to follow</w:t>
      </w:r>
      <w:r w:rsidRPr="00C56C64">
        <w:rPr>
          <w:webHidden/>
        </w:rPr>
        <w:tab/>
        <w:t>1</w:t>
      </w:r>
      <w:r w:rsidRPr="00C56C64">
        <w:rPr>
          <w:rStyle w:val="Hyperlink"/>
        </w:rPr>
        <w:t>8</w:t>
      </w:r>
    </w:p>
    <w:p w:rsidR="002A7F83" w:rsidRPr="00C56C64" w:rsidRDefault="002A7F83" w:rsidP="002A7F83">
      <w:pPr>
        <w:pStyle w:val="TOC3"/>
        <w:rPr>
          <w:lang w:eastAsia="en-GB"/>
        </w:rPr>
      </w:pPr>
      <w:r w:rsidRPr="00C56C64">
        <w:rPr>
          <w:rStyle w:val="Hyperlink"/>
        </w:rPr>
        <w:t>2.2.1.</w:t>
      </w:r>
      <w:r w:rsidRPr="00C56C64">
        <w:rPr>
          <w:lang w:eastAsia="en-GB"/>
        </w:rPr>
        <w:tab/>
      </w:r>
      <w:r w:rsidRPr="00C56C64">
        <w:rPr>
          <w:rStyle w:val="Hyperlink"/>
        </w:rPr>
        <w:t>Concept note content</w:t>
      </w:r>
      <w:r w:rsidRPr="00C56C64">
        <w:rPr>
          <w:webHidden/>
        </w:rPr>
        <w:tab/>
        <w:t>1</w:t>
      </w:r>
      <w:r w:rsidRPr="00C56C64">
        <w:rPr>
          <w:rStyle w:val="Hyperlink"/>
        </w:rPr>
        <w:t>8</w:t>
      </w:r>
    </w:p>
    <w:p w:rsidR="002A7F83" w:rsidRPr="00C56C64" w:rsidRDefault="002A7F83" w:rsidP="002A7F83">
      <w:pPr>
        <w:pStyle w:val="TOC3"/>
        <w:rPr>
          <w:lang w:eastAsia="en-GB"/>
        </w:rPr>
      </w:pPr>
      <w:r w:rsidRPr="00C56C64">
        <w:rPr>
          <w:rStyle w:val="Hyperlink"/>
        </w:rPr>
        <w:t>2.2.2.</w:t>
      </w:r>
      <w:r w:rsidRPr="00C56C64">
        <w:rPr>
          <w:lang w:eastAsia="en-GB"/>
        </w:rPr>
        <w:tab/>
      </w:r>
      <w:r w:rsidRPr="00C56C64">
        <w:rPr>
          <w:rStyle w:val="Hyperlink"/>
        </w:rPr>
        <w:t>Where and how to send concept notes</w:t>
      </w:r>
      <w:r w:rsidRPr="00C56C64">
        <w:rPr>
          <w:webHidden/>
        </w:rPr>
        <w:tab/>
        <w:t>1</w:t>
      </w:r>
      <w:r w:rsidRPr="00C56C64">
        <w:rPr>
          <w:rStyle w:val="Hyperlink"/>
        </w:rPr>
        <w:t>8</w:t>
      </w:r>
    </w:p>
    <w:p w:rsidR="002A7F83" w:rsidRPr="00C56C64" w:rsidRDefault="002A7F83" w:rsidP="002A7F83">
      <w:pPr>
        <w:pStyle w:val="TOC3"/>
        <w:rPr>
          <w:lang w:eastAsia="en-GB"/>
        </w:rPr>
      </w:pPr>
      <w:r w:rsidRPr="00C56C64">
        <w:rPr>
          <w:rStyle w:val="Hyperlink"/>
        </w:rPr>
        <w:t>2.2.3.</w:t>
      </w:r>
      <w:r w:rsidRPr="00C56C64">
        <w:rPr>
          <w:lang w:eastAsia="en-GB"/>
        </w:rPr>
        <w:tab/>
      </w:r>
      <w:r w:rsidRPr="00C56C64">
        <w:rPr>
          <w:rStyle w:val="Hyperlink"/>
        </w:rPr>
        <w:t>Deadline for submission of concept notes</w:t>
      </w:r>
      <w:r w:rsidRPr="00C56C64">
        <w:rPr>
          <w:webHidden/>
        </w:rPr>
        <w:tab/>
        <w:t>1</w:t>
      </w:r>
      <w:r w:rsidRPr="00C56C64">
        <w:rPr>
          <w:rStyle w:val="Hyperlink"/>
        </w:rPr>
        <w:t>9</w:t>
      </w:r>
    </w:p>
    <w:p w:rsidR="002A7F83" w:rsidRPr="00C56C64" w:rsidRDefault="002A7F83" w:rsidP="002A7F83">
      <w:pPr>
        <w:pStyle w:val="TOC3"/>
        <w:rPr>
          <w:lang w:eastAsia="en-GB"/>
        </w:rPr>
      </w:pPr>
      <w:r w:rsidRPr="00C56C64">
        <w:rPr>
          <w:rStyle w:val="Hyperlink"/>
        </w:rPr>
        <w:t>2.2.4.</w:t>
      </w:r>
      <w:r w:rsidRPr="00C56C64">
        <w:rPr>
          <w:lang w:eastAsia="en-GB"/>
        </w:rPr>
        <w:tab/>
      </w:r>
      <w:r w:rsidRPr="00C56C64">
        <w:rPr>
          <w:rStyle w:val="Hyperlink"/>
        </w:rPr>
        <w:t>Further information about concept notes</w:t>
      </w:r>
      <w:r w:rsidRPr="00C56C64">
        <w:rPr>
          <w:webHidden/>
        </w:rPr>
        <w:tab/>
        <w:t>2</w:t>
      </w:r>
      <w:r w:rsidRPr="00C56C64">
        <w:rPr>
          <w:rStyle w:val="Hyperlink"/>
        </w:rPr>
        <w:t>0</w:t>
      </w:r>
    </w:p>
    <w:p w:rsidR="002A7F83" w:rsidRPr="00C56C64" w:rsidRDefault="002A7F83" w:rsidP="002A7F83">
      <w:pPr>
        <w:pStyle w:val="TOC3"/>
        <w:rPr>
          <w:lang w:eastAsia="en-GB"/>
        </w:rPr>
      </w:pPr>
      <w:r w:rsidRPr="00C56C64">
        <w:rPr>
          <w:rStyle w:val="Hyperlink"/>
        </w:rPr>
        <w:t>2.2.5.</w:t>
      </w:r>
      <w:r w:rsidRPr="00C56C64">
        <w:rPr>
          <w:lang w:eastAsia="en-GB"/>
        </w:rPr>
        <w:tab/>
      </w:r>
      <w:r w:rsidRPr="00C56C64">
        <w:rPr>
          <w:rStyle w:val="Hyperlink"/>
        </w:rPr>
        <w:t>Full applications</w:t>
      </w:r>
      <w:r w:rsidRPr="00C56C64">
        <w:rPr>
          <w:webHidden/>
        </w:rPr>
        <w:tab/>
        <w:t>2</w:t>
      </w:r>
      <w:r w:rsidRPr="00C56C64">
        <w:rPr>
          <w:rStyle w:val="Hyperlink"/>
        </w:rPr>
        <w:t>0</w:t>
      </w:r>
    </w:p>
    <w:p w:rsidR="002A7F83" w:rsidRPr="00C56C64" w:rsidRDefault="002A7F83" w:rsidP="002A7F83">
      <w:pPr>
        <w:pStyle w:val="TOC3"/>
        <w:rPr>
          <w:lang w:eastAsia="en-GB"/>
        </w:rPr>
      </w:pPr>
      <w:r w:rsidRPr="00C56C64">
        <w:rPr>
          <w:rStyle w:val="Hyperlink"/>
        </w:rPr>
        <w:t>2.2.6.</w:t>
      </w:r>
      <w:r w:rsidRPr="00C56C64">
        <w:rPr>
          <w:lang w:eastAsia="en-GB"/>
        </w:rPr>
        <w:tab/>
      </w:r>
      <w:r w:rsidRPr="00C56C64">
        <w:rPr>
          <w:rStyle w:val="Hyperlink"/>
        </w:rPr>
        <w:t>Where and how to send full applications</w:t>
      </w:r>
      <w:r w:rsidRPr="00C56C64">
        <w:rPr>
          <w:webHidden/>
        </w:rPr>
        <w:tab/>
        <w:t>2</w:t>
      </w:r>
      <w:r w:rsidRPr="00C56C64">
        <w:rPr>
          <w:rStyle w:val="Hyperlink"/>
        </w:rPr>
        <w:t>1</w:t>
      </w:r>
    </w:p>
    <w:p w:rsidR="002A7F83" w:rsidRPr="00C56C64" w:rsidRDefault="002A7F83" w:rsidP="002A7F83">
      <w:pPr>
        <w:pStyle w:val="TOC3"/>
        <w:rPr>
          <w:lang w:eastAsia="en-GB"/>
        </w:rPr>
      </w:pPr>
      <w:hyperlink w:anchor="_Toc437893853" w:history="1">
        <w:r w:rsidRPr="00C56C64">
          <w:rPr>
            <w:rStyle w:val="Hyperlink"/>
          </w:rPr>
          <w:t>2.2.7.</w:t>
        </w:r>
        <w:r w:rsidRPr="00C56C64">
          <w:rPr>
            <w:lang w:eastAsia="en-GB"/>
          </w:rPr>
          <w:tab/>
        </w:r>
        <w:r w:rsidRPr="00C56C64">
          <w:rPr>
            <w:rStyle w:val="Hyperlink"/>
          </w:rPr>
          <w:t>Deadline for submission of full applications</w:t>
        </w:r>
        <w:r w:rsidRPr="00C56C64">
          <w:rPr>
            <w:webHidden/>
          </w:rPr>
          <w:tab/>
          <w:t>2</w:t>
        </w:r>
      </w:hyperlink>
      <w:r w:rsidRPr="00C56C64">
        <w:rPr>
          <w:rStyle w:val="Hyperlink"/>
        </w:rPr>
        <w:t>1</w:t>
      </w:r>
    </w:p>
    <w:p w:rsidR="002A7F83" w:rsidRPr="00C56C64" w:rsidRDefault="002A7F83" w:rsidP="002A7F83">
      <w:pPr>
        <w:pStyle w:val="TOC3"/>
        <w:rPr>
          <w:lang w:eastAsia="en-GB"/>
        </w:rPr>
      </w:pPr>
      <w:hyperlink w:anchor="_Toc437893854" w:history="1">
        <w:r w:rsidRPr="00C56C64">
          <w:rPr>
            <w:rStyle w:val="Hyperlink"/>
          </w:rPr>
          <w:t>2.2.8.</w:t>
        </w:r>
        <w:r w:rsidRPr="00C56C64">
          <w:rPr>
            <w:lang w:eastAsia="en-GB"/>
          </w:rPr>
          <w:tab/>
        </w:r>
        <w:r w:rsidRPr="00C56C64">
          <w:rPr>
            <w:rStyle w:val="Hyperlink"/>
          </w:rPr>
          <w:t>Further information about full applications</w:t>
        </w:r>
        <w:r w:rsidRPr="00C56C64">
          <w:rPr>
            <w:webHidden/>
          </w:rPr>
          <w:tab/>
          <w:t>2</w:t>
        </w:r>
      </w:hyperlink>
      <w:r w:rsidRPr="00C56C64">
        <w:rPr>
          <w:rStyle w:val="Hyperlink"/>
        </w:rPr>
        <w:t>2</w:t>
      </w:r>
    </w:p>
    <w:p w:rsidR="002A7F83" w:rsidRPr="00C56C64" w:rsidRDefault="002A7F83" w:rsidP="002A7F83">
      <w:pPr>
        <w:pStyle w:val="TOC2"/>
        <w:rPr>
          <w:lang w:eastAsia="en-GB"/>
        </w:rPr>
      </w:pPr>
      <w:r w:rsidRPr="00C56C64">
        <w:rPr>
          <w:rStyle w:val="Hyperlink"/>
        </w:rPr>
        <w:t>2.3.</w:t>
      </w:r>
      <w:r w:rsidRPr="00C56C64">
        <w:rPr>
          <w:lang w:eastAsia="en-GB"/>
        </w:rPr>
        <w:tab/>
      </w:r>
      <w:r w:rsidRPr="00C56C64">
        <w:rPr>
          <w:rStyle w:val="Hyperlink"/>
        </w:rPr>
        <w:t>Evaluation and selection of applications</w:t>
      </w:r>
      <w:r w:rsidRPr="00C56C64">
        <w:rPr>
          <w:webHidden/>
        </w:rPr>
        <w:tab/>
        <w:t>2</w:t>
      </w:r>
      <w:r w:rsidRPr="00C56C64">
        <w:rPr>
          <w:rStyle w:val="Hyperlink"/>
        </w:rPr>
        <w:t>2</w:t>
      </w:r>
    </w:p>
    <w:p w:rsidR="002A7F83" w:rsidRPr="00C56C64" w:rsidRDefault="002A7F83" w:rsidP="002A7F83">
      <w:pPr>
        <w:pStyle w:val="TOC2"/>
        <w:rPr>
          <w:lang w:eastAsia="en-GB"/>
        </w:rPr>
      </w:pPr>
      <w:hyperlink w:anchor="_Toc437893860" w:history="1">
        <w:r w:rsidRPr="00C56C64">
          <w:rPr>
            <w:rStyle w:val="Hyperlink"/>
          </w:rPr>
          <w:t>2.4.</w:t>
        </w:r>
        <w:r w:rsidRPr="00C56C64">
          <w:rPr>
            <w:lang w:eastAsia="en-GB"/>
          </w:rPr>
          <w:tab/>
        </w:r>
        <w:r w:rsidRPr="00C56C64">
          <w:rPr>
            <w:rStyle w:val="Hyperlink"/>
          </w:rPr>
          <w:t>Submission of supporting documents for provisionally selected applications</w:t>
        </w:r>
        <w:r w:rsidRPr="00C56C64">
          <w:rPr>
            <w:webHidden/>
          </w:rPr>
          <w:tab/>
          <w:t>2</w:t>
        </w:r>
      </w:hyperlink>
      <w:r w:rsidRPr="00C56C64">
        <w:rPr>
          <w:rStyle w:val="Hyperlink"/>
        </w:rPr>
        <w:t>9</w:t>
      </w:r>
    </w:p>
    <w:p w:rsidR="002A7F83" w:rsidRPr="00C56C64" w:rsidRDefault="002A7F83" w:rsidP="002A7F83">
      <w:pPr>
        <w:pStyle w:val="TOC2"/>
        <w:rPr>
          <w:lang w:eastAsia="en-GB"/>
        </w:rPr>
      </w:pPr>
      <w:hyperlink w:anchor="_Toc437893861" w:history="1">
        <w:r w:rsidRPr="00C56C64">
          <w:rPr>
            <w:rStyle w:val="Hyperlink"/>
          </w:rPr>
          <w:t>2.5.</w:t>
        </w:r>
        <w:r w:rsidRPr="00C56C64">
          <w:rPr>
            <w:lang w:eastAsia="en-GB"/>
          </w:rPr>
          <w:tab/>
        </w:r>
        <w:r w:rsidRPr="00C56C64">
          <w:rPr>
            <w:rStyle w:val="Hyperlink"/>
          </w:rPr>
          <w:t>Notification of the Contracting Authority’s decision</w:t>
        </w:r>
        <w:r w:rsidRPr="00C56C64">
          <w:rPr>
            <w:webHidden/>
          </w:rPr>
          <w:tab/>
          <w:t>3</w:t>
        </w:r>
      </w:hyperlink>
      <w:r w:rsidRPr="00C56C64">
        <w:rPr>
          <w:rStyle w:val="Hyperlink"/>
        </w:rPr>
        <w:t>0</w:t>
      </w:r>
    </w:p>
    <w:p w:rsidR="002A7F83" w:rsidRPr="00C56C64" w:rsidRDefault="002A7F83" w:rsidP="002A7F83">
      <w:pPr>
        <w:pStyle w:val="TOC3"/>
        <w:rPr>
          <w:lang w:eastAsia="en-GB"/>
        </w:rPr>
      </w:pPr>
      <w:hyperlink w:anchor="_Toc437893862" w:history="1">
        <w:r w:rsidRPr="00C56C64">
          <w:rPr>
            <w:rStyle w:val="Hyperlink"/>
          </w:rPr>
          <w:t>2.5.1.</w:t>
        </w:r>
        <w:r w:rsidRPr="00C56C64">
          <w:rPr>
            <w:lang w:eastAsia="en-GB"/>
          </w:rPr>
          <w:tab/>
        </w:r>
        <w:r w:rsidRPr="00C56C64">
          <w:rPr>
            <w:rStyle w:val="Hyperlink"/>
          </w:rPr>
          <w:t>Content of the decision</w:t>
        </w:r>
        <w:r w:rsidRPr="00C56C64">
          <w:rPr>
            <w:webHidden/>
          </w:rPr>
          <w:tab/>
          <w:t>30</w:t>
        </w:r>
      </w:hyperlink>
    </w:p>
    <w:p w:rsidR="002A7F83" w:rsidRPr="00C56C64" w:rsidRDefault="002A7F83" w:rsidP="002A7F83">
      <w:pPr>
        <w:pStyle w:val="TOC3"/>
        <w:rPr>
          <w:lang w:eastAsia="en-GB"/>
        </w:rPr>
      </w:pPr>
      <w:hyperlink w:anchor="_Toc437893863" w:history="1">
        <w:r w:rsidRPr="00C56C64">
          <w:rPr>
            <w:rStyle w:val="Hyperlink"/>
          </w:rPr>
          <w:t>2.5.2.</w:t>
        </w:r>
        <w:r w:rsidRPr="00C56C64">
          <w:rPr>
            <w:lang w:eastAsia="en-GB"/>
          </w:rPr>
          <w:tab/>
        </w:r>
        <w:r w:rsidRPr="00C56C64">
          <w:rPr>
            <w:rStyle w:val="Hyperlink"/>
          </w:rPr>
          <w:t>Indicative timetable</w:t>
        </w:r>
        <w:r w:rsidRPr="00C56C64">
          <w:rPr>
            <w:webHidden/>
          </w:rPr>
          <w:tab/>
          <w:t>3</w:t>
        </w:r>
      </w:hyperlink>
      <w:r w:rsidRPr="00C56C64">
        <w:rPr>
          <w:rStyle w:val="Hyperlink"/>
        </w:rPr>
        <w:t>0</w:t>
      </w:r>
    </w:p>
    <w:p w:rsidR="002A7F83" w:rsidRPr="00C56C64" w:rsidRDefault="002A7F83" w:rsidP="002A7F83">
      <w:pPr>
        <w:pStyle w:val="TOC2"/>
        <w:rPr>
          <w:lang w:eastAsia="en-GB"/>
        </w:rPr>
      </w:pPr>
      <w:hyperlink w:anchor="_Toc437893864" w:history="1">
        <w:r w:rsidRPr="00C56C64">
          <w:rPr>
            <w:rStyle w:val="Hyperlink"/>
          </w:rPr>
          <w:t>2.6.</w:t>
        </w:r>
        <w:r w:rsidRPr="00C56C64">
          <w:rPr>
            <w:lang w:eastAsia="en-GB"/>
          </w:rPr>
          <w:tab/>
        </w:r>
        <w:r w:rsidRPr="00C56C64">
          <w:rPr>
            <w:rStyle w:val="Hyperlink"/>
          </w:rPr>
          <w:t>Conditions for implementation after the Contracting Authority’s decision to award a grant</w:t>
        </w:r>
        <w:r w:rsidRPr="00C56C64">
          <w:rPr>
            <w:webHidden/>
          </w:rPr>
          <w:tab/>
          <w:t>3</w:t>
        </w:r>
      </w:hyperlink>
      <w:r w:rsidRPr="00C56C64">
        <w:rPr>
          <w:rStyle w:val="Hyperlink"/>
        </w:rPr>
        <w:t>1</w:t>
      </w:r>
    </w:p>
    <w:p w:rsidR="002A7F83" w:rsidRPr="00C56C64" w:rsidRDefault="002A7F83" w:rsidP="002A7F83">
      <w:pPr>
        <w:pStyle w:val="TOC1"/>
        <w:rPr>
          <w:rFonts w:ascii="Times New Roman" w:hAnsi="Times New Roman"/>
          <w:b w:val="0"/>
          <w:caps w:val="0"/>
          <w:noProof/>
          <w:szCs w:val="22"/>
          <w:lang w:eastAsia="en-GB"/>
        </w:rPr>
      </w:pPr>
      <w:hyperlink w:anchor="_Toc437893865" w:history="1">
        <w:r w:rsidRPr="00C56C64">
          <w:rPr>
            <w:rStyle w:val="Hyperlink"/>
            <w:rFonts w:ascii="Times New Roman" w:hAnsi="Times New Roman"/>
            <w:noProof/>
            <w:szCs w:val="22"/>
          </w:rPr>
          <w:t>3.</w:t>
        </w:r>
        <w:r w:rsidRPr="00C56C64">
          <w:rPr>
            <w:rFonts w:ascii="Times New Roman" w:hAnsi="Times New Roman"/>
            <w:b w:val="0"/>
            <w:caps w:val="0"/>
            <w:noProof/>
            <w:szCs w:val="22"/>
            <w:lang w:eastAsia="en-GB"/>
          </w:rPr>
          <w:tab/>
        </w:r>
        <w:r w:rsidRPr="00C56C64">
          <w:rPr>
            <w:rStyle w:val="Hyperlink"/>
            <w:rFonts w:ascii="Times New Roman" w:hAnsi="Times New Roman"/>
            <w:noProof/>
            <w:szCs w:val="22"/>
          </w:rPr>
          <w:t>LIST OF annexes</w:t>
        </w:r>
        <w:r w:rsidRPr="00C56C64">
          <w:rPr>
            <w:rFonts w:ascii="Times New Roman" w:hAnsi="Times New Roman"/>
            <w:noProof/>
            <w:webHidden/>
            <w:szCs w:val="22"/>
          </w:rPr>
          <w:tab/>
          <w:t>3</w:t>
        </w:r>
      </w:hyperlink>
      <w:r w:rsidRPr="00C56C64">
        <w:rPr>
          <w:rStyle w:val="Hyperlink"/>
          <w:rFonts w:ascii="Times New Roman" w:hAnsi="Times New Roman"/>
          <w:noProof/>
          <w:szCs w:val="22"/>
        </w:rPr>
        <w:t>3</w:t>
      </w:r>
    </w:p>
    <w:p w:rsidR="002A7F83" w:rsidRPr="002A76C8" w:rsidRDefault="002A7F83" w:rsidP="002A7F83">
      <w:pPr>
        <w:rPr>
          <w:szCs w:val="22"/>
        </w:rPr>
        <w:sectPr w:rsidR="002A7F83" w:rsidRPr="002A76C8" w:rsidSect="002D4ACD">
          <w:footerReference w:type="first" r:id="rId11"/>
          <w:pgSz w:w="11906" w:h="16838" w:code="9"/>
          <w:pgMar w:top="1021" w:right="1134" w:bottom="1021" w:left="1134" w:header="567" w:footer="545" w:gutter="0"/>
          <w:cols w:space="720"/>
          <w:titlePg/>
        </w:sectPr>
      </w:pPr>
      <w:r w:rsidRPr="00C56C64">
        <w:rPr>
          <w:szCs w:val="22"/>
        </w:rPr>
        <w:fldChar w:fldCharType="end"/>
      </w:r>
    </w:p>
    <w:p w:rsidR="002A7F83" w:rsidRPr="002A76C8" w:rsidRDefault="002A7F83" w:rsidP="0033394E">
      <w:pPr>
        <w:pStyle w:val="Guidelines1"/>
        <w:numPr>
          <w:ilvl w:val="0"/>
          <w:numId w:val="23"/>
        </w:numPr>
        <w:tabs>
          <w:tab w:val="clear" w:pos="1492"/>
          <w:tab w:val="num" w:pos="283"/>
        </w:tabs>
        <w:rPr>
          <w:rFonts w:ascii="Times New Roman" w:hAnsi="Times New Roman"/>
          <w:szCs w:val="22"/>
        </w:rPr>
      </w:pPr>
      <w:r w:rsidRPr="002A76C8">
        <w:rPr>
          <w:rFonts w:ascii="Times New Roman" w:hAnsi="Times New Roman"/>
          <w:szCs w:val="22"/>
        </w:rPr>
        <w:lastRenderedPageBreak/>
        <w:t>PUBLIC AWARENESS</w:t>
      </w:r>
    </w:p>
    <w:p w:rsidR="002A7F83" w:rsidRPr="002A76C8" w:rsidRDefault="002A7F83" w:rsidP="0033394E">
      <w:pPr>
        <w:pStyle w:val="Guidelines2"/>
        <w:numPr>
          <w:ilvl w:val="1"/>
          <w:numId w:val="23"/>
        </w:numPr>
        <w:rPr>
          <w:rFonts w:ascii="Times New Roman" w:hAnsi="Times New Roman"/>
          <w:sz w:val="22"/>
          <w:szCs w:val="22"/>
        </w:rPr>
      </w:pPr>
      <w:bookmarkStart w:id="1" w:name="_Toc437893836"/>
      <w:r w:rsidRPr="002A76C8">
        <w:rPr>
          <w:rFonts w:ascii="Times New Roman" w:hAnsi="Times New Roman"/>
          <w:sz w:val="22"/>
          <w:szCs w:val="22"/>
        </w:rPr>
        <w:t>Background</w:t>
      </w:r>
      <w:bookmarkEnd w:id="1"/>
    </w:p>
    <w:p w:rsidR="002A7F83" w:rsidRPr="002A76C8" w:rsidRDefault="002A7F83" w:rsidP="002A7F83">
      <w:pPr>
        <w:rPr>
          <w:szCs w:val="22"/>
        </w:rPr>
      </w:pPr>
      <w:r w:rsidRPr="002A76C8">
        <w:rPr>
          <w:szCs w:val="22"/>
        </w:rPr>
        <w:t>The Action Document 2016/037896.01/MNE/ on Environment and Climate Action included in the Action Programme for Montenegro in 2016 is the EU programming document financing this call for proposals. The Action Document addresses the following four results:</w:t>
      </w:r>
    </w:p>
    <w:p w:rsidR="002A7F83" w:rsidRPr="002A76C8" w:rsidRDefault="002A7F83" w:rsidP="002A7F83">
      <w:pPr>
        <w:rPr>
          <w:szCs w:val="22"/>
        </w:rPr>
      </w:pPr>
      <w:r w:rsidRPr="002A76C8">
        <w:rPr>
          <w:szCs w:val="22"/>
        </w:rPr>
        <w:t>R1: Capacity building: Improved Administrative Capacity for the Environment and Climate Action Sectors.</w:t>
      </w:r>
    </w:p>
    <w:p w:rsidR="002A7F83" w:rsidRPr="002A76C8" w:rsidRDefault="002A7F83" w:rsidP="002A7F83">
      <w:pPr>
        <w:rPr>
          <w:szCs w:val="22"/>
        </w:rPr>
      </w:pPr>
      <w:r w:rsidRPr="002A76C8">
        <w:rPr>
          <w:szCs w:val="22"/>
        </w:rPr>
        <w:t>R2: Environmental and Climate Action EU Acquis Transposition: National legislation aligned with EU acquis for Environment and Climate Action.</w:t>
      </w:r>
    </w:p>
    <w:p w:rsidR="002A7F83" w:rsidRPr="002A76C8" w:rsidRDefault="002A7F83" w:rsidP="002A7F83">
      <w:pPr>
        <w:rPr>
          <w:szCs w:val="22"/>
        </w:rPr>
      </w:pPr>
      <w:r w:rsidRPr="002A76C8">
        <w:rPr>
          <w:szCs w:val="22"/>
        </w:rPr>
        <w:t>R3: Environmental Planning and Policy Design: Project Pipeline, National strategies and Implementation Plans aligned with EU acquis for Environment and Climate Action.</w:t>
      </w:r>
    </w:p>
    <w:p w:rsidR="002A7F83" w:rsidRPr="002A76C8" w:rsidRDefault="002A7F83" w:rsidP="002A7F83">
      <w:pPr>
        <w:rPr>
          <w:szCs w:val="22"/>
        </w:rPr>
      </w:pPr>
      <w:r w:rsidRPr="002A76C8">
        <w:rPr>
          <w:szCs w:val="22"/>
        </w:rPr>
        <w:t>R4: Environmental Implementation.</w:t>
      </w:r>
    </w:p>
    <w:p w:rsidR="002A7F83" w:rsidRPr="002A76C8" w:rsidRDefault="002A7F83" w:rsidP="002A7F83">
      <w:pPr>
        <w:rPr>
          <w:szCs w:val="22"/>
        </w:rPr>
      </w:pPr>
      <w:r w:rsidRPr="002A76C8">
        <w:rPr>
          <w:szCs w:val="22"/>
        </w:rPr>
        <w:t xml:space="preserve">This call for proposal gives implementation to the Activity 1.4, Public Awareness, and therefore contribute to the achievement of the first result of the Action Document. The Action Document is available under </w:t>
      </w:r>
      <w:hyperlink r:id="rId12" w:history="1">
        <w:r w:rsidRPr="002A76C8">
          <w:rPr>
            <w:color w:val="0000FF"/>
            <w:szCs w:val="22"/>
            <w:u w:val="single"/>
          </w:rPr>
          <w:t>https://ec.europa.eu/neighbourhood-enlargement/instruments/funding-by-country/montenegro_en</w:t>
        </w:r>
      </w:hyperlink>
      <w:r w:rsidRPr="002A76C8">
        <w:rPr>
          <w:szCs w:val="22"/>
        </w:rPr>
        <w:t xml:space="preserve">.  </w:t>
      </w:r>
    </w:p>
    <w:p w:rsidR="002A7F83" w:rsidRPr="002A76C8" w:rsidRDefault="002A7F83" w:rsidP="002A7F83">
      <w:pPr>
        <w:rPr>
          <w:szCs w:val="22"/>
        </w:rPr>
      </w:pPr>
      <w:r w:rsidRPr="002A76C8">
        <w:rPr>
          <w:szCs w:val="22"/>
        </w:rPr>
        <w:t xml:space="preserve">The full implementation of the above-mentioned Action Document will give a substantial support to improve the quality of the environment in Montenegro. </w:t>
      </w:r>
    </w:p>
    <w:p w:rsidR="002A7F83" w:rsidRPr="002A76C8" w:rsidRDefault="002A7F83" w:rsidP="002A7F83">
      <w:pPr>
        <w:spacing w:after="160" w:line="259" w:lineRule="auto"/>
        <w:rPr>
          <w:szCs w:val="22"/>
          <w:lang w:val="en-US"/>
        </w:rPr>
      </w:pPr>
      <w:r w:rsidRPr="002A76C8">
        <w:rPr>
          <w:szCs w:val="22"/>
          <w:lang w:val="en-US"/>
        </w:rPr>
        <w:t>Since 2007, Montenegro has significantly changed its legal and policy framework for the environment and sustainable development. A new package of laws and corresponding secondary legislation has been adopted, and the strategic framework for environment and sustainable development has been further developed. However, the implementation of legislation lags behind the efforts to improve the legal and policy framework.</w:t>
      </w:r>
    </w:p>
    <w:p w:rsidR="002A7F83" w:rsidRPr="002A76C8" w:rsidRDefault="002A7F83" w:rsidP="002A7F83">
      <w:pPr>
        <w:spacing w:after="160" w:line="259" w:lineRule="auto"/>
        <w:rPr>
          <w:szCs w:val="22"/>
          <w:lang w:val="en-US"/>
        </w:rPr>
      </w:pPr>
      <w:r w:rsidRPr="002A76C8">
        <w:rPr>
          <w:szCs w:val="22"/>
          <w:lang w:val="en-US"/>
        </w:rPr>
        <w:t xml:space="preserve">Environmental and climate action represents one of the most important development priorities for Montenegro, </w:t>
      </w:r>
      <w:r w:rsidRPr="002A76C8">
        <w:rPr>
          <w:szCs w:val="22"/>
        </w:rPr>
        <w:t>recognised</w:t>
      </w:r>
      <w:r w:rsidRPr="002A76C8">
        <w:rPr>
          <w:szCs w:val="22"/>
          <w:lang w:val="en-US"/>
        </w:rPr>
        <w:t xml:space="preserve"> as such in the Constitution of Montenegro. The government development agenda is based on the principles of sustainable development with environmental protection as one of the key policies. The environment sector is also defined as a priority in the Accession Programme of Montenegro 2016-2018 and in the Economic Reform Programme 2015-2017 (ERP).</w:t>
      </w:r>
    </w:p>
    <w:p w:rsidR="002A7F83" w:rsidRPr="002A76C8" w:rsidRDefault="002A7F83" w:rsidP="002A7F83">
      <w:pPr>
        <w:spacing w:after="160" w:line="259" w:lineRule="auto"/>
        <w:rPr>
          <w:szCs w:val="22"/>
          <w:lang w:val="en-US"/>
        </w:rPr>
      </w:pPr>
      <w:r w:rsidRPr="002A76C8">
        <w:rPr>
          <w:szCs w:val="22"/>
          <w:lang w:val="en-US"/>
        </w:rPr>
        <w:t>Furthermore, in the Environment sector, several subsector strategies have been developed</w:t>
      </w:r>
      <w:r w:rsidRPr="002A76C8">
        <w:rPr>
          <w:szCs w:val="22"/>
          <w:vertAlign w:val="superscript"/>
          <w:lang w:val="en-US"/>
        </w:rPr>
        <w:footnoteReference w:id="2"/>
      </w:r>
      <w:r w:rsidRPr="002A76C8">
        <w:rPr>
          <w:szCs w:val="22"/>
          <w:lang w:val="en-US"/>
        </w:rPr>
        <w:t>. All of them are in line with the key strategic documents, such as National Strategy for Sustainable Development, and with the requirements which arise from the EU integration process in the field of environment and climate action.</w:t>
      </w:r>
    </w:p>
    <w:p w:rsidR="002A7F83" w:rsidRPr="002A76C8" w:rsidRDefault="002A7F83" w:rsidP="002A7F83">
      <w:pPr>
        <w:spacing w:after="160" w:line="259" w:lineRule="auto"/>
        <w:rPr>
          <w:szCs w:val="22"/>
          <w:lang w:val="en-US"/>
        </w:rPr>
      </w:pPr>
      <w:r w:rsidRPr="002A76C8">
        <w:rPr>
          <w:szCs w:val="22"/>
          <w:lang w:val="en-US"/>
        </w:rPr>
        <w:t xml:space="preserve">It has been recognized though that there are some important environmental problems that need to be addressed in order to maintain competitive advantage of the sector, especially in the field of waste and water management. As regards the EU acquis, Montenegro is at an intermediate stage of alignment. Although it has already transposed a significant share of the acquis in the area of environment, significant challenges remain. In addition to legislative alignment, Montenegro has to build up the administrative capacity, following a cross-cutting plan (not limited to Environment and Climate Action Sector), that will allow to ensure proper </w:t>
      </w:r>
      <w:r w:rsidRPr="002A76C8">
        <w:rPr>
          <w:szCs w:val="22"/>
          <w:lang w:val="en-US"/>
        </w:rPr>
        <w:lastRenderedPageBreak/>
        <w:t>implementation and enforcement of EU legislation as well as to meet the obligations arising from the European Integration process. The main weaknesses identified are:</w:t>
      </w:r>
    </w:p>
    <w:p w:rsidR="002A7F83" w:rsidRPr="002A76C8" w:rsidRDefault="002A7F83" w:rsidP="0033394E">
      <w:pPr>
        <w:numPr>
          <w:ilvl w:val="0"/>
          <w:numId w:val="43"/>
        </w:numPr>
        <w:spacing w:after="160" w:line="259" w:lineRule="auto"/>
        <w:rPr>
          <w:szCs w:val="22"/>
          <w:lang w:val="en-US"/>
        </w:rPr>
      </w:pPr>
      <w:r w:rsidRPr="002A76C8">
        <w:rPr>
          <w:szCs w:val="22"/>
          <w:lang w:val="en-US"/>
        </w:rPr>
        <w:t>lack of strategic planning;</w:t>
      </w:r>
    </w:p>
    <w:p w:rsidR="002A7F83" w:rsidRPr="002A76C8" w:rsidRDefault="002A7F83" w:rsidP="0033394E">
      <w:pPr>
        <w:numPr>
          <w:ilvl w:val="0"/>
          <w:numId w:val="43"/>
        </w:numPr>
        <w:spacing w:after="160" w:line="259" w:lineRule="auto"/>
        <w:rPr>
          <w:szCs w:val="22"/>
          <w:lang w:val="en-US"/>
        </w:rPr>
      </w:pPr>
      <w:r w:rsidRPr="002A76C8">
        <w:rPr>
          <w:szCs w:val="22"/>
          <w:lang w:val="en-US"/>
        </w:rPr>
        <w:t>underdeveloped infrastructure;</w:t>
      </w:r>
    </w:p>
    <w:p w:rsidR="002A7F83" w:rsidRPr="002A76C8" w:rsidRDefault="002A7F83" w:rsidP="0033394E">
      <w:pPr>
        <w:numPr>
          <w:ilvl w:val="0"/>
          <w:numId w:val="43"/>
        </w:numPr>
        <w:spacing w:after="160" w:line="259" w:lineRule="auto"/>
        <w:rPr>
          <w:szCs w:val="22"/>
          <w:lang w:val="en-US"/>
        </w:rPr>
      </w:pPr>
      <w:r w:rsidRPr="002A76C8">
        <w:rPr>
          <w:szCs w:val="22"/>
          <w:lang w:val="en-US"/>
        </w:rPr>
        <w:t>lack of systematic integration of environment and climate action in all sectors' policies; and</w:t>
      </w:r>
    </w:p>
    <w:p w:rsidR="002A7F83" w:rsidRPr="002A76C8" w:rsidRDefault="002A7F83" w:rsidP="0033394E">
      <w:pPr>
        <w:numPr>
          <w:ilvl w:val="0"/>
          <w:numId w:val="43"/>
        </w:numPr>
        <w:spacing w:after="160" w:line="259" w:lineRule="auto"/>
        <w:rPr>
          <w:szCs w:val="22"/>
          <w:lang w:val="en-US"/>
        </w:rPr>
      </w:pPr>
      <w:r w:rsidRPr="002A76C8">
        <w:rPr>
          <w:szCs w:val="22"/>
          <w:lang w:val="en-US"/>
        </w:rPr>
        <w:t>lack of systematic financing from the state budget in Environment and Climate Action Sector, especially for capacity building. Institutional Framework</w:t>
      </w:r>
    </w:p>
    <w:p w:rsidR="002A7F83" w:rsidRPr="002A76C8" w:rsidRDefault="002A7F83" w:rsidP="002A7F83">
      <w:pPr>
        <w:spacing w:after="160" w:line="259" w:lineRule="auto"/>
        <w:rPr>
          <w:szCs w:val="22"/>
          <w:lang w:val="en-US"/>
        </w:rPr>
      </w:pPr>
      <w:r w:rsidRPr="002A76C8">
        <w:rPr>
          <w:szCs w:val="22"/>
          <w:lang w:val="en-US"/>
        </w:rPr>
        <w:t>As regards the administrative structure in this sector, the overall responsibility for the development, management and coordination of environment and climate action policy lies with the Ministry of Sustainable Development and Tourism (MSDT).</w:t>
      </w:r>
    </w:p>
    <w:p w:rsidR="002A7F83" w:rsidRPr="002A76C8" w:rsidRDefault="002A7F83" w:rsidP="002A7F83">
      <w:pPr>
        <w:spacing w:after="160" w:line="259" w:lineRule="auto"/>
        <w:rPr>
          <w:szCs w:val="22"/>
          <w:lang w:val="en-US"/>
        </w:rPr>
      </w:pPr>
      <w:r w:rsidRPr="002A76C8">
        <w:rPr>
          <w:szCs w:val="22"/>
          <w:lang w:val="en-US"/>
        </w:rPr>
        <w:t>Various assessments conducted by the EC and UN bodies (i.e. The Western Balkans Environmental Programme: Review of Policy Integration and Capacity Development Need Assessment Studies – 2009) resulted with the finding that Montenegro faces important challenges in terms of administrative capacity in this sector.</w:t>
      </w:r>
    </w:p>
    <w:p w:rsidR="002A7F83" w:rsidRPr="002A76C8" w:rsidRDefault="002A7F83" w:rsidP="002A7F83">
      <w:pPr>
        <w:spacing w:after="160" w:line="259" w:lineRule="auto"/>
        <w:rPr>
          <w:szCs w:val="22"/>
          <w:lang w:val="en-US"/>
        </w:rPr>
      </w:pPr>
      <w:r w:rsidRPr="002A76C8">
        <w:rPr>
          <w:szCs w:val="22"/>
          <w:lang w:val="en-US"/>
        </w:rPr>
        <w:t>In a nutshell:</w:t>
      </w:r>
    </w:p>
    <w:p w:rsidR="002A7F83" w:rsidRPr="002A76C8" w:rsidRDefault="002A7F83" w:rsidP="0033394E">
      <w:pPr>
        <w:numPr>
          <w:ilvl w:val="0"/>
          <w:numId w:val="44"/>
        </w:numPr>
        <w:spacing w:after="160" w:line="259" w:lineRule="auto"/>
        <w:rPr>
          <w:szCs w:val="22"/>
          <w:lang w:val="en-US"/>
        </w:rPr>
      </w:pPr>
      <w:r w:rsidRPr="002A76C8">
        <w:rPr>
          <w:szCs w:val="22"/>
          <w:lang w:val="en-US"/>
        </w:rPr>
        <w:t>Legislative alignment is not completed, despite the progress made in the last years.</w:t>
      </w:r>
    </w:p>
    <w:p w:rsidR="002A7F83" w:rsidRPr="002A76C8" w:rsidRDefault="002A7F83" w:rsidP="0033394E">
      <w:pPr>
        <w:numPr>
          <w:ilvl w:val="0"/>
          <w:numId w:val="44"/>
        </w:numPr>
        <w:spacing w:after="160" w:line="259" w:lineRule="auto"/>
        <w:rPr>
          <w:szCs w:val="22"/>
          <w:lang w:val="en-US"/>
        </w:rPr>
      </w:pPr>
      <w:r w:rsidRPr="002A76C8">
        <w:rPr>
          <w:szCs w:val="22"/>
          <w:lang w:val="en-US"/>
        </w:rPr>
        <w:t>Weak implementation and enforcement of the Environment and Climate Action. The level of implementation and enforcement of the legislation and policies is low due to poor economy</w:t>
      </w:r>
      <w:r w:rsidRPr="002A76C8">
        <w:rPr>
          <w:b/>
          <w:szCs w:val="22"/>
          <w:lang w:val="en-US"/>
        </w:rPr>
        <w:t>, low awareness</w:t>
      </w:r>
      <w:r w:rsidRPr="002A76C8">
        <w:rPr>
          <w:szCs w:val="22"/>
          <w:lang w:val="en-US"/>
        </w:rPr>
        <w:t xml:space="preserve"> and inadequate institutional capacity.</w:t>
      </w:r>
    </w:p>
    <w:p w:rsidR="002A7F83" w:rsidRPr="002A76C8" w:rsidRDefault="002A7F83" w:rsidP="0033394E">
      <w:pPr>
        <w:numPr>
          <w:ilvl w:val="0"/>
          <w:numId w:val="44"/>
        </w:numPr>
        <w:spacing w:after="160" w:line="259" w:lineRule="auto"/>
        <w:rPr>
          <w:szCs w:val="22"/>
          <w:lang w:val="en-US"/>
        </w:rPr>
      </w:pPr>
      <w:r w:rsidRPr="002A76C8">
        <w:rPr>
          <w:szCs w:val="22"/>
          <w:lang w:val="en-US"/>
        </w:rPr>
        <w:t>Insufficient administrative capacity for dealing with all the aspects of environmental management. The high employee turnover, the reliance on temporary staff and relative lack of expert skills in the administration hinder proper implementation of sector polices, projects and reforms. Regular training on legislative drafting is not ensured.</w:t>
      </w:r>
    </w:p>
    <w:p w:rsidR="002A7F83" w:rsidRPr="002A76C8" w:rsidRDefault="002A7F83" w:rsidP="0033394E">
      <w:pPr>
        <w:numPr>
          <w:ilvl w:val="0"/>
          <w:numId w:val="44"/>
        </w:numPr>
        <w:spacing w:after="160" w:line="259" w:lineRule="auto"/>
        <w:rPr>
          <w:szCs w:val="22"/>
          <w:lang w:val="en-US"/>
        </w:rPr>
      </w:pPr>
      <w:r w:rsidRPr="002A76C8">
        <w:rPr>
          <w:szCs w:val="22"/>
          <w:lang w:val="en-US"/>
        </w:rPr>
        <w:t>Insufficient statistical data and monitoring networks are poorly maintained and lack real time data.</w:t>
      </w:r>
    </w:p>
    <w:p w:rsidR="002A7F83" w:rsidRPr="002A76C8" w:rsidRDefault="002A7F83" w:rsidP="0033394E">
      <w:pPr>
        <w:numPr>
          <w:ilvl w:val="0"/>
          <w:numId w:val="44"/>
        </w:numPr>
        <w:spacing w:after="160" w:line="259" w:lineRule="auto"/>
        <w:rPr>
          <w:szCs w:val="22"/>
          <w:lang w:val="en-US"/>
        </w:rPr>
      </w:pPr>
      <w:r w:rsidRPr="002A76C8">
        <w:rPr>
          <w:szCs w:val="22"/>
          <w:lang w:val="en-US"/>
        </w:rPr>
        <w:t>Inefficient organization, poor coordination and communication among institutions responsible for different aspects of environmental policy setting and implementation. Coordination between central and local government is not on an adequate.</w:t>
      </w:r>
    </w:p>
    <w:p w:rsidR="002A7F83" w:rsidRPr="002A76C8" w:rsidRDefault="002A7F83" w:rsidP="002A7F83">
      <w:pPr>
        <w:spacing w:after="160" w:line="259" w:lineRule="auto"/>
        <w:rPr>
          <w:szCs w:val="22"/>
          <w:lang w:val="en-US"/>
        </w:rPr>
      </w:pPr>
      <w:r w:rsidRPr="002A76C8">
        <w:rPr>
          <w:szCs w:val="22"/>
          <w:lang w:val="en-US"/>
        </w:rPr>
        <w:t>In general, the following measures have to be undertaken in Montenegro in order to improve the situation with the Environment and Climate Action Sector:</w:t>
      </w:r>
    </w:p>
    <w:p w:rsidR="002A7F83" w:rsidRPr="002A76C8" w:rsidRDefault="002A7F83" w:rsidP="0033394E">
      <w:pPr>
        <w:numPr>
          <w:ilvl w:val="0"/>
          <w:numId w:val="45"/>
        </w:numPr>
        <w:spacing w:after="160" w:line="259" w:lineRule="auto"/>
        <w:rPr>
          <w:szCs w:val="22"/>
          <w:lang w:val="en-US"/>
        </w:rPr>
      </w:pPr>
      <w:r w:rsidRPr="002A76C8">
        <w:rPr>
          <w:szCs w:val="22"/>
          <w:lang w:val="en-US"/>
        </w:rPr>
        <w:t>To complete the legal alignment with the EU acquis on environmental protection and climate action and establish the necessary conditions for its implementation and enforcement.</w:t>
      </w:r>
    </w:p>
    <w:p w:rsidR="002A7F83" w:rsidRPr="002A76C8" w:rsidRDefault="002A7F83" w:rsidP="0033394E">
      <w:pPr>
        <w:numPr>
          <w:ilvl w:val="0"/>
          <w:numId w:val="45"/>
        </w:numPr>
        <w:spacing w:after="160" w:line="259" w:lineRule="auto"/>
        <w:rPr>
          <w:szCs w:val="22"/>
          <w:lang w:val="en-US"/>
        </w:rPr>
      </w:pPr>
      <w:r w:rsidRPr="002A76C8">
        <w:rPr>
          <w:szCs w:val="22"/>
          <w:lang w:val="en-US"/>
        </w:rPr>
        <w:t>To establish a clear institutional framework with clear responsibilities, reporting lines and efficient internal organization, to build the necessary administrative capacity, including the enforcement system, expertise and inter-institutional coordination.</w:t>
      </w:r>
    </w:p>
    <w:p w:rsidR="002A7F83" w:rsidRPr="002A76C8" w:rsidRDefault="002A7F83" w:rsidP="002A7F83">
      <w:pPr>
        <w:rPr>
          <w:szCs w:val="22"/>
        </w:rPr>
      </w:pPr>
      <w:r w:rsidRPr="002A76C8">
        <w:rPr>
          <w:szCs w:val="22"/>
          <w:lang w:val="en-US"/>
        </w:rPr>
        <w:t>To ensure adequate and sustainable financing of the environment sector, both at central and local level.</w:t>
      </w:r>
    </w:p>
    <w:p w:rsidR="002A7F83" w:rsidRPr="002A76C8" w:rsidRDefault="002A7F83" w:rsidP="0033394E">
      <w:pPr>
        <w:pStyle w:val="Guidelines2"/>
        <w:numPr>
          <w:ilvl w:val="1"/>
          <w:numId w:val="23"/>
        </w:numPr>
        <w:rPr>
          <w:rFonts w:ascii="Times New Roman" w:hAnsi="Times New Roman"/>
          <w:sz w:val="22"/>
          <w:szCs w:val="22"/>
        </w:rPr>
      </w:pPr>
      <w:bookmarkStart w:id="2" w:name="_Toc437893837"/>
      <w:r w:rsidRPr="002A76C8">
        <w:rPr>
          <w:rFonts w:ascii="Times New Roman" w:hAnsi="Times New Roman"/>
          <w:sz w:val="22"/>
          <w:szCs w:val="22"/>
        </w:rPr>
        <w:t>Objectives of the programme and priority issues</w:t>
      </w:r>
      <w:bookmarkEnd w:id="2"/>
      <w:r w:rsidRPr="002A76C8">
        <w:rPr>
          <w:rFonts w:ascii="Times New Roman" w:hAnsi="Times New Roman"/>
          <w:sz w:val="22"/>
          <w:szCs w:val="22"/>
        </w:rPr>
        <w:t xml:space="preserve"> </w:t>
      </w:r>
    </w:p>
    <w:p w:rsidR="002A7F83" w:rsidRPr="002A76C8" w:rsidRDefault="002A7F83" w:rsidP="002A7F83">
      <w:pPr>
        <w:rPr>
          <w:szCs w:val="22"/>
        </w:rPr>
      </w:pPr>
      <w:r w:rsidRPr="002A76C8">
        <w:rPr>
          <w:szCs w:val="22"/>
        </w:rPr>
        <w:t xml:space="preserve">The </w:t>
      </w:r>
      <w:r w:rsidRPr="002A76C8">
        <w:rPr>
          <w:b/>
          <w:szCs w:val="22"/>
        </w:rPr>
        <w:t>global objective</w:t>
      </w:r>
      <w:r w:rsidRPr="002A76C8">
        <w:rPr>
          <w:szCs w:val="22"/>
        </w:rPr>
        <w:t xml:space="preserve"> of this call for proposals is to support the alignment process and develop the Institutional Capacity for Strategic Planning, Implementation and Enforcement of Environmental and Climate Action Acquis, in line with the National Environmental Approximation Strategy.</w:t>
      </w:r>
    </w:p>
    <w:p w:rsidR="002A7F83" w:rsidRPr="008918E6" w:rsidRDefault="002A7F83" w:rsidP="002A7F83">
      <w:pPr>
        <w:rPr>
          <w:szCs w:val="22"/>
        </w:rPr>
      </w:pPr>
      <w:r w:rsidRPr="002A76C8">
        <w:rPr>
          <w:szCs w:val="22"/>
        </w:rPr>
        <w:t xml:space="preserve">The </w:t>
      </w:r>
      <w:r w:rsidRPr="002A76C8">
        <w:rPr>
          <w:b/>
          <w:szCs w:val="22"/>
        </w:rPr>
        <w:t xml:space="preserve">specific objective(s) </w:t>
      </w:r>
      <w:r w:rsidRPr="002A76C8">
        <w:rPr>
          <w:szCs w:val="22"/>
        </w:rPr>
        <w:t xml:space="preserve">of this call for proposals is to build capacity and </w:t>
      </w:r>
      <w:r w:rsidRPr="008918E6">
        <w:rPr>
          <w:szCs w:val="22"/>
        </w:rPr>
        <w:t xml:space="preserve">awareness and improve the Administrative Capacity of the Environment and Climate Change Sectors for implementing and monitoring enforcement of Environmental policies. </w:t>
      </w:r>
    </w:p>
    <w:p w:rsidR="002A7F83" w:rsidRPr="008918E6" w:rsidRDefault="002A7F83" w:rsidP="002A7F83">
      <w:pPr>
        <w:rPr>
          <w:szCs w:val="22"/>
        </w:rPr>
      </w:pPr>
      <w:r w:rsidRPr="008918E6">
        <w:rPr>
          <w:szCs w:val="22"/>
        </w:rPr>
        <w:lastRenderedPageBreak/>
        <w:t>The priorities of this programme are presented below and are fully in line with the requirements of the IPA Action Programme 2016.</w:t>
      </w:r>
    </w:p>
    <w:p w:rsidR="002A7F83" w:rsidRPr="008918E6" w:rsidRDefault="002A7F83" w:rsidP="002A7F83">
      <w:pPr>
        <w:rPr>
          <w:b/>
          <w:szCs w:val="22"/>
          <w:u w:val="single"/>
        </w:rPr>
      </w:pPr>
      <w:r w:rsidRPr="008918E6">
        <w:rPr>
          <w:b/>
          <w:szCs w:val="22"/>
          <w:u w:val="single"/>
        </w:rPr>
        <w:t>The priority areas to be addressed within this call for proposals are exclusively the following ones:</w:t>
      </w:r>
    </w:p>
    <w:p w:rsidR="002A7F83" w:rsidRPr="008918E6" w:rsidRDefault="002A7F83" w:rsidP="002A7F83">
      <w:pPr>
        <w:rPr>
          <w:szCs w:val="22"/>
        </w:rPr>
      </w:pPr>
      <w:r w:rsidRPr="008918E6">
        <w:rPr>
          <w:szCs w:val="22"/>
        </w:rPr>
        <w:t>• Priority 1: Awareness about EU and National Environmental and Climate Action Policies.</w:t>
      </w:r>
    </w:p>
    <w:p w:rsidR="002A7F83" w:rsidRPr="008918E6" w:rsidRDefault="002A7F83" w:rsidP="002A7F83">
      <w:pPr>
        <w:rPr>
          <w:szCs w:val="22"/>
        </w:rPr>
      </w:pPr>
      <w:r w:rsidRPr="008918E6">
        <w:rPr>
          <w:szCs w:val="22"/>
        </w:rPr>
        <w:t>• Priority 2: Recycling culture and reduction of waste production in Montenegro.</w:t>
      </w:r>
    </w:p>
    <w:p w:rsidR="002A7F83" w:rsidRPr="008918E6" w:rsidRDefault="002A7F83" w:rsidP="002A7F83">
      <w:pPr>
        <w:rPr>
          <w:szCs w:val="22"/>
        </w:rPr>
      </w:pPr>
      <w:r w:rsidRPr="008918E6">
        <w:rPr>
          <w:szCs w:val="22"/>
        </w:rPr>
        <w:t>• Priority 3: Knowledge about Biodiversity in Montenegro.</w:t>
      </w:r>
    </w:p>
    <w:p w:rsidR="002A7F83" w:rsidRPr="008918E6" w:rsidRDefault="002A7F83" w:rsidP="002A7F83">
      <w:pPr>
        <w:rPr>
          <w:szCs w:val="22"/>
        </w:rPr>
      </w:pPr>
      <w:r w:rsidRPr="008918E6">
        <w:rPr>
          <w:szCs w:val="22"/>
        </w:rPr>
        <w:t>• Priority 4: Environmental and Climate change in schools of Montenegro.</w:t>
      </w:r>
    </w:p>
    <w:p w:rsidR="002A7F83" w:rsidRPr="008918E6" w:rsidRDefault="002A7F83" w:rsidP="002A7F83">
      <w:pPr>
        <w:rPr>
          <w:szCs w:val="22"/>
        </w:rPr>
      </w:pPr>
      <w:r w:rsidRPr="008918E6">
        <w:rPr>
          <w:szCs w:val="22"/>
        </w:rPr>
        <w:t>• Priority 5: Inclusion of Civil Society and economic operators in policy dialogue with the State on environment and climate change issues</w:t>
      </w:r>
    </w:p>
    <w:p w:rsidR="002A7F83" w:rsidRPr="002A76C8" w:rsidRDefault="002A7F83" w:rsidP="002A7F83">
      <w:pPr>
        <w:rPr>
          <w:szCs w:val="22"/>
        </w:rPr>
      </w:pPr>
      <w:r w:rsidRPr="008918E6">
        <w:rPr>
          <w:szCs w:val="22"/>
        </w:rPr>
        <w:t>• Priority 6: Implementation and monitoring enforcement of Environmental policies.</w:t>
      </w:r>
    </w:p>
    <w:p w:rsidR="002A7F83" w:rsidRPr="002A76C8" w:rsidRDefault="002A7F83" w:rsidP="0033394E">
      <w:pPr>
        <w:pStyle w:val="Guidelines2"/>
        <w:numPr>
          <w:ilvl w:val="1"/>
          <w:numId w:val="23"/>
        </w:numPr>
        <w:rPr>
          <w:rFonts w:ascii="Times New Roman" w:hAnsi="Times New Roman"/>
          <w:sz w:val="22"/>
          <w:szCs w:val="22"/>
        </w:rPr>
      </w:pPr>
      <w:bookmarkStart w:id="3" w:name="_Toc437893838"/>
      <w:r w:rsidRPr="002A76C8">
        <w:rPr>
          <w:rFonts w:ascii="Times New Roman" w:hAnsi="Times New Roman"/>
          <w:sz w:val="22"/>
          <w:szCs w:val="22"/>
        </w:rPr>
        <w:t>Financial allocation provided by the contracting authority</w:t>
      </w:r>
      <w:bookmarkEnd w:id="3"/>
    </w:p>
    <w:p w:rsidR="002A7F83" w:rsidRPr="002A76C8" w:rsidRDefault="002A7F83" w:rsidP="002A7F83">
      <w:pPr>
        <w:rPr>
          <w:szCs w:val="22"/>
        </w:rPr>
      </w:pPr>
      <w:r w:rsidRPr="002A76C8">
        <w:rPr>
          <w:szCs w:val="22"/>
        </w:rPr>
        <w:t xml:space="preserve">The overall indicative amount made available under this call for proposals is EUR </w:t>
      </w:r>
      <w:r w:rsidRPr="002A76C8">
        <w:rPr>
          <w:b/>
          <w:szCs w:val="22"/>
          <w:u w:val="single"/>
        </w:rPr>
        <w:t>750,824</w:t>
      </w:r>
      <w:r w:rsidRPr="002A76C8">
        <w:rPr>
          <w:szCs w:val="22"/>
        </w:rPr>
        <w:t>. The contracting authority reserves the right not to award all available funds.</w:t>
      </w:r>
    </w:p>
    <w:p w:rsidR="002A7F83" w:rsidRPr="002A76C8" w:rsidRDefault="002A7F83" w:rsidP="002A7F83">
      <w:pPr>
        <w:rPr>
          <w:szCs w:val="22"/>
        </w:rPr>
      </w:pPr>
      <w:r w:rsidRPr="002A76C8">
        <w:rPr>
          <w:szCs w:val="22"/>
        </w:rPr>
        <w:t>Size of grants</w:t>
      </w:r>
    </w:p>
    <w:p w:rsidR="002A7F83" w:rsidRPr="002A76C8" w:rsidRDefault="002A7F83" w:rsidP="002A7F83">
      <w:pPr>
        <w:rPr>
          <w:szCs w:val="22"/>
        </w:rPr>
      </w:pPr>
      <w:r w:rsidRPr="002A76C8">
        <w:rPr>
          <w:szCs w:val="22"/>
        </w:rPr>
        <w:t>Any grant requested under this call for proposals must fall between the following minimum and maximum amounts:</w:t>
      </w:r>
    </w:p>
    <w:p w:rsidR="002A7F83" w:rsidRPr="002A76C8" w:rsidRDefault="002A7F83" w:rsidP="0033394E">
      <w:pPr>
        <w:numPr>
          <w:ilvl w:val="0"/>
          <w:numId w:val="24"/>
        </w:numPr>
        <w:rPr>
          <w:szCs w:val="22"/>
        </w:rPr>
      </w:pPr>
      <w:r w:rsidRPr="002A76C8">
        <w:rPr>
          <w:szCs w:val="22"/>
        </w:rPr>
        <w:t xml:space="preserve">minimum amount: </w:t>
      </w:r>
      <w:r w:rsidRPr="002A76C8">
        <w:rPr>
          <w:b/>
          <w:szCs w:val="22"/>
        </w:rPr>
        <w:t>EUR 30,000</w:t>
      </w:r>
    </w:p>
    <w:p w:rsidR="002A7F83" w:rsidRPr="002A76C8" w:rsidRDefault="002A7F83" w:rsidP="0033394E">
      <w:pPr>
        <w:numPr>
          <w:ilvl w:val="0"/>
          <w:numId w:val="24"/>
        </w:numPr>
        <w:rPr>
          <w:szCs w:val="22"/>
        </w:rPr>
      </w:pPr>
      <w:r w:rsidRPr="002A76C8">
        <w:rPr>
          <w:szCs w:val="22"/>
        </w:rPr>
        <w:t xml:space="preserve">maximum amount: </w:t>
      </w:r>
      <w:r w:rsidRPr="002A76C8">
        <w:rPr>
          <w:b/>
          <w:szCs w:val="22"/>
        </w:rPr>
        <w:t>EUR 90,000</w:t>
      </w:r>
    </w:p>
    <w:p w:rsidR="002A7F83" w:rsidRPr="002A76C8" w:rsidRDefault="002A7F83" w:rsidP="002A7F83">
      <w:pPr>
        <w:rPr>
          <w:szCs w:val="22"/>
        </w:rPr>
      </w:pPr>
      <w:r w:rsidRPr="002A76C8">
        <w:rPr>
          <w:szCs w:val="22"/>
        </w:rPr>
        <w:t>Any grant requested under this call for proposals must fall between the following minimum and maximum percentages of total eligible costs of the action:</w:t>
      </w:r>
    </w:p>
    <w:p w:rsidR="002A7F83" w:rsidRPr="009229F1" w:rsidRDefault="002A7F83" w:rsidP="0033394E">
      <w:pPr>
        <w:numPr>
          <w:ilvl w:val="0"/>
          <w:numId w:val="25"/>
        </w:numPr>
        <w:rPr>
          <w:szCs w:val="22"/>
        </w:rPr>
      </w:pPr>
      <w:r w:rsidRPr="002A76C8">
        <w:rPr>
          <w:szCs w:val="22"/>
        </w:rPr>
        <w:t xml:space="preserve">Minimum </w:t>
      </w:r>
      <w:r w:rsidRPr="009229F1">
        <w:rPr>
          <w:szCs w:val="22"/>
        </w:rPr>
        <w:t>percentage:  50 % of the total eligible costs of the action.</w:t>
      </w:r>
    </w:p>
    <w:p w:rsidR="002A7F83" w:rsidRPr="009229F1" w:rsidRDefault="002A7F83" w:rsidP="0033394E">
      <w:pPr>
        <w:numPr>
          <w:ilvl w:val="0"/>
          <w:numId w:val="25"/>
        </w:numPr>
        <w:rPr>
          <w:szCs w:val="22"/>
        </w:rPr>
      </w:pPr>
      <w:r w:rsidRPr="009229F1">
        <w:rPr>
          <w:szCs w:val="22"/>
        </w:rPr>
        <w:t xml:space="preserve">Maximum percentage: 90 % of the total eligible costs of the action (see also Section 2.1.5). </w:t>
      </w:r>
    </w:p>
    <w:p w:rsidR="002A7F83" w:rsidRPr="002A76C8" w:rsidRDefault="002A7F83" w:rsidP="002A7F83">
      <w:pPr>
        <w:tabs>
          <w:tab w:val="num" w:pos="0"/>
        </w:tabs>
        <w:spacing w:before="120"/>
        <w:rPr>
          <w:szCs w:val="22"/>
        </w:rPr>
      </w:pPr>
      <w:r w:rsidRPr="009229F1">
        <w:rPr>
          <w:szCs w:val="22"/>
        </w:rPr>
        <w:t>The balance (i.e. the difference between the total</w:t>
      </w:r>
      <w:r w:rsidRPr="002A76C8">
        <w:rPr>
          <w:szCs w:val="22"/>
        </w:rPr>
        <w:t xml:space="preserve"> cost of the action and the amount requested from the contracting authority) must be financed from sources other than the general budget of the Union or the European Development Fund</w:t>
      </w:r>
      <w:r w:rsidRPr="002A76C8">
        <w:rPr>
          <w:rStyle w:val="FootnoteReference"/>
          <w:szCs w:val="22"/>
        </w:rPr>
        <w:footnoteReference w:id="3"/>
      </w:r>
      <w:r w:rsidRPr="002A76C8">
        <w:rPr>
          <w:szCs w:val="22"/>
        </w:rPr>
        <w:t>.</w:t>
      </w:r>
    </w:p>
    <w:p w:rsidR="002A7F83" w:rsidRPr="002A76C8" w:rsidRDefault="002A7F83" w:rsidP="0033394E">
      <w:pPr>
        <w:pStyle w:val="Guidelines1"/>
        <w:numPr>
          <w:ilvl w:val="0"/>
          <w:numId w:val="23"/>
        </w:numPr>
        <w:tabs>
          <w:tab w:val="clear" w:pos="1492"/>
          <w:tab w:val="num" w:pos="283"/>
        </w:tabs>
        <w:rPr>
          <w:rFonts w:ascii="Times New Roman" w:hAnsi="Times New Roman"/>
          <w:szCs w:val="22"/>
        </w:rPr>
      </w:pPr>
      <w:r w:rsidRPr="002A76C8">
        <w:rPr>
          <w:rFonts w:ascii="Times New Roman" w:hAnsi="Times New Roman"/>
          <w:szCs w:val="22"/>
        </w:rPr>
        <w:br w:type="page"/>
      </w:r>
      <w:bookmarkStart w:id="4" w:name="_Toc437893839"/>
      <w:r w:rsidRPr="002A76C8">
        <w:rPr>
          <w:rFonts w:ascii="Times New Roman" w:hAnsi="Times New Roman"/>
          <w:szCs w:val="22"/>
        </w:rPr>
        <w:lastRenderedPageBreak/>
        <w:t>Rules FOR thIS call for proposalS</w:t>
      </w:r>
      <w:bookmarkEnd w:id="4"/>
    </w:p>
    <w:p w:rsidR="002A7F83" w:rsidRPr="002A76C8" w:rsidRDefault="002A7F83" w:rsidP="002A7F83">
      <w:pPr>
        <w:rPr>
          <w:szCs w:val="22"/>
        </w:rPr>
      </w:pPr>
      <w:r w:rsidRPr="002A76C8">
        <w:rPr>
          <w:szCs w:val="22"/>
        </w:rPr>
        <w:t xml:space="preserve">These guidelines set out the rules for the submission, selection and implementation of the actions financed under this call, in conformity with the practical guide, which is applicable to the present call (available on the internet at this address </w:t>
      </w:r>
      <w:hyperlink r:id="rId13" w:history="1">
        <w:r w:rsidRPr="002A76C8">
          <w:rPr>
            <w:rStyle w:val="Hyperlink"/>
            <w:szCs w:val="22"/>
          </w:rPr>
          <w:t>http://ec.europa.eu/europeaid/prag/document.do?locale=en</w:t>
        </w:r>
      </w:hyperlink>
      <w:r w:rsidRPr="002A76C8">
        <w:rPr>
          <w:szCs w:val="22"/>
        </w:rPr>
        <w:t>).</w:t>
      </w:r>
      <w:r w:rsidRPr="002A76C8">
        <w:rPr>
          <w:rStyle w:val="FootnoteReference"/>
          <w:szCs w:val="22"/>
        </w:rPr>
        <w:footnoteReference w:id="4"/>
      </w:r>
    </w:p>
    <w:p w:rsidR="002A7F83" w:rsidRPr="002A76C8" w:rsidRDefault="002A7F83" w:rsidP="0033394E">
      <w:pPr>
        <w:pStyle w:val="Guidelines2"/>
        <w:numPr>
          <w:ilvl w:val="1"/>
          <w:numId w:val="23"/>
        </w:numPr>
        <w:rPr>
          <w:rFonts w:ascii="Times New Roman" w:hAnsi="Times New Roman"/>
          <w:sz w:val="22"/>
          <w:szCs w:val="22"/>
        </w:rPr>
      </w:pPr>
      <w:bookmarkStart w:id="5" w:name="_Toc437893840"/>
      <w:r w:rsidRPr="002A76C8">
        <w:rPr>
          <w:rFonts w:ascii="Times New Roman" w:hAnsi="Times New Roman"/>
          <w:sz w:val="22"/>
          <w:szCs w:val="22"/>
        </w:rPr>
        <w:t>Eligibility criteria</w:t>
      </w:r>
      <w:bookmarkEnd w:id="5"/>
    </w:p>
    <w:p w:rsidR="002A7F83" w:rsidRPr="002A76C8" w:rsidRDefault="002A7F83" w:rsidP="002A7F83">
      <w:pPr>
        <w:rPr>
          <w:szCs w:val="22"/>
        </w:rPr>
      </w:pPr>
      <w:r w:rsidRPr="002A76C8">
        <w:rPr>
          <w:szCs w:val="22"/>
        </w:rPr>
        <w:t>There are three sets of eligibility criteria, relating to:</w:t>
      </w:r>
    </w:p>
    <w:p w:rsidR="002A7F83" w:rsidRPr="002A76C8" w:rsidRDefault="002A7F83" w:rsidP="0033394E">
      <w:pPr>
        <w:numPr>
          <w:ilvl w:val="0"/>
          <w:numId w:val="39"/>
        </w:numPr>
        <w:rPr>
          <w:szCs w:val="22"/>
        </w:rPr>
      </w:pPr>
      <w:r w:rsidRPr="002A76C8">
        <w:rPr>
          <w:szCs w:val="22"/>
        </w:rPr>
        <w:t>the actors:</w:t>
      </w:r>
    </w:p>
    <w:p w:rsidR="002A7F83" w:rsidRPr="002A76C8" w:rsidRDefault="002A7F83" w:rsidP="0033394E">
      <w:pPr>
        <w:numPr>
          <w:ilvl w:val="0"/>
          <w:numId w:val="26"/>
        </w:numPr>
        <w:ind w:left="1134"/>
        <w:rPr>
          <w:szCs w:val="22"/>
        </w:rPr>
      </w:pPr>
      <w:r w:rsidRPr="002A76C8">
        <w:rPr>
          <w:szCs w:val="22"/>
        </w:rPr>
        <w:t>The ‘</w:t>
      </w:r>
      <w:r w:rsidRPr="002A76C8">
        <w:rPr>
          <w:b/>
          <w:szCs w:val="22"/>
        </w:rPr>
        <w:t>lead applicant’</w:t>
      </w:r>
      <w:r w:rsidRPr="002A76C8">
        <w:rPr>
          <w:szCs w:val="22"/>
        </w:rPr>
        <w:t>, i.e. the entity submitting the application form (2.1.1),</w:t>
      </w:r>
    </w:p>
    <w:p w:rsidR="002A7F83" w:rsidRPr="002A76C8" w:rsidRDefault="002A7F83" w:rsidP="0033394E">
      <w:pPr>
        <w:numPr>
          <w:ilvl w:val="0"/>
          <w:numId w:val="26"/>
        </w:numPr>
        <w:ind w:left="1134"/>
        <w:rPr>
          <w:szCs w:val="22"/>
        </w:rPr>
      </w:pPr>
      <w:r w:rsidRPr="002A76C8">
        <w:rPr>
          <w:szCs w:val="22"/>
        </w:rPr>
        <w:t xml:space="preserve">if any, its </w:t>
      </w:r>
      <w:r w:rsidRPr="002A76C8">
        <w:rPr>
          <w:b/>
          <w:szCs w:val="22"/>
        </w:rPr>
        <w:t>co-applicant(s)</w:t>
      </w:r>
      <w:r w:rsidRPr="002A76C8">
        <w:rPr>
          <w:szCs w:val="22"/>
        </w:rPr>
        <w:t xml:space="preserve"> (</w:t>
      </w:r>
      <w:r w:rsidRPr="002A76C8">
        <w:rPr>
          <w:b/>
          <w:szCs w:val="22"/>
          <w:u w:val="single"/>
        </w:rPr>
        <w:t>where it is not specified otherwise the lead applicant and its co-applicant(s) are hereinafter jointly referred as ‘applicant(s)’</w:t>
      </w:r>
      <w:r w:rsidRPr="002A76C8">
        <w:rPr>
          <w:szCs w:val="22"/>
        </w:rPr>
        <w:t xml:space="preserve">) (2.1.1), </w:t>
      </w:r>
    </w:p>
    <w:p w:rsidR="002A7F83" w:rsidRPr="002A76C8" w:rsidRDefault="002A7F83" w:rsidP="0033394E">
      <w:pPr>
        <w:numPr>
          <w:ilvl w:val="0"/>
          <w:numId w:val="26"/>
        </w:numPr>
        <w:ind w:left="1134"/>
        <w:rPr>
          <w:szCs w:val="22"/>
        </w:rPr>
      </w:pPr>
      <w:r w:rsidRPr="002A76C8">
        <w:rPr>
          <w:szCs w:val="22"/>
        </w:rPr>
        <w:t xml:space="preserve">and, if any, </w:t>
      </w:r>
      <w:r w:rsidRPr="002A76C8">
        <w:rPr>
          <w:b/>
          <w:szCs w:val="22"/>
        </w:rPr>
        <w:t xml:space="preserve">affiliated entity(ies) </w:t>
      </w:r>
      <w:r w:rsidRPr="002A76C8">
        <w:rPr>
          <w:szCs w:val="22"/>
        </w:rPr>
        <w:t>to the lead applicant and/or to a co-applicant(s). (2.1.2);</w:t>
      </w:r>
    </w:p>
    <w:p w:rsidR="002A7F83" w:rsidRPr="002A76C8" w:rsidRDefault="002A7F83" w:rsidP="0033394E">
      <w:pPr>
        <w:numPr>
          <w:ilvl w:val="0"/>
          <w:numId w:val="39"/>
        </w:numPr>
        <w:rPr>
          <w:szCs w:val="22"/>
        </w:rPr>
      </w:pPr>
      <w:r w:rsidRPr="002A76C8">
        <w:rPr>
          <w:szCs w:val="22"/>
        </w:rPr>
        <w:t>the actions:</w:t>
      </w:r>
    </w:p>
    <w:p w:rsidR="002A7F83" w:rsidRPr="002A76C8" w:rsidRDefault="002A7F83" w:rsidP="002A7F83">
      <w:pPr>
        <w:ind w:left="720"/>
        <w:rPr>
          <w:szCs w:val="22"/>
        </w:rPr>
      </w:pPr>
      <w:r w:rsidRPr="002A76C8">
        <w:rPr>
          <w:szCs w:val="22"/>
        </w:rPr>
        <w:t>Actions for which a grant may be awarded (2.1.4);</w:t>
      </w:r>
    </w:p>
    <w:p w:rsidR="002A7F83" w:rsidRPr="002A76C8" w:rsidRDefault="002A7F83" w:rsidP="0033394E">
      <w:pPr>
        <w:numPr>
          <w:ilvl w:val="0"/>
          <w:numId w:val="39"/>
        </w:numPr>
        <w:rPr>
          <w:szCs w:val="22"/>
        </w:rPr>
      </w:pPr>
      <w:r w:rsidRPr="002A76C8">
        <w:rPr>
          <w:szCs w:val="22"/>
        </w:rPr>
        <w:t>the costs:</w:t>
      </w:r>
    </w:p>
    <w:p w:rsidR="002A7F83" w:rsidRPr="002A76C8" w:rsidRDefault="002A7F83" w:rsidP="0033394E">
      <w:pPr>
        <w:numPr>
          <w:ilvl w:val="0"/>
          <w:numId w:val="26"/>
        </w:numPr>
        <w:ind w:left="1134"/>
        <w:rPr>
          <w:szCs w:val="22"/>
        </w:rPr>
      </w:pPr>
      <w:r w:rsidRPr="002A76C8">
        <w:rPr>
          <w:szCs w:val="22"/>
        </w:rPr>
        <w:t>types of cost that may be taken into account in setting the amount of the grant (2.1.5).</w:t>
      </w:r>
    </w:p>
    <w:p w:rsidR="002A7F83" w:rsidRPr="002A76C8" w:rsidRDefault="002A7F83" w:rsidP="0033394E">
      <w:pPr>
        <w:pStyle w:val="Guidelines3"/>
        <w:numPr>
          <w:ilvl w:val="2"/>
          <w:numId w:val="23"/>
        </w:numPr>
        <w:rPr>
          <w:sz w:val="22"/>
          <w:szCs w:val="22"/>
        </w:rPr>
      </w:pPr>
      <w:bookmarkStart w:id="6" w:name="_Toc437893841"/>
      <w:r w:rsidRPr="002A76C8">
        <w:rPr>
          <w:sz w:val="22"/>
          <w:szCs w:val="22"/>
        </w:rPr>
        <w:t>Eligibility of applicants (i.e. lead applicant and co-applicant(s))</w:t>
      </w:r>
      <w:bookmarkEnd w:id="6"/>
    </w:p>
    <w:p w:rsidR="002A7F83" w:rsidRPr="002A76C8" w:rsidRDefault="002A7F83" w:rsidP="002A7F83">
      <w:pPr>
        <w:spacing w:before="240"/>
        <w:rPr>
          <w:b/>
          <w:szCs w:val="22"/>
        </w:rPr>
      </w:pPr>
      <w:r w:rsidRPr="002A76C8">
        <w:rPr>
          <w:b/>
          <w:szCs w:val="22"/>
        </w:rPr>
        <w:t>Lead applicant</w:t>
      </w:r>
    </w:p>
    <w:p w:rsidR="002A7F83" w:rsidRPr="002A76C8" w:rsidRDefault="002A7F83" w:rsidP="002A7F83">
      <w:pPr>
        <w:ind w:left="426" w:hanging="426"/>
        <w:rPr>
          <w:szCs w:val="22"/>
        </w:rPr>
      </w:pPr>
      <w:r w:rsidRPr="002A76C8">
        <w:rPr>
          <w:szCs w:val="22"/>
        </w:rPr>
        <w:t>(1)</w:t>
      </w:r>
      <w:r w:rsidRPr="002A76C8">
        <w:rPr>
          <w:szCs w:val="22"/>
        </w:rPr>
        <w:tab/>
        <w:t>In order to be eligible for a grant, the lead applicant must:</w:t>
      </w:r>
    </w:p>
    <w:p w:rsidR="002A7F83" w:rsidRPr="002A76C8" w:rsidRDefault="002A7F83" w:rsidP="0033394E">
      <w:pPr>
        <w:numPr>
          <w:ilvl w:val="0"/>
          <w:numId w:val="27"/>
        </w:numPr>
        <w:rPr>
          <w:szCs w:val="22"/>
        </w:rPr>
      </w:pPr>
      <w:r w:rsidRPr="002A76C8">
        <w:rPr>
          <w:szCs w:val="22"/>
        </w:rPr>
        <w:t xml:space="preserve">be a legal person </w:t>
      </w:r>
      <w:r w:rsidRPr="002A76C8">
        <w:rPr>
          <w:b/>
          <w:szCs w:val="22"/>
        </w:rPr>
        <w:t>and</w:t>
      </w:r>
    </w:p>
    <w:p w:rsidR="002A7F83" w:rsidRPr="002A76C8" w:rsidRDefault="002A7F83" w:rsidP="0033394E">
      <w:pPr>
        <w:numPr>
          <w:ilvl w:val="0"/>
          <w:numId w:val="27"/>
        </w:numPr>
        <w:rPr>
          <w:szCs w:val="22"/>
        </w:rPr>
      </w:pPr>
      <w:r w:rsidRPr="002A76C8">
        <w:rPr>
          <w:szCs w:val="22"/>
        </w:rPr>
        <w:t xml:space="preserve">be non-profit-making </w:t>
      </w:r>
      <w:r w:rsidRPr="002A76C8">
        <w:rPr>
          <w:b/>
          <w:szCs w:val="22"/>
        </w:rPr>
        <w:t>and</w:t>
      </w:r>
    </w:p>
    <w:p w:rsidR="002A7F83" w:rsidRPr="002A76C8" w:rsidRDefault="002A7F83" w:rsidP="0033394E">
      <w:pPr>
        <w:numPr>
          <w:ilvl w:val="0"/>
          <w:numId w:val="27"/>
        </w:numPr>
        <w:rPr>
          <w:szCs w:val="22"/>
        </w:rPr>
      </w:pPr>
      <w:r w:rsidRPr="002A76C8">
        <w:rPr>
          <w:szCs w:val="22"/>
        </w:rPr>
        <w:t xml:space="preserve">a civil society organisation </w:t>
      </w:r>
      <w:r w:rsidRPr="002A76C8">
        <w:rPr>
          <w:b/>
          <w:szCs w:val="22"/>
        </w:rPr>
        <w:t>and</w:t>
      </w:r>
    </w:p>
    <w:p w:rsidR="002A7F83" w:rsidRPr="00E35E98" w:rsidRDefault="002A7F83" w:rsidP="0033394E">
      <w:pPr>
        <w:numPr>
          <w:ilvl w:val="0"/>
          <w:numId w:val="27"/>
        </w:numPr>
        <w:rPr>
          <w:szCs w:val="22"/>
        </w:rPr>
      </w:pPr>
      <w:r w:rsidRPr="002A76C8">
        <w:rPr>
          <w:szCs w:val="22"/>
        </w:rPr>
        <w:t>be established in Montenegro</w:t>
      </w:r>
      <w:r w:rsidRPr="002A76C8">
        <w:rPr>
          <w:szCs w:val="22"/>
          <w:vertAlign w:val="superscript"/>
          <w:lang w:val="de-DE" w:eastAsia="de-DE"/>
        </w:rPr>
        <w:footnoteReference w:id="5"/>
      </w:r>
      <w:r w:rsidRPr="002A76C8">
        <w:rPr>
          <w:szCs w:val="22"/>
          <w:lang w:val="en-US" w:eastAsia="de-DE"/>
        </w:rPr>
        <w:t xml:space="preserve"> </w:t>
      </w:r>
      <w:r w:rsidRPr="002A76C8">
        <w:rPr>
          <w:szCs w:val="22"/>
          <w:lang w:eastAsia="de-DE"/>
        </w:rPr>
        <w:t>or established</w:t>
      </w:r>
      <w:r w:rsidRPr="002A76C8">
        <w:rPr>
          <w:szCs w:val="22"/>
          <w:vertAlign w:val="superscript"/>
        </w:rPr>
        <w:footnoteReference w:id="6"/>
      </w:r>
      <w:r w:rsidRPr="002A76C8">
        <w:rPr>
          <w:szCs w:val="22"/>
        </w:rPr>
        <w:t xml:space="preserve"> in a Member State of the European Union </w:t>
      </w:r>
      <w:r w:rsidRPr="002A76C8">
        <w:rPr>
          <w:szCs w:val="22"/>
          <w:lang w:eastAsia="de-DE"/>
        </w:rPr>
        <w:t>or the countries covered by Article 10 of the CIR</w:t>
      </w:r>
      <w:r w:rsidRPr="002A76C8">
        <w:rPr>
          <w:szCs w:val="22"/>
          <w:vertAlign w:val="superscript"/>
          <w:lang w:val="de-DE" w:eastAsia="de-DE"/>
        </w:rPr>
        <w:footnoteReference w:id="7"/>
      </w:r>
      <w:r w:rsidRPr="002A76C8">
        <w:rPr>
          <w:szCs w:val="22"/>
          <w:lang w:val="en-US" w:eastAsia="de-DE"/>
        </w:rPr>
        <w:t xml:space="preserve"> </w:t>
      </w:r>
    </w:p>
    <w:p w:rsidR="002A7F83" w:rsidRPr="00E35E98" w:rsidRDefault="002A7F83" w:rsidP="002A7F83">
      <w:pPr>
        <w:spacing w:before="120" w:after="120"/>
        <w:ind w:left="1211"/>
        <w:rPr>
          <w:color w:val="000000"/>
          <w:szCs w:val="22"/>
        </w:rPr>
      </w:pPr>
      <w:r w:rsidRPr="002A76C8">
        <w:rPr>
          <w:color w:val="000000"/>
          <w:szCs w:val="22"/>
        </w:rPr>
        <w:lastRenderedPageBreak/>
        <w:t>For British applicants: Please be aware that eligibility criteria must be complied with for the entire duration of the grant. If the United Kingdom withdraws from the EU during the grant period without concluding an agreement with the EU ensuring in particular that British applicants continue to be eligible, you will cease to receive EU funding (while continuing, where possible, to participate) or be required to leave the project on the basis of Article 12.2 e) of the General Conditions of the grant agreement.</w:t>
      </w:r>
    </w:p>
    <w:p w:rsidR="002A7F83" w:rsidRPr="002A76C8" w:rsidRDefault="002A7F83" w:rsidP="0033394E">
      <w:pPr>
        <w:numPr>
          <w:ilvl w:val="0"/>
          <w:numId w:val="27"/>
        </w:numPr>
        <w:spacing w:before="120" w:after="120"/>
        <w:rPr>
          <w:szCs w:val="22"/>
        </w:rPr>
      </w:pPr>
      <w:r w:rsidRPr="002A76C8">
        <w:rPr>
          <w:szCs w:val="22"/>
        </w:rPr>
        <w:t xml:space="preserve">be directly responsible for the preparation and management of the action with the co-applicant(s) and affiliated entity(ies), not acting as an intermediary </w:t>
      </w:r>
      <w:r w:rsidRPr="002A76C8">
        <w:rPr>
          <w:b/>
          <w:szCs w:val="22"/>
        </w:rPr>
        <w:t>and</w:t>
      </w:r>
    </w:p>
    <w:p w:rsidR="002A7F83" w:rsidRPr="002A76C8" w:rsidRDefault="002A7F83" w:rsidP="0033394E">
      <w:pPr>
        <w:numPr>
          <w:ilvl w:val="0"/>
          <w:numId w:val="27"/>
        </w:numPr>
        <w:spacing w:before="120" w:after="120"/>
        <w:rPr>
          <w:szCs w:val="22"/>
        </w:rPr>
      </w:pPr>
      <w:r w:rsidRPr="002A76C8">
        <w:rPr>
          <w:szCs w:val="22"/>
          <w:lang w:eastAsia="de-DE"/>
        </w:rPr>
        <w:t>be registered at least 12 months prior to the deadline for submission of project proposals</w:t>
      </w:r>
      <w:r w:rsidRPr="002A76C8">
        <w:rPr>
          <w:szCs w:val="22"/>
        </w:rPr>
        <w:t xml:space="preserve"> </w:t>
      </w:r>
      <w:r w:rsidRPr="002A76C8">
        <w:rPr>
          <w:b/>
          <w:szCs w:val="22"/>
        </w:rPr>
        <w:t>and</w:t>
      </w:r>
    </w:p>
    <w:p w:rsidR="002A7F83" w:rsidRPr="002A76C8" w:rsidRDefault="002A7F83" w:rsidP="0033394E">
      <w:pPr>
        <w:numPr>
          <w:ilvl w:val="0"/>
          <w:numId w:val="27"/>
        </w:numPr>
        <w:spacing w:before="120" w:after="120"/>
        <w:rPr>
          <w:color w:val="000000"/>
          <w:szCs w:val="22"/>
        </w:rPr>
      </w:pPr>
      <w:bookmarkStart w:id="7" w:name="_Hlk515729173"/>
      <w:r w:rsidRPr="002A76C8">
        <w:rPr>
          <w:color w:val="000000"/>
          <w:szCs w:val="22"/>
        </w:rPr>
        <w:t>have a proven background and a minimum of 1 year of experience within the last 5 years in environment and/or climate change and/or awareness and/or recycling and/or Biodiversity (actions and/or activities comparable to the ones mentioned under section 2.2).</w:t>
      </w:r>
    </w:p>
    <w:bookmarkEnd w:id="7"/>
    <w:p w:rsidR="002A7F83" w:rsidRPr="002A76C8" w:rsidRDefault="002A7F83" w:rsidP="002A7F83">
      <w:pPr>
        <w:spacing w:after="0"/>
        <w:ind w:left="425" w:hanging="425"/>
        <w:rPr>
          <w:szCs w:val="22"/>
        </w:rPr>
      </w:pPr>
      <w:r w:rsidRPr="002A76C8">
        <w:rPr>
          <w:szCs w:val="22"/>
        </w:rPr>
        <w:t xml:space="preserve"> (2)</w:t>
      </w:r>
      <w:r w:rsidRPr="002A76C8">
        <w:rPr>
          <w:szCs w:val="22"/>
        </w:rPr>
        <w:tab/>
        <w:t>Potential applicants may not participate in calls for proposals or be awarded grants if they are in any of the situations listed in Section 2.6.10.1 of the practical guide;</w:t>
      </w:r>
    </w:p>
    <w:p w:rsidR="002A7F83" w:rsidRPr="002A76C8" w:rsidRDefault="002A7F83" w:rsidP="002A7F83">
      <w:pPr>
        <w:spacing w:after="0"/>
        <w:ind w:left="425" w:hanging="425"/>
        <w:rPr>
          <w:szCs w:val="22"/>
        </w:rPr>
      </w:pPr>
    </w:p>
    <w:p w:rsidR="002A7F83" w:rsidRPr="002A76C8" w:rsidRDefault="002A7F83" w:rsidP="002A7F83">
      <w:pPr>
        <w:rPr>
          <w:szCs w:val="22"/>
        </w:rPr>
      </w:pPr>
      <w:r w:rsidRPr="002A76C8">
        <w:rPr>
          <w:szCs w:val="22"/>
          <w:lang w:eastAsia="en-GB"/>
        </w:rPr>
        <w:t>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Section 2.6.10.1 of the practical guide,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r w:rsidRPr="002A76C8">
        <w:rPr>
          <w:szCs w:val="22"/>
        </w:rPr>
        <w:t xml:space="preserve"> In this respect, lead applicants, co-applicants and affiliated entities are obliged to declare that they are not in one of the exclusion situations through a signed declaration on honour (PRAG Annex A14). For grants of EUR 60 000 or less, no declaration on honour is required. </w:t>
      </w:r>
    </w:p>
    <w:p w:rsidR="002A7F83" w:rsidRPr="002A76C8" w:rsidRDefault="002A7F83" w:rsidP="002A7F83">
      <w:pPr>
        <w:spacing w:after="0"/>
        <w:ind w:left="425" w:hanging="425"/>
        <w:rPr>
          <w:szCs w:val="22"/>
        </w:rPr>
      </w:pPr>
    </w:p>
    <w:p w:rsidR="002A7F83" w:rsidRPr="002A76C8" w:rsidRDefault="002A7F83" w:rsidP="002A7F83">
      <w:pPr>
        <w:rPr>
          <w:szCs w:val="22"/>
        </w:rPr>
      </w:pPr>
      <w:r w:rsidRPr="002A76C8">
        <w:rPr>
          <w:szCs w:val="22"/>
        </w:rPr>
        <w:t>In Part A, Section 3 and Part B Section 8 of the grant application form (‘declaration(s) by the lead applicant’), the lead applicant must declare that the lead applicant himself, the co-applicant(s) and affiliated entity(ies)</w:t>
      </w:r>
      <w:r w:rsidRPr="002A76C8" w:rsidDel="007E58A6">
        <w:rPr>
          <w:szCs w:val="22"/>
        </w:rPr>
        <w:t xml:space="preserve"> </w:t>
      </w:r>
      <w:r w:rsidRPr="002A76C8">
        <w:rPr>
          <w:szCs w:val="22"/>
        </w:rPr>
        <w:t>are not in any of these situations.</w:t>
      </w:r>
    </w:p>
    <w:p w:rsidR="002A7F83" w:rsidRPr="002A76C8" w:rsidRDefault="002A7F83" w:rsidP="002A7F83">
      <w:pPr>
        <w:rPr>
          <w:szCs w:val="22"/>
        </w:rPr>
      </w:pPr>
      <w:r w:rsidRPr="002A76C8">
        <w:rPr>
          <w:szCs w:val="22"/>
        </w:rPr>
        <w:t>The lead applicant may act individually or with co-applicant(s).</w:t>
      </w:r>
    </w:p>
    <w:p w:rsidR="002A7F83" w:rsidRPr="002A76C8" w:rsidRDefault="002A7F83" w:rsidP="002A7F83">
      <w:pPr>
        <w:rPr>
          <w:szCs w:val="22"/>
        </w:rPr>
      </w:pPr>
      <w:r w:rsidRPr="002A76C8">
        <w:rPr>
          <w:szCs w:val="22"/>
        </w:rPr>
        <w:t>If awarded the grant contract, the lead applicant will become the beneficiary identified as the coordinator in Annex G (special conditions). The coordinator is the main interlocutor of the contracting authority. It represents and acts on behalf of any other co-beneficiary (if any) and coordinate the design and implementation of the action.</w:t>
      </w:r>
    </w:p>
    <w:p w:rsidR="002A7F83" w:rsidRPr="002A76C8" w:rsidRDefault="002A7F83" w:rsidP="002A7F83">
      <w:pPr>
        <w:rPr>
          <w:b/>
          <w:szCs w:val="22"/>
          <w:highlight w:val="lightGray"/>
        </w:rPr>
      </w:pPr>
      <w:r w:rsidRPr="002A76C8">
        <w:rPr>
          <w:b/>
          <w:szCs w:val="22"/>
        </w:rPr>
        <w:t>Co-applicant(s)</w:t>
      </w:r>
    </w:p>
    <w:p w:rsidR="002A7F83" w:rsidRPr="002A76C8" w:rsidRDefault="002A7F83" w:rsidP="002A7F83">
      <w:pPr>
        <w:rPr>
          <w:szCs w:val="22"/>
        </w:rPr>
      </w:pPr>
      <w:r w:rsidRPr="002A76C8">
        <w:rPr>
          <w:szCs w:val="22"/>
        </w:rPr>
        <w:t xml:space="preserve">Co-applicants participate in designing and implementing the action, and the costs they incur are eligible in the same way as those incurred by the lead applicant. </w:t>
      </w:r>
    </w:p>
    <w:p w:rsidR="002A7F83" w:rsidRPr="002A76C8" w:rsidRDefault="002A7F83" w:rsidP="002A7F83">
      <w:pPr>
        <w:rPr>
          <w:szCs w:val="22"/>
        </w:rPr>
      </w:pPr>
      <w:r w:rsidRPr="002A76C8">
        <w:rPr>
          <w:szCs w:val="22"/>
        </w:rPr>
        <w:t>Co-applicants must satisfy the eligibility criteria as applicable to the lead applicant himself.</w:t>
      </w:r>
    </w:p>
    <w:p w:rsidR="002A7F83" w:rsidRPr="002A76C8" w:rsidRDefault="002A7F83" w:rsidP="002A7F83">
      <w:pPr>
        <w:rPr>
          <w:szCs w:val="22"/>
          <w:highlight w:val="lightGray"/>
        </w:rPr>
      </w:pPr>
      <w:r w:rsidRPr="002A76C8">
        <w:rPr>
          <w:szCs w:val="22"/>
        </w:rPr>
        <w:lastRenderedPageBreak/>
        <w:t xml:space="preserve">In addition to the categories referred to in Section 2.1.1, the following are however also eligible: </w:t>
      </w:r>
      <w:r w:rsidRPr="002A76C8">
        <w:rPr>
          <w:color w:val="000000"/>
          <w:szCs w:val="22"/>
        </w:rPr>
        <w:t>organisations missing a proven background and a minimum of 1 year of experience within the last 5 years in environment and/or climate change and/or awareness and/or recycling and/or biodiversity (actions or activities comparable to the ones mentioned under section 2.2).</w:t>
      </w:r>
    </w:p>
    <w:p w:rsidR="002A7F83" w:rsidRPr="002A76C8" w:rsidRDefault="002A7F83" w:rsidP="002A7F83">
      <w:pPr>
        <w:rPr>
          <w:szCs w:val="22"/>
        </w:rPr>
      </w:pPr>
      <w:r w:rsidRPr="002A76C8">
        <w:rPr>
          <w:szCs w:val="22"/>
        </w:rPr>
        <w:t>Co-applicants must sign the mandate in Part B Section 4 of the grant application form.</w:t>
      </w:r>
    </w:p>
    <w:p w:rsidR="002A7F83" w:rsidRPr="002A76C8" w:rsidRDefault="002A7F83" w:rsidP="002A7F83">
      <w:pPr>
        <w:rPr>
          <w:szCs w:val="22"/>
        </w:rPr>
      </w:pPr>
      <w:r w:rsidRPr="002A76C8">
        <w:rPr>
          <w:szCs w:val="22"/>
        </w:rPr>
        <w:t>If awarded the grant contract, the co-applicant(s) (if any) will become beneficiary(ies) in the action (together with the coordinator).</w:t>
      </w:r>
    </w:p>
    <w:p w:rsidR="002A7F83" w:rsidRPr="002A76C8" w:rsidRDefault="002A7F83" w:rsidP="002A7F83">
      <w:pPr>
        <w:rPr>
          <w:szCs w:val="22"/>
        </w:rPr>
      </w:pPr>
      <w:r w:rsidRPr="002A76C8">
        <w:rPr>
          <w:szCs w:val="22"/>
        </w:rPr>
        <w:t>(3)  Applicants included in the lists of EU restrictive measures (see Section 2.4. of the PRAG) at the</w:t>
      </w:r>
      <w:r w:rsidRPr="002A76C8">
        <w:rPr>
          <w:szCs w:val="22"/>
        </w:rPr>
        <w:br/>
        <w:t xml:space="preserve">        moment of the award decision cannot be awarded the contract</w:t>
      </w:r>
      <w:r w:rsidRPr="002A76C8">
        <w:rPr>
          <w:rStyle w:val="FootnoteReference"/>
          <w:szCs w:val="22"/>
        </w:rPr>
        <w:footnoteReference w:id="8"/>
      </w:r>
      <w:r w:rsidRPr="002A76C8">
        <w:rPr>
          <w:szCs w:val="22"/>
        </w:rPr>
        <w:t>.</w:t>
      </w:r>
    </w:p>
    <w:p w:rsidR="002A7F83" w:rsidRPr="002A76C8" w:rsidRDefault="002A7F83" w:rsidP="0033394E">
      <w:pPr>
        <w:pStyle w:val="Guidelines3"/>
        <w:numPr>
          <w:ilvl w:val="2"/>
          <w:numId w:val="23"/>
        </w:numPr>
        <w:rPr>
          <w:sz w:val="22"/>
          <w:szCs w:val="22"/>
        </w:rPr>
      </w:pPr>
      <w:bookmarkStart w:id="8" w:name="_Toc437893842"/>
      <w:r w:rsidRPr="002A76C8">
        <w:rPr>
          <w:sz w:val="22"/>
          <w:szCs w:val="22"/>
        </w:rPr>
        <w:t>Affiliated entities</w:t>
      </w:r>
      <w:bookmarkEnd w:id="8"/>
    </w:p>
    <w:p w:rsidR="002A7F83" w:rsidRPr="002A76C8" w:rsidRDefault="002A7F83" w:rsidP="002A7F83">
      <w:pPr>
        <w:spacing w:before="240"/>
        <w:rPr>
          <w:szCs w:val="22"/>
          <w:highlight w:val="lightGray"/>
        </w:rPr>
      </w:pPr>
      <w:r w:rsidRPr="002A76C8">
        <w:rPr>
          <w:szCs w:val="22"/>
        </w:rPr>
        <w:t>Affiliated entity(ies)</w:t>
      </w:r>
    </w:p>
    <w:p w:rsidR="002A7F83" w:rsidRPr="002A76C8" w:rsidRDefault="002A7F83" w:rsidP="002A7F83">
      <w:pPr>
        <w:rPr>
          <w:szCs w:val="22"/>
        </w:rPr>
      </w:pPr>
      <w:r w:rsidRPr="002A76C8">
        <w:rPr>
          <w:szCs w:val="22"/>
        </w:rPr>
        <w:t>The lead applicant and its co-applicant(s) may act with affiliated entity(ies).</w:t>
      </w:r>
    </w:p>
    <w:p w:rsidR="002A7F83" w:rsidRPr="002A76C8" w:rsidRDefault="002A7F83" w:rsidP="002A7F83">
      <w:pPr>
        <w:rPr>
          <w:szCs w:val="22"/>
        </w:rPr>
      </w:pPr>
      <w:r w:rsidRPr="002A76C8">
        <w:rPr>
          <w:b/>
          <w:szCs w:val="22"/>
        </w:rPr>
        <w:t>Only the following entities may be considered as affiliated entities to the lead applicant and/or to co-applicant(s):</w:t>
      </w:r>
    </w:p>
    <w:p w:rsidR="002A7F83" w:rsidRPr="002A76C8" w:rsidRDefault="002A7F83" w:rsidP="002A7F83">
      <w:pPr>
        <w:keepNext/>
        <w:spacing w:after="120" w:line="276" w:lineRule="auto"/>
        <w:rPr>
          <w:szCs w:val="22"/>
        </w:rPr>
      </w:pPr>
      <w:r w:rsidRPr="002A76C8">
        <w:rPr>
          <w:szCs w:val="22"/>
        </w:rPr>
        <w:t>Only entities having a structural link with the applicants (i.e. the lead applicant or a co-applicant), in particular a legal or capital link.</w:t>
      </w:r>
    </w:p>
    <w:p w:rsidR="002A7F83" w:rsidRPr="002A76C8" w:rsidRDefault="002A7F83" w:rsidP="002A7F83">
      <w:pPr>
        <w:spacing w:line="276" w:lineRule="auto"/>
        <w:rPr>
          <w:szCs w:val="22"/>
        </w:rPr>
      </w:pPr>
      <w:r w:rsidRPr="002A76C8">
        <w:rPr>
          <w:szCs w:val="22"/>
        </w:rPr>
        <w:t>This structural link encompasses mainly two notions:</w:t>
      </w:r>
    </w:p>
    <w:p w:rsidR="002A7F83" w:rsidRPr="002A76C8" w:rsidRDefault="002A7F83" w:rsidP="002A7F83">
      <w:pPr>
        <w:spacing w:line="276" w:lineRule="auto"/>
        <w:ind w:left="720" w:hanging="567"/>
        <w:rPr>
          <w:szCs w:val="22"/>
        </w:rPr>
      </w:pPr>
      <w:r w:rsidRPr="002A76C8">
        <w:rPr>
          <w:szCs w:val="22"/>
        </w:rPr>
        <w:t xml:space="preserve">(i) </w:t>
      </w:r>
      <w:r w:rsidRPr="002A76C8">
        <w:rPr>
          <w:szCs w:val="22"/>
        </w:rPr>
        <w:tab/>
        <w:t>Control, as defined in Directive 2013/34/EU on the annual financial statements, consolidated financial statements and related reports of certain types of undertakings:</w:t>
      </w:r>
    </w:p>
    <w:p w:rsidR="002A7F83" w:rsidRPr="002A76C8" w:rsidRDefault="002A7F83" w:rsidP="002A7F83">
      <w:pPr>
        <w:spacing w:after="120" w:line="276" w:lineRule="auto"/>
        <w:ind w:left="709"/>
        <w:rPr>
          <w:szCs w:val="22"/>
        </w:rPr>
      </w:pPr>
      <w:r w:rsidRPr="002A76C8">
        <w:rPr>
          <w:szCs w:val="22"/>
        </w:rPr>
        <w:t>Entities affiliated to an applicant may hence be:</w:t>
      </w:r>
    </w:p>
    <w:p w:rsidR="002A7F83" w:rsidRPr="002A76C8" w:rsidRDefault="002A7F83" w:rsidP="0033394E">
      <w:pPr>
        <w:numPr>
          <w:ilvl w:val="0"/>
          <w:numId w:val="40"/>
        </w:numPr>
        <w:spacing w:after="0" w:line="276" w:lineRule="auto"/>
        <w:ind w:left="1276" w:hanging="283"/>
        <w:rPr>
          <w:szCs w:val="22"/>
        </w:rPr>
      </w:pPr>
      <w:r w:rsidRPr="002A76C8">
        <w:rPr>
          <w:szCs w:val="22"/>
        </w:rPr>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rsidR="002A7F83" w:rsidRPr="002A76C8" w:rsidRDefault="002A7F83" w:rsidP="0033394E">
      <w:pPr>
        <w:numPr>
          <w:ilvl w:val="0"/>
          <w:numId w:val="40"/>
        </w:numPr>
        <w:spacing w:after="0" w:line="276" w:lineRule="auto"/>
        <w:ind w:left="1276" w:hanging="283"/>
        <w:rPr>
          <w:szCs w:val="22"/>
        </w:rPr>
      </w:pPr>
      <w:r w:rsidRPr="002A76C8">
        <w:rPr>
          <w:szCs w:val="22"/>
        </w:rPr>
        <w:t>Entities directly or indirectly controlling the applicant (parent companies). Likewise, they may be entities controlling an entity controlling the applicant;</w:t>
      </w:r>
    </w:p>
    <w:p w:rsidR="002A7F83" w:rsidRPr="002A76C8" w:rsidRDefault="002A7F83" w:rsidP="0033394E">
      <w:pPr>
        <w:numPr>
          <w:ilvl w:val="0"/>
          <w:numId w:val="40"/>
        </w:numPr>
        <w:spacing w:after="0" w:line="276" w:lineRule="auto"/>
        <w:ind w:left="1276" w:hanging="283"/>
        <w:rPr>
          <w:szCs w:val="22"/>
        </w:rPr>
      </w:pPr>
      <w:r w:rsidRPr="002A76C8">
        <w:rPr>
          <w:szCs w:val="22"/>
        </w:rPr>
        <w:t>Entities under the same direct or indirect control as the applicant (sister companies).</w:t>
      </w:r>
    </w:p>
    <w:p w:rsidR="002A7F83" w:rsidRPr="002A76C8" w:rsidRDefault="002A7F83" w:rsidP="002A7F83">
      <w:pPr>
        <w:spacing w:after="0" w:line="276" w:lineRule="auto"/>
        <w:ind w:left="720" w:hanging="578"/>
        <w:rPr>
          <w:szCs w:val="22"/>
        </w:rPr>
      </w:pPr>
      <w:r w:rsidRPr="002A76C8">
        <w:rPr>
          <w:szCs w:val="22"/>
        </w:rPr>
        <w:t xml:space="preserve">(ii) </w:t>
      </w:r>
      <w:r w:rsidRPr="002A76C8">
        <w:rPr>
          <w:szCs w:val="22"/>
        </w:rPr>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rsidR="002A7F83" w:rsidRPr="002A76C8" w:rsidRDefault="002A7F83" w:rsidP="002A7F83">
      <w:pPr>
        <w:spacing w:after="0" w:line="276" w:lineRule="auto"/>
        <w:rPr>
          <w:szCs w:val="22"/>
        </w:rPr>
      </w:pPr>
    </w:p>
    <w:p w:rsidR="002A7F83" w:rsidRPr="002A76C8" w:rsidRDefault="002A7F83" w:rsidP="002A7F83">
      <w:pPr>
        <w:spacing w:after="0" w:line="276" w:lineRule="auto"/>
        <w:rPr>
          <w:szCs w:val="22"/>
        </w:rPr>
      </w:pPr>
      <w:r w:rsidRPr="002A76C8">
        <w:rPr>
          <w:szCs w:val="22"/>
        </w:rPr>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2A7F83" w:rsidRPr="002A76C8" w:rsidRDefault="002A7F83" w:rsidP="002A7F83">
      <w:pPr>
        <w:spacing w:after="0" w:line="276" w:lineRule="auto"/>
        <w:ind w:left="720"/>
        <w:rPr>
          <w:szCs w:val="22"/>
        </w:rPr>
      </w:pPr>
    </w:p>
    <w:p w:rsidR="002A7F83" w:rsidRPr="002A76C8" w:rsidRDefault="002A7F83" w:rsidP="002A7F83">
      <w:pPr>
        <w:spacing w:line="276" w:lineRule="auto"/>
        <w:rPr>
          <w:szCs w:val="22"/>
        </w:rPr>
      </w:pPr>
      <w:r w:rsidRPr="002A76C8">
        <w:rPr>
          <w:szCs w:val="22"/>
        </w:rPr>
        <w:lastRenderedPageBreak/>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rsidR="002A7F83" w:rsidRPr="002A76C8" w:rsidRDefault="002A7F83" w:rsidP="0033394E">
      <w:pPr>
        <w:pStyle w:val="Heading5"/>
        <w:numPr>
          <w:ilvl w:val="1"/>
          <w:numId w:val="21"/>
        </w:numPr>
        <w:tabs>
          <w:tab w:val="num" w:pos="0"/>
        </w:tabs>
        <w:spacing w:line="276" w:lineRule="auto"/>
        <w:rPr>
          <w:rFonts w:ascii="Times New Roman" w:hAnsi="Times New Roman"/>
          <w:szCs w:val="22"/>
          <w:u w:val="single"/>
        </w:rPr>
      </w:pPr>
      <w:r w:rsidRPr="002A76C8">
        <w:rPr>
          <w:rFonts w:ascii="Times New Roman" w:hAnsi="Times New Roman"/>
          <w:szCs w:val="22"/>
          <w:u w:val="single"/>
        </w:rPr>
        <w:t xml:space="preserve">What is not an affiliated entity? </w:t>
      </w:r>
    </w:p>
    <w:p w:rsidR="002A7F83" w:rsidRPr="002A76C8" w:rsidRDefault="002A7F83" w:rsidP="002A7F83">
      <w:pPr>
        <w:spacing w:after="0"/>
        <w:rPr>
          <w:szCs w:val="22"/>
        </w:rPr>
      </w:pPr>
    </w:p>
    <w:p w:rsidR="002A7F83" w:rsidRPr="002A76C8" w:rsidRDefault="002A7F83" w:rsidP="002A7F83">
      <w:pPr>
        <w:spacing w:after="0"/>
        <w:rPr>
          <w:szCs w:val="22"/>
        </w:rPr>
      </w:pPr>
      <w:r w:rsidRPr="002A76C8">
        <w:rPr>
          <w:szCs w:val="22"/>
        </w:rPr>
        <w:t>The following are not considered entities affiliated to an applicant:</w:t>
      </w:r>
    </w:p>
    <w:p w:rsidR="002A7F83" w:rsidRPr="002A76C8" w:rsidRDefault="002A7F83" w:rsidP="002A7F83">
      <w:pPr>
        <w:spacing w:after="0" w:line="276" w:lineRule="auto"/>
        <w:rPr>
          <w:szCs w:val="22"/>
        </w:rPr>
      </w:pPr>
    </w:p>
    <w:p w:rsidR="002A7F83" w:rsidRPr="002A76C8" w:rsidRDefault="002A7F83" w:rsidP="0033394E">
      <w:pPr>
        <w:numPr>
          <w:ilvl w:val="0"/>
          <w:numId w:val="41"/>
        </w:numPr>
        <w:spacing w:after="0" w:line="276" w:lineRule="auto"/>
        <w:rPr>
          <w:szCs w:val="22"/>
        </w:rPr>
      </w:pPr>
      <w:r w:rsidRPr="002A76C8">
        <w:rPr>
          <w:szCs w:val="22"/>
        </w:rPr>
        <w:t>Entities that have entered into a (procurement) contract or subcontract with an applicant, act as concessionaires or delegatees for public services for an applicant,</w:t>
      </w:r>
    </w:p>
    <w:p w:rsidR="002A7F83" w:rsidRPr="002A76C8" w:rsidRDefault="002A7F83" w:rsidP="0033394E">
      <w:pPr>
        <w:numPr>
          <w:ilvl w:val="0"/>
          <w:numId w:val="41"/>
        </w:numPr>
        <w:spacing w:after="0" w:line="276" w:lineRule="auto"/>
        <w:rPr>
          <w:szCs w:val="22"/>
        </w:rPr>
      </w:pPr>
      <w:r w:rsidRPr="002A76C8">
        <w:rPr>
          <w:szCs w:val="22"/>
        </w:rPr>
        <w:t>Entities that receive financial support from the applicant,</w:t>
      </w:r>
    </w:p>
    <w:p w:rsidR="002A7F83" w:rsidRPr="002A76C8" w:rsidRDefault="002A7F83" w:rsidP="0033394E">
      <w:pPr>
        <w:numPr>
          <w:ilvl w:val="0"/>
          <w:numId w:val="41"/>
        </w:numPr>
        <w:spacing w:after="0" w:line="276" w:lineRule="auto"/>
        <w:rPr>
          <w:szCs w:val="22"/>
        </w:rPr>
      </w:pPr>
      <w:r w:rsidRPr="002A76C8">
        <w:rPr>
          <w:szCs w:val="22"/>
        </w:rPr>
        <w:t>Entities that cooperate on a regular basis with an applicant on the basis of a memorandum of understanding or share some assets,</w:t>
      </w:r>
    </w:p>
    <w:p w:rsidR="002A7F83" w:rsidRPr="002A76C8" w:rsidRDefault="002A7F83" w:rsidP="0033394E">
      <w:pPr>
        <w:numPr>
          <w:ilvl w:val="0"/>
          <w:numId w:val="41"/>
        </w:numPr>
        <w:spacing w:after="0" w:line="276" w:lineRule="auto"/>
        <w:rPr>
          <w:szCs w:val="22"/>
        </w:rPr>
      </w:pPr>
      <w:r w:rsidRPr="002A76C8">
        <w:rPr>
          <w:szCs w:val="22"/>
        </w:rPr>
        <w:t>Entities that have signed a consortium agreement under the grant contract (unless this consortium agreement leads to the creation of a ‘sole applicant’ as described above).</w:t>
      </w:r>
    </w:p>
    <w:p w:rsidR="002A7F83" w:rsidRPr="002A76C8" w:rsidRDefault="002A7F83" w:rsidP="002A7F83">
      <w:pPr>
        <w:spacing w:after="0" w:line="276" w:lineRule="auto"/>
        <w:rPr>
          <w:szCs w:val="22"/>
        </w:rPr>
      </w:pPr>
    </w:p>
    <w:p w:rsidR="002A7F83" w:rsidRPr="002A76C8" w:rsidRDefault="002A7F83" w:rsidP="002A7F83">
      <w:pPr>
        <w:spacing w:after="0" w:line="276" w:lineRule="auto"/>
        <w:rPr>
          <w:szCs w:val="22"/>
          <w:u w:val="single"/>
        </w:rPr>
      </w:pPr>
      <w:r w:rsidRPr="002A76C8">
        <w:rPr>
          <w:szCs w:val="22"/>
          <w:u w:val="single"/>
        </w:rPr>
        <w:t>How to verify the existence of the required link with an applicant?</w:t>
      </w:r>
    </w:p>
    <w:p w:rsidR="002A7F83" w:rsidRPr="002A76C8" w:rsidRDefault="002A7F83" w:rsidP="002A7F83">
      <w:pPr>
        <w:spacing w:after="0"/>
        <w:rPr>
          <w:szCs w:val="22"/>
        </w:rPr>
      </w:pPr>
    </w:p>
    <w:p w:rsidR="002A7F83" w:rsidRPr="002A76C8" w:rsidRDefault="002A7F83" w:rsidP="002A7F83">
      <w:pPr>
        <w:spacing w:after="0" w:line="276" w:lineRule="auto"/>
        <w:ind w:left="8"/>
        <w:rPr>
          <w:szCs w:val="22"/>
        </w:rPr>
      </w:pPr>
      <w:r w:rsidRPr="002A76C8">
        <w:rPr>
          <w:szCs w:val="22"/>
        </w:rPr>
        <w:t>The affiliation resulting from control may in particular be proved on the basis of the consolidated accounts of the group of entities the applicant and its proposed affiliates belong to.</w:t>
      </w:r>
    </w:p>
    <w:p w:rsidR="002A7F83" w:rsidRPr="002A76C8" w:rsidRDefault="002A7F83" w:rsidP="002A7F83">
      <w:pPr>
        <w:spacing w:after="0" w:line="276" w:lineRule="auto"/>
        <w:rPr>
          <w:szCs w:val="22"/>
        </w:rPr>
      </w:pPr>
    </w:p>
    <w:p w:rsidR="002A7F83" w:rsidRPr="002A76C8" w:rsidRDefault="002A7F83" w:rsidP="002A7F83">
      <w:pPr>
        <w:spacing w:after="0" w:line="276" w:lineRule="auto"/>
        <w:rPr>
          <w:szCs w:val="22"/>
        </w:rPr>
      </w:pPr>
      <w:r w:rsidRPr="002A76C8">
        <w:rPr>
          <w:szCs w:val="22"/>
        </w:rPr>
        <w:t>The affiliation resulting from membership may in particular be proved on the basis of the statutes or equivalent act establishing the entity (network, federation, association) which the applicant constitutes or in which the applicant participates.</w:t>
      </w:r>
    </w:p>
    <w:p w:rsidR="002A7F83" w:rsidRPr="002A76C8" w:rsidRDefault="002A7F83" w:rsidP="002A7F83">
      <w:pPr>
        <w:rPr>
          <w:szCs w:val="22"/>
        </w:rPr>
      </w:pPr>
      <w:r w:rsidRPr="002A76C8">
        <w:rPr>
          <w:szCs w:val="22"/>
        </w:rPr>
        <w:t>If the applicants are awarded a grant contract, their affiliated entity(ies) will not become beneficiary(ies) of the action and signatory(ies) of the grant contract. However, they will participate in the design and  in the implementation of the action and the costs they incur (including those incurred for implementation contracts and financial support to third parties) may be accepted as eligible costs, provided they comply with all the relevant rules already applicable to the beneficiary(ies) under the grant contract.</w:t>
      </w:r>
    </w:p>
    <w:p w:rsidR="002A7F83" w:rsidRPr="002A76C8" w:rsidRDefault="002A7F83" w:rsidP="002A7F83">
      <w:pPr>
        <w:rPr>
          <w:szCs w:val="22"/>
        </w:rPr>
      </w:pPr>
      <w:r w:rsidRPr="002A76C8">
        <w:rPr>
          <w:szCs w:val="22"/>
        </w:rPr>
        <w:t>Affiliated entity(ies) must satisfy the same eligibility criteria as the lead applicant and the co-applicant(s).  They must sign the affiliated entity(ies) statement in Part B Section 5 of the grant application form.]</w:t>
      </w:r>
    </w:p>
    <w:p w:rsidR="002A7F83" w:rsidRPr="002A76C8" w:rsidRDefault="002A7F83" w:rsidP="0033394E">
      <w:pPr>
        <w:pStyle w:val="Guidelines3"/>
        <w:numPr>
          <w:ilvl w:val="2"/>
          <w:numId w:val="23"/>
        </w:numPr>
        <w:rPr>
          <w:sz w:val="22"/>
          <w:szCs w:val="22"/>
        </w:rPr>
      </w:pPr>
      <w:bookmarkStart w:id="9" w:name="_Toc380145061"/>
      <w:bookmarkStart w:id="10" w:name="_Toc437893843"/>
      <w:bookmarkEnd w:id="9"/>
      <w:r w:rsidRPr="002A76C8">
        <w:rPr>
          <w:sz w:val="22"/>
          <w:szCs w:val="22"/>
        </w:rPr>
        <w:t>Associates and contractors</w:t>
      </w:r>
      <w:bookmarkEnd w:id="10"/>
    </w:p>
    <w:p w:rsidR="002A7F83" w:rsidRPr="002A76C8" w:rsidRDefault="002A7F83" w:rsidP="002A7F83">
      <w:pPr>
        <w:spacing w:before="240"/>
        <w:rPr>
          <w:szCs w:val="22"/>
        </w:rPr>
      </w:pPr>
      <w:r w:rsidRPr="002A76C8">
        <w:rPr>
          <w:szCs w:val="22"/>
        </w:rPr>
        <w:t>The following entities are not applicants nor affiliated entities and do not have to sign the ‘mandate for co-applicant(s)’ or ‘affiliated entities' statement’:</w:t>
      </w:r>
    </w:p>
    <w:p w:rsidR="002A7F83" w:rsidRPr="002A76C8" w:rsidRDefault="002A7F83" w:rsidP="0033394E">
      <w:pPr>
        <w:numPr>
          <w:ilvl w:val="0"/>
          <w:numId w:val="28"/>
        </w:numPr>
        <w:rPr>
          <w:szCs w:val="22"/>
        </w:rPr>
      </w:pPr>
      <w:r w:rsidRPr="002A76C8">
        <w:rPr>
          <w:szCs w:val="22"/>
        </w:rPr>
        <w:t>Associates</w:t>
      </w:r>
    </w:p>
    <w:p w:rsidR="002A7F83" w:rsidRPr="002A76C8" w:rsidRDefault="002A7F83" w:rsidP="002A7F83">
      <w:pPr>
        <w:rPr>
          <w:szCs w:val="22"/>
        </w:rPr>
      </w:pPr>
      <w:r w:rsidRPr="002A76C8">
        <w:rPr>
          <w:szCs w:val="22"/>
        </w:rPr>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rsidR="002A7F83" w:rsidRPr="002A76C8" w:rsidRDefault="002A7F83" w:rsidP="0033394E">
      <w:pPr>
        <w:numPr>
          <w:ilvl w:val="0"/>
          <w:numId w:val="28"/>
        </w:numPr>
        <w:rPr>
          <w:szCs w:val="22"/>
        </w:rPr>
      </w:pPr>
      <w:r w:rsidRPr="002A76C8">
        <w:rPr>
          <w:szCs w:val="22"/>
        </w:rPr>
        <w:t>Contractors</w:t>
      </w:r>
    </w:p>
    <w:p w:rsidR="002A7F83" w:rsidRPr="002A76C8" w:rsidRDefault="002A7F83" w:rsidP="002A7F83">
      <w:pPr>
        <w:rPr>
          <w:szCs w:val="22"/>
        </w:rPr>
      </w:pPr>
      <w:r w:rsidRPr="002A76C8">
        <w:rPr>
          <w:szCs w:val="22"/>
        </w:rPr>
        <w:t>The beneficiaries and their affiliated entities are permitted to award contracts. Associates or affiliated entity(ies) cannot be also contractors in the project. Contractors are subject to the procurement rules set out in Annex IV to the standard grant contract.</w:t>
      </w:r>
    </w:p>
    <w:p w:rsidR="002A7F83" w:rsidRPr="002A76C8" w:rsidRDefault="002A7F83" w:rsidP="0033394E">
      <w:pPr>
        <w:pStyle w:val="Guidelines3"/>
        <w:numPr>
          <w:ilvl w:val="2"/>
          <w:numId w:val="23"/>
        </w:numPr>
        <w:rPr>
          <w:sz w:val="22"/>
          <w:szCs w:val="22"/>
        </w:rPr>
      </w:pPr>
      <w:bookmarkStart w:id="11" w:name="_Toc380145063"/>
      <w:bookmarkStart w:id="12" w:name="_Toc380145064"/>
      <w:bookmarkStart w:id="13" w:name="_Toc437893844"/>
      <w:bookmarkEnd w:id="11"/>
      <w:bookmarkEnd w:id="12"/>
      <w:r w:rsidRPr="002A76C8">
        <w:rPr>
          <w:sz w:val="22"/>
          <w:szCs w:val="22"/>
        </w:rPr>
        <w:lastRenderedPageBreak/>
        <w:t>Eligible actions: actions for which an application may be made</w:t>
      </w:r>
      <w:bookmarkEnd w:id="13"/>
    </w:p>
    <w:p w:rsidR="002A7F83" w:rsidRPr="002A76C8" w:rsidRDefault="002A7F83" w:rsidP="002A7F83">
      <w:pPr>
        <w:spacing w:before="240"/>
        <w:rPr>
          <w:szCs w:val="22"/>
        </w:rPr>
      </w:pPr>
      <w:r w:rsidRPr="002A76C8">
        <w:rPr>
          <w:szCs w:val="22"/>
        </w:rPr>
        <w:t xml:space="preserve">Definition: </w:t>
      </w:r>
    </w:p>
    <w:p w:rsidR="002A7F83" w:rsidRPr="002A76C8" w:rsidRDefault="002A7F83" w:rsidP="002A7F83">
      <w:pPr>
        <w:rPr>
          <w:szCs w:val="22"/>
        </w:rPr>
      </w:pPr>
      <w:r w:rsidRPr="002A76C8">
        <w:rPr>
          <w:szCs w:val="22"/>
        </w:rPr>
        <w:t>An action is composed of a set of activities.</w:t>
      </w:r>
    </w:p>
    <w:p w:rsidR="002A7F83" w:rsidRPr="002A76C8" w:rsidRDefault="002A7F83" w:rsidP="002A7F83">
      <w:pPr>
        <w:rPr>
          <w:szCs w:val="22"/>
          <w:u w:val="single"/>
        </w:rPr>
      </w:pPr>
      <w:r w:rsidRPr="002A76C8">
        <w:rPr>
          <w:szCs w:val="22"/>
          <w:u w:val="single"/>
        </w:rPr>
        <w:t>Duration</w:t>
      </w:r>
    </w:p>
    <w:p w:rsidR="002A7F83" w:rsidRPr="002A76C8" w:rsidRDefault="002A7F83" w:rsidP="002A7F83">
      <w:pPr>
        <w:rPr>
          <w:szCs w:val="22"/>
        </w:rPr>
      </w:pPr>
      <w:r w:rsidRPr="002A76C8">
        <w:rPr>
          <w:szCs w:val="22"/>
        </w:rPr>
        <w:t>The initial planned duration of an action may not be lower than 12 months nor exceed 18 months.</w:t>
      </w:r>
    </w:p>
    <w:p w:rsidR="002A7F83" w:rsidRPr="002A76C8" w:rsidRDefault="002A7F83" w:rsidP="002A7F83">
      <w:pPr>
        <w:rPr>
          <w:szCs w:val="22"/>
        </w:rPr>
      </w:pPr>
      <w:r w:rsidRPr="002A76C8">
        <w:rPr>
          <w:szCs w:val="22"/>
        </w:rPr>
        <w:t>Sectors or themes</w:t>
      </w:r>
    </w:p>
    <w:p w:rsidR="002A7F83" w:rsidRPr="002A76C8" w:rsidRDefault="002A7F83" w:rsidP="002A7F83">
      <w:pPr>
        <w:rPr>
          <w:szCs w:val="22"/>
        </w:rPr>
      </w:pPr>
      <w:r w:rsidRPr="002A76C8">
        <w:rPr>
          <w:b/>
          <w:szCs w:val="22"/>
        </w:rPr>
        <w:t xml:space="preserve">Environment and Climate Change. The proposed actions address exclusively the </w:t>
      </w:r>
      <w:r>
        <w:rPr>
          <w:b/>
          <w:szCs w:val="22"/>
        </w:rPr>
        <w:t>priorities</w:t>
      </w:r>
      <w:r w:rsidRPr="002A76C8">
        <w:rPr>
          <w:b/>
          <w:szCs w:val="22"/>
        </w:rPr>
        <w:t xml:space="preserve"> described in Section 1.2.</w:t>
      </w:r>
    </w:p>
    <w:p w:rsidR="002A7F83" w:rsidRPr="002A76C8" w:rsidRDefault="002A7F83" w:rsidP="002A7F83">
      <w:pPr>
        <w:rPr>
          <w:szCs w:val="22"/>
          <w:u w:val="single"/>
        </w:rPr>
      </w:pPr>
      <w:r w:rsidRPr="002A76C8">
        <w:rPr>
          <w:szCs w:val="22"/>
          <w:u w:val="single"/>
        </w:rPr>
        <w:t>Location</w:t>
      </w:r>
    </w:p>
    <w:p w:rsidR="002A7F83" w:rsidRPr="002A76C8" w:rsidRDefault="002A7F83" w:rsidP="002A7F83">
      <w:pPr>
        <w:rPr>
          <w:szCs w:val="22"/>
        </w:rPr>
      </w:pPr>
      <w:r w:rsidRPr="002A76C8">
        <w:rPr>
          <w:szCs w:val="22"/>
        </w:rPr>
        <w:t>Actions must take place in Montenegro.</w:t>
      </w:r>
    </w:p>
    <w:p w:rsidR="002A7F83" w:rsidRPr="002A76C8" w:rsidRDefault="002A7F83" w:rsidP="002A7F83">
      <w:pPr>
        <w:rPr>
          <w:szCs w:val="22"/>
          <w:u w:val="single"/>
        </w:rPr>
      </w:pPr>
      <w:r w:rsidRPr="002A76C8">
        <w:rPr>
          <w:szCs w:val="22"/>
          <w:u w:val="single"/>
        </w:rPr>
        <w:t>Types of action</w:t>
      </w:r>
    </w:p>
    <w:p w:rsidR="002A7F83" w:rsidRPr="002A76C8" w:rsidRDefault="002A7F83" w:rsidP="002A7F83">
      <w:pPr>
        <w:rPr>
          <w:szCs w:val="22"/>
        </w:rPr>
      </w:pPr>
      <w:r w:rsidRPr="002A76C8">
        <w:rPr>
          <w:szCs w:val="22"/>
        </w:rPr>
        <w:t xml:space="preserve">This grant schemes aims at creating awareness around five </w:t>
      </w:r>
      <w:r>
        <w:rPr>
          <w:szCs w:val="22"/>
        </w:rPr>
        <w:t>priorities</w:t>
      </w:r>
      <w:r w:rsidRPr="002A76C8">
        <w:rPr>
          <w:szCs w:val="22"/>
        </w:rPr>
        <w:t xml:space="preserve"> specified in section 1.2 of these guidelines. Actions are therefore expected to address these five </w:t>
      </w:r>
      <w:r>
        <w:rPr>
          <w:szCs w:val="22"/>
        </w:rPr>
        <w:t>priorities</w:t>
      </w:r>
      <w:r w:rsidRPr="002A76C8">
        <w:rPr>
          <w:szCs w:val="22"/>
        </w:rPr>
        <w:t xml:space="preserve">. However, applicants are expected to prepare their applications considering well identified target groups. Target groups can be for example sectors of business activities (e.g. hotels and restaurants in the main tourist and naturalist areas of the country, or farmers, or small and medium enterprises in specific sectors), sectors of the public administration (e.g. the local authorities), the schools, the citizen of a specific part of the country (e.g. the citizen of a small village or the citizen of few roads in a city). In any case, the action must address one or more very specific target groups. Additionally, the action must ensure that after its completion, the addressed target group is fully aware of the tackled environmental, climate change and recycling issues, and the behaviour of the target group is significantly improved. It is therefore important </w:t>
      </w:r>
      <w:r>
        <w:rPr>
          <w:szCs w:val="22"/>
        </w:rPr>
        <w:t xml:space="preserve">to modulate the activities having clear in mind the target group to be reached. </w:t>
      </w:r>
      <w:r w:rsidRPr="002A76C8">
        <w:rPr>
          <w:szCs w:val="22"/>
        </w:rPr>
        <w:t xml:space="preserve">In the description of the Action under point 2.1.1, the applicants are expected to identify clear measurable indicators to present “how the action will improve the situation”. These indicators will have to include clear baselines and target to be achieved by the end of the action implementation. Actions with a good ratio between their cost and the number of people whose awareness and behaviours are going to be improved are considered the most relevant, sustainable and cost effective. </w:t>
      </w:r>
    </w:p>
    <w:p w:rsidR="002A7F83" w:rsidRPr="002A76C8" w:rsidRDefault="002A7F83" w:rsidP="002A7F83">
      <w:pPr>
        <w:rPr>
          <w:szCs w:val="22"/>
        </w:rPr>
      </w:pPr>
      <w:r w:rsidRPr="002A76C8">
        <w:rPr>
          <w:szCs w:val="22"/>
        </w:rPr>
        <w:t>The following types of action are ineligible:</w:t>
      </w:r>
    </w:p>
    <w:p w:rsidR="002A7F83" w:rsidRPr="002A76C8" w:rsidRDefault="002A7F83" w:rsidP="0033394E">
      <w:pPr>
        <w:numPr>
          <w:ilvl w:val="0"/>
          <w:numId w:val="28"/>
        </w:numPr>
        <w:rPr>
          <w:szCs w:val="22"/>
        </w:rPr>
      </w:pPr>
      <w:r w:rsidRPr="002A76C8">
        <w:rPr>
          <w:szCs w:val="22"/>
        </w:rPr>
        <w:t>actions concerned only or mainly with individual sponsorships for participation in workshops, seminars, conferences and congresses;</w:t>
      </w:r>
    </w:p>
    <w:p w:rsidR="002A7F83" w:rsidRPr="002A76C8" w:rsidRDefault="002A7F83" w:rsidP="0033394E">
      <w:pPr>
        <w:numPr>
          <w:ilvl w:val="0"/>
          <w:numId w:val="28"/>
        </w:numPr>
        <w:rPr>
          <w:szCs w:val="22"/>
        </w:rPr>
      </w:pPr>
      <w:r w:rsidRPr="002A76C8">
        <w:rPr>
          <w:szCs w:val="22"/>
        </w:rPr>
        <w:t>actions concerned only or mainly with individual scholarships for studies or training courses;</w:t>
      </w:r>
    </w:p>
    <w:p w:rsidR="002A7F83" w:rsidRPr="002A76C8" w:rsidRDefault="002A7F83" w:rsidP="0033394E">
      <w:pPr>
        <w:numPr>
          <w:ilvl w:val="0"/>
          <w:numId w:val="28"/>
        </w:numPr>
        <w:rPr>
          <w:szCs w:val="22"/>
        </w:rPr>
      </w:pPr>
      <w:r w:rsidRPr="002A76C8">
        <w:rPr>
          <w:szCs w:val="22"/>
        </w:rPr>
        <w:t>actions concerned only with open air events aiming at a mass distribution of leaflets, t-shirts, stickers and similar material.</w:t>
      </w:r>
    </w:p>
    <w:p w:rsidR="002A7F83" w:rsidRPr="002A76C8" w:rsidRDefault="002A7F83" w:rsidP="0033394E">
      <w:pPr>
        <w:numPr>
          <w:ilvl w:val="0"/>
          <w:numId w:val="28"/>
        </w:numPr>
        <w:rPr>
          <w:szCs w:val="22"/>
        </w:rPr>
      </w:pPr>
      <w:r w:rsidRPr="002A76C8">
        <w:rPr>
          <w:szCs w:val="22"/>
          <w:lang w:val="sr-Latn-ME" w:eastAsia="sr-Latn-ME"/>
        </w:rPr>
        <w:t>actions consisting solely of the development of strategies, plans or other similar documents;</w:t>
      </w:r>
    </w:p>
    <w:p w:rsidR="002A7F83" w:rsidRPr="002A76C8" w:rsidRDefault="002A7F83" w:rsidP="0033394E">
      <w:pPr>
        <w:numPr>
          <w:ilvl w:val="0"/>
          <w:numId w:val="28"/>
        </w:numPr>
        <w:rPr>
          <w:szCs w:val="22"/>
        </w:rPr>
      </w:pPr>
      <w:r w:rsidRPr="002A76C8">
        <w:rPr>
          <w:szCs w:val="22"/>
          <w:lang w:val="sr-Latn-ME" w:eastAsia="sr-Latn-ME"/>
        </w:rPr>
        <w:t>actions concerned only or mainly with infrastructure investments;</w:t>
      </w:r>
    </w:p>
    <w:p w:rsidR="002A7F83" w:rsidRPr="002A76C8" w:rsidRDefault="002A7F83" w:rsidP="0033394E">
      <w:pPr>
        <w:numPr>
          <w:ilvl w:val="0"/>
          <w:numId w:val="28"/>
        </w:numPr>
        <w:rPr>
          <w:szCs w:val="22"/>
        </w:rPr>
      </w:pPr>
      <w:r w:rsidRPr="002A76C8">
        <w:rPr>
          <w:szCs w:val="22"/>
          <w:lang w:val="sr-Latn-ME" w:eastAsia="sr-Latn-ME"/>
        </w:rPr>
        <w:t>actions concerned only or mainly with academic research activities;</w:t>
      </w:r>
    </w:p>
    <w:p w:rsidR="002A7F83" w:rsidRPr="002A76C8" w:rsidRDefault="002A7F83" w:rsidP="0033394E">
      <w:pPr>
        <w:numPr>
          <w:ilvl w:val="0"/>
          <w:numId w:val="28"/>
        </w:numPr>
        <w:rPr>
          <w:szCs w:val="22"/>
        </w:rPr>
      </w:pPr>
      <w:r w:rsidRPr="002A76C8">
        <w:rPr>
          <w:szCs w:val="22"/>
          <w:lang w:val="sr-Latn-ME" w:eastAsia="sr-Latn-ME"/>
        </w:rPr>
        <w:t>actions linked to political and religious activities;</w:t>
      </w:r>
    </w:p>
    <w:p w:rsidR="002A7F83" w:rsidRPr="002A76C8" w:rsidRDefault="002A7F83" w:rsidP="0033394E">
      <w:pPr>
        <w:numPr>
          <w:ilvl w:val="0"/>
          <w:numId w:val="28"/>
        </w:numPr>
        <w:rPr>
          <w:szCs w:val="22"/>
        </w:rPr>
      </w:pPr>
      <w:r w:rsidRPr="002A76C8">
        <w:rPr>
          <w:szCs w:val="22"/>
          <w:lang w:val="sr-Latn-ME" w:eastAsia="sr-Latn-ME"/>
        </w:rPr>
        <w:t>actions regarding financial support to third parties;</w:t>
      </w:r>
    </w:p>
    <w:p w:rsidR="002A7F83" w:rsidRPr="002A76C8" w:rsidRDefault="002A7F83" w:rsidP="0033394E">
      <w:pPr>
        <w:numPr>
          <w:ilvl w:val="0"/>
          <w:numId w:val="28"/>
        </w:numPr>
        <w:rPr>
          <w:szCs w:val="22"/>
        </w:rPr>
      </w:pPr>
      <w:r w:rsidRPr="002A76C8">
        <w:rPr>
          <w:szCs w:val="22"/>
          <w:lang w:val="sr-Latn-ME" w:eastAsia="sr-Latn-ME"/>
        </w:rPr>
        <w:t>actions dealing with emergency relief or charitable donations;</w:t>
      </w:r>
    </w:p>
    <w:p w:rsidR="002A7F83" w:rsidRPr="002A76C8" w:rsidRDefault="002A7F83" w:rsidP="0033394E">
      <w:pPr>
        <w:numPr>
          <w:ilvl w:val="0"/>
          <w:numId w:val="28"/>
        </w:numPr>
        <w:rPr>
          <w:szCs w:val="22"/>
        </w:rPr>
      </w:pPr>
      <w:r w:rsidRPr="002A76C8">
        <w:rPr>
          <w:szCs w:val="22"/>
          <w:lang w:val="sr-Latn-ME" w:eastAsia="sr-Latn-ME"/>
        </w:rPr>
        <w:t>profit-making activities.</w:t>
      </w:r>
    </w:p>
    <w:p w:rsidR="002A7F83" w:rsidRPr="002A76C8" w:rsidRDefault="002A7F83" w:rsidP="002A7F83">
      <w:pPr>
        <w:rPr>
          <w:szCs w:val="22"/>
          <w:u w:val="single"/>
        </w:rPr>
      </w:pPr>
      <w:r w:rsidRPr="002A76C8">
        <w:rPr>
          <w:szCs w:val="22"/>
          <w:u w:val="single"/>
        </w:rPr>
        <w:lastRenderedPageBreak/>
        <w:t>Types of activity</w:t>
      </w:r>
    </w:p>
    <w:p w:rsidR="002A7F83" w:rsidRPr="002A76C8" w:rsidRDefault="002A7F83" w:rsidP="002A7F83">
      <w:pPr>
        <w:rPr>
          <w:szCs w:val="22"/>
        </w:rPr>
      </w:pPr>
      <w:r w:rsidRPr="002A76C8">
        <w:rPr>
          <w:szCs w:val="22"/>
        </w:rPr>
        <w:t xml:space="preserve">The activities to be implemented will always consider the following </w:t>
      </w:r>
      <w:r>
        <w:rPr>
          <w:szCs w:val="22"/>
        </w:rPr>
        <w:t xml:space="preserve">general </w:t>
      </w:r>
      <w:r w:rsidRPr="002A76C8">
        <w:rPr>
          <w:szCs w:val="22"/>
        </w:rPr>
        <w:t xml:space="preserve">key issues: </w:t>
      </w:r>
    </w:p>
    <w:p w:rsidR="002A7F83" w:rsidRPr="002A76C8" w:rsidRDefault="002A7F83" w:rsidP="0033394E">
      <w:pPr>
        <w:numPr>
          <w:ilvl w:val="0"/>
          <w:numId w:val="46"/>
        </w:numPr>
        <w:rPr>
          <w:szCs w:val="22"/>
        </w:rPr>
      </w:pPr>
      <w:r w:rsidRPr="002A76C8">
        <w:rPr>
          <w:szCs w:val="22"/>
        </w:rPr>
        <w:t>Environment and Climate change</w:t>
      </w:r>
    </w:p>
    <w:p w:rsidR="002A7F83" w:rsidRPr="002A76C8" w:rsidRDefault="002A7F83" w:rsidP="0033394E">
      <w:pPr>
        <w:numPr>
          <w:ilvl w:val="0"/>
          <w:numId w:val="46"/>
        </w:numPr>
        <w:rPr>
          <w:szCs w:val="22"/>
        </w:rPr>
      </w:pPr>
      <w:r w:rsidRPr="002A76C8">
        <w:rPr>
          <w:szCs w:val="22"/>
        </w:rPr>
        <w:t>Recycling</w:t>
      </w:r>
    </w:p>
    <w:p w:rsidR="002A7F83" w:rsidRPr="002A76C8" w:rsidRDefault="002A7F83" w:rsidP="0033394E">
      <w:pPr>
        <w:numPr>
          <w:ilvl w:val="0"/>
          <w:numId w:val="46"/>
        </w:numPr>
        <w:rPr>
          <w:szCs w:val="22"/>
        </w:rPr>
      </w:pPr>
      <w:r w:rsidRPr="002A76C8">
        <w:rPr>
          <w:szCs w:val="22"/>
        </w:rPr>
        <w:t>Biodiversity</w:t>
      </w:r>
    </w:p>
    <w:p w:rsidR="002A7F83" w:rsidRPr="002A76C8" w:rsidRDefault="002A7F83" w:rsidP="002A7F83">
      <w:pPr>
        <w:rPr>
          <w:szCs w:val="22"/>
        </w:rPr>
      </w:pPr>
      <w:r w:rsidRPr="002A76C8">
        <w:rPr>
          <w:szCs w:val="22"/>
        </w:rPr>
        <w:t>Depending on the selected target group, the key issue will have to be addressed in different ways, and therefore th</w:t>
      </w:r>
      <w:r>
        <w:rPr>
          <w:szCs w:val="22"/>
        </w:rPr>
        <w:t>e following one</w:t>
      </w:r>
      <w:r w:rsidRPr="002A76C8">
        <w:rPr>
          <w:szCs w:val="22"/>
        </w:rPr>
        <w:t xml:space="preserve"> is not an exhaustive list of types of activities, which may be financed under this call.</w:t>
      </w:r>
    </w:p>
    <w:p w:rsidR="002A7F83" w:rsidRPr="002A76C8" w:rsidRDefault="002A7F83" w:rsidP="002A7F83">
      <w:pPr>
        <w:rPr>
          <w:szCs w:val="22"/>
        </w:rPr>
      </w:pPr>
      <w:bookmarkStart w:id="14" w:name="_Hlk518900736"/>
      <w:r w:rsidRPr="002A76C8">
        <w:rPr>
          <w:szCs w:val="22"/>
        </w:rPr>
        <w:t>In the schools and Universities, depending on the class of age of the audience, the activities to be financed might deal with:</w:t>
      </w:r>
    </w:p>
    <w:bookmarkEnd w:id="14"/>
    <w:p w:rsidR="002A7F83" w:rsidRPr="002A76C8" w:rsidRDefault="002A7F83" w:rsidP="0033394E">
      <w:pPr>
        <w:numPr>
          <w:ilvl w:val="0"/>
          <w:numId w:val="47"/>
        </w:numPr>
        <w:autoSpaceDE w:val="0"/>
        <w:autoSpaceDN w:val="0"/>
        <w:adjustRightInd w:val="0"/>
        <w:spacing w:after="120"/>
        <w:rPr>
          <w:szCs w:val="22"/>
        </w:rPr>
      </w:pPr>
      <w:r w:rsidRPr="002A76C8">
        <w:rPr>
          <w:szCs w:val="22"/>
        </w:rPr>
        <w:t>Elaboration and implementation of awareness education programmes for pupils and students (workshops, seminars, studies, lectures, field and study visits, public events and action-based activities, organisation of information campaigns);</w:t>
      </w:r>
    </w:p>
    <w:p w:rsidR="002A7F83" w:rsidRPr="002A76C8" w:rsidRDefault="002A7F83" w:rsidP="0033394E">
      <w:pPr>
        <w:numPr>
          <w:ilvl w:val="0"/>
          <w:numId w:val="47"/>
        </w:numPr>
        <w:autoSpaceDE w:val="0"/>
        <w:autoSpaceDN w:val="0"/>
        <w:adjustRightInd w:val="0"/>
        <w:spacing w:after="120"/>
        <w:rPr>
          <w:szCs w:val="22"/>
        </w:rPr>
      </w:pPr>
      <w:r w:rsidRPr="002A76C8">
        <w:rPr>
          <w:szCs w:val="22"/>
        </w:rPr>
        <w:t>Promot</w:t>
      </w:r>
      <w:r>
        <w:rPr>
          <w:szCs w:val="22"/>
        </w:rPr>
        <w:t>ion of</w:t>
      </w:r>
      <w:r w:rsidRPr="002A76C8">
        <w:rPr>
          <w:szCs w:val="22"/>
        </w:rPr>
        <w:t xml:space="preserve"> innovations, implementation of best practices and knowledge dissemination on Environment, Climate Change, Recycling and Biodiversity among pupils and students;</w:t>
      </w:r>
    </w:p>
    <w:p w:rsidR="002A7F83" w:rsidRPr="002A76C8" w:rsidRDefault="002A7F83" w:rsidP="0033394E">
      <w:pPr>
        <w:numPr>
          <w:ilvl w:val="0"/>
          <w:numId w:val="47"/>
        </w:numPr>
        <w:autoSpaceDE w:val="0"/>
        <w:autoSpaceDN w:val="0"/>
        <w:adjustRightInd w:val="0"/>
        <w:spacing w:after="120"/>
        <w:rPr>
          <w:szCs w:val="22"/>
        </w:rPr>
      </w:pPr>
      <w:r w:rsidRPr="002A76C8">
        <w:rPr>
          <w:szCs w:val="22"/>
        </w:rPr>
        <w:t>Elaboration of leaflets on Biodiversity tailored on the specificity of the Montenegrin parks and addressing audience in different class age</w:t>
      </w:r>
    </w:p>
    <w:p w:rsidR="002A7F83" w:rsidRPr="002A76C8" w:rsidRDefault="002A7F83" w:rsidP="002A7F83">
      <w:pPr>
        <w:rPr>
          <w:szCs w:val="22"/>
        </w:rPr>
      </w:pPr>
    </w:p>
    <w:p w:rsidR="002A7F83" w:rsidRPr="002A76C8" w:rsidRDefault="002A7F83" w:rsidP="002A7F83">
      <w:pPr>
        <w:rPr>
          <w:szCs w:val="22"/>
        </w:rPr>
      </w:pPr>
      <w:r w:rsidRPr="002A76C8">
        <w:rPr>
          <w:szCs w:val="22"/>
        </w:rPr>
        <w:t>In the public sector, the activities to be financed might deal with:</w:t>
      </w:r>
    </w:p>
    <w:p w:rsidR="002A7F83" w:rsidRPr="002A76C8" w:rsidRDefault="002A7F83" w:rsidP="0033394E">
      <w:pPr>
        <w:numPr>
          <w:ilvl w:val="0"/>
          <w:numId w:val="47"/>
        </w:numPr>
        <w:autoSpaceDE w:val="0"/>
        <w:autoSpaceDN w:val="0"/>
        <w:adjustRightInd w:val="0"/>
        <w:spacing w:after="120"/>
        <w:rPr>
          <w:szCs w:val="22"/>
        </w:rPr>
      </w:pPr>
      <w:r w:rsidRPr="002A76C8">
        <w:rPr>
          <w:szCs w:val="22"/>
        </w:rPr>
        <w:t>Elaboration of protocols of cooperation with local authorities on issues like recycling and support their implementation. For instance:</w:t>
      </w:r>
    </w:p>
    <w:p w:rsidR="002A7F83" w:rsidRPr="002A76C8" w:rsidRDefault="002A7F83" w:rsidP="0033394E">
      <w:pPr>
        <w:numPr>
          <w:ilvl w:val="1"/>
          <w:numId w:val="47"/>
        </w:numPr>
        <w:autoSpaceDE w:val="0"/>
        <w:autoSpaceDN w:val="0"/>
        <w:adjustRightInd w:val="0"/>
        <w:spacing w:after="120"/>
        <w:rPr>
          <w:szCs w:val="22"/>
        </w:rPr>
      </w:pPr>
      <w:r w:rsidRPr="002A76C8">
        <w:rPr>
          <w:szCs w:val="22"/>
        </w:rPr>
        <w:t>Substitution in all the shops of a certain area of the plastic bags with environmental friendly alternative products,</w:t>
      </w:r>
    </w:p>
    <w:p w:rsidR="002A7F83" w:rsidRPr="002A76C8" w:rsidRDefault="002A7F83" w:rsidP="0033394E">
      <w:pPr>
        <w:numPr>
          <w:ilvl w:val="1"/>
          <w:numId w:val="47"/>
        </w:numPr>
        <w:autoSpaceDE w:val="0"/>
        <w:autoSpaceDN w:val="0"/>
        <w:adjustRightInd w:val="0"/>
        <w:spacing w:after="120"/>
        <w:rPr>
          <w:szCs w:val="22"/>
        </w:rPr>
      </w:pPr>
      <w:r w:rsidRPr="002A76C8">
        <w:rPr>
          <w:szCs w:val="22"/>
        </w:rPr>
        <w:t>Differentiated collection of the garbage at home and in villages or districts</w:t>
      </w:r>
    </w:p>
    <w:p w:rsidR="002A7F83" w:rsidRPr="002A76C8" w:rsidRDefault="002A7F83" w:rsidP="0033394E">
      <w:pPr>
        <w:numPr>
          <w:ilvl w:val="0"/>
          <w:numId w:val="47"/>
        </w:numPr>
        <w:autoSpaceDE w:val="0"/>
        <w:autoSpaceDN w:val="0"/>
        <w:adjustRightInd w:val="0"/>
        <w:spacing w:after="120"/>
        <w:rPr>
          <w:szCs w:val="22"/>
        </w:rPr>
      </w:pPr>
      <w:r w:rsidRPr="002A76C8">
        <w:rPr>
          <w:szCs w:val="22"/>
        </w:rPr>
        <w:t>Promotion of low cost best practices on energy efficiency measures for public buildings among the local authorities</w:t>
      </w:r>
    </w:p>
    <w:p w:rsidR="002A7F83" w:rsidRPr="002A76C8" w:rsidRDefault="002A7F83" w:rsidP="002A7F83">
      <w:pPr>
        <w:rPr>
          <w:szCs w:val="22"/>
        </w:rPr>
      </w:pPr>
    </w:p>
    <w:p w:rsidR="002A7F83" w:rsidRPr="002A76C8" w:rsidRDefault="002A7F83" w:rsidP="002A7F83">
      <w:pPr>
        <w:rPr>
          <w:szCs w:val="22"/>
        </w:rPr>
      </w:pPr>
      <w:r w:rsidRPr="002A76C8">
        <w:rPr>
          <w:szCs w:val="22"/>
        </w:rPr>
        <w:t>In the economy sector, the activities to be financed might deal with:</w:t>
      </w:r>
    </w:p>
    <w:p w:rsidR="002A7F83" w:rsidRPr="002A76C8" w:rsidRDefault="002A7F83" w:rsidP="0033394E">
      <w:pPr>
        <w:numPr>
          <w:ilvl w:val="0"/>
          <w:numId w:val="47"/>
        </w:numPr>
        <w:autoSpaceDE w:val="0"/>
        <w:autoSpaceDN w:val="0"/>
        <w:adjustRightInd w:val="0"/>
        <w:spacing w:after="120"/>
        <w:rPr>
          <w:szCs w:val="22"/>
        </w:rPr>
      </w:pPr>
      <w:r w:rsidRPr="002A76C8">
        <w:rPr>
          <w:szCs w:val="22"/>
        </w:rPr>
        <w:t>Events for entrepreneurs to present opportunities to develop circular economy initiatives tailored on the Montenegrin situation</w:t>
      </w:r>
    </w:p>
    <w:p w:rsidR="002A7F83" w:rsidRPr="002A76C8" w:rsidRDefault="002A7F83" w:rsidP="0033394E">
      <w:pPr>
        <w:numPr>
          <w:ilvl w:val="0"/>
          <w:numId w:val="47"/>
        </w:numPr>
        <w:autoSpaceDE w:val="0"/>
        <w:autoSpaceDN w:val="0"/>
        <w:adjustRightInd w:val="0"/>
        <w:spacing w:after="120"/>
        <w:rPr>
          <w:szCs w:val="22"/>
        </w:rPr>
      </w:pPr>
      <w:r w:rsidRPr="002A76C8">
        <w:rPr>
          <w:szCs w:val="22"/>
        </w:rPr>
        <w:t>Elaboration and implementation of eco-friendly protocols dedicated to special business activities to be compensated with promotional campaign in favour of the companies with improved environmental standards, for instance:</w:t>
      </w:r>
    </w:p>
    <w:p w:rsidR="002A7F83" w:rsidRPr="002A76C8" w:rsidRDefault="002A7F83" w:rsidP="0033394E">
      <w:pPr>
        <w:numPr>
          <w:ilvl w:val="1"/>
          <w:numId w:val="47"/>
        </w:numPr>
        <w:autoSpaceDE w:val="0"/>
        <w:autoSpaceDN w:val="0"/>
        <w:adjustRightInd w:val="0"/>
        <w:spacing w:after="120"/>
        <w:rPr>
          <w:szCs w:val="22"/>
        </w:rPr>
      </w:pPr>
      <w:r w:rsidRPr="002A76C8">
        <w:rPr>
          <w:szCs w:val="22"/>
        </w:rPr>
        <w:t>Promotion of the use of products with a recyclable package any time that it exists.</w:t>
      </w:r>
    </w:p>
    <w:p w:rsidR="002A7F83" w:rsidRPr="002A76C8" w:rsidRDefault="002A7F83" w:rsidP="0033394E">
      <w:pPr>
        <w:numPr>
          <w:ilvl w:val="1"/>
          <w:numId w:val="47"/>
        </w:numPr>
        <w:autoSpaceDE w:val="0"/>
        <w:autoSpaceDN w:val="0"/>
        <w:adjustRightInd w:val="0"/>
        <w:spacing w:after="120"/>
        <w:rPr>
          <w:szCs w:val="22"/>
        </w:rPr>
      </w:pPr>
      <w:r w:rsidRPr="002A76C8">
        <w:rPr>
          <w:szCs w:val="22"/>
        </w:rPr>
        <w:t>Promotion of the ISO 14001 and similar certifications</w:t>
      </w:r>
    </w:p>
    <w:p w:rsidR="002A7F83" w:rsidRPr="002A76C8" w:rsidRDefault="002A7F83" w:rsidP="0033394E">
      <w:pPr>
        <w:numPr>
          <w:ilvl w:val="1"/>
          <w:numId w:val="47"/>
        </w:numPr>
        <w:autoSpaceDE w:val="0"/>
        <w:autoSpaceDN w:val="0"/>
        <w:adjustRightInd w:val="0"/>
        <w:spacing w:after="120"/>
        <w:rPr>
          <w:szCs w:val="22"/>
        </w:rPr>
      </w:pPr>
      <w:r w:rsidRPr="002A76C8">
        <w:rPr>
          <w:szCs w:val="22"/>
        </w:rPr>
        <w:t>Promotion of recycling (for instance, used oil of the restaurants, animal by products of the slaughter houses)</w:t>
      </w:r>
    </w:p>
    <w:p w:rsidR="002A7F83" w:rsidRPr="002A76C8" w:rsidRDefault="002A7F83" w:rsidP="0033394E">
      <w:pPr>
        <w:numPr>
          <w:ilvl w:val="0"/>
          <w:numId w:val="47"/>
        </w:numPr>
        <w:autoSpaceDE w:val="0"/>
        <w:autoSpaceDN w:val="0"/>
        <w:adjustRightInd w:val="0"/>
        <w:spacing w:after="120"/>
        <w:rPr>
          <w:szCs w:val="22"/>
        </w:rPr>
      </w:pPr>
      <w:r w:rsidRPr="002A76C8">
        <w:rPr>
          <w:szCs w:val="22"/>
        </w:rPr>
        <w:t>Organisations of events to promote eco-friendly practices in economic activities:</w:t>
      </w:r>
    </w:p>
    <w:p w:rsidR="002A7F83" w:rsidRPr="002A76C8" w:rsidRDefault="002A7F83" w:rsidP="0033394E">
      <w:pPr>
        <w:numPr>
          <w:ilvl w:val="1"/>
          <w:numId w:val="47"/>
        </w:numPr>
        <w:autoSpaceDE w:val="0"/>
        <w:autoSpaceDN w:val="0"/>
        <w:adjustRightInd w:val="0"/>
        <w:spacing w:after="120"/>
        <w:rPr>
          <w:szCs w:val="22"/>
        </w:rPr>
      </w:pPr>
      <w:r w:rsidRPr="002A76C8">
        <w:rPr>
          <w:szCs w:val="22"/>
        </w:rPr>
        <w:t>Appropriate use of the pesticides and fertilizers in Agriculture</w:t>
      </w:r>
    </w:p>
    <w:p w:rsidR="002A7F83" w:rsidRPr="002A76C8" w:rsidRDefault="002A7F83" w:rsidP="0033394E">
      <w:pPr>
        <w:numPr>
          <w:ilvl w:val="1"/>
          <w:numId w:val="47"/>
        </w:numPr>
        <w:autoSpaceDE w:val="0"/>
        <w:autoSpaceDN w:val="0"/>
        <w:adjustRightInd w:val="0"/>
        <w:spacing w:after="120"/>
        <w:rPr>
          <w:szCs w:val="22"/>
        </w:rPr>
      </w:pPr>
      <w:r w:rsidRPr="002A76C8">
        <w:rPr>
          <w:szCs w:val="22"/>
        </w:rPr>
        <w:t>Use of energy savings tools and electric implements</w:t>
      </w:r>
    </w:p>
    <w:p w:rsidR="002A7F83" w:rsidRPr="002A76C8" w:rsidRDefault="002A7F83" w:rsidP="002A7F83">
      <w:pPr>
        <w:rPr>
          <w:szCs w:val="22"/>
        </w:rPr>
      </w:pPr>
    </w:p>
    <w:p w:rsidR="002A7F83" w:rsidRPr="002A76C8" w:rsidRDefault="002A7F83" w:rsidP="002A7F83">
      <w:pPr>
        <w:rPr>
          <w:szCs w:val="22"/>
        </w:rPr>
      </w:pPr>
      <w:r w:rsidRPr="002A76C8">
        <w:rPr>
          <w:szCs w:val="22"/>
        </w:rPr>
        <w:lastRenderedPageBreak/>
        <w:t>For the larger audience, the activities to be financed might deal with:</w:t>
      </w:r>
    </w:p>
    <w:p w:rsidR="002A7F83" w:rsidRPr="002A76C8" w:rsidRDefault="002A7F83" w:rsidP="002A7F83">
      <w:pPr>
        <w:rPr>
          <w:szCs w:val="22"/>
          <w:u w:val="single"/>
        </w:rPr>
      </w:pPr>
      <w:r w:rsidRPr="002A76C8">
        <w:rPr>
          <w:szCs w:val="22"/>
        </w:rPr>
        <w:t>Organisation of public consultations on environmental issues including the participation of Public Authorities, Donors, CSOs and other relevant stakeholders to improve the sector approach in the Environment and climate action sector as well as for large projects requiring the Environment Impact assessment (EIA).</w:t>
      </w:r>
    </w:p>
    <w:p w:rsidR="002A7F83" w:rsidRPr="002A76C8" w:rsidRDefault="002A7F83" w:rsidP="002A7F83">
      <w:pPr>
        <w:rPr>
          <w:szCs w:val="22"/>
          <w:u w:val="single"/>
        </w:rPr>
      </w:pPr>
      <w:r w:rsidRPr="002A76C8">
        <w:rPr>
          <w:szCs w:val="22"/>
          <w:u w:val="single"/>
        </w:rPr>
        <w:t>Financial support to third parties</w:t>
      </w:r>
      <w:r w:rsidRPr="002A76C8">
        <w:rPr>
          <w:rStyle w:val="FootnoteReference"/>
          <w:szCs w:val="22"/>
          <w:u w:val="single"/>
        </w:rPr>
        <w:footnoteReference w:id="9"/>
      </w:r>
      <w:r w:rsidRPr="002A76C8">
        <w:rPr>
          <w:szCs w:val="22"/>
          <w:u w:val="single"/>
        </w:rPr>
        <w:t xml:space="preserve"> </w:t>
      </w:r>
    </w:p>
    <w:p w:rsidR="002A7F83" w:rsidRPr="002A76C8" w:rsidRDefault="002A7F83" w:rsidP="002A7F83">
      <w:pPr>
        <w:rPr>
          <w:szCs w:val="22"/>
        </w:rPr>
      </w:pPr>
      <w:r w:rsidRPr="002A76C8">
        <w:rPr>
          <w:szCs w:val="22"/>
        </w:rPr>
        <w:t>Applicants may not propose financial support to third parties.</w:t>
      </w:r>
    </w:p>
    <w:p w:rsidR="002A7F83" w:rsidRPr="002A76C8" w:rsidRDefault="002A7F83" w:rsidP="002A7F83">
      <w:pPr>
        <w:keepNext/>
        <w:rPr>
          <w:szCs w:val="22"/>
          <w:u w:val="single"/>
        </w:rPr>
      </w:pPr>
      <w:r w:rsidRPr="002A76C8">
        <w:rPr>
          <w:szCs w:val="22"/>
          <w:u w:val="single"/>
        </w:rPr>
        <w:t>Visibility</w:t>
      </w:r>
    </w:p>
    <w:p w:rsidR="002A7F83" w:rsidRPr="002A76C8" w:rsidRDefault="002A7F83" w:rsidP="002A7F83">
      <w:pPr>
        <w:rPr>
          <w:szCs w:val="22"/>
        </w:rPr>
      </w:pPr>
      <w:r w:rsidRPr="002A76C8">
        <w:rPr>
          <w:szCs w:val="22"/>
        </w:rPr>
        <w:t>The applicants must take all necessary steps to publicise the fact that the European Union has financed or co-financed the action.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rsidR="002A7F83" w:rsidRPr="002A76C8" w:rsidRDefault="002A7F83" w:rsidP="002A7F83">
      <w:pPr>
        <w:rPr>
          <w:szCs w:val="22"/>
        </w:rPr>
      </w:pPr>
      <w:r w:rsidRPr="002A76C8">
        <w:rPr>
          <w:szCs w:val="22"/>
        </w:rPr>
        <w:t xml:space="preserve">Applicants must comply with the objectives and priorities and guarantee the visibility of the EU financing (see the Communication and Visibility Manual for EU external actions specified and published by the European Commission at </w:t>
      </w:r>
      <w:hyperlink r:id="rId14" w:history="1">
        <w:r w:rsidRPr="002A76C8">
          <w:rPr>
            <w:rStyle w:val="Hyperlink"/>
            <w:szCs w:val="22"/>
          </w:rPr>
          <w:t>http://ec.europa.eu/europeaid/funding/communication-and-visibility-manual-eu-external-actions_en</w:t>
        </w:r>
      </w:hyperlink>
      <w:r w:rsidRPr="002A76C8">
        <w:rPr>
          <w:szCs w:val="22"/>
        </w:rPr>
        <w:t>).</w:t>
      </w:r>
    </w:p>
    <w:p w:rsidR="002A7F83" w:rsidRPr="002A76C8" w:rsidRDefault="002A7F83" w:rsidP="002A7F83">
      <w:pPr>
        <w:rPr>
          <w:szCs w:val="22"/>
          <w:u w:val="single"/>
        </w:rPr>
      </w:pPr>
      <w:r w:rsidRPr="002A76C8">
        <w:rPr>
          <w:szCs w:val="22"/>
          <w:u w:val="single"/>
        </w:rPr>
        <w:t>Number of applications and grants per applicants / affiliated entities</w:t>
      </w:r>
    </w:p>
    <w:p w:rsidR="002A7F83" w:rsidRPr="002A76C8" w:rsidRDefault="002A7F83" w:rsidP="002A7F83">
      <w:pPr>
        <w:rPr>
          <w:szCs w:val="22"/>
        </w:rPr>
      </w:pPr>
      <w:r w:rsidRPr="002A76C8">
        <w:rPr>
          <w:szCs w:val="22"/>
        </w:rPr>
        <w:t xml:space="preserve">The lead applicant </w:t>
      </w:r>
      <w:r w:rsidRPr="002A76C8">
        <w:rPr>
          <w:b/>
          <w:szCs w:val="22"/>
        </w:rPr>
        <w:t>may not</w:t>
      </w:r>
      <w:r w:rsidRPr="002A76C8">
        <w:rPr>
          <w:b/>
          <w:szCs w:val="22"/>
          <w:lang w:val="sr-Cyrl-RS"/>
        </w:rPr>
        <w:t xml:space="preserve"> </w:t>
      </w:r>
      <w:r w:rsidRPr="002A76C8">
        <w:rPr>
          <w:szCs w:val="22"/>
        </w:rPr>
        <w:t>submit more than one</w:t>
      </w:r>
      <w:r w:rsidRPr="002A76C8">
        <w:rPr>
          <w:szCs w:val="22"/>
          <w:lang w:val="sr-Cyrl-RS"/>
        </w:rPr>
        <w:t xml:space="preserve"> </w:t>
      </w:r>
      <w:r w:rsidRPr="002A76C8">
        <w:rPr>
          <w:szCs w:val="22"/>
        </w:rPr>
        <w:t>application under this call for proposals.</w:t>
      </w:r>
    </w:p>
    <w:p w:rsidR="002A7F83" w:rsidRPr="002A76C8" w:rsidRDefault="002A7F83" w:rsidP="002A7F83">
      <w:pPr>
        <w:rPr>
          <w:szCs w:val="22"/>
        </w:rPr>
      </w:pPr>
      <w:r w:rsidRPr="002A76C8">
        <w:rPr>
          <w:szCs w:val="22"/>
        </w:rPr>
        <w:t xml:space="preserve">The lead applicant </w:t>
      </w:r>
      <w:r w:rsidRPr="002A76C8">
        <w:rPr>
          <w:b/>
          <w:szCs w:val="22"/>
        </w:rPr>
        <w:t>may not</w:t>
      </w:r>
      <w:r w:rsidRPr="002A76C8">
        <w:rPr>
          <w:szCs w:val="22"/>
        </w:rPr>
        <w:t xml:space="preserve"> be awarded more than one grant under this call for proposals.</w:t>
      </w:r>
    </w:p>
    <w:p w:rsidR="002A7F83" w:rsidRPr="002A76C8" w:rsidRDefault="002A7F83" w:rsidP="002A7F83">
      <w:pPr>
        <w:rPr>
          <w:szCs w:val="22"/>
        </w:rPr>
      </w:pPr>
      <w:r w:rsidRPr="002A76C8">
        <w:rPr>
          <w:szCs w:val="22"/>
        </w:rPr>
        <w:t xml:space="preserve">The lead applicant </w:t>
      </w:r>
      <w:r w:rsidRPr="002A76C8">
        <w:rPr>
          <w:b/>
          <w:szCs w:val="22"/>
        </w:rPr>
        <w:t>may not</w:t>
      </w:r>
      <w:r w:rsidRPr="002A76C8">
        <w:rPr>
          <w:b/>
          <w:szCs w:val="22"/>
          <w:lang w:val="sr-Cyrl-RS"/>
        </w:rPr>
        <w:t xml:space="preserve"> </w:t>
      </w:r>
      <w:r w:rsidRPr="002A76C8">
        <w:rPr>
          <w:szCs w:val="22"/>
        </w:rPr>
        <w:t>be a co-applicant or an affiliated entity in another application at the same time.</w:t>
      </w:r>
    </w:p>
    <w:p w:rsidR="002A7F83" w:rsidRPr="002A76C8" w:rsidRDefault="002A7F83" w:rsidP="002A7F83">
      <w:pPr>
        <w:rPr>
          <w:szCs w:val="22"/>
        </w:rPr>
      </w:pPr>
      <w:r w:rsidRPr="002A76C8">
        <w:rPr>
          <w:szCs w:val="22"/>
        </w:rPr>
        <w:t xml:space="preserve">A co-applicant/affiliated entity </w:t>
      </w:r>
      <w:r w:rsidRPr="002A76C8">
        <w:rPr>
          <w:b/>
          <w:szCs w:val="22"/>
        </w:rPr>
        <w:t>may not</w:t>
      </w:r>
      <w:r w:rsidRPr="002A76C8">
        <w:rPr>
          <w:szCs w:val="22"/>
        </w:rPr>
        <w:t xml:space="preserve"> be the co-applicant or an affiliated entity in more than one application under this call for proposals.</w:t>
      </w:r>
    </w:p>
    <w:p w:rsidR="002A7F83" w:rsidRPr="002A76C8" w:rsidRDefault="002A7F83" w:rsidP="002A7F83">
      <w:pPr>
        <w:rPr>
          <w:szCs w:val="22"/>
        </w:rPr>
      </w:pPr>
      <w:r w:rsidRPr="002A76C8">
        <w:rPr>
          <w:szCs w:val="22"/>
        </w:rPr>
        <w:t xml:space="preserve">A co-applicant/affiliated entity </w:t>
      </w:r>
      <w:r w:rsidRPr="002A76C8">
        <w:rPr>
          <w:b/>
          <w:szCs w:val="22"/>
        </w:rPr>
        <w:t>may not</w:t>
      </w:r>
      <w:r w:rsidRPr="002A76C8">
        <w:rPr>
          <w:szCs w:val="22"/>
        </w:rPr>
        <w:t xml:space="preserve"> be awarded more than one grant under this call for proposals.</w:t>
      </w:r>
      <w:r>
        <w:rPr>
          <w:szCs w:val="22"/>
        </w:rPr>
        <w:t xml:space="preserve"> All the applications including entities that do not respect the above mentioned rules will be rejected.</w:t>
      </w:r>
    </w:p>
    <w:p w:rsidR="002A7F83" w:rsidRPr="002A76C8" w:rsidRDefault="002A7F83" w:rsidP="0033394E">
      <w:pPr>
        <w:pStyle w:val="Guidelines3"/>
        <w:numPr>
          <w:ilvl w:val="2"/>
          <w:numId w:val="23"/>
        </w:numPr>
        <w:rPr>
          <w:sz w:val="22"/>
          <w:szCs w:val="22"/>
        </w:rPr>
      </w:pPr>
      <w:bookmarkStart w:id="15" w:name="_Toc437893845"/>
      <w:r w:rsidRPr="002A76C8">
        <w:rPr>
          <w:sz w:val="22"/>
          <w:szCs w:val="22"/>
        </w:rPr>
        <w:t>Eligibility of costs: costs that can be included</w:t>
      </w:r>
      <w:bookmarkEnd w:id="15"/>
      <w:r w:rsidRPr="002A76C8">
        <w:rPr>
          <w:sz w:val="22"/>
          <w:szCs w:val="22"/>
        </w:rPr>
        <w:t xml:space="preserve"> </w:t>
      </w:r>
    </w:p>
    <w:p w:rsidR="002A7F83" w:rsidRPr="002A76C8" w:rsidRDefault="002A7F83" w:rsidP="002A7F83">
      <w:pPr>
        <w:spacing w:before="240"/>
        <w:rPr>
          <w:szCs w:val="22"/>
        </w:rPr>
      </w:pPr>
      <w:r w:rsidRPr="002A76C8">
        <w:rPr>
          <w:szCs w:val="22"/>
        </w:rPr>
        <w:t xml:space="preserve">Only ‘eligible costs’ can be covered by a grant. The categories of costs that are eligible and non-eligible are indicated below. The budget is both a cost estimate and an overall ceiling for ‘eligible costs’. </w:t>
      </w:r>
    </w:p>
    <w:p w:rsidR="002A7F83" w:rsidRPr="002A76C8" w:rsidRDefault="002A7F83" w:rsidP="002A7F83">
      <w:pPr>
        <w:rPr>
          <w:szCs w:val="22"/>
        </w:rPr>
      </w:pPr>
      <w:r w:rsidRPr="002A76C8">
        <w:rPr>
          <w:szCs w:val="22"/>
        </w:rPr>
        <w:t>The reimbursement of eligible costs may be based on any or a combination of the following forms:</w:t>
      </w:r>
    </w:p>
    <w:p w:rsidR="002A7F83" w:rsidRPr="002A76C8" w:rsidRDefault="002A7F83" w:rsidP="0033394E">
      <w:pPr>
        <w:numPr>
          <w:ilvl w:val="0"/>
          <w:numId w:val="29"/>
        </w:numPr>
        <w:rPr>
          <w:szCs w:val="22"/>
        </w:rPr>
      </w:pPr>
      <w:r w:rsidRPr="002A76C8">
        <w:rPr>
          <w:szCs w:val="22"/>
        </w:rPr>
        <w:t>actual costs incurred by the beneficiary(ies) and affiliated entity(ies);</w:t>
      </w:r>
    </w:p>
    <w:p w:rsidR="002A7F83" w:rsidRPr="002A76C8" w:rsidRDefault="002A7F83" w:rsidP="0033394E">
      <w:pPr>
        <w:numPr>
          <w:ilvl w:val="0"/>
          <w:numId w:val="29"/>
        </w:numPr>
        <w:rPr>
          <w:szCs w:val="22"/>
        </w:rPr>
      </w:pPr>
      <w:r w:rsidRPr="002A76C8">
        <w:rPr>
          <w:szCs w:val="22"/>
        </w:rPr>
        <w:t>one or more simplified cost options.</w:t>
      </w:r>
    </w:p>
    <w:p w:rsidR="002A7F83" w:rsidRPr="002A76C8" w:rsidRDefault="002A7F83" w:rsidP="002A7F83">
      <w:pPr>
        <w:rPr>
          <w:b/>
          <w:szCs w:val="22"/>
        </w:rPr>
      </w:pPr>
      <w:r w:rsidRPr="002A76C8">
        <w:rPr>
          <w:szCs w:val="22"/>
        </w:rPr>
        <w:t>Simplified cost options may take the form of:</w:t>
      </w:r>
    </w:p>
    <w:p w:rsidR="002A7F83" w:rsidRPr="002A76C8" w:rsidRDefault="002A7F83" w:rsidP="0033394E">
      <w:pPr>
        <w:numPr>
          <w:ilvl w:val="0"/>
          <w:numId w:val="30"/>
        </w:numPr>
        <w:rPr>
          <w:szCs w:val="22"/>
        </w:rPr>
      </w:pPr>
      <w:r w:rsidRPr="002A76C8">
        <w:rPr>
          <w:b/>
          <w:szCs w:val="22"/>
        </w:rPr>
        <w:t>unit costs:</w:t>
      </w:r>
      <w:r w:rsidRPr="002A76C8">
        <w:rPr>
          <w:szCs w:val="22"/>
        </w:rPr>
        <w:t xml:space="preserve"> covering all or certain specific categories of eligible costs which are clearly identified in advance by reference to an </w:t>
      </w:r>
      <w:r w:rsidRPr="002A76C8">
        <w:rPr>
          <w:szCs w:val="22"/>
          <w:u w:val="single"/>
        </w:rPr>
        <w:t>amount per unit</w:t>
      </w:r>
      <w:r w:rsidRPr="002A76C8">
        <w:rPr>
          <w:szCs w:val="22"/>
        </w:rPr>
        <w:t>.</w:t>
      </w:r>
    </w:p>
    <w:p w:rsidR="002A7F83" w:rsidRPr="002A76C8" w:rsidRDefault="002A7F83" w:rsidP="0033394E">
      <w:pPr>
        <w:numPr>
          <w:ilvl w:val="0"/>
          <w:numId w:val="30"/>
        </w:numPr>
        <w:rPr>
          <w:szCs w:val="22"/>
        </w:rPr>
      </w:pPr>
      <w:r w:rsidRPr="002A76C8">
        <w:rPr>
          <w:b/>
          <w:szCs w:val="22"/>
        </w:rPr>
        <w:t xml:space="preserve">lump sums: </w:t>
      </w:r>
      <w:r w:rsidRPr="002A76C8">
        <w:rPr>
          <w:szCs w:val="22"/>
        </w:rPr>
        <w:t xml:space="preserve">covering in </w:t>
      </w:r>
      <w:r w:rsidRPr="002A76C8">
        <w:rPr>
          <w:szCs w:val="22"/>
          <w:u w:val="single"/>
        </w:rPr>
        <w:t>global terms</w:t>
      </w:r>
      <w:r w:rsidRPr="002A76C8">
        <w:rPr>
          <w:szCs w:val="22"/>
        </w:rPr>
        <w:t xml:space="preserve"> all or certain specific categories of eligible costs which are clearly identified in advance.</w:t>
      </w:r>
    </w:p>
    <w:p w:rsidR="002A7F83" w:rsidRPr="002A76C8" w:rsidRDefault="002A7F83" w:rsidP="0033394E">
      <w:pPr>
        <w:numPr>
          <w:ilvl w:val="0"/>
          <w:numId w:val="30"/>
        </w:numPr>
        <w:rPr>
          <w:szCs w:val="22"/>
        </w:rPr>
      </w:pPr>
      <w:r w:rsidRPr="002A76C8">
        <w:rPr>
          <w:b/>
          <w:szCs w:val="22"/>
        </w:rPr>
        <w:lastRenderedPageBreak/>
        <w:t xml:space="preserve">flat-rate financing: </w:t>
      </w:r>
      <w:r w:rsidRPr="002A76C8">
        <w:rPr>
          <w:szCs w:val="22"/>
        </w:rPr>
        <w:t xml:space="preserve">covering specific categories of eligible costs which are clearly identified in advance by </w:t>
      </w:r>
      <w:r w:rsidRPr="002A76C8">
        <w:rPr>
          <w:szCs w:val="22"/>
          <w:u w:val="single"/>
        </w:rPr>
        <w:t>applying a percentage</w:t>
      </w:r>
      <w:r w:rsidRPr="002A76C8">
        <w:rPr>
          <w:szCs w:val="22"/>
        </w:rPr>
        <w:t xml:space="preserve"> fixed ex ante.</w:t>
      </w:r>
    </w:p>
    <w:p w:rsidR="002A7F83" w:rsidRPr="002A76C8" w:rsidRDefault="002A7F83" w:rsidP="002A7F83">
      <w:pPr>
        <w:ind w:left="720"/>
        <w:rPr>
          <w:szCs w:val="22"/>
          <w:highlight w:val="lightGray"/>
        </w:rPr>
      </w:pPr>
    </w:p>
    <w:p w:rsidR="002A7F83" w:rsidRPr="002A76C8" w:rsidRDefault="002A7F83" w:rsidP="002A7F83">
      <w:pPr>
        <w:rPr>
          <w:szCs w:val="22"/>
        </w:rPr>
      </w:pPr>
      <w:r w:rsidRPr="002A76C8">
        <w:rPr>
          <w:szCs w:val="22"/>
        </w:rPr>
        <w:t>Simplified costs options (SCOs) are divided in two categories:</w:t>
      </w:r>
    </w:p>
    <w:p w:rsidR="002A7F83" w:rsidRPr="002A76C8" w:rsidRDefault="002A7F83" w:rsidP="002A7F83">
      <w:pPr>
        <w:rPr>
          <w:szCs w:val="22"/>
        </w:rPr>
      </w:pPr>
      <w:r w:rsidRPr="002A76C8">
        <w:rPr>
          <w:szCs w:val="22"/>
        </w:rPr>
        <w:t>1/ "output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unit costs or flat rates shall be determined in such a way to allow their payment upon achievement of concrete outputs and/or results. This type of SCO can be proposed by the Beneficiary (no threshold is applicable) at proposal's stage. In case the evaluation committee and the contracting authority are not satisfied with the quality of the justification provided reimbursement on the basis of actually incurred costs is always possible.</w:t>
      </w:r>
    </w:p>
    <w:p w:rsidR="002A7F83" w:rsidRPr="002A76C8" w:rsidRDefault="002A7F83" w:rsidP="002A7F83">
      <w:pPr>
        <w:rPr>
          <w:szCs w:val="22"/>
        </w:rPr>
      </w:pPr>
      <w:r w:rsidRPr="002A76C8">
        <w:rPr>
          <w:szCs w:val="22"/>
        </w:rPr>
        <w:t>2/ "other/recurrent SCOs". This second category entails simplified cost options embedded in the cost accounting practices of the beneficiary, for which an ex-ante assessment is deemed necessary, considering the need of a consistent application of the conditions required. Examples are: an additional percentage on actual salaries to cover remuneration-related costs or the use of an allocation method to apportion costs of a project office foreseen in the Description of the Action. In order the use of systemic/recurrent SCOs, the beneficiary's cost accounting practices need to have been positively assessed by an audit firm based on standard ToRs provided by the Commission. To obtain reimbursement of this category of SCOs, the beneficiary shall make reference to the previously obtained ex-ante assessment in the budget justification sheet (annex B).</w:t>
      </w:r>
    </w:p>
    <w:p w:rsidR="002A7F83" w:rsidRPr="002A76C8" w:rsidRDefault="002A7F83" w:rsidP="002A7F83">
      <w:pPr>
        <w:rPr>
          <w:szCs w:val="22"/>
        </w:rPr>
      </w:pPr>
      <w:r w:rsidRPr="002A76C8">
        <w:rPr>
          <w:szCs w:val="22"/>
        </w:rPr>
        <w:t>The amounts or rates have to be based on estimates using objective data such as statistical data or any other objective means or with reference to certified or auditable historical data of the applicants or the affiliated entity(ies). Determining SCO is possible also through ‘expert judgement’ provided by internally available experts or procured in accordance with the applicable rules. Experts must be either commissioned auditors or chartered accountants, or staff of the Commission but cannot be staff of the beneficiary. The methods used to determine the amounts or rates of unit costs, lump sums or flat-rates must comply with the criteria established in Annex K, and especially ensure that the costs correspond fairly to the actual costs incurred by the beneficiary(ies) and affiliated entity(ies), are in line with their cost accounting practices, no profit is made and the costs are not already covered by other sources of funding (no double funding). Refer to Annex K for the details of the procedure to be followed depending on the type and amount of the costs to be declared as SCO.</w:t>
      </w:r>
    </w:p>
    <w:p w:rsidR="002A7F83" w:rsidRPr="002A76C8" w:rsidRDefault="002A7F83" w:rsidP="002A7F83">
      <w:pPr>
        <w:rPr>
          <w:szCs w:val="22"/>
          <w:highlight w:val="lightGray"/>
        </w:rPr>
      </w:pPr>
      <w:r w:rsidRPr="002A76C8">
        <w:rPr>
          <w:szCs w:val="22"/>
        </w:rPr>
        <w:t>Applicants proposing this form of reimbursement, must clearly indicate in worksheet no.1 of Annex B, each heading/item of eligible costs concerned by this type of financing, i.e. add the reference in capital letters to ‘UNIT COST’ (per month/flight etc.), ‘LUMPSUM’, ‘FLAT RATE’ in the Unit column (see example in Annex K).</w:t>
      </w:r>
      <w:r w:rsidRPr="002A76C8">
        <w:rPr>
          <w:szCs w:val="22"/>
          <w:highlight w:val="lightGray"/>
        </w:rPr>
        <w:t xml:space="preserve"> </w:t>
      </w:r>
    </w:p>
    <w:p w:rsidR="002A7F83" w:rsidRPr="002A76C8" w:rsidRDefault="002A7F83" w:rsidP="002A7F83">
      <w:pPr>
        <w:rPr>
          <w:szCs w:val="22"/>
        </w:rPr>
      </w:pPr>
      <w:r w:rsidRPr="002A76C8">
        <w:rPr>
          <w:szCs w:val="22"/>
        </w:rPr>
        <w:t>Additionally, in Annex B, in the second column of worksheet no.2, ‘Justification of the estimated costs’ per each of the corresponding budget item or heading applicants must:</w:t>
      </w:r>
    </w:p>
    <w:p w:rsidR="002A7F83" w:rsidRPr="002A76C8" w:rsidRDefault="002A7F83" w:rsidP="0033394E">
      <w:pPr>
        <w:numPr>
          <w:ilvl w:val="0"/>
          <w:numId w:val="31"/>
        </w:numPr>
        <w:rPr>
          <w:szCs w:val="22"/>
        </w:rPr>
      </w:pPr>
      <w:r w:rsidRPr="002A76C8">
        <w:rPr>
          <w:szCs w:val="22"/>
        </w:rPr>
        <w:t>describe the information and methods used to establish the amounts of unit costs, lump sums and/or flat-rates, to which costs they refer, etc for output or result based SCO.</w:t>
      </w:r>
    </w:p>
    <w:p w:rsidR="002A7F83" w:rsidRPr="002A76C8" w:rsidRDefault="002A7F83" w:rsidP="0033394E">
      <w:pPr>
        <w:numPr>
          <w:ilvl w:val="0"/>
          <w:numId w:val="31"/>
        </w:numPr>
        <w:rPr>
          <w:bCs/>
          <w:szCs w:val="22"/>
        </w:rPr>
      </w:pPr>
      <w:r w:rsidRPr="002A76C8">
        <w:rPr>
          <w:szCs w:val="22"/>
        </w:rPr>
        <w:t>clearly explain the formulas for calculation of the final eligible amount for output or result based SCO</w:t>
      </w:r>
      <w:r w:rsidRPr="002A76C8">
        <w:rPr>
          <w:rStyle w:val="FootnoteReference"/>
          <w:szCs w:val="22"/>
        </w:rPr>
        <w:footnoteReference w:id="10"/>
      </w:r>
    </w:p>
    <w:p w:rsidR="002A7F83" w:rsidRPr="002A76C8" w:rsidRDefault="002A7F83" w:rsidP="0033394E">
      <w:pPr>
        <w:numPr>
          <w:ilvl w:val="0"/>
          <w:numId w:val="31"/>
        </w:numPr>
        <w:rPr>
          <w:szCs w:val="22"/>
        </w:rPr>
      </w:pPr>
      <w:r w:rsidRPr="002A76C8">
        <w:rPr>
          <w:szCs w:val="22"/>
        </w:rPr>
        <w:t>make reference to the previously obtained ex-ante assessment for other/recurrent SCOs.</w:t>
      </w:r>
    </w:p>
    <w:p w:rsidR="002A7F83" w:rsidRPr="002A76C8" w:rsidRDefault="002A7F83" w:rsidP="002A7F83">
      <w:pPr>
        <w:rPr>
          <w:szCs w:val="22"/>
        </w:rPr>
      </w:pPr>
      <w:r w:rsidRPr="002A76C8">
        <w:rPr>
          <w:szCs w:val="22"/>
        </w:rPr>
        <w:lastRenderedPageBreak/>
        <w:t>In case of output or result based SCOs the evaluation committee and the contracting authority decide whether to accept the proposed amounts or rates on the basis of the provisional budget submitted by the applicants, by analysing factual data of grants carried out by the applicants or of similar actions. In case the evaluation committee and the contracting authority are not satisfied with the quality of the justification provided reimbursement on the basis of actually incurred costs is always possible.</w:t>
      </w:r>
    </w:p>
    <w:p w:rsidR="002A7F83" w:rsidRPr="002A76C8" w:rsidRDefault="002A7F83" w:rsidP="002A7F83">
      <w:pPr>
        <w:rPr>
          <w:szCs w:val="22"/>
        </w:rPr>
      </w:pPr>
      <w:r w:rsidRPr="002A76C8">
        <w:rPr>
          <w:szCs w:val="22"/>
        </w:rPr>
        <w:t>No threshold is set ex-ante for the total amount of financing that can be authorised by the contracting authority on the basis of simplified cost options. Other/recurrent SCOs can be declared only if previously successfully ex-ante assessed.</w:t>
      </w:r>
    </w:p>
    <w:p w:rsidR="002A7F83" w:rsidRPr="002A76C8" w:rsidRDefault="002A7F83" w:rsidP="002A7F83">
      <w:pPr>
        <w:rPr>
          <w:szCs w:val="22"/>
        </w:rPr>
      </w:pPr>
      <w:r w:rsidRPr="002A76C8">
        <w:rPr>
          <w:szCs w:val="22"/>
        </w:rPr>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rsidR="002A7F83" w:rsidRPr="002A76C8" w:rsidRDefault="002A7F83" w:rsidP="002A7F83">
      <w:pPr>
        <w:rPr>
          <w:szCs w:val="22"/>
        </w:rPr>
      </w:pPr>
      <w:r w:rsidRPr="002A76C8">
        <w:rPr>
          <w:szCs w:val="22"/>
        </w:rPr>
        <w:t xml:space="preserve">It is therefore in the applicants' interest to provide a </w:t>
      </w:r>
      <w:r w:rsidRPr="002A76C8">
        <w:rPr>
          <w:b/>
          <w:szCs w:val="22"/>
        </w:rPr>
        <w:t>realistic and cost-effective budget</w:t>
      </w:r>
      <w:r w:rsidRPr="002A76C8">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A7F83" w:rsidRPr="002A76C8" w:rsidTr="00F42767">
        <w:trPr>
          <w:trHeight w:val="3046"/>
        </w:trPr>
        <w:tc>
          <w:tcPr>
            <w:tcW w:w="9854" w:type="dxa"/>
          </w:tcPr>
          <w:p w:rsidR="002A7F83" w:rsidRPr="002A76C8" w:rsidRDefault="002A7F83" w:rsidP="00F42767">
            <w:pPr>
              <w:tabs>
                <w:tab w:val="left" w:pos="993"/>
              </w:tabs>
              <w:rPr>
                <w:szCs w:val="22"/>
              </w:rPr>
            </w:pPr>
            <w:r w:rsidRPr="002A76C8">
              <w:rPr>
                <w:szCs w:val="22"/>
              </w:rPr>
              <w:t>The grant may take the form of a single lump-sum covering the entire eligible costs of an action or a work programme.</w:t>
            </w:r>
          </w:p>
          <w:p w:rsidR="002A7F83" w:rsidRPr="002A76C8" w:rsidRDefault="002A7F83" w:rsidP="00F42767">
            <w:pPr>
              <w:tabs>
                <w:tab w:val="left" w:pos="993"/>
              </w:tabs>
              <w:ind w:left="993" w:hanging="993"/>
              <w:rPr>
                <w:szCs w:val="22"/>
              </w:rPr>
            </w:pPr>
            <w:r w:rsidRPr="002A76C8">
              <w:rPr>
                <w:szCs w:val="22"/>
              </w:rPr>
              <w:t>Single lump sums may be determined on the basis of the estimated budget, which should comply with the principles of economy, efficiency and effectiveness. Compliance with these principles shall be verified ex ante at the time of evaluation of the grant application.</w:t>
            </w:r>
          </w:p>
          <w:p w:rsidR="002A7F83" w:rsidRPr="002A76C8" w:rsidRDefault="002A7F83" w:rsidP="00F42767">
            <w:pPr>
              <w:tabs>
                <w:tab w:val="left" w:pos="993"/>
              </w:tabs>
              <w:ind w:left="993" w:hanging="993"/>
              <w:rPr>
                <w:szCs w:val="22"/>
              </w:rPr>
            </w:pPr>
            <w:r w:rsidRPr="002A76C8">
              <w:rPr>
                <w:szCs w:val="22"/>
              </w:rPr>
              <w:t xml:space="preserve">When authorising single lump sums the authorising officer responsible shall comply with the conditions applicable to output or result based SCOs. </w:t>
            </w:r>
          </w:p>
          <w:p w:rsidR="002A7F83" w:rsidRPr="002A76C8" w:rsidRDefault="002A7F83" w:rsidP="00F42767">
            <w:pPr>
              <w:tabs>
                <w:tab w:val="left" w:pos="993"/>
              </w:tabs>
              <w:ind w:left="993" w:hanging="993"/>
              <w:rPr>
                <w:b/>
                <w:szCs w:val="22"/>
                <w:highlight w:val="lightGray"/>
              </w:rPr>
            </w:pPr>
            <w:r w:rsidRPr="002A76C8">
              <w:rPr>
                <w:szCs w:val="22"/>
              </w:rPr>
              <w:t xml:space="preserve">When using this form of financing, the description of the action shall include detailed information on the essential conditions triggering the payment, including, where applicable, the achievement of outputs and/or results. </w:t>
            </w:r>
          </w:p>
        </w:tc>
      </w:tr>
    </w:tbl>
    <w:p w:rsidR="002A7F83" w:rsidRPr="002A76C8" w:rsidRDefault="002A7F83" w:rsidP="002A7F83">
      <w:pPr>
        <w:spacing w:before="120" w:after="120"/>
        <w:rPr>
          <w:szCs w:val="22"/>
          <w:highlight w:val="lightGray"/>
        </w:rPr>
      </w:pPr>
    </w:p>
    <w:p w:rsidR="002A7F83" w:rsidRPr="002A76C8" w:rsidRDefault="002A7F83" w:rsidP="002A7F83">
      <w:pPr>
        <w:rPr>
          <w:szCs w:val="22"/>
          <w:u w:val="single"/>
        </w:rPr>
      </w:pPr>
      <w:r w:rsidRPr="002A76C8">
        <w:rPr>
          <w:szCs w:val="22"/>
          <w:u w:val="single"/>
        </w:rPr>
        <w:t>The responsible authorising officer may consider that the usual cost accounting practices of the beneficiary are compliant with the conditions applicable to simplified cost options, if they are accepted by national authorities under comparable funding schemes. In this case the grant beneficiary shall demonstrate that the national authority accepted the cost accounting practices and will have to specify in which context this acceptance is given.</w:t>
      </w:r>
    </w:p>
    <w:p w:rsidR="002A7F83" w:rsidRPr="002A76C8" w:rsidRDefault="002A7F83" w:rsidP="002A7F83">
      <w:pPr>
        <w:rPr>
          <w:szCs w:val="22"/>
          <w:u w:val="single"/>
        </w:rPr>
      </w:pPr>
      <w:r w:rsidRPr="002A76C8">
        <w:rPr>
          <w:szCs w:val="22"/>
          <w:u w:val="single"/>
        </w:rPr>
        <w:t>The evaluation committee and the contracting authority will assess if the funding scheme is comparable and in case of positive outcome will consider these practices as if they were ex-ante assessed by an external auditor].</w:t>
      </w:r>
    </w:p>
    <w:p w:rsidR="002A7F83" w:rsidRPr="002A76C8" w:rsidRDefault="002A7F83" w:rsidP="002A7F83">
      <w:pPr>
        <w:rPr>
          <w:szCs w:val="22"/>
          <w:u w:val="single"/>
        </w:rPr>
      </w:pPr>
    </w:p>
    <w:p w:rsidR="002A7F83" w:rsidRPr="002A76C8" w:rsidRDefault="002A7F83" w:rsidP="002A7F83">
      <w:pPr>
        <w:rPr>
          <w:szCs w:val="22"/>
          <w:u w:val="single"/>
        </w:rPr>
      </w:pPr>
      <w:r w:rsidRPr="002A76C8">
        <w:rPr>
          <w:szCs w:val="22"/>
          <w:u w:val="single"/>
        </w:rPr>
        <w:t>Eligible direct costs</w:t>
      </w:r>
    </w:p>
    <w:p w:rsidR="002A7F83" w:rsidRPr="002A76C8" w:rsidRDefault="002A7F83" w:rsidP="002A7F83">
      <w:pPr>
        <w:rPr>
          <w:szCs w:val="22"/>
        </w:rPr>
      </w:pPr>
      <w:r w:rsidRPr="002A76C8">
        <w:rPr>
          <w:szCs w:val="22"/>
        </w:rPr>
        <w:t>To be eligible under this call for proposals, costs must comply with the provisions of Article 14 of the general conditions to the standard grant contract (see Annex G of the guidelines).</w:t>
      </w:r>
    </w:p>
    <w:p w:rsidR="002A7F83" w:rsidRPr="002A76C8" w:rsidRDefault="002A7F83" w:rsidP="002A7F83">
      <w:pPr>
        <w:rPr>
          <w:szCs w:val="22"/>
          <w:u w:val="single"/>
        </w:rPr>
      </w:pPr>
      <w:r w:rsidRPr="002A76C8">
        <w:rPr>
          <w:szCs w:val="22"/>
          <w:u w:val="single"/>
        </w:rPr>
        <w:t>Contingency reserve</w:t>
      </w:r>
    </w:p>
    <w:p w:rsidR="002A7F83" w:rsidRPr="002A76C8" w:rsidRDefault="002A7F83" w:rsidP="002A7F83">
      <w:pPr>
        <w:rPr>
          <w:szCs w:val="22"/>
        </w:rPr>
      </w:pPr>
      <w:r w:rsidRPr="002A76C8">
        <w:rPr>
          <w:szCs w:val="22"/>
        </w:rPr>
        <w:t>The budget may include a contingency reserve not exceeding 5</w:t>
      </w:r>
      <w:r w:rsidRPr="002A76C8">
        <w:rPr>
          <w:w w:val="50"/>
          <w:szCs w:val="22"/>
        </w:rPr>
        <w:t> </w:t>
      </w:r>
      <w:r w:rsidRPr="002A76C8">
        <w:rPr>
          <w:szCs w:val="22"/>
        </w:rPr>
        <w:t xml:space="preserve">% of the estimated direct eligible costs. It can only be used with the </w:t>
      </w:r>
      <w:r w:rsidRPr="002A76C8">
        <w:rPr>
          <w:b/>
          <w:szCs w:val="22"/>
        </w:rPr>
        <w:t>prior written</w:t>
      </w:r>
      <w:r w:rsidRPr="002A76C8">
        <w:rPr>
          <w:szCs w:val="22"/>
        </w:rPr>
        <w:t xml:space="preserve"> </w:t>
      </w:r>
      <w:r w:rsidRPr="002A76C8">
        <w:rPr>
          <w:b/>
          <w:szCs w:val="22"/>
        </w:rPr>
        <w:t>authorisation</w:t>
      </w:r>
      <w:r w:rsidRPr="002A76C8">
        <w:rPr>
          <w:szCs w:val="22"/>
        </w:rPr>
        <w:t xml:space="preserve"> of the contracting authority.</w:t>
      </w:r>
    </w:p>
    <w:p w:rsidR="002A7F83" w:rsidRPr="002A76C8" w:rsidRDefault="002A7F83" w:rsidP="002A7F83">
      <w:pPr>
        <w:rPr>
          <w:szCs w:val="22"/>
          <w:u w:val="single"/>
        </w:rPr>
      </w:pPr>
      <w:r w:rsidRPr="002A76C8">
        <w:rPr>
          <w:szCs w:val="22"/>
          <w:u w:val="single"/>
        </w:rPr>
        <w:t>Eligible indirect costs</w:t>
      </w:r>
    </w:p>
    <w:p w:rsidR="002A7F83" w:rsidRPr="002A76C8" w:rsidRDefault="002A7F83" w:rsidP="002A7F83">
      <w:pPr>
        <w:rPr>
          <w:szCs w:val="22"/>
          <w:lang w:eastAsia="en-GB" w:bidi="kn-IN"/>
        </w:rPr>
      </w:pPr>
      <w:r w:rsidRPr="002A76C8">
        <w:rPr>
          <w:szCs w:val="22"/>
          <w:lang w:eastAsia="en-GB" w:bidi="kn-IN"/>
        </w:rPr>
        <w:t>The indirect costs incurred in carrying out the action may be eligible for flat-rate funding, but the total must not exceed 7</w:t>
      </w:r>
      <w:r w:rsidRPr="002A76C8">
        <w:rPr>
          <w:w w:val="50"/>
          <w:szCs w:val="22"/>
          <w:lang w:eastAsia="en-GB" w:bidi="kn-IN"/>
        </w:rPr>
        <w:t> </w:t>
      </w:r>
      <w:r w:rsidRPr="002A76C8">
        <w:rPr>
          <w:szCs w:val="22"/>
          <w:lang w:eastAsia="en-GB" w:bidi="kn-IN"/>
        </w:rPr>
        <w:t xml:space="preserve">% of the estimated total eligible direct costs. Indirect costs are eligible provided that they do not </w:t>
      </w:r>
      <w:r w:rsidRPr="002A76C8">
        <w:rPr>
          <w:szCs w:val="22"/>
          <w:lang w:eastAsia="en-GB" w:bidi="kn-IN"/>
        </w:rPr>
        <w:lastRenderedPageBreak/>
        <w:t>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rsidR="002A7F83" w:rsidRPr="002A76C8" w:rsidRDefault="002A7F83" w:rsidP="002A7F83">
      <w:pPr>
        <w:rPr>
          <w:szCs w:val="22"/>
          <w:lang w:eastAsia="en-GB" w:bidi="kn-IN"/>
        </w:rPr>
      </w:pPr>
      <w:r w:rsidRPr="002A76C8">
        <w:rPr>
          <w:szCs w:val="22"/>
          <w:lang w:eastAsia="en-GB" w:bidi="kn-IN"/>
        </w:rPr>
        <w:t>If any of the applicants or affiliated entity(ies) is in receipt of an operating grant financed by the EU, it may not claim indirect costs on its incurred costs</w:t>
      </w:r>
      <w:r w:rsidRPr="002A76C8">
        <w:rPr>
          <w:color w:val="0000FF"/>
          <w:szCs w:val="22"/>
          <w:lang w:eastAsia="en-GB" w:bidi="kn-IN"/>
        </w:rPr>
        <w:t xml:space="preserve"> </w:t>
      </w:r>
      <w:r w:rsidRPr="002A76C8">
        <w:rPr>
          <w:szCs w:val="22"/>
          <w:lang w:eastAsia="en-GB" w:bidi="kn-IN"/>
        </w:rPr>
        <w:t>within the proposed budget for the action.</w:t>
      </w:r>
    </w:p>
    <w:p w:rsidR="002A7F83" w:rsidRPr="002A76C8" w:rsidRDefault="002A7F83" w:rsidP="002A7F83">
      <w:pPr>
        <w:rPr>
          <w:szCs w:val="22"/>
          <w:u w:val="single"/>
        </w:rPr>
      </w:pPr>
      <w:r w:rsidRPr="002A76C8">
        <w:rPr>
          <w:szCs w:val="22"/>
          <w:u w:val="single"/>
        </w:rPr>
        <w:t>Contributions in kind</w:t>
      </w:r>
    </w:p>
    <w:p w:rsidR="002A7F83" w:rsidRPr="002A76C8" w:rsidRDefault="002A7F83" w:rsidP="002A7F83">
      <w:pPr>
        <w:rPr>
          <w:szCs w:val="22"/>
        </w:rPr>
      </w:pPr>
      <w:r w:rsidRPr="002A76C8">
        <w:rPr>
          <w:szCs w:val="22"/>
        </w:rPr>
        <w:t xml:space="preserve">Contributions in kind mean the provision of goods or services to beneficiaries or </w:t>
      </w:r>
      <w:r w:rsidRPr="002A76C8">
        <w:rPr>
          <w:szCs w:val="22"/>
          <w:lang w:eastAsia="en-GB" w:bidi="kn-IN"/>
        </w:rPr>
        <w:t xml:space="preserve">affiliated entities </w:t>
      </w:r>
      <w:r w:rsidRPr="002A76C8">
        <w:rPr>
          <w:szCs w:val="22"/>
        </w:rPr>
        <w:t xml:space="preserve">free of charge by a third party. As contributions in kind do not involve any expenditure for beneficiaries </w:t>
      </w:r>
      <w:r w:rsidRPr="002A76C8">
        <w:rPr>
          <w:szCs w:val="22"/>
          <w:lang w:eastAsia="en-GB" w:bidi="kn-IN"/>
        </w:rPr>
        <w:t>or affiliated entities</w:t>
      </w:r>
      <w:r w:rsidRPr="002A76C8">
        <w:rPr>
          <w:szCs w:val="22"/>
        </w:rPr>
        <w:t xml:space="preserve">, they are normally not eligible costs. </w:t>
      </w:r>
    </w:p>
    <w:p w:rsidR="002A7F83" w:rsidRPr="002A76C8" w:rsidRDefault="002A7F83" w:rsidP="002A7F83">
      <w:pPr>
        <w:rPr>
          <w:szCs w:val="22"/>
        </w:rPr>
      </w:pPr>
      <w:r w:rsidRPr="002A76C8">
        <w:rPr>
          <w:szCs w:val="22"/>
        </w:rPr>
        <w:t>As an exception, contributions in kind may include personnel costs for the work carried out by volunteers under an action or work programme (which are eligible costs).</w:t>
      </w:r>
    </w:p>
    <w:p w:rsidR="002A7F83" w:rsidRPr="002A76C8" w:rsidRDefault="002A7F83" w:rsidP="002A7F83">
      <w:pPr>
        <w:rPr>
          <w:szCs w:val="22"/>
        </w:rPr>
      </w:pPr>
      <w:r w:rsidRPr="002A76C8">
        <w:rPr>
          <w:szCs w:val="22"/>
        </w:rPr>
        <w:t>Volunteers' work may comprise up to 50 % of the co-financing. For the purposes of calculating this percentage, contributions in kind in the form of volunteers' work must be based on the unit cost provided by the contracting authority. This type of costs must be presented separately from other eligible costs in the estimated budget. The value of the volunteer’s work must always be excluded from the calculation of indirect costs.</w:t>
      </w:r>
    </w:p>
    <w:p w:rsidR="002A7F83" w:rsidRPr="002A76C8" w:rsidRDefault="002A7F83" w:rsidP="002A7F83">
      <w:pPr>
        <w:rPr>
          <w:szCs w:val="22"/>
        </w:rPr>
      </w:pPr>
      <w:r w:rsidRPr="002A76C8">
        <w:rPr>
          <w:szCs w:val="22"/>
        </w:rPr>
        <w:t>When the estimated costs include volunteers' work, the grant shall not exceed the estimated eligible costs other than the costs for volunteers' work.</w:t>
      </w:r>
    </w:p>
    <w:p w:rsidR="002A7F83" w:rsidRPr="002A76C8" w:rsidRDefault="002A7F83" w:rsidP="002A7F83">
      <w:pPr>
        <w:rPr>
          <w:szCs w:val="22"/>
        </w:rPr>
      </w:pPr>
      <w:r w:rsidRPr="002A76C8">
        <w:rPr>
          <w:szCs w:val="22"/>
        </w:rPr>
        <w:t>Other co-financing shall be based on estimates provided by the applicant.</w:t>
      </w:r>
      <w:r>
        <w:rPr>
          <w:szCs w:val="22"/>
        </w:rPr>
        <w:t xml:space="preserve"> </w:t>
      </w:r>
      <w:r w:rsidRPr="00A47BF3">
        <w:rPr>
          <w:b/>
          <w:szCs w:val="22"/>
        </w:rPr>
        <w:t xml:space="preserve">Contribution in kind are not allowed. </w:t>
      </w:r>
    </w:p>
    <w:p w:rsidR="002A7F83" w:rsidRPr="00230192" w:rsidRDefault="002A7F83" w:rsidP="002A7F83">
      <w:pPr>
        <w:rPr>
          <w:szCs w:val="22"/>
        </w:rPr>
      </w:pPr>
      <w:r w:rsidRPr="00230192">
        <w:rPr>
          <w:szCs w:val="22"/>
        </w:rPr>
        <w:t>Contributions in kind may not be treated as co-financing</w:t>
      </w:r>
    </w:p>
    <w:p w:rsidR="002A7F83" w:rsidRPr="002A76C8" w:rsidRDefault="002A7F83" w:rsidP="002A7F83">
      <w:pPr>
        <w:rPr>
          <w:szCs w:val="22"/>
        </w:rPr>
      </w:pPr>
      <w:r w:rsidRPr="00230192">
        <w:rPr>
          <w:szCs w:val="22"/>
        </w:rPr>
        <w:t>However, if the description of the action as proposed includes contributions in kind, the contributions have to be made.</w:t>
      </w:r>
    </w:p>
    <w:p w:rsidR="002A7F83" w:rsidRPr="002A76C8" w:rsidRDefault="002A7F83" w:rsidP="002A7F83">
      <w:pPr>
        <w:rPr>
          <w:szCs w:val="22"/>
          <w:u w:val="single"/>
        </w:rPr>
      </w:pPr>
      <w:r w:rsidRPr="002A76C8">
        <w:rPr>
          <w:szCs w:val="22"/>
          <w:u w:val="single"/>
        </w:rPr>
        <w:t>Ineligible costs</w:t>
      </w:r>
    </w:p>
    <w:p w:rsidR="002A7F83" w:rsidRPr="00807DAF" w:rsidRDefault="002A7F83" w:rsidP="002A7F83">
      <w:r w:rsidRPr="00807DAF">
        <w:t>The following costs are not eligible:</w:t>
      </w:r>
    </w:p>
    <w:p w:rsidR="002A7F83" w:rsidRPr="00807DAF" w:rsidRDefault="002A7F83" w:rsidP="0033394E">
      <w:pPr>
        <w:numPr>
          <w:ilvl w:val="0"/>
          <w:numId w:val="32"/>
        </w:numPr>
      </w:pPr>
      <w:r w:rsidRPr="00807DAF">
        <w:t>debts and debt service charges (interest);</w:t>
      </w:r>
    </w:p>
    <w:p w:rsidR="002A7F83" w:rsidRPr="00807DAF" w:rsidRDefault="002A7F83" w:rsidP="0033394E">
      <w:pPr>
        <w:numPr>
          <w:ilvl w:val="0"/>
          <w:numId w:val="32"/>
        </w:numPr>
      </w:pPr>
      <w:r w:rsidRPr="00807DAF">
        <w:t>provisions for losses or potential future liabilities;</w:t>
      </w:r>
    </w:p>
    <w:p w:rsidR="002A7F83" w:rsidRPr="00807DAF" w:rsidRDefault="002A7F83" w:rsidP="0033394E">
      <w:pPr>
        <w:numPr>
          <w:ilvl w:val="0"/>
          <w:numId w:val="32"/>
        </w:numPr>
      </w:pPr>
      <w:r w:rsidRPr="00807DAF">
        <w:t xml:space="preserve">costs declared by the </w:t>
      </w:r>
      <w:r>
        <w:t>b</w:t>
      </w:r>
      <w:r w:rsidRPr="00807DAF">
        <w:t xml:space="preserve">eneficiary(ies) and financed by another action or work programme receiving a </w:t>
      </w:r>
      <w:r>
        <w:t xml:space="preserve">European </w:t>
      </w:r>
      <w:r w:rsidRPr="00807DAF">
        <w:t>Union (including through EDF) grant;</w:t>
      </w:r>
    </w:p>
    <w:p w:rsidR="002A7F83" w:rsidRPr="00807DAF" w:rsidRDefault="002A7F83" w:rsidP="0033394E">
      <w:pPr>
        <w:numPr>
          <w:ilvl w:val="0"/>
          <w:numId w:val="32"/>
        </w:numPr>
      </w:pPr>
      <w:r w:rsidRPr="00807DAF">
        <w:t xml:space="preserve">purchases of land or buildings, except where necessary for the direct implementation of the action, in which case ownership must be transferred </w:t>
      </w:r>
      <w:r>
        <w:t>in accordance with Article 7.5 of the general conditions of the standard grant contract</w:t>
      </w:r>
      <w:r w:rsidRPr="00807DAF">
        <w:t>, at the latest at the end of the action;</w:t>
      </w:r>
    </w:p>
    <w:p w:rsidR="002A7F83" w:rsidRPr="00807DAF" w:rsidRDefault="002A7F83" w:rsidP="0033394E">
      <w:pPr>
        <w:numPr>
          <w:ilvl w:val="0"/>
          <w:numId w:val="32"/>
        </w:numPr>
      </w:pPr>
      <w:r w:rsidRPr="00807DAF">
        <w:t>currency exchange losses;</w:t>
      </w:r>
    </w:p>
    <w:p w:rsidR="002A7F83" w:rsidRPr="005F4D6B" w:rsidRDefault="002A7F83" w:rsidP="0033394E">
      <w:pPr>
        <w:numPr>
          <w:ilvl w:val="0"/>
          <w:numId w:val="32"/>
        </w:numPr>
      </w:pPr>
      <w:r w:rsidRPr="005F4D6B">
        <w:t>credit to third parties</w:t>
      </w:r>
      <w:r>
        <w:t>;</w:t>
      </w:r>
    </w:p>
    <w:p w:rsidR="002A7F83" w:rsidRPr="005F4D6B" w:rsidRDefault="002A7F83" w:rsidP="0033394E">
      <w:pPr>
        <w:numPr>
          <w:ilvl w:val="0"/>
          <w:numId w:val="32"/>
        </w:numPr>
      </w:pPr>
      <w:r w:rsidRPr="005F4D6B">
        <w:t>salary costs of the personnel of national administrations</w:t>
      </w:r>
      <w:r>
        <w:t>.</w:t>
      </w:r>
    </w:p>
    <w:p w:rsidR="002A7F83" w:rsidRDefault="002A7F83" w:rsidP="002A7F83">
      <w:pPr>
        <w:keepNext/>
        <w:spacing w:before="120" w:after="120"/>
        <w:rPr>
          <w:b/>
          <w:szCs w:val="22"/>
        </w:rPr>
      </w:pPr>
    </w:p>
    <w:p w:rsidR="002A7F83" w:rsidRPr="002A76C8" w:rsidRDefault="002A7F83" w:rsidP="002A7F83">
      <w:pPr>
        <w:keepNext/>
        <w:spacing w:before="120" w:after="120"/>
        <w:rPr>
          <w:b/>
          <w:szCs w:val="22"/>
        </w:rPr>
      </w:pPr>
      <w:r w:rsidRPr="002A76C8">
        <w:rPr>
          <w:b/>
          <w:szCs w:val="22"/>
        </w:rPr>
        <w:t>Ethics clauses and Code of Conduct</w:t>
      </w:r>
    </w:p>
    <w:p w:rsidR="002A7F83" w:rsidRPr="002A76C8" w:rsidRDefault="002A7F83" w:rsidP="002A7F83">
      <w:pPr>
        <w:keepNext/>
        <w:spacing w:before="120" w:after="120"/>
        <w:ind w:left="420"/>
        <w:rPr>
          <w:szCs w:val="22"/>
          <w:u w:val="single"/>
        </w:rPr>
      </w:pPr>
      <w:r w:rsidRPr="002A76C8">
        <w:rPr>
          <w:szCs w:val="22"/>
          <w:u w:val="single"/>
        </w:rPr>
        <w:t>a) Absence of conflict of interest</w:t>
      </w:r>
    </w:p>
    <w:p w:rsidR="002A7F83" w:rsidRPr="002A76C8" w:rsidRDefault="002A7F83" w:rsidP="002A7F83">
      <w:pPr>
        <w:keepNext/>
        <w:spacing w:before="120" w:after="120"/>
        <w:ind w:left="420"/>
        <w:rPr>
          <w:szCs w:val="22"/>
        </w:rPr>
      </w:pPr>
      <w:r w:rsidRPr="002A76C8">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 </w:t>
      </w:r>
    </w:p>
    <w:p w:rsidR="002A7F83" w:rsidRPr="002A76C8" w:rsidRDefault="002A7F83" w:rsidP="002A7F83">
      <w:pPr>
        <w:keepNext/>
        <w:spacing w:before="120" w:after="120"/>
        <w:ind w:left="420"/>
        <w:rPr>
          <w:szCs w:val="22"/>
        </w:rPr>
      </w:pPr>
      <w:r w:rsidRPr="002A76C8">
        <w:rPr>
          <w:szCs w:val="22"/>
        </w:rPr>
        <w:t xml:space="preserve">b) </w:t>
      </w:r>
      <w:r w:rsidRPr="002A76C8">
        <w:rPr>
          <w:szCs w:val="22"/>
          <w:u w:val="single"/>
        </w:rPr>
        <w:t>Respect for human rights as well as environmental legislation and core labour standards</w:t>
      </w:r>
      <w:r w:rsidRPr="002A76C8">
        <w:rPr>
          <w:szCs w:val="22"/>
        </w:rPr>
        <w:t xml:space="preserve"> </w:t>
      </w:r>
    </w:p>
    <w:p w:rsidR="002A7F83" w:rsidRPr="002A76C8" w:rsidRDefault="002A7F83" w:rsidP="002A7F83">
      <w:pPr>
        <w:keepNext/>
        <w:spacing w:before="120" w:after="120"/>
        <w:ind w:left="420"/>
        <w:rPr>
          <w:szCs w:val="22"/>
        </w:rPr>
      </w:pPr>
      <w:r w:rsidRPr="002A76C8">
        <w:rPr>
          <w:szCs w:val="22"/>
        </w:rP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A7F83" w:rsidRPr="002A76C8" w:rsidRDefault="002A7F83" w:rsidP="002A7F8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2A76C8">
        <w:rPr>
          <w:b/>
          <w:szCs w:val="22"/>
        </w:rPr>
        <w:t>Zero tolerance for sexual exploitation and sexual abuse:</w:t>
      </w:r>
    </w:p>
    <w:p w:rsidR="002A7F83" w:rsidRPr="002A76C8" w:rsidRDefault="002A7F83" w:rsidP="002A7F8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2A76C8">
        <w:rPr>
          <w:szCs w:val="22"/>
        </w:rPr>
        <w:t xml:space="preserve">The European Commission applies a policy of 'zero tolerance' in relation to all wrongful conduct which has an impact on the professional credibility of the applicant.  </w:t>
      </w:r>
    </w:p>
    <w:p w:rsidR="002A7F83" w:rsidRPr="002A76C8" w:rsidRDefault="002A7F83" w:rsidP="002A7F8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2A76C8">
        <w:rPr>
          <w:szCs w:val="22"/>
        </w:rPr>
        <w:t xml:space="preserve">Physical abuse or punishment, or threats of physical abuse, sexual abuse or exploitation, harassment and verbal abuse, as well as other forms of intimidation shall be prohibited. </w:t>
      </w:r>
    </w:p>
    <w:p w:rsidR="002A7F83" w:rsidRPr="002A76C8" w:rsidRDefault="002A7F83" w:rsidP="002A7F83">
      <w:pPr>
        <w:ind w:left="420"/>
        <w:rPr>
          <w:szCs w:val="22"/>
        </w:rPr>
      </w:pPr>
      <w:r w:rsidRPr="002A76C8">
        <w:rPr>
          <w:szCs w:val="22"/>
          <w:u w:val="single"/>
        </w:rPr>
        <w:t>c) Anti-corruption and anti-bribery</w:t>
      </w:r>
      <w:r w:rsidRPr="002A76C8">
        <w:rPr>
          <w:szCs w:val="22"/>
        </w:rPr>
        <w:t xml:space="preserve"> </w:t>
      </w:r>
    </w:p>
    <w:p w:rsidR="002A7F83" w:rsidRPr="002A76C8" w:rsidRDefault="002A7F83" w:rsidP="002A7F83">
      <w:pPr>
        <w:ind w:left="420"/>
        <w:rPr>
          <w:szCs w:val="22"/>
        </w:rPr>
      </w:pPr>
      <w:r w:rsidRPr="002A76C8">
        <w:rPr>
          <w:szCs w:val="22"/>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2A7F83" w:rsidRPr="002A76C8" w:rsidRDefault="002A7F83" w:rsidP="002A7F83">
      <w:pPr>
        <w:spacing w:before="120" w:after="120"/>
        <w:ind w:left="567" w:hanging="567"/>
        <w:rPr>
          <w:szCs w:val="22"/>
        </w:rPr>
      </w:pPr>
      <w:r w:rsidRPr="002A76C8">
        <w:rPr>
          <w:szCs w:val="22"/>
        </w:rPr>
        <w:t xml:space="preserve">      d)  </w:t>
      </w:r>
      <w:r w:rsidRPr="002A76C8">
        <w:rPr>
          <w:szCs w:val="22"/>
          <w:u w:val="single"/>
        </w:rPr>
        <w:t>Unusual commercial expenses</w:t>
      </w:r>
      <w:r w:rsidRPr="002A76C8">
        <w:rPr>
          <w:szCs w:val="22"/>
        </w:rPr>
        <w:t xml:space="preserve"> </w:t>
      </w:r>
    </w:p>
    <w:p w:rsidR="002A7F83" w:rsidRPr="002A76C8" w:rsidRDefault="002A7F83" w:rsidP="002A7F83">
      <w:pPr>
        <w:spacing w:before="120" w:after="120"/>
        <w:ind w:left="397"/>
        <w:rPr>
          <w:szCs w:val="22"/>
        </w:rPr>
      </w:pPr>
      <w:r w:rsidRPr="002A76C8">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2A7F83" w:rsidRPr="002A76C8" w:rsidRDefault="002A7F83" w:rsidP="002A7F83">
      <w:pPr>
        <w:spacing w:before="120" w:after="120"/>
        <w:ind w:left="397"/>
        <w:rPr>
          <w:szCs w:val="22"/>
        </w:rPr>
      </w:pPr>
      <w:r w:rsidRPr="002A76C8">
        <w:rPr>
          <w:szCs w:val="22"/>
        </w:rPr>
        <w:t>Grant beneficiaries found to have paid unusual commercial expenses on projects funded by the European Union are liable, depending on the seriousness of the facts observed, to have their contracts terminated or to be permanently excluded from receiving EU/EDF funds.</w:t>
      </w:r>
    </w:p>
    <w:p w:rsidR="002A7F83" w:rsidRPr="002A76C8" w:rsidRDefault="002A7F83" w:rsidP="002A7F83">
      <w:pPr>
        <w:spacing w:before="120" w:after="120"/>
        <w:ind w:left="397"/>
        <w:rPr>
          <w:szCs w:val="22"/>
          <w:u w:val="single"/>
        </w:rPr>
      </w:pPr>
      <w:r w:rsidRPr="002A76C8">
        <w:rPr>
          <w:szCs w:val="22"/>
        </w:rPr>
        <w:t xml:space="preserve">e) </w:t>
      </w:r>
      <w:r w:rsidRPr="002A76C8">
        <w:rPr>
          <w:szCs w:val="22"/>
          <w:u w:val="single"/>
        </w:rPr>
        <w:t>Breach of obligations, irregularities or fraud</w:t>
      </w:r>
    </w:p>
    <w:p w:rsidR="002A7F83" w:rsidRPr="002A76C8" w:rsidRDefault="002A7F83" w:rsidP="002A7F83">
      <w:pPr>
        <w:spacing w:before="120" w:after="120"/>
        <w:ind w:left="397"/>
        <w:rPr>
          <w:szCs w:val="22"/>
        </w:rPr>
      </w:pPr>
      <w:r w:rsidRPr="002A76C8">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2A7F83" w:rsidRPr="002A76C8" w:rsidRDefault="002A7F83" w:rsidP="0033394E">
      <w:pPr>
        <w:pStyle w:val="Guidelines2"/>
        <w:numPr>
          <w:ilvl w:val="1"/>
          <w:numId w:val="23"/>
        </w:numPr>
        <w:rPr>
          <w:rFonts w:ascii="Times New Roman" w:hAnsi="Times New Roman"/>
          <w:sz w:val="22"/>
          <w:szCs w:val="22"/>
        </w:rPr>
      </w:pPr>
      <w:bookmarkStart w:id="16" w:name="_Toc437893846"/>
      <w:r w:rsidRPr="002A76C8">
        <w:rPr>
          <w:rFonts w:ascii="Times New Roman" w:hAnsi="Times New Roman"/>
          <w:sz w:val="22"/>
          <w:szCs w:val="22"/>
        </w:rPr>
        <w:lastRenderedPageBreak/>
        <w:t>How to apply and the procedures to follow</w:t>
      </w:r>
      <w:bookmarkEnd w:id="16"/>
    </w:p>
    <w:p w:rsidR="002A7F83" w:rsidRPr="002A76C8" w:rsidRDefault="002A7F83" w:rsidP="002A7F83">
      <w:pPr>
        <w:rPr>
          <w:szCs w:val="22"/>
        </w:rPr>
      </w:pPr>
      <w:r w:rsidRPr="002A76C8">
        <w:rPr>
          <w:szCs w:val="22"/>
        </w:rPr>
        <w:t xml:space="preserve">Information in PADOR will not be drawn upon in the present call. </w:t>
      </w:r>
    </w:p>
    <w:p w:rsidR="002A7F83" w:rsidRPr="002A76C8" w:rsidRDefault="002A7F83" w:rsidP="0033394E">
      <w:pPr>
        <w:pStyle w:val="Guidelines3"/>
        <w:numPr>
          <w:ilvl w:val="2"/>
          <w:numId w:val="23"/>
        </w:numPr>
        <w:rPr>
          <w:sz w:val="22"/>
          <w:szCs w:val="22"/>
        </w:rPr>
      </w:pPr>
      <w:bookmarkStart w:id="17" w:name="_Toc125454352"/>
      <w:bookmarkStart w:id="18" w:name="_Toc437893847"/>
      <w:r w:rsidRPr="002A76C8">
        <w:rPr>
          <w:sz w:val="22"/>
          <w:szCs w:val="22"/>
        </w:rPr>
        <w:t xml:space="preserve">Concept note </w:t>
      </w:r>
      <w:bookmarkEnd w:id="17"/>
      <w:r w:rsidRPr="002A76C8">
        <w:rPr>
          <w:sz w:val="22"/>
          <w:szCs w:val="22"/>
        </w:rPr>
        <w:t>content</w:t>
      </w:r>
      <w:bookmarkEnd w:id="18"/>
      <w:r w:rsidRPr="002A76C8">
        <w:rPr>
          <w:sz w:val="22"/>
          <w:szCs w:val="22"/>
        </w:rPr>
        <w:t xml:space="preserve">  </w:t>
      </w:r>
    </w:p>
    <w:p w:rsidR="002A7F83" w:rsidRPr="002A76C8" w:rsidRDefault="002A7F83" w:rsidP="002A7F83">
      <w:pPr>
        <w:spacing w:before="240"/>
        <w:rPr>
          <w:color w:val="000000"/>
          <w:szCs w:val="22"/>
        </w:rPr>
      </w:pPr>
      <w:r w:rsidRPr="002A76C8">
        <w:rPr>
          <w:szCs w:val="22"/>
        </w:rPr>
        <w:t xml:space="preserve">Applications must be submitted in accordance with the concept note instructions in the grant application form annexed to these guidelines (Annex A). </w:t>
      </w:r>
    </w:p>
    <w:p w:rsidR="002A7F83" w:rsidRPr="002A76C8" w:rsidRDefault="002A7F83" w:rsidP="002A7F83">
      <w:pPr>
        <w:rPr>
          <w:color w:val="000000"/>
          <w:szCs w:val="22"/>
        </w:rPr>
      </w:pPr>
      <w:r w:rsidRPr="002A76C8">
        <w:rPr>
          <w:color w:val="000000"/>
          <w:szCs w:val="22"/>
        </w:rPr>
        <w:t>Applicants must apply in English.</w:t>
      </w:r>
    </w:p>
    <w:p w:rsidR="002A7F83" w:rsidRPr="002A76C8" w:rsidRDefault="002A7F83" w:rsidP="002A7F83">
      <w:pPr>
        <w:rPr>
          <w:szCs w:val="22"/>
        </w:rPr>
      </w:pPr>
      <w:r w:rsidRPr="002A76C8">
        <w:rPr>
          <w:szCs w:val="22"/>
        </w:rPr>
        <w:t>Please note that:</w:t>
      </w:r>
    </w:p>
    <w:p w:rsidR="002A7F83" w:rsidRPr="002A76C8" w:rsidRDefault="002A7F83" w:rsidP="0033394E">
      <w:pPr>
        <w:numPr>
          <w:ilvl w:val="0"/>
          <w:numId w:val="42"/>
        </w:numPr>
        <w:rPr>
          <w:szCs w:val="22"/>
        </w:rPr>
      </w:pPr>
      <w:r w:rsidRPr="002A76C8">
        <w:rPr>
          <w:szCs w:val="22"/>
        </w:rPr>
        <w:t xml:space="preserve">In the concept note, lead applicants must only provide an estimate of the requested EU contribution as well as an indicative percentage of that contribution in relation to the eligible costs of the action. A detailed budget is to be submitted only by the lead applicants invited to submit a full application in the second phase. </w:t>
      </w:r>
    </w:p>
    <w:p w:rsidR="002A7F83" w:rsidRPr="002A76C8" w:rsidRDefault="002A7F83" w:rsidP="0033394E">
      <w:pPr>
        <w:numPr>
          <w:ilvl w:val="0"/>
          <w:numId w:val="42"/>
        </w:numPr>
        <w:rPr>
          <w:szCs w:val="22"/>
        </w:rPr>
      </w:pPr>
      <w:r w:rsidRPr="002A76C8">
        <w:rPr>
          <w:szCs w:val="22"/>
        </w:rPr>
        <w:t>The elements outlined in the concept note may not be modified in the full application. The EU contribution may not vary from the initial estimate by more than 20</w:t>
      </w:r>
      <w:r w:rsidRPr="002A76C8">
        <w:rPr>
          <w:w w:val="50"/>
          <w:szCs w:val="22"/>
        </w:rPr>
        <w:t> </w:t>
      </w:r>
      <w:r w:rsidRPr="002A76C8">
        <w:rPr>
          <w:szCs w:val="22"/>
        </w:rPr>
        <w:t>%. Lead applicants are free to adapt the percentage of co-financing required within the minimum and maximum amount and percentages of co-financing, as laid down in these guidelines in Section 1.3.</w:t>
      </w:r>
      <w:r w:rsidRPr="002A76C8">
        <w:rPr>
          <w:iCs/>
          <w:color w:val="1F497D"/>
          <w:szCs w:val="22"/>
        </w:rPr>
        <w:t xml:space="preserve"> </w:t>
      </w:r>
      <w:r w:rsidRPr="002A76C8">
        <w:rPr>
          <w:iCs/>
          <w:color w:val="000000"/>
          <w:szCs w:val="22"/>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r w:rsidRPr="002A76C8">
        <w:rPr>
          <w:szCs w:val="22"/>
        </w:rPr>
        <w:t xml:space="preserve"> </w:t>
      </w:r>
    </w:p>
    <w:p w:rsidR="002A7F83" w:rsidRPr="002A76C8" w:rsidRDefault="002A7F83" w:rsidP="002A7F83">
      <w:pPr>
        <w:ind w:left="709"/>
        <w:rPr>
          <w:color w:val="000000"/>
          <w:szCs w:val="22"/>
        </w:rPr>
      </w:pPr>
      <w:r w:rsidRPr="002A76C8">
        <w:rPr>
          <w:szCs w:val="22"/>
        </w:rPr>
        <w:t>Own contributions by the applicants can be replaced by other donors' contributions at any time.</w:t>
      </w:r>
    </w:p>
    <w:p w:rsidR="002A7F83" w:rsidRPr="002A76C8" w:rsidRDefault="002A7F83" w:rsidP="0033394E">
      <w:pPr>
        <w:numPr>
          <w:ilvl w:val="0"/>
          <w:numId w:val="42"/>
        </w:numPr>
        <w:rPr>
          <w:color w:val="000000"/>
          <w:szCs w:val="22"/>
          <w:lang w:eastAsia="en-GB"/>
        </w:rPr>
      </w:pPr>
      <w:r w:rsidRPr="002A76C8">
        <w:rPr>
          <w:color w:val="000000"/>
          <w:szCs w:val="22"/>
          <w:lang w:eastAsia="en-GB"/>
        </w:rPr>
        <w:t>Only the concept note form will be evaluated. It is therefore of utmost importance that this document contains ALL relevant information concerning the action. No additional annexes should be sent.</w:t>
      </w:r>
    </w:p>
    <w:p w:rsidR="002A7F83" w:rsidRPr="002A76C8" w:rsidRDefault="002A7F83" w:rsidP="002A7F83">
      <w:pPr>
        <w:rPr>
          <w:color w:val="000000"/>
          <w:szCs w:val="22"/>
        </w:rPr>
      </w:pPr>
      <w:r w:rsidRPr="002A76C8">
        <w:rPr>
          <w:color w:val="000000"/>
          <w:szCs w:val="22"/>
        </w:rPr>
        <w:t>Any error or major discrepancy related to the concept note instructions may lead to the rejection of the concept note.</w:t>
      </w:r>
    </w:p>
    <w:p w:rsidR="002A7F83" w:rsidRPr="002A76C8" w:rsidRDefault="002A7F83" w:rsidP="002A7F83">
      <w:pPr>
        <w:rPr>
          <w:szCs w:val="22"/>
        </w:rPr>
      </w:pPr>
      <w:r w:rsidRPr="002A76C8">
        <w:rPr>
          <w:color w:val="000000"/>
          <w:szCs w:val="22"/>
        </w:rPr>
        <w:t xml:space="preserve">Clarifications will only be requested when information provided is not sufficient to conduct an objective assessment. </w:t>
      </w:r>
    </w:p>
    <w:p w:rsidR="002A7F83" w:rsidRPr="002A76C8" w:rsidRDefault="002A7F83" w:rsidP="002A7F83">
      <w:pPr>
        <w:rPr>
          <w:szCs w:val="22"/>
        </w:rPr>
      </w:pPr>
      <w:r w:rsidRPr="002A76C8">
        <w:rPr>
          <w:szCs w:val="22"/>
        </w:rPr>
        <w:t>Hand-written concept notes will not be accepted.</w:t>
      </w:r>
    </w:p>
    <w:p w:rsidR="002A7F83" w:rsidRPr="002A76C8" w:rsidRDefault="002A7F83" w:rsidP="0033394E">
      <w:pPr>
        <w:pStyle w:val="Guidelines3"/>
        <w:numPr>
          <w:ilvl w:val="2"/>
          <w:numId w:val="23"/>
        </w:numPr>
        <w:rPr>
          <w:sz w:val="22"/>
          <w:szCs w:val="22"/>
        </w:rPr>
      </w:pPr>
      <w:bookmarkStart w:id="19" w:name="_Toc125454353"/>
      <w:bookmarkStart w:id="20" w:name="_Toc437893848"/>
      <w:r w:rsidRPr="002A76C8">
        <w:rPr>
          <w:sz w:val="22"/>
          <w:szCs w:val="22"/>
        </w:rPr>
        <w:t>Where and how to send concept notes</w:t>
      </w:r>
      <w:bookmarkEnd w:id="19"/>
      <w:bookmarkEnd w:id="20"/>
    </w:p>
    <w:p w:rsidR="002A7F83" w:rsidRPr="002A76C8" w:rsidRDefault="002A7F83" w:rsidP="002A7F83">
      <w:pPr>
        <w:spacing w:before="240"/>
        <w:rPr>
          <w:szCs w:val="22"/>
          <w:lang w:eastAsia="en-GB"/>
        </w:rPr>
      </w:pPr>
      <w:r w:rsidRPr="002A76C8">
        <w:rPr>
          <w:szCs w:val="22"/>
        </w:rPr>
        <w:t>The concept note together with its relating checklist</w:t>
      </w:r>
      <w:r w:rsidRPr="002A76C8">
        <w:rPr>
          <w:rStyle w:val="FootnoteReference"/>
          <w:szCs w:val="22"/>
        </w:rPr>
        <w:footnoteReference w:id="11"/>
      </w:r>
      <w:r w:rsidRPr="002A76C8">
        <w:rPr>
          <w:szCs w:val="22"/>
        </w:rPr>
        <w:t xml:space="preserve"> and declaration by the lead applicant (to be found in </w:t>
      </w:r>
      <w:r w:rsidRPr="002A76C8">
        <w:rPr>
          <w:b/>
          <w:szCs w:val="22"/>
        </w:rPr>
        <w:t>Part A</w:t>
      </w:r>
      <w:r w:rsidRPr="002A76C8">
        <w:rPr>
          <w:szCs w:val="22"/>
        </w:rPr>
        <w:t xml:space="preserve">  </w:t>
      </w:r>
      <w:r w:rsidRPr="002A76C8">
        <w:rPr>
          <w:b/>
          <w:szCs w:val="22"/>
        </w:rPr>
        <w:t xml:space="preserve">Sections 2 and 3 </w:t>
      </w:r>
      <w:r w:rsidRPr="002A76C8">
        <w:rPr>
          <w:szCs w:val="22"/>
        </w:rPr>
        <w:t xml:space="preserve">of the grant application form) must be </w:t>
      </w:r>
      <w:r w:rsidRPr="002A76C8">
        <w:rPr>
          <w:szCs w:val="22"/>
          <w:lang w:eastAsia="en-GB"/>
        </w:rPr>
        <w:t>submitted in one original and 3 copies in A4 size, each bound.</w:t>
      </w:r>
    </w:p>
    <w:p w:rsidR="002A7F83" w:rsidRPr="002A76C8" w:rsidRDefault="002A7F83" w:rsidP="002A7F83">
      <w:pPr>
        <w:rPr>
          <w:szCs w:val="22"/>
          <w:lang w:eastAsia="en-GB"/>
        </w:rPr>
      </w:pPr>
      <w:r w:rsidRPr="002A76C8">
        <w:rPr>
          <w:szCs w:val="22"/>
          <w:lang w:eastAsia="en-GB"/>
        </w:rPr>
        <w:t xml:space="preserve">An electronic version of the concept note must also be submitted. A CD-ROM with the concept note in electronic format will be included, along with the paper version, in a sealed envelope as described below. </w:t>
      </w:r>
      <w:r w:rsidRPr="002A76C8">
        <w:rPr>
          <w:szCs w:val="22"/>
        </w:rPr>
        <w:t xml:space="preserve">The electronic file must contain </w:t>
      </w:r>
      <w:r w:rsidRPr="002A76C8">
        <w:rPr>
          <w:b/>
          <w:szCs w:val="22"/>
        </w:rPr>
        <w:t>exactly the same</w:t>
      </w:r>
      <w:r w:rsidRPr="002A76C8">
        <w:rPr>
          <w:szCs w:val="22"/>
        </w:rPr>
        <w:t xml:space="preserve"> application as the paper version enclosed. </w:t>
      </w:r>
    </w:p>
    <w:p w:rsidR="002A7F83" w:rsidRPr="002A76C8" w:rsidRDefault="002A7F83" w:rsidP="002A7F83">
      <w:pPr>
        <w:rPr>
          <w:szCs w:val="22"/>
        </w:rPr>
      </w:pPr>
      <w:r w:rsidRPr="002A76C8">
        <w:rPr>
          <w:szCs w:val="22"/>
        </w:rPr>
        <w:lastRenderedPageBreak/>
        <w:t>Where lead applicants send several different concept notes (if allowed to do so by the guidelines of the call), each one must be sent separately.</w:t>
      </w:r>
    </w:p>
    <w:p w:rsidR="002A7F83" w:rsidRPr="002A76C8" w:rsidRDefault="002A7F83" w:rsidP="002A7F83">
      <w:pPr>
        <w:rPr>
          <w:color w:val="000000"/>
          <w:szCs w:val="22"/>
        </w:rPr>
      </w:pPr>
      <w:r w:rsidRPr="002A76C8">
        <w:rPr>
          <w:szCs w:val="22"/>
        </w:rPr>
        <w:t xml:space="preserve">The envelope must bear the </w:t>
      </w:r>
      <w:r w:rsidRPr="002A76C8">
        <w:rPr>
          <w:b/>
          <w:szCs w:val="22"/>
          <w:u w:val="single"/>
        </w:rPr>
        <w:t>reference number and the title of the call for proposals</w:t>
      </w:r>
      <w:r w:rsidRPr="002A76C8">
        <w:rPr>
          <w:szCs w:val="22"/>
        </w:rPr>
        <w:t>, together with [the lot number and title] the full name and address of the lead applicant, and the words ‘Not to be opened before the opening session’ and ‘</w:t>
      </w:r>
      <w:r w:rsidRPr="002A76C8">
        <w:rPr>
          <w:i/>
          <w:szCs w:val="22"/>
          <w:lang w:val="sr-Latn-ME"/>
        </w:rPr>
        <w:t>Ne otvarati prije sastanka za otvaranje prijedloga projekata</w:t>
      </w:r>
      <w:r w:rsidRPr="002A76C8">
        <w:rPr>
          <w:i/>
          <w:szCs w:val="22"/>
        </w:rPr>
        <w:t>’</w:t>
      </w:r>
      <w:r w:rsidRPr="002A76C8">
        <w:rPr>
          <w:szCs w:val="22"/>
        </w:rPr>
        <w:t>.</w:t>
      </w:r>
    </w:p>
    <w:p w:rsidR="002A7F83" w:rsidRPr="002A76C8" w:rsidRDefault="002A7F83" w:rsidP="002A7F83">
      <w:pPr>
        <w:rPr>
          <w:szCs w:val="22"/>
        </w:rPr>
      </w:pPr>
      <w:r w:rsidRPr="002A76C8">
        <w:rPr>
          <w:szCs w:val="22"/>
        </w:rPr>
        <w:t>Concept notes must be submitted in a sealed envelope by registered mail, private courier service or by hand-delivery (a signed and dated certificate of receipt will be given to the deliverer) to the address below:</w:t>
      </w:r>
    </w:p>
    <w:p w:rsidR="002A7F83" w:rsidRPr="002A76C8" w:rsidRDefault="002A7F83" w:rsidP="002A7F83">
      <w:pPr>
        <w:ind w:left="567"/>
        <w:rPr>
          <w:szCs w:val="22"/>
        </w:rPr>
      </w:pPr>
      <w:r w:rsidRPr="002A76C8">
        <w:rPr>
          <w:szCs w:val="22"/>
        </w:rPr>
        <w:t>Postal address</w:t>
      </w:r>
    </w:p>
    <w:p w:rsidR="002A7F83" w:rsidRPr="002A76C8" w:rsidRDefault="002A7F83" w:rsidP="002A7F83">
      <w:pPr>
        <w:ind w:left="709"/>
        <w:rPr>
          <w:szCs w:val="22"/>
        </w:rPr>
      </w:pPr>
      <w:r w:rsidRPr="002A76C8">
        <w:rPr>
          <w:szCs w:val="22"/>
        </w:rPr>
        <w:t>Public Works Administration</w:t>
      </w:r>
    </w:p>
    <w:p w:rsidR="002A7F83" w:rsidRPr="002A76C8" w:rsidRDefault="002A7F83" w:rsidP="002A7F83">
      <w:pPr>
        <w:ind w:left="709"/>
        <w:rPr>
          <w:szCs w:val="22"/>
        </w:rPr>
      </w:pPr>
      <w:r w:rsidRPr="002A76C8">
        <w:rPr>
          <w:szCs w:val="22"/>
        </w:rPr>
        <w:t>Novaka Miloševa 18</w:t>
      </w:r>
    </w:p>
    <w:p w:rsidR="002A7F83" w:rsidRPr="002A76C8" w:rsidRDefault="002A7F83" w:rsidP="002A7F83">
      <w:pPr>
        <w:ind w:left="709"/>
        <w:rPr>
          <w:szCs w:val="22"/>
        </w:rPr>
      </w:pPr>
      <w:r w:rsidRPr="002A76C8">
        <w:rPr>
          <w:szCs w:val="22"/>
        </w:rPr>
        <w:t>81000 Podgorica, Montenegro</w:t>
      </w:r>
    </w:p>
    <w:p w:rsidR="002A7F83" w:rsidRPr="002A76C8" w:rsidRDefault="002A7F83" w:rsidP="002A7F83">
      <w:pPr>
        <w:ind w:left="567"/>
        <w:rPr>
          <w:szCs w:val="22"/>
        </w:rPr>
      </w:pPr>
      <w:r w:rsidRPr="002A76C8">
        <w:rPr>
          <w:szCs w:val="22"/>
        </w:rPr>
        <w:t>Address for hand delivery</w:t>
      </w:r>
    </w:p>
    <w:p w:rsidR="002A7F83" w:rsidRPr="002A76C8" w:rsidRDefault="002A7F83" w:rsidP="002A7F83">
      <w:pPr>
        <w:ind w:left="709"/>
        <w:rPr>
          <w:szCs w:val="22"/>
        </w:rPr>
      </w:pPr>
      <w:r w:rsidRPr="002A76C8">
        <w:rPr>
          <w:szCs w:val="22"/>
        </w:rPr>
        <w:t>Public Works Administration</w:t>
      </w:r>
    </w:p>
    <w:p w:rsidR="002A7F83" w:rsidRPr="002A76C8" w:rsidRDefault="002A7F83" w:rsidP="002A7F83">
      <w:pPr>
        <w:ind w:left="709"/>
        <w:rPr>
          <w:szCs w:val="22"/>
        </w:rPr>
      </w:pPr>
      <w:r w:rsidRPr="002A76C8">
        <w:rPr>
          <w:szCs w:val="22"/>
        </w:rPr>
        <w:t>Novaka Miloševa 18</w:t>
      </w:r>
    </w:p>
    <w:p w:rsidR="002A7F83" w:rsidRPr="002A76C8" w:rsidRDefault="002A7F83" w:rsidP="002A7F83">
      <w:pPr>
        <w:ind w:left="709"/>
        <w:rPr>
          <w:szCs w:val="22"/>
        </w:rPr>
      </w:pPr>
      <w:r w:rsidRPr="002A76C8">
        <w:rPr>
          <w:szCs w:val="22"/>
        </w:rPr>
        <w:t>81000 Podgorica, Montenegro</w:t>
      </w:r>
    </w:p>
    <w:p w:rsidR="002A7F83" w:rsidRPr="002A76C8" w:rsidRDefault="002A7F83" w:rsidP="002A7F83">
      <w:pPr>
        <w:rPr>
          <w:szCs w:val="22"/>
        </w:rPr>
      </w:pPr>
      <w:r w:rsidRPr="002A76C8">
        <w:rPr>
          <w:szCs w:val="22"/>
        </w:rPr>
        <w:t xml:space="preserve">Concept notes sent by any other means (e.g. by fax or by e-mail) or delivered to other addresses will be rejected. </w:t>
      </w:r>
    </w:p>
    <w:p w:rsidR="002A7F83" w:rsidRPr="002A76C8" w:rsidRDefault="002A7F83" w:rsidP="002A7F83">
      <w:pPr>
        <w:rPr>
          <w:b/>
          <w:szCs w:val="22"/>
          <w:u w:val="single"/>
        </w:rPr>
      </w:pPr>
      <w:r w:rsidRPr="002A76C8">
        <w:rPr>
          <w:b/>
          <w:szCs w:val="22"/>
        </w:rPr>
        <w:t xml:space="preserve">Lead applicants must verify that their concept note is complete using the checklist for concept note (Part A Section 2 of the grant application form). </w:t>
      </w:r>
      <w:r w:rsidRPr="002A76C8">
        <w:rPr>
          <w:b/>
          <w:szCs w:val="22"/>
          <w:u w:val="single"/>
        </w:rPr>
        <w:t>Incomplete concept notes may be rejected.</w:t>
      </w:r>
    </w:p>
    <w:p w:rsidR="002A7F83" w:rsidRPr="002A76C8" w:rsidRDefault="002A7F83" w:rsidP="0033394E">
      <w:pPr>
        <w:pStyle w:val="Guidelines3"/>
        <w:numPr>
          <w:ilvl w:val="2"/>
          <w:numId w:val="23"/>
        </w:numPr>
        <w:rPr>
          <w:sz w:val="22"/>
          <w:szCs w:val="22"/>
        </w:rPr>
      </w:pPr>
      <w:bookmarkStart w:id="21" w:name="_Toc125454354"/>
      <w:bookmarkStart w:id="22" w:name="_Toc437893849"/>
      <w:r w:rsidRPr="002A76C8">
        <w:rPr>
          <w:sz w:val="22"/>
          <w:szCs w:val="22"/>
        </w:rPr>
        <w:t>Deadline for submission of concept notes</w:t>
      </w:r>
      <w:bookmarkEnd w:id="21"/>
      <w:bookmarkEnd w:id="22"/>
      <w:r w:rsidRPr="002A76C8">
        <w:rPr>
          <w:sz w:val="22"/>
          <w:szCs w:val="22"/>
        </w:rPr>
        <w:t xml:space="preserve"> </w:t>
      </w:r>
    </w:p>
    <w:p w:rsidR="002A7F83" w:rsidRPr="002A76C8" w:rsidRDefault="002A7F83" w:rsidP="002A7F83">
      <w:pPr>
        <w:spacing w:before="240"/>
        <w:rPr>
          <w:szCs w:val="22"/>
        </w:rPr>
      </w:pPr>
      <w:r w:rsidRPr="002A76C8">
        <w:rPr>
          <w:szCs w:val="22"/>
        </w:rPr>
        <w:t>The applicants' attention is drawn to the fact that there are two different systems for sending concept notes: one is by post or private courier service, the other is by hand delivery.</w:t>
      </w:r>
    </w:p>
    <w:p w:rsidR="002A7F83" w:rsidRPr="002A76C8" w:rsidRDefault="002A7F83" w:rsidP="002A7F83">
      <w:pPr>
        <w:spacing w:before="240"/>
        <w:rPr>
          <w:szCs w:val="22"/>
          <w:highlight w:val="lightGray"/>
        </w:rPr>
      </w:pPr>
      <w:r w:rsidRPr="002A76C8">
        <w:rPr>
          <w:szCs w:val="22"/>
        </w:rPr>
        <w:t>In the first case, the concept note must be sent before the date for submission, as evidenced by the postmark or deposit slip</w:t>
      </w:r>
      <w:r w:rsidRPr="002A76C8">
        <w:rPr>
          <w:rStyle w:val="FootnoteReference"/>
          <w:szCs w:val="22"/>
        </w:rPr>
        <w:footnoteReference w:id="12"/>
      </w:r>
      <w:r w:rsidRPr="002A76C8">
        <w:rPr>
          <w:szCs w:val="22"/>
        </w:rPr>
        <w:t>, but in the second case it is the acknowledgment of receipt given at the time of the delivery of the concept note which will serve as proof.</w:t>
      </w:r>
    </w:p>
    <w:p w:rsidR="002A7F83" w:rsidRPr="002A76C8" w:rsidRDefault="002A7F83" w:rsidP="002A7F83">
      <w:pPr>
        <w:spacing w:before="240"/>
        <w:rPr>
          <w:szCs w:val="22"/>
        </w:rPr>
      </w:pPr>
      <w:r w:rsidRPr="002A76C8">
        <w:rPr>
          <w:szCs w:val="22"/>
        </w:rPr>
        <w:t xml:space="preserve">The deadline for the submission of concept notes is </w:t>
      </w:r>
      <w:r>
        <w:rPr>
          <w:szCs w:val="22"/>
        </w:rPr>
        <w:t>20.04.2020</w:t>
      </w:r>
      <w:r w:rsidRPr="002A76C8">
        <w:rPr>
          <w:szCs w:val="22"/>
        </w:rPr>
        <w:t xml:space="preserve"> as evidenced by the date of dispatch, the postmark or the date of the deposit slip. In the case of hand-deliveries, the deadline for receipt is at </w:t>
      </w:r>
      <w:r>
        <w:rPr>
          <w:szCs w:val="22"/>
        </w:rPr>
        <w:t>20.04.2020, before 15:00h local time,</w:t>
      </w:r>
      <w:r w:rsidRPr="002A76C8">
        <w:rPr>
          <w:szCs w:val="22"/>
        </w:rPr>
        <w:t xml:space="preserve"> as evidenced by the signed and dated receipt. Any concept note submitted after the deadline will be rejected.</w:t>
      </w:r>
    </w:p>
    <w:p w:rsidR="002A7F83" w:rsidRPr="002A76C8" w:rsidRDefault="002A7F83" w:rsidP="002A7F83">
      <w:pPr>
        <w:rPr>
          <w:szCs w:val="22"/>
          <w:lang w:bidi="kn-IN"/>
        </w:rPr>
      </w:pPr>
      <w:r w:rsidRPr="002A76C8">
        <w:rPr>
          <w:szCs w:val="22"/>
          <w:lang w:bidi="kn-IN"/>
        </w:rPr>
        <w:t>T</w:t>
      </w:r>
      <w:r w:rsidRPr="002A76C8">
        <w:rPr>
          <w:szCs w:val="22"/>
        </w:rPr>
        <w:t xml:space="preserve">he contracting authority may, for reasons of administrative efficiency, reject any concept note submitted on time to the postal service but received, for any reason beyond the contracting authority's control, after the effective date of approval </w:t>
      </w:r>
      <w:r w:rsidRPr="002A76C8">
        <w:rPr>
          <w:szCs w:val="22"/>
          <w:lang w:eastAsia="en-GB"/>
        </w:rPr>
        <w:t>of the concept note evaluation</w:t>
      </w:r>
      <w:r w:rsidRPr="002A76C8">
        <w:rPr>
          <w:szCs w:val="22"/>
        </w:rPr>
        <w:t>, if accepting concept notes that were submitted on time but arrived late would considerably delay the evaluation procedure) or jeopardise decisions already taken and notified</w:t>
      </w:r>
      <w:r w:rsidRPr="002A76C8">
        <w:rPr>
          <w:szCs w:val="22"/>
          <w:lang w:bidi="kn-IN"/>
        </w:rPr>
        <w:t xml:space="preserve"> (see indicative calendar under Section 2.5.2) </w:t>
      </w:r>
    </w:p>
    <w:p w:rsidR="002A7F83" w:rsidRPr="002A76C8" w:rsidRDefault="002A7F83" w:rsidP="0033394E">
      <w:pPr>
        <w:pStyle w:val="Guidelines3"/>
        <w:numPr>
          <w:ilvl w:val="2"/>
          <w:numId w:val="23"/>
        </w:numPr>
        <w:rPr>
          <w:sz w:val="22"/>
          <w:szCs w:val="22"/>
        </w:rPr>
      </w:pPr>
      <w:bookmarkStart w:id="23" w:name="_Toc125454355"/>
      <w:bookmarkStart w:id="24" w:name="_Toc437893850"/>
      <w:r w:rsidRPr="002A76C8">
        <w:rPr>
          <w:sz w:val="22"/>
          <w:szCs w:val="22"/>
        </w:rPr>
        <w:lastRenderedPageBreak/>
        <w:t>Further information</w:t>
      </w:r>
      <w:bookmarkEnd w:id="23"/>
      <w:r w:rsidRPr="002A76C8">
        <w:rPr>
          <w:sz w:val="22"/>
          <w:szCs w:val="22"/>
        </w:rPr>
        <w:t xml:space="preserve"> about concept notes</w:t>
      </w:r>
      <w:bookmarkEnd w:id="24"/>
    </w:p>
    <w:p w:rsidR="002A7F83" w:rsidRPr="009229F1" w:rsidRDefault="002A7F83" w:rsidP="002A7F83">
      <w:pPr>
        <w:spacing w:before="240"/>
        <w:rPr>
          <w:szCs w:val="22"/>
        </w:rPr>
      </w:pPr>
      <w:r w:rsidRPr="009229F1">
        <w:rPr>
          <w:szCs w:val="22"/>
        </w:rPr>
        <w:t xml:space="preserve">An information session on this call for proposals will be held on 23.03.2020 at 12:00h in the premises of the </w:t>
      </w:r>
      <w:r w:rsidRPr="009229F1">
        <w:rPr>
          <w:b/>
          <w:szCs w:val="22"/>
        </w:rPr>
        <w:t>Ministry for Sustainable Development and Tourism in IV Proleterske brigade 19, 81000 Podgorica, Montenegro</w:t>
      </w:r>
      <w:r w:rsidRPr="009229F1">
        <w:rPr>
          <w:b/>
          <w:color w:val="000000"/>
          <w:szCs w:val="22"/>
        </w:rPr>
        <w:t>.</w:t>
      </w:r>
    </w:p>
    <w:p w:rsidR="002A7F83" w:rsidRPr="002A76C8" w:rsidRDefault="002A7F83" w:rsidP="002A7F83">
      <w:pPr>
        <w:rPr>
          <w:szCs w:val="22"/>
        </w:rPr>
      </w:pPr>
      <w:r w:rsidRPr="002A76C8">
        <w:rPr>
          <w:szCs w:val="22"/>
        </w:rPr>
        <w:t>Questions may be sent by e-mail no later than 21 days before the deadline for the submission of concept notes to the address(es) below, indicating clearly the reference of the call for proposals:</w:t>
      </w:r>
    </w:p>
    <w:p w:rsidR="002A7F83" w:rsidRPr="002A76C8" w:rsidRDefault="002A7F83" w:rsidP="002A7F83">
      <w:pPr>
        <w:rPr>
          <w:szCs w:val="22"/>
        </w:rPr>
      </w:pPr>
      <w:r w:rsidRPr="002A76C8">
        <w:rPr>
          <w:szCs w:val="22"/>
        </w:rPr>
        <w:t>E-mail address: ujr</w:t>
      </w:r>
      <w:r w:rsidRPr="002A76C8">
        <w:rPr>
          <w:szCs w:val="22"/>
          <w:lang w:val="en-US"/>
        </w:rPr>
        <w:t>@</w:t>
      </w:r>
      <w:r w:rsidRPr="002A76C8">
        <w:rPr>
          <w:szCs w:val="22"/>
          <w:lang w:val="sr-Latn-ME"/>
        </w:rPr>
        <w:t>ujr.gov.me</w:t>
      </w:r>
      <w:r w:rsidRPr="002A76C8">
        <w:rPr>
          <w:szCs w:val="22"/>
        </w:rPr>
        <w:t xml:space="preserve"> </w:t>
      </w:r>
    </w:p>
    <w:p w:rsidR="002A7F83" w:rsidRPr="002A76C8" w:rsidRDefault="002A7F83" w:rsidP="002A7F83">
      <w:pPr>
        <w:rPr>
          <w:szCs w:val="22"/>
        </w:rPr>
      </w:pPr>
      <w:r w:rsidRPr="002A76C8">
        <w:rPr>
          <w:szCs w:val="22"/>
        </w:rPr>
        <w:t>The contracting authority has no obligation to provide clarifications to questions received after this date.</w:t>
      </w:r>
    </w:p>
    <w:p w:rsidR="002A7F83" w:rsidRPr="002A76C8" w:rsidRDefault="002A7F83" w:rsidP="002A7F83">
      <w:pPr>
        <w:rPr>
          <w:szCs w:val="22"/>
        </w:rPr>
      </w:pPr>
      <w:r w:rsidRPr="002A76C8">
        <w:rPr>
          <w:szCs w:val="22"/>
        </w:rPr>
        <w:t xml:space="preserve">Replies will be given no later than 11 days before the deadline for submission of concept notes. </w:t>
      </w:r>
    </w:p>
    <w:p w:rsidR="002A7F83" w:rsidRPr="002A76C8" w:rsidRDefault="002A7F83" w:rsidP="002A7F83">
      <w:pPr>
        <w:rPr>
          <w:szCs w:val="22"/>
        </w:rPr>
      </w:pPr>
      <w:r w:rsidRPr="002A76C8">
        <w:rPr>
          <w:szCs w:val="22"/>
        </w:rPr>
        <w:t>To ensure equal treatment of applicants, the contracting authority cannot give a prior opinion on the eligibility of lead applicants, co-applicants, affiliated entity(ies), an action or specific activities.</w:t>
      </w:r>
    </w:p>
    <w:p w:rsidR="002A7F83" w:rsidRPr="002A76C8" w:rsidRDefault="002A7F83" w:rsidP="002A7F83">
      <w:pPr>
        <w:rPr>
          <w:szCs w:val="22"/>
        </w:rPr>
      </w:pPr>
      <w:r w:rsidRPr="002A76C8">
        <w:rPr>
          <w:szCs w:val="22"/>
        </w:rPr>
        <w:t xml:space="preserve">No individual replies will be given to questions. All questions and answers as well as other important notices to applicants during the course of the evaluation procedure will be published on the website of DG International Cooperation and Development: </w:t>
      </w:r>
      <w:hyperlink r:id="rId15" w:history="1">
        <w:r w:rsidRPr="002A76C8">
          <w:rPr>
            <w:rStyle w:val="Hyperlink"/>
            <w:szCs w:val="22"/>
          </w:rPr>
          <w:t>https://webgate.ec.europa.eu/europeaid/online-services/index.cfm?do=publi.welcome</w:t>
        </w:r>
      </w:hyperlink>
      <w:r w:rsidRPr="002A76C8">
        <w:rPr>
          <w:szCs w:val="22"/>
        </w:rPr>
        <w:t>, as the need arises. It is therefore advisable to consult the abovementioned website regularly in order to be informed of the questions and answers published.</w:t>
      </w:r>
    </w:p>
    <w:p w:rsidR="002A7F83" w:rsidRPr="002A76C8" w:rsidRDefault="002A7F83" w:rsidP="0033394E">
      <w:pPr>
        <w:pStyle w:val="Guidelines3"/>
        <w:numPr>
          <w:ilvl w:val="2"/>
          <w:numId w:val="23"/>
        </w:numPr>
        <w:rPr>
          <w:sz w:val="22"/>
          <w:szCs w:val="22"/>
        </w:rPr>
      </w:pPr>
      <w:bookmarkStart w:id="25" w:name="_Toc437893851"/>
      <w:bookmarkStart w:id="26" w:name="_Toc125454356"/>
      <w:r w:rsidRPr="002A76C8">
        <w:rPr>
          <w:sz w:val="22"/>
          <w:szCs w:val="22"/>
        </w:rPr>
        <w:t>Full applications</w:t>
      </w:r>
      <w:bookmarkEnd w:id="25"/>
      <w:r w:rsidRPr="002A76C8">
        <w:rPr>
          <w:sz w:val="22"/>
          <w:szCs w:val="22"/>
        </w:rPr>
        <w:t xml:space="preserve"> </w:t>
      </w:r>
      <w:bookmarkEnd w:id="26"/>
    </w:p>
    <w:p w:rsidR="002A7F83" w:rsidRPr="002A76C8" w:rsidRDefault="002A7F83" w:rsidP="002A7F83">
      <w:pPr>
        <w:spacing w:before="240"/>
        <w:rPr>
          <w:color w:val="000000"/>
          <w:szCs w:val="22"/>
        </w:rPr>
      </w:pPr>
      <w:r w:rsidRPr="002A76C8">
        <w:rPr>
          <w:szCs w:val="22"/>
        </w:rPr>
        <w:t>Lead applicants invited to submit a full application following pre-selection of their concept note must do so using Part B of the grant application form annexed to these guidelines (Annex A). Lead applicants should then keep strictly to the format of the grant application form and fill in the paragraphs and pages in order.</w:t>
      </w:r>
    </w:p>
    <w:p w:rsidR="002A7F83" w:rsidRPr="002A76C8" w:rsidRDefault="002A7F83" w:rsidP="002A7F83">
      <w:pPr>
        <w:rPr>
          <w:color w:val="000000"/>
          <w:szCs w:val="22"/>
        </w:rPr>
      </w:pPr>
      <w:r w:rsidRPr="002A76C8">
        <w:rPr>
          <w:color w:val="000000"/>
          <w:szCs w:val="22"/>
        </w:rPr>
        <w:t>The elements outlined in the concept note cannot be modified by the lead applicant in the full application.</w:t>
      </w:r>
      <w:r w:rsidRPr="002A76C8">
        <w:rPr>
          <w:b/>
          <w:color w:val="000000"/>
          <w:szCs w:val="22"/>
        </w:rPr>
        <w:t xml:space="preserve"> </w:t>
      </w:r>
      <w:r w:rsidRPr="002A76C8">
        <w:rPr>
          <w:szCs w:val="22"/>
        </w:rPr>
        <w:t>The EU contribution may not vary from the initial estimate by more than 20</w:t>
      </w:r>
      <w:r w:rsidRPr="002A76C8">
        <w:rPr>
          <w:w w:val="50"/>
          <w:szCs w:val="22"/>
        </w:rPr>
        <w:t> </w:t>
      </w:r>
      <w:r w:rsidRPr="002A76C8">
        <w:rPr>
          <w:szCs w:val="22"/>
        </w:rPr>
        <w:t xml:space="preserve">%, although lead applicants are free to adapt the percentage of co-financing required within the minimum and maximum amount and percentages of co-financing, as laid down in these guidelines under Section 1.3. </w:t>
      </w:r>
      <w:r w:rsidRPr="002A76C8">
        <w:rPr>
          <w:iCs/>
          <w:color w:val="000000"/>
          <w:szCs w:val="22"/>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p>
    <w:p w:rsidR="002A7F83" w:rsidRPr="002A76C8" w:rsidRDefault="002A7F83" w:rsidP="002A7F83">
      <w:pPr>
        <w:rPr>
          <w:color w:val="000000"/>
          <w:szCs w:val="22"/>
        </w:rPr>
      </w:pPr>
      <w:r w:rsidRPr="002A76C8">
        <w:rPr>
          <w:color w:val="000000"/>
          <w:szCs w:val="22"/>
        </w:rPr>
        <w:t>Lead applicants must submit their full applications in the same language as their concept notes.</w:t>
      </w:r>
    </w:p>
    <w:p w:rsidR="002A7F83" w:rsidRPr="002A76C8" w:rsidRDefault="002A7F83" w:rsidP="002A7F83">
      <w:pPr>
        <w:rPr>
          <w:color w:val="000000"/>
          <w:szCs w:val="22"/>
        </w:rPr>
      </w:pPr>
      <w:r w:rsidRPr="002A76C8">
        <w:rPr>
          <w:szCs w:val="22"/>
        </w:rPr>
        <w:t>Please complete the full application form carefully and as clearly as possible so that it can be assessed properly.</w:t>
      </w:r>
      <w:r w:rsidRPr="002A76C8">
        <w:rPr>
          <w:color w:val="000000"/>
          <w:szCs w:val="22"/>
        </w:rPr>
        <w:t xml:space="preserve"> </w:t>
      </w:r>
    </w:p>
    <w:p w:rsidR="002A7F83" w:rsidRPr="002A76C8" w:rsidRDefault="002A7F83" w:rsidP="002A7F83">
      <w:pPr>
        <w:rPr>
          <w:color w:val="000000"/>
          <w:szCs w:val="22"/>
        </w:rPr>
      </w:pPr>
      <w:r w:rsidRPr="002A76C8">
        <w:rPr>
          <w:color w:val="000000"/>
          <w:szCs w:val="22"/>
        </w:rPr>
        <w:t>Any error related to the points listed in the checklist (Part B, Section 7 of the grant application form) or any major inconsistency in the full application (e.g. if the amounts in the budget worksheets are inconsistent) may lead to the rejection of the application.</w:t>
      </w:r>
    </w:p>
    <w:p w:rsidR="002A7F83" w:rsidRPr="002A76C8" w:rsidRDefault="002A7F83" w:rsidP="002A7F83">
      <w:pPr>
        <w:rPr>
          <w:szCs w:val="22"/>
        </w:rPr>
      </w:pPr>
      <w:r w:rsidRPr="002A76C8">
        <w:rPr>
          <w:szCs w:val="22"/>
        </w:rPr>
        <w:t>Clarifications will only be requested when information provided is unclear and thus prevents the contracting authority from conducting an objective assessment.</w:t>
      </w:r>
    </w:p>
    <w:p w:rsidR="002A7F83" w:rsidRPr="002A76C8" w:rsidRDefault="002A7F83" w:rsidP="002A7F83">
      <w:pPr>
        <w:rPr>
          <w:szCs w:val="22"/>
        </w:rPr>
      </w:pPr>
      <w:r w:rsidRPr="002A76C8">
        <w:rPr>
          <w:szCs w:val="22"/>
        </w:rPr>
        <w:t>Hand-written applications will not be accepted.</w:t>
      </w:r>
    </w:p>
    <w:p w:rsidR="002A7F83" w:rsidRPr="002A76C8" w:rsidRDefault="002A7F83" w:rsidP="002A7F83">
      <w:pPr>
        <w:rPr>
          <w:b/>
          <w:szCs w:val="22"/>
          <w:lang w:eastAsia="en-GB"/>
        </w:rPr>
      </w:pPr>
      <w:r w:rsidRPr="002A76C8">
        <w:rPr>
          <w:szCs w:val="22"/>
          <w:lang w:eastAsia="en-GB"/>
        </w:rPr>
        <w:t>Please note that only the full application form and the published annexes which have to be filled in (budget, logical framework) will be transmitted to the evaluators (and assessors, if used). It is therefore of utmost importance that these documents contain ALL the relevant information concerning the action.</w:t>
      </w:r>
      <w:r w:rsidRPr="002A76C8">
        <w:rPr>
          <w:b/>
          <w:szCs w:val="22"/>
          <w:lang w:eastAsia="en-GB"/>
        </w:rPr>
        <w:t xml:space="preserve"> </w:t>
      </w:r>
    </w:p>
    <w:p w:rsidR="002A7F83" w:rsidRPr="002A76C8" w:rsidRDefault="002A7F83" w:rsidP="002A7F83">
      <w:pPr>
        <w:rPr>
          <w:b/>
          <w:szCs w:val="22"/>
          <w:lang w:eastAsia="en-GB"/>
        </w:rPr>
      </w:pPr>
      <w:r w:rsidRPr="002A76C8">
        <w:rPr>
          <w:b/>
          <w:szCs w:val="22"/>
          <w:lang w:eastAsia="en-GB"/>
        </w:rPr>
        <w:lastRenderedPageBreak/>
        <w:t>With the full application the lead applicant also has to submit completed PADOR registration form (Annex F) for the lead applicant, each (if any) co-applicants and each (if any) affiliated entities</w:t>
      </w:r>
      <w:r w:rsidRPr="002A76C8">
        <w:rPr>
          <w:rStyle w:val="FootnoteReference"/>
          <w:b/>
          <w:szCs w:val="22"/>
          <w:lang w:eastAsia="en-GB"/>
        </w:rPr>
        <w:footnoteReference w:id="13"/>
      </w:r>
      <w:r w:rsidRPr="002A76C8">
        <w:rPr>
          <w:b/>
          <w:szCs w:val="22"/>
          <w:lang w:eastAsia="en-GB"/>
        </w:rPr>
        <w:t>.</w:t>
      </w:r>
    </w:p>
    <w:p w:rsidR="002A7F83" w:rsidRPr="002A76C8" w:rsidRDefault="002A7F83" w:rsidP="002A7F83">
      <w:pPr>
        <w:rPr>
          <w:b/>
          <w:szCs w:val="22"/>
          <w:lang w:eastAsia="en-GB"/>
        </w:rPr>
      </w:pPr>
      <w:r w:rsidRPr="002A76C8">
        <w:rPr>
          <w:b/>
          <w:szCs w:val="22"/>
          <w:lang w:eastAsia="en-GB"/>
        </w:rPr>
        <w:t>No additional annexes should be sent.</w:t>
      </w:r>
    </w:p>
    <w:p w:rsidR="002A7F83" w:rsidRPr="002A76C8" w:rsidRDefault="002A7F83" w:rsidP="0033394E">
      <w:pPr>
        <w:pStyle w:val="Guidelines3"/>
        <w:numPr>
          <w:ilvl w:val="2"/>
          <w:numId w:val="23"/>
        </w:numPr>
        <w:rPr>
          <w:sz w:val="22"/>
          <w:szCs w:val="22"/>
        </w:rPr>
      </w:pPr>
      <w:bookmarkStart w:id="27" w:name="_Toc437893852"/>
      <w:bookmarkStart w:id="28" w:name="_Toc125454357"/>
      <w:r w:rsidRPr="002A76C8">
        <w:rPr>
          <w:sz w:val="22"/>
          <w:szCs w:val="22"/>
        </w:rPr>
        <w:t>Where and how to send full applications</w:t>
      </w:r>
      <w:bookmarkEnd w:id="27"/>
      <w:r w:rsidRPr="002A76C8">
        <w:rPr>
          <w:sz w:val="22"/>
          <w:szCs w:val="22"/>
        </w:rPr>
        <w:t xml:space="preserve"> </w:t>
      </w:r>
      <w:bookmarkEnd w:id="28"/>
    </w:p>
    <w:p w:rsidR="002A7F83" w:rsidRPr="002A76C8" w:rsidRDefault="002A7F83" w:rsidP="002A7F83">
      <w:pPr>
        <w:spacing w:before="240"/>
        <w:rPr>
          <w:szCs w:val="22"/>
        </w:rPr>
      </w:pPr>
      <w:r w:rsidRPr="002A76C8">
        <w:rPr>
          <w:szCs w:val="22"/>
        </w:rPr>
        <w:t>Full applications (i.e. the full application form, the budget, the logical framework and the declaration by the lead applicant) must be submitted in a sealed envelope by registered mail, private courier service or by hand-delivery (a signed and dated certificate of receipt will be given to the deliverer) to the address below:</w:t>
      </w:r>
    </w:p>
    <w:p w:rsidR="002A7F83" w:rsidRPr="002A76C8" w:rsidRDefault="002A7F83" w:rsidP="002A7F83">
      <w:pPr>
        <w:rPr>
          <w:szCs w:val="22"/>
        </w:rPr>
      </w:pPr>
      <w:r w:rsidRPr="002A76C8">
        <w:rPr>
          <w:szCs w:val="22"/>
        </w:rPr>
        <w:t>Postal address</w:t>
      </w:r>
    </w:p>
    <w:p w:rsidR="002A7F83" w:rsidRPr="002A76C8" w:rsidRDefault="002A7F83" w:rsidP="002A7F83">
      <w:pPr>
        <w:rPr>
          <w:szCs w:val="22"/>
        </w:rPr>
      </w:pPr>
      <w:r w:rsidRPr="002A76C8">
        <w:rPr>
          <w:szCs w:val="22"/>
        </w:rPr>
        <w:t>Public Works Administration</w:t>
      </w:r>
    </w:p>
    <w:p w:rsidR="002A7F83" w:rsidRPr="002A76C8" w:rsidRDefault="002A7F83" w:rsidP="002A7F83">
      <w:pPr>
        <w:rPr>
          <w:szCs w:val="22"/>
        </w:rPr>
      </w:pPr>
      <w:r w:rsidRPr="002A76C8">
        <w:rPr>
          <w:szCs w:val="22"/>
        </w:rPr>
        <w:t>Novaka Miloševa 18</w:t>
      </w:r>
    </w:p>
    <w:p w:rsidR="002A7F83" w:rsidRPr="002A76C8" w:rsidRDefault="002A7F83" w:rsidP="002A7F83">
      <w:pPr>
        <w:rPr>
          <w:szCs w:val="22"/>
        </w:rPr>
      </w:pPr>
      <w:r w:rsidRPr="002A76C8">
        <w:rPr>
          <w:szCs w:val="22"/>
        </w:rPr>
        <w:t>81000 Podgorica, Montenegro</w:t>
      </w:r>
    </w:p>
    <w:p w:rsidR="002A7F83" w:rsidRPr="002A76C8" w:rsidRDefault="002A7F83" w:rsidP="002A7F83">
      <w:pPr>
        <w:rPr>
          <w:szCs w:val="22"/>
        </w:rPr>
      </w:pPr>
      <w:r w:rsidRPr="002A76C8">
        <w:rPr>
          <w:szCs w:val="22"/>
        </w:rPr>
        <w:t>Address for hand delivery</w:t>
      </w:r>
    </w:p>
    <w:p w:rsidR="002A7F83" w:rsidRPr="002A76C8" w:rsidRDefault="002A7F83" w:rsidP="002A7F83">
      <w:pPr>
        <w:rPr>
          <w:szCs w:val="22"/>
        </w:rPr>
      </w:pPr>
      <w:r w:rsidRPr="002A76C8">
        <w:rPr>
          <w:szCs w:val="22"/>
        </w:rPr>
        <w:t>Public Works Administration</w:t>
      </w:r>
    </w:p>
    <w:p w:rsidR="002A7F83" w:rsidRPr="002A76C8" w:rsidRDefault="002A7F83" w:rsidP="002A7F83">
      <w:pPr>
        <w:rPr>
          <w:szCs w:val="22"/>
        </w:rPr>
      </w:pPr>
      <w:r w:rsidRPr="002A76C8">
        <w:rPr>
          <w:szCs w:val="22"/>
        </w:rPr>
        <w:t>Novaka Miloševa 18</w:t>
      </w:r>
    </w:p>
    <w:p w:rsidR="002A7F83" w:rsidRPr="002A76C8" w:rsidRDefault="002A7F83" w:rsidP="002A7F83">
      <w:pPr>
        <w:rPr>
          <w:szCs w:val="22"/>
          <w:highlight w:val="yellow"/>
        </w:rPr>
      </w:pPr>
      <w:r w:rsidRPr="002A76C8">
        <w:rPr>
          <w:szCs w:val="22"/>
        </w:rPr>
        <w:t>81000 Podgorica, Montenegro</w:t>
      </w:r>
    </w:p>
    <w:p w:rsidR="002A7F83" w:rsidRPr="002A76C8" w:rsidRDefault="002A7F83" w:rsidP="002A7F83">
      <w:pPr>
        <w:rPr>
          <w:color w:val="000000"/>
          <w:szCs w:val="22"/>
        </w:rPr>
      </w:pPr>
      <w:r w:rsidRPr="002A76C8">
        <w:rPr>
          <w:color w:val="000000"/>
          <w:szCs w:val="22"/>
        </w:rPr>
        <w:t>Applications sent by any other means (e.g. by fax or by e-mail) or delivered to other addresses will be rejected.</w:t>
      </w:r>
    </w:p>
    <w:p w:rsidR="002A7F83" w:rsidRPr="002A76C8" w:rsidRDefault="002A7F83" w:rsidP="002A7F83">
      <w:pPr>
        <w:rPr>
          <w:szCs w:val="22"/>
          <w:highlight w:val="lightGray"/>
          <w:lang w:eastAsia="en-GB"/>
        </w:rPr>
      </w:pPr>
      <w:r w:rsidRPr="002A76C8">
        <w:rPr>
          <w:szCs w:val="22"/>
          <w:lang w:eastAsia="en-GB"/>
        </w:rPr>
        <w:t xml:space="preserve">Applications must be submitted in one original and 3 copies in A4 size, each bound. The full application form, budget and logical framework must also be supplied in electronic format (CD-ROM) in a separate and single file (i.e. the full application must not be split into several different files). </w:t>
      </w:r>
      <w:r w:rsidRPr="002A76C8">
        <w:rPr>
          <w:szCs w:val="22"/>
        </w:rPr>
        <w:t xml:space="preserve">The electronic file must contain </w:t>
      </w:r>
      <w:r w:rsidRPr="002A76C8">
        <w:rPr>
          <w:b/>
          <w:szCs w:val="22"/>
        </w:rPr>
        <w:t>exactly the same</w:t>
      </w:r>
      <w:r w:rsidRPr="002A76C8">
        <w:rPr>
          <w:szCs w:val="22"/>
        </w:rPr>
        <w:t xml:space="preserve"> application as the paper version. </w:t>
      </w:r>
    </w:p>
    <w:p w:rsidR="002A7F83" w:rsidRPr="002A76C8" w:rsidRDefault="002A7F83" w:rsidP="002A7F83">
      <w:pPr>
        <w:rPr>
          <w:color w:val="000000"/>
          <w:szCs w:val="22"/>
        </w:rPr>
      </w:pPr>
      <w:r w:rsidRPr="002A76C8">
        <w:rPr>
          <w:szCs w:val="22"/>
        </w:rPr>
        <w:t>The checklist (Section 7 of Part B of the grant application form) and the declaration by the lead applicant (Section 8 of Part B of the grant application form) must be stapled separately and enclosed in the envelope</w:t>
      </w:r>
    </w:p>
    <w:p w:rsidR="002A7F83" w:rsidRPr="002A76C8" w:rsidRDefault="002A7F83" w:rsidP="002A7F83">
      <w:pPr>
        <w:rPr>
          <w:szCs w:val="22"/>
        </w:rPr>
      </w:pPr>
      <w:r w:rsidRPr="002A76C8">
        <w:rPr>
          <w:szCs w:val="22"/>
        </w:rPr>
        <w:t>Where lead applicants send several different applications (if allowed to do so by the guidelines of the call), each one must be sent separately.</w:t>
      </w:r>
    </w:p>
    <w:p w:rsidR="002A7F83" w:rsidRPr="002A76C8" w:rsidRDefault="002A7F83" w:rsidP="002A7F83">
      <w:pPr>
        <w:rPr>
          <w:color w:val="000000"/>
          <w:szCs w:val="22"/>
        </w:rPr>
      </w:pPr>
      <w:r w:rsidRPr="002A76C8">
        <w:rPr>
          <w:szCs w:val="22"/>
        </w:rPr>
        <w:t xml:space="preserve">The envelope must bear the </w:t>
      </w:r>
      <w:r w:rsidRPr="002A76C8">
        <w:rPr>
          <w:b/>
          <w:szCs w:val="22"/>
        </w:rPr>
        <w:t>reference number and the title of the call for proposals</w:t>
      </w:r>
      <w:r w:rsidRPr="002A76C8">
        <w:rPr>
          <w:szCs w:val="22"/>
        </w:rPr>
        <w:t>, together with the number and title of the lot, the full name and address of the lead applicant, and the words ‘Not to be opened before the opening session’ and ‘</w:t>
      </w:r>
      <w:r w:rsidRPr="002A76C8">
        <w:rPr>
          <w:i/>
          <w:szCs w:val="22"/>
          <w:lang w:val="sr-Latn-ME"/>
        </w:rPr>
        <w:t>Ne otvarati prije sastanka za otvaranje prijedloga projekata</w:t>
      </w:r>
      <w:r w:rsidRPr="002A76C8">
        <w:rPr>
          <w:i/>
          <w:szCs w:val="22"/>
        </w:rPr>
        <w:t>’</w:t>
      </w:r>
      <w:r w:rsidRPr="002A76C8">
        <w:rPr>
          <w:szCs w:val="22"/>
        </w:rPr>
        <w:t>.</w:t>
      </w:r>
    </w:p>
    <w:p w:rsidR="002A7F83" w:rsidRPr="002A76C8" w:rsidRDefault="002A7F83" w:rsidP="002A7F83">
      <w:pPr>
        <w:rPr>
          <w:b/>
          <w:szCs w:val="22"/>
        </w:rPr>
      </w:pPr>
      <w:r w:rsidRPr="002A76C8">
        <w:rPr>
          <w:b/>
          <w:szCs w:val="22"/>
        </w:rPr>
        <w:t>Applicants must verify that their application is complete using the checklist (Section 7 of Part B of the grant application form). Incomplete applications may be rejected.</w:t>
      </w:r>
    </w:p>
    <w:p w:rsidR="002A7F83" w:rsidRPr="002A76C8" w:rsidRDefault="002A7F83" w:rsidP="0033394E">
      <w:pPr>
        <w:pStyle w:val="Guidelines3"/>
        <w:numPr>
          <w:ilvl w:val="2"/>
          <w:numId w:val="23"/>
        </w:numPr>
        <w:rPr>
          <w:sz w:val="22"/>
          <w:szCs w:val="22"/>
        </w:rPr>
      </w:pPr>
      <w:bookmarkStart w:id="29" w:name="_Toc437893853"/>
      <w:bookmarkStart w:id="30" w:name="_Toc125454358"/>
      <w:r w:rsidRPr="002A76C8">
        <w:rPr>
          <w:sz w:val="22"/>
          <w:szCs w:val="22"/>
        </w:rPr>
        <w:t>Deadline for submission of full applications</w:t>
      </w:r>
      <w:bookmarkEnd w:id="29"/>
      <w:r w:rsidRPr="002A76C8">
        <w:rPr>
          <w:sz w:val="22"/>
          <w:szCs w:val="22"/>
        </w:rPr>
        <w:t xml:space="preserve"> </w:t>
      </w:r>
      <w:bookmarkEnd w:id="30"/>
    </w:p>
    <w:p w:rsidR="002A7F83" w:rsidRPr="002A76C8" w:rsidRDefault="002A7F83" w:rsidP="002A7F83">
      <w:pPr>
        <w:spacing w:before="240"/>
        <w:rPr>
          <w:szCs w:val="22"/>
        </w:rPr>
      </w:pPr>
      <w:r w:rsidRPr="002A76C8">
        <w:rPr>
          <w:szCs w:val="22"/>
        </w:rPr>
        <w:t>The applicants' attention is drawn to the fact that there are two different systems for sending full applications: one is by post or private courier service, the other is by hand delivery.</w:t>
      </w:r>
    </w:p>
    <w:p w:rsidR="002A7F83" w:rsidRPr="002A76C8" w:rsidRDefault="002A7F83" w:rsidP="002A7F83">
      <w:pPr>
        <w:spacing w:before="240"/>
        <w:rPr>
          <w:szCs w:val="22"/>
        </w:rPr>
      </w:pPr>
      <w:r w:rsidRPr="002A76C8">
        <w:rPr>
          <w:szCs w:val="22"/>
        </w:rPr>
        <w:lastRenderedPageBreak/>
        <w:t>In the first case, the full application must be sent before the date for submission, as evidenced by the postmark or deposit slip, but in the second case it is the acknowledgment of receipt given at the time of the delivery of the full application which will serve as proof.</w:t>
      </w:r>
    </w:p>
    <w:p w:rsidR="002A7F83" w:rsidRPr="002A76C8" w:rsidRDefault="002A7F83" w:rsidP="002A7F83">
      <w:pPr>
        <w:spacing w:before="240"/>
        <w:rPr>
          <w:szCs w:val="22"/>
        </w:rPr>
      </w:pPr>
      <w:r w:rsidRPr="005A20E6">
        <w:rPr>
          <w:szCs w:val="22"/>
        </w:rPr>
        <w:t>The deadline for the submission of full applications will be indicated in the letter sent to the lead applicants whose application has been pre-selected.</w:t>
      </w:r>
    </w:p>
    <w:p w:rsidR="002A7F83" w:rsidRPr="002A76C8" w:rsidRDefault="002A7F83" w:rsidP="002A7F83">
      <w:pPr>
        <w:rPr>
          <w:szCs w:val="22"/>
        </w:rPr>
      </w:pPr>
      <w:r w:rsidRPr="002A76C8">
        <w:rPr>
          <w:szCs w:val="22"/>
          <w:lang w:bidi="kn-IN"/>
        </w:rPr>
        <w:t>T</w:t>
      </w:r>
      <w:r w:rsidRPr="002A76C8">
        <w:rPr>
          <w:szCs w:val="22"/>
        </w:rPr>
        <w:t xml:space="preserve">he contracting authority may, for reasons of administrative efficiency, reject any application submitted on time to the postal service but received, for any reason beyond the contracting authority's control, after the effective date of approval </w:t>
      </w:r>
      <w:r w:rsidRPr="002A76C8">
        <w:rPr>
          <w:szCs w:val="22"/>
          <w:lang w:eastAsia="en-GB"/>
        </w:rPr>
        <w:t>of the full application evaluation</w:t>
      </w:r>
      <w:r w:rsidRPr="002A76C8">
        <w:rPr>
          <w:szCs w:val="22"/>
        </w:rPr>
        <w:t>, if accepting applications that were submitted on time but arrived late would considerably delay the award procedure or jeopardise decisions already taken and notified</w:t>
      </w:r>
      <w:r w:rsidRPr="002A76C8">
        <w:rPr>
          <w:szCs w:val="22"/>
          <w:lang w:bidi="kn-IN"/>
        </w:rPr>
        <w:t xml:space="preserve"> (see indicative calendar under Section 2.5.2</w:t>
      </w:r>
      <w:r w:rsidRPr="002A76C8">
        <w:rPr>
          <w:szCs w:val="22"/>
        </w:rPr>
        <w:t xml:space="preserve">). </w:t>
      </w:r>
    </w:p>
    <w:p w:rsidR="002A7F83" w:rsidRPr="002A76C8" w:rsidRDefault="002A7F83" w:rsidP="0033394E">
      <w:pPr>
        <w:pStyle w:val="Guidelines3"/>
        <w:numPr>
          <w:ilvl w:val="2"/>
          <w:numId w:val="23"/>
        </w:numPr>
        <w:rPr>
          <w:sz w:val="22"/>
          <w:szCs w:val="22"/>
        </w:rPr>
      </w:pPr>
      <w:bookmarkStart w:id="31" w:name="_Toc437893854"/>
      <w:bookmarkStart w:id="32" w:name="_Toc125454359"/>
      <w:r w:rsidRPr="002A76C8">
        <w:rPr>
          <w:sz w:val="22"/>
          <w:szCs w:val="22"/>
        </w:rPr>
        <w:t>Further information about full applications</w:t>
      </w:r>
      <w:bookmarkEnd w:id="31"/>
      <w:r w:rsidRPr="002A76C8">
        <w:rPr>
          <w:sz w:val="22"/>
          <w:szCs w:val="22"/>
        </w:rPr>
        <w:t xml:space="preserve"> </w:t>
      </w:r>
      <w:bookmarkEnd w:id="32"/>
    </w:p>
    <w:p w:rsidR="002A7F83" w:rsidRPr="002A76C8" w:rsidRDefault="002A7F83" w:rsidP="002A7F83">
      <w:pPr>
        <w:spacing w:before="240"/>
        <w:rPr>
          <w:szCs w:val="22"/>
        </w:rPr>
      </w:pPr>
      <w:r w:rsidRPr="002A76C8">
        <w:rPr>
          <w:szCs w:val="22"/>
        </w:rPr>
        <w:t>Questions may be sent by e-mail</w:t>
      </w:r>
      <w:r>
        <w:rPr>
          <w:szCs w:val="22"/>
        </w:rPr>
        <w:t xml:space="preserve"> </w:t>
      </w:r>
      <w:r w:rsidRPr="002A76C8">
        <w:rPr>
          <w:szCs w:val="22"/>
        </w:rPr>
        <w:t>no later than 21 days before the deadline for the submission of full applications to the addresses listed below, indicating clearly the reference of the call for proposals:</w:t>
      </w:r>
    </w:p>
    <w:p w:rsidR="002A7F83" w:rsidRDefault="002A7F83" w:rsidP="002A7F83">
      <w:pPr>
        <w:rPr>
          <w:szCs w:val="22"/>
        </w:rPr>
      </w:pPr>
      <w:r w:rsidRPr="002A76C8">
        <w:rPr>
          <w:szCs w:val="22"/>
        </w:rPr>
        <w:t>E-mail address: ujr</w:t>
      </w:r>
      <w:r w:rsidRPr="002A76C8">
        <w:rPr>
          <w:szCs w:val="22"/>
          <w:lang w:val="en-US"/>
        </w:rPr>
        <w:t>@</w:t>
      </w:r>
      <w:r w:rsidRPr="002A76C8">
        <w:rPr>
          <w:szCs w:val="22"/>
          <w:lang w:val="sr-Latn-ME"/>
        </w:rPr>
        <w:t>ujr.gov.me</w:t>
      </w:r>
      <w:r w:rsidRPr="002A76C8">
        <w:rPr>
          <w:szCs w:val="22"/>
        </w:rPr>
        <w:t xml:space="preserve"> </w:t>
      </w:r>
    </w:p>
    <w:p w:rsidR="002A7F83" w:rsidRPr="002A76C8" w:rsidRDefault="002A7F83" w:rsidP="002A7F83">
      <w:pPr>
        <w:rPr>
          <w:szCs w:val="22"/>
        </w:rPr>
      </w:pPr>
      <w:r w:rsidRPr="002A76C8">
        <w:rPr>
          <w:szCs w:val="22"/>
        </w:rPr>
        <w:t>The contracting authority has no obligation to provide clarifications to questions received after this date.</w:t>
      </w:r>
    </w:p>
    <w:p w:rsidR="002A7F83" w:rsidRPr="002A76C8" w:rsidRDefault="002A7F83" w:rsidP="002A7F83">
      <w:pPr>
        <w:rPr>
          <w:szCs w:val="22"/>
        </w:rPr>
      </w:pPr>
      <w:r w:rsidRPr="002A76C8">
        <w:rPr>
          <w:szCs w:val="22"/>
        </w:rPr>
        <w:t xml:space="preserve">Replies will be given no later than 11 days before the deadline for the submission of full applications. </w:t>
      </w:r>
    </w:p>
    <w:p w:rsidR="002A7F83" w:rsidRPr="002A76C8" w:rsidRDefault="002A7F83" w:rsidP="002A7F83">
      <w:pPr>
        <w:rPr>
          <w:szCs w:val="22"/>
        </w:rPr>
      </w:pPr>
      <w:r w:rsidRPr="002A76C8">
        <w:rPr>
          <w:szCs w:val="22"/>
        </w:rPr>
        <w:t>To ensure equal treatment of applicants, the contracting authority cannot give a prior opinion on the eligibility of lead applicants, co-applicants, affiliated entity(ies), or an action.</w:t>
      </w:r>
    </w:p>
    <w:p w:rsidR="002A7F83" w:rsidRPr="002A76C8" w:rsidRDefault="002A7F83" w:rsidP="002A7F83">
      <w:pPr>
        <w:rPr>
          <w:szCs w:val="22"/>
        </w:rPr>
      </w:pPr>
      <w:r w:rsidRPr="002A76C8">
        <w:rPr>
          <w:szCs w:val="22"/>
        </w:rPr>
        <w:t xml:space="preserve">No individual replies will be given to questions. All questions and answers as well as other important notices to applicants during the course of the evaluation procedure, will be published on the website of DG International Cooperation and Development: </w:t>
      </w:r>
      <w:hyperlink r:id="rId16" w:history="1">
        <w:r w:rsidRPr="002A76C8">
          <w:rPr>
            <w:rStyle w:val="Hyperlink"/>
            <w:szCs w:val="22"/>
          </w:rPr>
          <w:t>https://webgate.ec.europa.eu/europeaid/online-services/index.cfm?do=publi.welcome</w:t>
        </w:r>
      </w:hyperlink>
      <w:r w:rsidRPr="002A76C8">
        <w:rPr>
          <w:szCs w:val="22"/>
        </w:rPr>
        <w:t>, as the need arises. It is therefore advisable to consult the abovementioned website regularly in order to be informed of the questions and answers published.</w:t>
      </w:r>
    </w:p>
    <w:p w:rsidR="002A7F83" w:rsidRPr="002A76C8" w:rsidRDefault="002A7F83" w:rsidP="0033394E">
      <w:pPr>
        <w:pStyle w:val="Guidelines2"/>
        <w:numPr>
          <w:ilvl w:val="1"/>
          <w:numId w:val="23"/>
        </w:numPr>
        <w:rPr>
          <w:rFonts w:ascii="Times New Roman" w:hAnsi="Times New Roman"/>
          <w:i/>
          <w:sz w:val="22"/>
          <w:szCs w:val="22"/>
        </w:rPr>
      </w:pPr>
      <w:bookmarkStart w:id="33" w:name="_Toc40507653"/>
      <w:bookmarkStart w:id="34" w:name="_Toc437893859"/>
      <w:r w:rsidRPr="002A76C8">
        <w:rPr>
          <w:rFonts w:ascii="Times New Roman" w:hAnsi="Times New Roman"/>
          <w:sz w:val="22"/>
          <w:szCs w:val="22"/>
        </w:rPr>
        <w:t>Evaluation and selection of applications</w:t>
      </w:r>
      <w:bookmarkEnd w:id="33"/>
      <w:bookmarkEnd w:id="34"/>
    </w:p>
    <w:p w:rsidR="002A7F83" w:rsidRPr="002A76C8" w:rsidRDefault="002A7F83" w:rsidP="002A7F83">
      <w:pPr>
        <w:rPr>
          <w:szCs w:val="22"/>
        </w:rPr>
      </w:pPr>
      <w:r w:rsidRPr="002A76C8">
        <w:rPr>
          <w:szCs w:val="22"/>
        </w:rPr>
        <w:t>Applications will be examined and evaluated by the contracting authority with the possible assistance of external assessors. All applications will be assessed according to the following steps and criteria.</w:t>
      </w:r>
    </w:p>
    <w:p w:rsidR="002A7F83" w:rsidRPr="002A76C8" w:rsidRDefault="002A7F83" w:rsidP="002A7F83">
      <w:pPr>
        <w:rPr>
          <w:szCs w:val="22"/>
        </w:rPr>
      </w:pPr>
      <w:r w:rsidRPr="002A76C8">
        <w:rPr>
          <w:szCs w:val="22"/>
        </w:rPr>
        <w:t xml:space="preserve">If the examination of the application reveals that the proposed action does not meet the </w:t>
      </w:r>
      <w:r w:rsidRPr="002A76C8">
        <w:rPr>
          <w:szCs w:val="22"/>
          <w:u w:val="single"/>
        </w:rPr>
        <w:t>eligibility criteria</w:t>
      </w:r>
      <w:r w:rsidRPr="002A76C8">
        <w:rPr>
          <w:szCs w:val="22"/>
        </w:rPr>
        <w:t xml:space="preserve"> stated in Section 2.1, the application will be rejected on this sole basis. </w:t>
      </w:r>
    </w:p>
    <w:p w:rsidR="002A7F83" w:rsidRPr="002A76C8" w:rsidRDefault="002A7F83" w:rsidP="0033394E">
      <w:pPr>
        <w:numPr>
          <w:ilvl w:val="0"/>
          <w:numId w:val="33"/>
        </w:numPr>
        <w:tabs>
          <w:tab w:val="left" w:pos="426"/>
          <w:tab w:val="left" w:pos="1418"/>
        </w:tabs>
        <w:ind w:left="1418" w:hanging="1418"/>
        <w:jc w:val="left"/>
        <w:rPr>
          <w:b/>
          <w:szCs w:val="22"/>
        </w:rPr>
      </w:pPr>
      <w:r w:rsidRPr="002A76C8">
        <w:rPr>
          <w:b/>
          <w:szCs w:val="22"/>
        </w:rPr>
        <w:br w:type="page"/>
      </w:r>
      <w:r w:rsidRPr="002A76C8">
        <w:rPr>
          <w:b/>
          <w:szCs w:val="22"/>
        </w:rPr>
        <w:lastRenderedPageBreak/>
        <w:t>STEP 1:</w:t>
      </w:r>
      <w:r w:rsidRPr="002A76C8">
        <w:rPr>
          <w:b/>
          <w:szCs w:val="22"/>
        </w:rPr>
        <w:tab/>
        <w:t>OPENING &amp; ADMINISTRATIVE CHECKS AND CONCEPT NOTE EVALUATION</w:t>
      </w:r>
    </w:p>
    <w:p w:rsidR="002A7F83" w:rsidRPr="002A76C8" w:rsidRDefault="002A7F83" w:rsidP="002A7F83">
      <w:pPr>
        <w:rPr>
          <w:szCs w:val="22"/>
        </w:rPr>
      </w:pPr>
      <w:r w:rsidRPr="002A76C8">
        <w:rPr>
          <w:szCs w:val="22"/>
        </w:rPr>
        <w:t>During the opening and administrative check the following will be assessed:</w:t>
      </w:r>
    </w:p>
    <w:p w:rsidR="002A7F83" w:rsidRPr="002A76C8" w:rsidRDefault="002A7F83" w:rsidP="0033394E">
      <w:pPr>
        <w:numPr>
          <w:ilvl w:val="2"/>
          <w:numId w:val="34"/>
        </w:numPr>
        <w:spacing w:before="120" w:after="120"/>
        <w:ind w:left="709"/>
        <w:rPr>
          <w:szCs w:val="22"/>
        </w:rPr>
      </w:pPr>
      <w:r w:rsidRPr="002A76C8">
        <w:rPr>
          <w:szCs w:val="22"/>
        </w:rPr>
        <w:t>If the deadline has been met. Otherwise, the application will be automatically rejected.</w:t>
      </w:r>
    </w:p>
    <w:p w:rsidR="002A7F83" w:rsidRPr="002A76C8" w:rsidRDefault="002A7F83" w:rsidP="0033394E">
      <w:pPr>
        <w:numPr>
          <w:ilvl w:val="0"/>
          <w:numId w:val="34"/>
        </w:numPr>
        <w:rPr>
          <w:szCs w:val="22"/>
        </w:rPr>
      </w:pPr>
      <w:r w:rsidRPr="002A76C8">
        <w:rPr>
          <w:szCs w:val="22"/>
        </w:rPr>
        <w:t xml:space="preserve">If the concept note satisfies all the criteria specified in the checklist in Section 2 of Part A of the grant application form. This includes also an assessment of the eligibility of the action. If any of the requested information is missing or is incorrect, the application may be rejected on that </w:t>
      </w:r>
      <w:r w:rsidRPr="002A76C8">
        <w:rPr>
          <w:b/>
          <w:szCs w:val="22"/>
          <w:u w:val="single"/>
        </w:rPr>
        <w:t>sole</w:t>
      </w:r>
      <w:r w:rsidRPr="002A76C8">
        <w:rPr>
          <w:szCs w:val="22"/>
        </w:rPr>
        <w:t xml:space="preserve"> basis and the application will not be evaluated further.</w:t>
      </w:r>
    </w:p>
    <w:p w:rsidR="002A7F83" w:rsidRPr="002A76C8" w:rsidRDefault="002A7F83" w:rsidP="002A7F83">
      <w:pPr>
        <w:rPr>
          <w:szCs w:val="22"/>
        </w:rPr>
      </w:pPr>
      <w:r w:rsidRPr="002A76C8">
        <w:rPr>
          <w:szCs w:val="22"/>
        </w:rPr>
        <w:t>The concept notes that pass this check will be evaluated on the relevance and design of the proposed action.</w:t>
      </w:r>
    </w:p>
    <w:p w:rsidR="002A7F83" w:rsidRPr="002A76C8" w:rsidRDefault="002A7F83" w:rsidP="002A7F83">
      <w:pPr>
        <w:rPr>
          <w:szCs w:val="22"/>
        </w:rPr>
      </w:pPr>
      <w:r w:rsidRPr="002A76C8">
        <w:rPr>
          <w:szCs w:val="22"/>
        </w:rP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rsidR="002A7F83" w:rsidRPr="002A76C8" w:rsidRDefault="002A7F83" w:rsidP="002A7F83">
      <w:pPr>
        <w:rPr>
          <w:szCs w:val="22"/>
        </w:rPr>
      </w:pPr>
      <w:bookmarkStart w:id="35" w:name="_Toc159211906"/>
      <w:bookmarkStart w:id="36" w:name="_Toc159212662"/>
      <w:bookmarkStart w:id="37" w:name="_Toc159212881"/>
      <w:bookmarkStart w:id="38" w:name="_Toc159213197"/>
      <w:r w:rsidRPr="002A76C8">
        <w:rPr>
          <w:szCs w:val="22"/>
        </w:rPr>
        <w:t xml:space="preserve">The </w:t>
      </w:r>
      <w:r w:rsidRPr="002A76C8">
        <w:rPr>
          <w:szCs w:val="22"/>
          <w:u w:val="single"/>
        </w:rPr>
        <w:t>evaluation criteria</w:t>
      </w:r>
      <w:r w:rsidRPr="002A76C8">
        <w:rPr>
          <w:szCs w:val="22"/>
        </w:rPr>
        <w:t xml:space="preserve"> are divided into headings and subheadings. Each subheading will be given a score between 1 and 5 as follows: 1 = very poor; 2 = poor; 3 = adequate; 4 = good; 5 = very good.</w:t>
      </w:r>
    </w:p>
    <w:bookmarkEnd w:id="35"/>
    <w:bookmarkEnd w:id="36"/>
    <w:bookmarkEnd w:id="37"/>
    <w:bookmarkEnd w:id="38"/>
    <w:tbl>
      <w:tblPr>
        <w:tblW w:w="9997" w:type="dxa"/>
        <w:tblLayout w:type="fixed"/>
        <w:tblLook w:val="01E0" w:firstRow="1" w:lastRow="1" w:firstColumn="1" w:lastColumn="1" w:noHBand="0" w:noVBand="0"/>
      </w:tblPr>
      <w:tblGrid>
        <w:gridCol w:w="8208"/>
        <w:gridCol w:w="1260"/>
        <w:gridCol w:w="529"/>
      </w:tblGrid>
      <w:tr w:rsidR="002A7F83" w:rsidRPr="002A76C8" w:rsidTr="00F42767">
        <w:tc>
          <w:tcPr>
            <w:tcW w:w="8208" w:type="dxa"/>
            <w:tcBorders>
              <w:bottom w:val="single" w:sz="4" w:space="0" w:color="auto"/>
            </w:tcBorders>
          </w:tcPr>
          <w:p w:rsidR="002A7F83" w:rsidRPr="002A76C8" w:rsidRDefault="002A7F83" w:rsidP="00F42767">
            <w:pPr>
              <w:spacing w:before="120"/>
              <w:rPr>
                <w:b/>
                <w:szCs w:val="22"/>
              </w:rPr>
            </w:pPr>
          </w:p>
        </w:tc>
        <w:tc>
          <w:tcPr>
            <w:tcW w:w="1789" w:type="dxa"/>
            <w:gridSpan w:val="2"/>
            <w:tcBorders>
              <w:bottom w:val="single" w:sz="4" w:space="0" w:color="auto"/>
            </w:tcBorders>
          </w:tcPr>
          <w:p w:rsidR="002A7F83" w:rsidRPr="002A76C8" w:rsidRDefault="002A7F83" w:rsidP="00F42767">
            <w:pPr>
              <w:spacing w:before="120"/>
              <w:jc w:val="center"/>
              <w:rPr>
                <w:b/>
                <w:szCs w:val="22"/>
              </w:rPr>
            </w:pPr>
            <w:r w:rsidRPr="002A76C8">
              <w:rPr>
                <w:b/>
                <w:szCs w:val="22"/>
              </w:rPr>
              <w:t>Scores</w:t>
            </w:r>
          </w:p>
        </w:tc>
      </w:tr>
      <w:tr w:rsidR="002A7F83" w:rsidRPr="002A76C8" w:rsidTr="00F42767">
        <w:tc>
          <w:tcPr>
            <w:tcW w:w="8208" w:type="dxa"/>
            <w:tcBorders>
              <w:top w:val="single" w:sz="4" w:space="0" w:color="auto"/>
              <w:left w:val="single" w:sz="4" w:space="0" w:color="auto"/>
              <w:bottom w:val="single" w:sz="4" w:space="0" w:color="auto"/>
            </w:tcBorders>
          </w:tcPr>
          <w:p w:rsidR="002A7F83" w:rsidRPr="002A76C8" w:rsidRDefault="002A7F83" w:rsidP="00F42767">
            <w:pPr>
              <w:spacing w:before="120"/>
              <w:rPr>
                <w:b/>
                <w:szCs w:val="22"/>
              </w:rPr>
            </w:pPr>
            <w:r w:rsidRPr="002A76C8">
              <w:rPr>
                <w:b/>
                <w:szCs w:val="22"/>
              </w:rPr>
              <w:t>1. Relevance of the action</w:t>
            </w:r>
          </w:p>
        </w:tc>
        <w:tc>
          <w:tcPr>
            <w:tcW w:w="1260" w:type="dxa"/>
            <w:tcBorders>
              <w:top w:val="single" w:sz="4" w:space="0" w:color="auto"/>
              <w:bottom w:val="single" w:sz="4" w:space="0" w:color="auto"/>
            </w:tcBorders>
          </w:tcPr>
          <w:p w:rsidR="002A7F83" w:rsidRPr="002A76C8" w:rsidRDefault="002A7F83" w:rsidP="00F42767">
            <w:pPr>
              <w:spacing w:before="120"/>
              <w:jc w:val="center"/>
              <w:rPr>
                <w:szCs w:val="22"/>
              </w:rPr>
            </w:pPr>
            <w:r w:rsidRPr="002A76C8">
              <w:rPr>
                <w:szCs w:val="22"/>
              </w:rPr>
              <w:t>Sub-score</w:t>
            </w:r>
          </w:p>
        </w:tc>
        <w:tc>
          <w:tcPr>
            <w:tcW w:w="529" w:type="dxa"/>
            <w:tcBorders>
              <w:top w:val="single" w:sz="4" w:space="0" w:color="auto"/>
              <w:bottom w:val="single" w:sz="4" w:space="0" w:color="auto"/>
              <w:right w:val="single" w:sz="4" w:space="0" w:color="auto"/>
            </w:tcBorders>
          </w:tcPr>
          <w:p w:rsidR="002A7F83" w:rsidRPr="002A76C8" w:rsidRDefault="002A7F83" w:rsidP="00F42767">
            <w:pPr>
              <w:spacing w:before="120"/>
              <w:jc w:val="center"/>
              <w:rPr>
                <w:b/>
                <w:szCs w:val="22"/>
              </w:rPr>
            </w:pPr>
            <w:r w:rsidRPr="002A76C8">
              <w:rPr>
                <w:b/>
                <w:szCs w:val="22"/>
              </w:rPr>
              <w:t>20</w:t>
            </w: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Pr>
          <w:p w:rsidR="002A7F83" w:rsidRPr="002A76C8" w:rsidRDefault="002A7F83" w:rsidP="00F42767">
            <w:pPr>
              <w:spacing w:before="120"/>
              <w:ind w:left="340" w:hanging="340"/>
              <w:rPr>
                <w:szCs w:val="22"/>
              </w:rPr>
            </w:pPr>
            <w:r w:rsidRPr="002A76C8">
              <w:rPr>
                <w:szCs w:val="22"/>
              </w:rPr>
              <w:t>1.1</w:t>
            </w:r>
            <w:r w:rsidRPr="002A76C8">
              <w:rPr>
                <w:szCs w:val="22"/>
              </w:rPr>
              <w:tab/>
              <w:t>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Pr>
          <w:p w:rsidR="002A7F83" w:rsidRPr="002A76C8" w:rsidRDefault="002A7F83" w:rsidP="00F42767">
            <w:pPr>
              <w:spacing w:before="120"/>
              <w:ind w:left="425" w:hanging="425"/>
              <w:rPr>
                <w:szCs w:val="22"/>
              </w:rPr>
            </w:pPr>
            <w:r w:rsidRPr="002A76C8">
              <w:rPr>
                <w:szCs w:val="22"/>
              </w:rPr>
              <w:t>1.2</w:t>
            </w:r>
            <w:r w:rsidRPr="002A76C8">
              <w:rPr>
                <w:szCs w:val="22"/>
              </w:rPr>
              <w:tab/>
              <w:t>How relevant is the proposal to the particular needs and constraints</w:t>
            </w:r>
            <w:r w:rsidRPr="002A76C8">
              <w:rPr>
                <w:b/>
                <w:szCs w:val="22"/>
              </w:rPr>
              <w:t xml:space="preserve"> </w:t>
            </w:r>
            <w:r w:rsidRPr="002A76C8">
              <w:rPr>
                <w:szCs w:val="22"/>
              </w:rPr>
              <w:t>of the target country(ies), region(s) and/or relevant sectors (including synergy with other development initiatives and avoidance of duplication)?</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rPr>
          <w:trHeight w:val="990"/>
        </w:trPr>
        <w:tc>
          <w:tcPr>
            <w:tcW w:w="8208" w:type="dxa"/>
            <w:tcBorders>
              <w:left w:val="single" w:sz="4" w:space="0" w:color="auto"/>
              <w:right w:val="single" w:sz="4" w:space="0" w:color="auto"/>
            </w:tcBorders>
          </w:tcPr>
          <w:p w:rsidR="002A7F83" w:rsidRPr="002A76C8" w:rsidRDefault="002A7F83" w:rsidP="00F42767">
            <w:pPr>
              <w:spacing w:before="120"/>
              <w:ind w:left="425" w:hanging="425"/>
              <w:rPr>
                <w:szCs w:val="22"/>
              </w:rPr>
            </w:pPr>
            <w:r w:rsidRPr="002A76C8">
              <w:rPr>
                <w:szCs w:val="22"/>
              </w:rPr>
              <w:t>1.3</w:t>
            </w:r>
            <w:r w:rsidRPr="002A76C8">
              <w:rPr>
                <w:szCs w:val="22"/>
              </w:rPr>
              <w:tab/>
              <w:t>How clearly defined and strategically chosen are those involved (final beneficiaries, target groups)? Have their needs (as rights holders and/or duty bearers) and constraints been clearly defined and does the proposal address them appropriately?</w:t>
            </w:r>
          </w:p>
        </w:tc>
        <w:tc>
          <w:tcPr>
            <w:tcW w:w="1260" w:type="dxa"/>
            <w:tcBorders>
              <w:top w:val="single" w:sz="4" w:space="0" w:color="auto"/>
              <w:left w:val="single" w:sz="4" w:space="0" w:color="auto"/>
              <w:right w:val="single" w:sz="4" w:space="0" w:color="auto"/>
            </w:tcBorders>
          </w:tcPr>
          <w:p w:rsidR="002A7F83" w:rsidRPr="002A76C8" w:rsidDel="002D2C92" w:rsidRDefault="002A7F83" w:rsidP="00F42767">
            <w:pPr>
              <w:spacing w:before="120"/>
              <w:jc w:val="center"/>
              <w:rPr>
                <w:szCs w:val="22"/>
              </w:rPr>
            </w:pPr>
            <w:r w:rsidRPr="002A76C8">
              <w:rPr>
                <w:szCs w:val="22"/>
              </w:rPr>
              <w:t>5</w:t>
            </w:r>
          </w:p>
        </w:tc>
        <w:tc>
          <w:tcPr>
            <w:tcW w:w="529" w:type="dxa"/>
            <w:tcBorders>
              <w:left w:val="single" w:sz="4" w:space="0" w:color="auto"/>
              <w:right w:val="single" w:sz="4" w:space="0" w:color="auto"/>
            </w:tcBorders>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Pr>
          <w:p w:rsidR="002A7F83" w:rsidRPr="002A76C8" w:rsidRDefault="002A7F83" w:rsidP="00F42767">
            <w:pPr>
              <w:spacing w:before="120"/>
              <w:ind w:left="425" w:hanging="425"/>
              <w:rPr>
                <w:szCs w:val="22"/>
              </w:rPr>
            </w:pPr>
            <w:r w:rsidRPr="002A76C8">
              <w:rPr>
                <w:szCs w:val="22"/>
              </w:rPr>
              <w:t>1.4</w:t>
            </w:r>
            <w:r w:rsidRPr="002A76C8">
              <w:rPr>
                <w:szCs w:val="22"/>
              </w:rPr>
              <w:tab/>
              <w:t>Does the proposal contain particular added-value elements (e.g. innovation, best practices)?</w:t>
            </w:r>
            <w:r w:rsidRPr="002A76C8">
              <w:rPr>
                <w:i/>
                <w:iCs/>
                <w:szCs w:val="22"/>
              </w:rPr>
              <w:t xml:space="preserve"> </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Pr>
          <w:p w:rsidR="002A7F83" w:rsidRPr="002A76C8" w:rsidRDefault="002A7F83" w:rsidP="00F42767">
            <w:pPr>
              <w:spacing w:before="120"/>
              <w:rPr>
                <w:b/>
                <w:szCs w:val="22"/>
              </w:rPr>
            </w:pPr>
            <w:r w:rsidRPr="002A76C8">
              <w:rPr>
                <w:b/>
                <w:szCs w:val="22"/>
              </w:rPr>
              <w:t>2. Design of the action</w:t>
            </w:r>
          </w:p>
        </w:tc>
        <w:tc>
          <w:tcPr>
            <w:tcW w:w="1260" w:type="dxa"/>
          </w:tcPr>
          <w:p w:rsidR="002A7F83" w:rsidRPr="002A76C8" w:rsidRDefault="002A7F83" w:rsidP="00F42767">
            <w:pPr>
              <w:spacing w:before="120"/>
              <w:jc w:val="center"/>
              <w:rPr>
                <w:szCs w:val="22"/>
              </w:rPr>
            </w:pPr>
            <w:r w:rsidRPr="002A76C8">
              <w:rPr>
                <w:szCs w:val="22"/>
              </w:rPr>
              <w:t>Sub-score</w:t>
            </w:r>
          </w:p>
        </w:tc>
        <w:tc>
          <w:tcPr>
            <w:tcW w:w="529" w:type="dxa"/>
          </w:tcPr>
          <w:p w:rsidR="002A7F83" w:rsidRPr="002A76C8" w:rsidRDefault="002A7F83" w:rsidP="00F42767">
            <w:pPr>
              <w:spacing w:before="120"/>
              <w:jc w:val="center"/>
              <w:rPr>
                <w:b/>
                <w:szCs w:val="22"/>
              </w:rPr>
            </w:pPr>
            <w:r w:rsidRPr="002A76C8">
              <w:rPr>
                <w:b/>
                <w:szCs w:val="22"/>
              </w:rPr>
              <w:t>30</w:t>
            </w: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Pr>
          <w:p w:rsidR="002A7F83" w:rsidRPr="002A76C8" w:rsidRDefault="002A7F83" w:rsidP="00F42767">
            <w:pPr>
              <w:spacing w:before="120" w:after="0"/>
              <w:ind w:left="425" w:hanging="425"/>
              <w:rPr>
                <w:szCs w:val="22"/>
              </w:rPr>
            </w:pPr>
            <w:r w:rsidRPr="002A76C8">
              <w:rPr>
                <w:szCs w:val="22"/>
              </w:rPr>
              <w:t>2.1</w:t>
            </w:r>
            <w:r w:rsidRPr="002A76C8">
              <w:rPr>
                <w:szCs w:val="22"/>
              </w:rPr>
              <w:tab/>
              <w:t xml:space="preserve">How coherent is the overall design of the action? </w:t>
            </w:r>
          </w:p>
          <w:p w:rsidR="002A7F83" w:rsidRPr="002A76C8" w:rsidRDefault="002A7F83" w:rsidP="00F42767">
            <w:pPr>
              <w:spacing w:before="120"/>
              <w:ind w:left="425"/>
              <w:rPr>
                <w:szCs w:val="22"/>
              </w:rPr>
            </w:pPr>
            <w:r w:rsidRPr="002A76C8">
              <w:rPr>
                <w:szCs w:val="22"/>
              </w:rPr>
              <w:t>Does the proposal indicate the expected results to be achieved by the action? Does the intervention logic explain the rationale to achieve the expected results?</w:t>
            </w:r>
          </w:p>
        </w:tc>
        <w:tc>
          <w:tcPr>
            <w:tcW w:w="1260" w:type="dxa"/>
          </w:tcPr>
          <w:p w:rsidR="002A7F83" w:rsidRPr="002A76C8" w:rsidRDefault="002A7F83" w:rsidP="00F42767">
            <w:pPr>
              <w:spacing w:before="120"/>
              <w:jc w:val="center"/>
              <w:rPr>
                <w:szCs w:val="22"/>
              </w:rPr>
            </w:pPr>
            <w:r w:rsidRPr="002A76C8">
              <w:rPr>
                <w:szCs w:val="22"/>
              </w:rPr>
              <w:t>5x2**</w:t>
            </w:r>
          </w:p>
        </w:tc>
        <w:tc>
          <w:tcPr>
            <w:tcW w:w="529" w:type="dxa"/>
            <w:vMerge w:val="restart"/>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2A7F83" w:rsidRPr="002A76C8" w:rsidRDefault="002A7F83" w:rsidP="00F42767">
            <w:pPr>
              <w:spacing w:before="120"/>
              <w:ind w:left="425" w:hanging="425"/>
              <w:rPr>
                <w:szCs w:val="22"/>
              </w:rPr>
            </w:pPr>
            <w:r w:rsidRPr="002A76C8">
              <w:rPr>
                <w:szCs w:val="22"/>
              </w:rPr>
              <w:t>2.2</w:t>
            </w:r>
            <w:r w:rsidRPr="002A76C8">
              <w:rPr>
                <w:szCs w:val="22"/>
              </w:rPr>
              <w:tab/>
              <w:t>Does the design reflect a robust analysis of the problems involved, and the capacities of the relevant stakeholders?</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vMerge/>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2A7F83" w:rsidRPr="002A76C8" w:rsidRDefault="002A7F83" w:rsidP="00F42767">
            <w:pPr>
              <w:spacing w:before="120"/>
              <w:ind w:left="425" w:hanging="425"/>
              <w:rPr>
                <w:szCs w:val="22"/>
              </w:rPr>
            </w:pPr>
            <w:r w:rsidRPr="002A76C8">
              <w:rPr>
                <w:szCs w:val="22"/>
              </w:rPr>
              <w:t>2.3</w:t>
            </w:r>
            <w:r w:rsidRPr="002A76C8">
              <w:rPr>
                <w:szCs w:val="22"/>
              </w:rPr>
              <w:tab/>
              <w:t>Does the design take into account external factors (risks and assumptions)?</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2A7F83" w:rsidRPr="002A76C8" w:rsidRDefault="002A7F83" w:rsidP="00F42767">
            <w:pPr>
              <w:spacing w:before="120"/>
              <w:ind w:left="425" w:hanging="425"/>
              <w:rPr>
                <w:szCs w:val="22"/>
              </w:rPr>
            </w:pPr>
            <w:r w:rsidRPr="002A76C8">
              <w:rPr>
                <w:szCs w:val="22"/>
              </w:rPr>
              <w:t>2.4</w:t>
            </w:r>
            <w:r w:rsidRPr="002A76C8">
              <w:rPr>
                <w:szCs w:val="22"/>
              </w:rPr>
              <w:tab/>
              <w:t>Are the activities feasible and consistent in relation to the expected results (including timeframe)? Are results (output, outcome and impact) realistic?</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2A7F83" w:rsidRPr="002A76C8" w:rsidRDefault="002A7F83" w:rsidP="00F42767">
            <w:pPr>
              <w:spacing w:before="120"/>
              <w:ind w:left="425" w:hanging="425"/>
              <w:rPr>
                <w:szCs w:val="22"/>
              </w:rPr>
            </w:pPr>
            <w:r w:rsidRPr="002A76C8">
              <w:rPr>
                <w:szCs w:val="22"/>
              </w:rPr>
              <w:lastRenderedPageBreak/>
              <w:t>2.5</w:t>
            </w:r>
            <w:r w:rsidRPr="002A76C8">
              <w:rPr>
                <w:szCs w:val="22"/>
              </w:rPr>
              <w:tab/>
              <w:t xml:space="preserve">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p>
        </w:tc>
        <w:tc>
          <w:tcPr>
            <w:tcW w:w="1260" w:type="dxa"/>
          </w:tcPr>
          <w:p w:rsidR="002A7F83" w:rsidRPr="002A76C8" w:rsidRDefault="002A7F83" w:rsidP="00F42767">
            <w:pPr>
              <w:spacing w:before="120"/>
              <w:jc w:val="center"/>
              <w:rPr>
                <w:szCs w:val="22"/>
              </w:rPr>
            </w:pPr>
            <w:r w:rsidRPr="002A76C8">
              <w:rPr>
                <w:szCs w:val="22"/>
              </w:rPr>
              <w:t>5</w:t>
            </w:r>
          </w:p>
        </w:tc>
        <w:tc>
          <w:tcPr>
            <w:tcW w:w="529" w:type="dxa"/>
          </w:tcPr>
          <w:p w:rsidR="002A7F83" w:rsidRPr="002A76C8" w:rsidRDefault="002A7F83" w:rsidP="00F42767">
            <w:pPr>
              <w:spacing w:before="120"/>
              <w:jc w:val="center"/>
              <w:rPr>
                <w:szCs w:val="22"/>
                <w:u w:val="single"/>
              </w:rPr>
            </w:pPr>
          </w:p>
        </w:tc>
      </w:tr>
      <w:tr w:rsidR="002A7F83" w:rsidRPr="002A76C8" w:rsidTr="00F42767">
        <w:trPr>
          <w:trHeight w:val="395"/>
        </w:trPr>
        <w:tc>
          <w:tcPr>
            <w:tcW w:w="9468" w:type="dxa"/>
            <w:gridSpan w:val="2"/>
            <w:tcBorders>
              <w:top w:val="single" w:sz="4" w:space="0" w:color="auto"/>
              <w:left w:val="single" w:sz="4" w:space="0" w:color="auto"/>
              <w:bottom w:val="single" w:sz="4" w:space="0" w:color="auto"/>
              <w:right w:val="single" w:sz="4" w:space="0" w:color="auto"/>
            </w:tcBorders>
          </w:tcPr>
          <w:p w:rsidR="002A7F83" w:rsidRPr="002A76C8" w:rsidRDefault="002A7F83" w:rsidP="00F42767">
            <w:pPr>
              <w:spacing w:before="120"/>
              <w:jc w:val="right"/>
              <w:rPr>
                <w:b/>
                <w:szCs w:val="22"/>
              </w:rPr>
            </w:pPr>
            <w:r w:rsidRPr="002A76C8">
              <w:rPr>
                <w:b/>
                <w:szCs w:val="22"/>
              </w:rPr>
              <w:t>TOTAL SCORE</w:t>
            </w:r>
          </w:p>
        </w:tc>
        <w:tc>
          <w:tcPr>
            <w:tcW w:w="529" w:type="dxa"/>
            <w:tcBorders>
              <w:top w:val="single" w:sz="4" w:space="0" w:color="auto"/>
              <w:left w:val="single" w:sz="4" w:space="0" w:color="auto"/>
              <w:bottom w:val="single" w:sz="4" w:space="0" w:color="auto"/>
              <w:right w:val="single" w:sz="4" w:space="0" w:color="auto"/>
            </w:tcBorders>
          </w:tcPr>
          <w:p w:rsidR="002A7F83" w:rsidRPr="002A76C8" w:rsidRDefault="002A7F83" w:rsidP="00F42767">
            <w:pPr>
              <w:spacing w:before="120"/>
              <w:jc w:val="center"/>
              <w:rPr>
                <w:b/>
                <w:szCs w:val="22"/>
              </w:rPr>
            </w:pPr>
            <w:r w:rsidRPr="002A76C8">
              <w:rPr>
                <w:b/>
                <w:szCs w:val="22"/>
              </w:rPr>
              <w:t>50</w:t>
            </w:r>
          </w:p>
        </w:tc>
      </w:tr>
    </w:tbl>
    <w:p w:rsidR="002A7F83" w:rsidRPr="002A76C8" w:rsidRDefault="002A7F83" w:rsidP="002A7F83">
      <w:pPr>
        <w:rPr>
          <w:szCs w:val="22"/>
          <w:highlight w:val="yellow"/>
        </w:rPr>
      </w:pPr>
    </w:p>
    <w:p w:rsidR="002A7F83" w:rsidRPr="002A76C8" w:rsidRDefault="002A7F83" w:rsidP="002A7F83">
      <w:pPr>
        <w:rPr>
          <w:szCs w:val="22"/>
        </w:rPr>
      </w:pPr>
      <w:r w:rsidRPr="002A76C8">
        <w:rPr>
          <w:szCs w:val="22"/>
        </w:rPr>
        <w:t>**this score is multiplied by 2 because of its importance</w:t>
      </w:r>
    </w:p>
    <w:p w:rsidR="002A7F83" w:rsidRPr="002A76C8" w:rsidRDefault="002A7F83" w:rsidP="002A7F83">
      <w:pPr>
        <w:rPr>
          <w:szCs w:val="22"/>
        </w:rPr>
      </w:pPr>
      <w:r w:rsidRPr="002A76C8">
        <w:rPr>
          <w:szCs w:val="22"/>
        </w:rPr>
        <w:t xml:space="preserve">Once all concept notes have been assessed, a list will be drawn up with the proposed actions ranked according to their total score. </w:t>
      </w:r>
    </w:p>
    <w:p w:rsidR="002A7F83" w:rsidRPr="002A76C8" w:rsidRDefault="002A7F83" w:rsidP="002A7F83">
      <w:pPr>
        <w:rPr>
          <w:szCs w:val="22"/>
        </w:rPr>
      </w:pPr>
      <w:r w:rsidRPr="002A76C8">
        <w:rPr>
          <w:szCs w:val="22"/>
        </w:rPr>
        <w:t xml:space="preserve">Firstly, only the concept notes with a score of at least 30 will be considered for pre-selection. </w:t>
      </w:r>
    </w:p>
    <w:p w:rsidR="002A7F83" w:rsidRPr="002A76C8" w:rsidRDefault="002A7F83" w:rsidP="002A7F83">
      <w:pPr>
        <w:rPr>
          <w:szCs w:val="22"/>
        </w:rPr>
      </w:pPr>
      <w:r w:rsidRPr="002A76C8">
        <w:rPr>
          <w:szCs w:val="22"/>
        </w:rPr>
        <w:t xml:space="preserve">Secondly, the number of concept notes will be reduced, taking account of the ranking, to </w:t>
      </w:r>
      <w:r>
        <w:rPr>
          <w:szCs w:val="22"/>
        </w:rPr>
        <w:t>a</w:t>
      </w:r>
      <w:r w:rsidRPr="002A76C8">
        <w:rPr>
          <w:szCs w:val="22"/>
        </w:rPr>
        <w:t xml:space="preserve"> number of concept notes</w:t>
      </w:r>
      <w:r>
        <w:rPr>
          <w:szCs w:val="22"/>
        </w:rPr>
        <w:t xml:space="preserve"> for the</w:t>
      </w:r>
      <w:r w:rsidRPr="002A76C8">
        <w:rPr>
          <w:szCs w:val="22"/>
        </w:rPr>
        <w:t xml:space="preserve"> total aggregate amount of requested contributions</w:t>
      </w:r>
      <w:r>
        <w:rPr>
          <w:szCs w:val="22"/>
        </w:rPr>
        <w:t xml:space="preserve"> that</w:t>
      </w:r>
      <w:r w:rsidRPr="002A76C8">
        <w:rPr>
          <w:szCs w:val="22"/>
        </w:rPr>
        <w:t xml:space="preserve"> is</w:t>
      </w:r>
      <w:r>
        <w:rPr>
          <w:szCs w:val="22"/>
        </w:rPr>
        <w:t xml:space="preserve"> equal to</w:t>
      </w:r>
      <w:r w:rsidRPr="002A76C8">
        <w:rPr>
          <w:szCs w:val="22"/>
        </w:rPr>
        <w:t xml:space="preserve"> </w:t>
      </w:r>
      <w:r>
        <w:rPr>
          <w:szCs w:val="22"/>
        </w:rPr>
        <w:t>at least</w:t>
      </w:r>
      <w:r w:rsidRPr="002A76C8">
        <w:rPr>
          <w:szCs w:val="22"/>
        </w:rPr>
        <w:t xml:space="preserve"> 200% of the available budget for this call for proposals. The amount of requested contributions of each concept note will be based on the indicative financial envelopes for each lot, where relevant.</w:t>
      </w:r>
    </w:p>
    <w:p w:rsidR="002A7F83" w:rsidRPr="002A76C8" w:rsidRDefault="002A7F83" w:rsidP="002A7F83">
      <w:pPr>
        <w:rPr>
          <w:b/>
          <w:szCs w:val="22"/>
        </w:rPr>
      </w:pPr>
      <w:r w:rsidRPr="002A76C8">
        <w:rPr>
          <w:szCs w:val="22"/>
        </w:rPr>
        <w:t>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The pre-selected lead applicants will subsequently be invited to submit full applications.</w:t>
      </w:r>
      <w:r w:rsidRPr="002A76C8">
        <w:rPr>
          <w:b/>
          <w:szCs w:val="22"/>
        </w:rPr>
        <w:br w:type="page"/>
      </w:r>
      <w:r w:rsidRPr="002A76C8">
        <w:rPr>
          <w:b/>
          <w:szCs w:val="22"/>
        </w:rPr>
        <w:lastRenderedPageBreak/>
        <w:t xml:space="preserve">STEP 2: OPENING &amp; ADMINISTRATIVE CHECKS AND EVALUATION OF THE FULL APPLICATION </w:t>
      </w:r>
    </w:p>
    <w:p w:rsidR="002A7F83" w:rsidRPr="002A76C8" w:rsidRDefault="002A7F83" w:rsidP="002A7F83">
      <w:pPr>
        <w:rPr>
          <w:szCs w:val="22"/>
        </w:rPr>
      </w:pPr>
      <w:r w:rsidRPr="002A76C8">
        <w:rPr>
          <w:szCs w:val="22"/>
        </w:rPr>
        <w:t>Firstly, the following will be assessed:</w:t>
      </w:r>
    </w:p>
    <w:p w:rsidR="002A7F83" w:rsidRPr="002A76C8" w:rsidRDefault="002A7F83" w:rsidP="0033394E">
      <w:pPr>
        <w:numPr>
          <w:ilvl w:val="0"/>
          <w:numId w:val="35"/>
        </w:numPr>
        <w:rPr>
          <w:szCs w:val="22"/>
        </w:rPr>
      </w:pPr>
      <w:r w:rsidRPr="002A76C8">
        <w:rPr>
          <w:szCs w:val="22"/>
        </w:rPr>
        <w:t>If the submission deadline has been met. Otherwise, the application will automatically be rejected.</w:t>
      </w:r>
    </w:p>
    <w:p w:rsidR="002A7F83" w:rsidRPr="002A76C8" w:rsidRDefault="002A7F83" w:rsidP="0033394E">
      <w:pPr>
        <w:numPr>
          <w:ilvl w:val="0"/>
          <w:numId w:val="35"/>
        </w:numPr>
        <w:rPr>
          <w:szCs w:val="22"/>
        </w:rPr>
      </w:pPr>
      <w:r w:rsidRPr="002A76C8">
        <w:rPr>
          <w:szCs w:val="22"/>
        </w:rP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2A76C8">
        <w:rPr>
          <w:b/>
          <w:szCs w:val="22"/>
          <w:u w:val="single"/>
        </w:rPr>
        <w:t>sole</w:t>
      </w:r>
      <w:r w:rsidRPr="002A76C8">
        <w:rPr>
          <w:szCs w:val="22"/>
        </w:rPr>
        <w:t xml:space="preserve"> basis and the application will not be evaluated further.</w:t>
      </w:r>
    </w:p>
    <w:p w:rsidR="002A7F83" w:rsidRPr="002A76C8" w:rsidRDefault="002A7F83" w:rsidP="002A7F83">
      <w:pPr>
        <w:rPr>
          <w:szCs w:val="22"/>
        </w:rPr>
      </w:pPr>
      <w:r w:rsidRPr="002A76C8">
        <w:rPr>
          <w:szCs w:val="22"/>
        </w:rPr>
        <w:t>The full applications that pass this check will be further evaluated on their quality, including the proposed budget and capacity of the applicants and affiliated entity(ies). They will be evaluated using the evaluation criteria in the evaluation grid below. There are two types of evaluation criteria: selection and award criteria.</w:t>
      </w:r>
    </w:p>
    <w:p w:rsidR="002A7F83" w:rsidRPr="002A76C8" w:rsidRDefault="002A7F83" w:rsidP="002A7F83">
      <w:pPr>
        <w:rPr>
          <w:szCs w:val="22"/>
        </w:rPr>
      </w:pPr>
      <w:r w:rsidRPr="002A76C8">
        <w:rPr>
          <w:b/>
          <w:szCs w:val="22"/>
          <w:u w:val="single"/>
        </w:rPr>
        <w:t>The selection criteria</w:t>
      </w:r>
      <w:r w:rsidRPr="002A76C8">
        <w:rPr>
          <w:szCs w:val="22"/>
        </w:rPr>
        <w:t xml:space="preserve"> help to evaluate the applicant(s)'s and affiliated entity(ies)'s operational capacity and the lead applicant's financial capacity and are used to verify that they:</w:t>
      </w:r>
    </w:p>
    <w:p w:rsidR="002A7F83" w:rsidRPr="002A76C8" w:rsidRDefault="002A7F83" w:rsidP="0033394E">
      <w:pPr>
        <w:numPr>
          <w:ilvl w:val="0"/>
          <w:numId w:val="36"/>
        </w:numPr>
        <w:rPr>
          <w:szCs w:val="22"/>
        </w:rPr>
      </w:pPr>
      <w:r w:rsidRPr="002A76C8">
        <w:rPr>
          <w:szCs w:val="22"/>
        </w:rPr>
        <w:t>have stable and sufficient sources of finance to maintain their activity throughout the proposed action and, where appropriate, to participate in its funding (this only applies to lead applicants);</w:t>
      </w:r>
    </w:p>
    <w:p w:rsidR="002A7F83" w:rsidRPr="002A76C8" w:rsidRDefault="002A7F83" w:rsidP="0033394E">
      <w:pPr>
        <w:numPr>
          <w:ilvl w:val="0"/>
          <w:numId w:val="36"/>
        </w:numPr>
        <w:rPr>
          <w:szCs w:val="22"/>
        </w:rPr>
      </w:pPr>
      <w:r w:rsidRPr="002A76C8">
        <w:rPr>
          <w:szCs w:val="22"/>
        </w:rPr>
        <w:t>have the management capacity, professional competencies and qualifications required to successfully complete the proposed action. This applies to applicants and any affiliated entity(ies).</w:t>
      </w:r>
    </w:p>
    <w:p w:rsidR="002A7F83" w:rsidRPr="002A76C8" w:rsidRDefault="002A7F83" w:rsidP="002A7F83">
      <w:pPr>
        <w:rPr>
          <w:szCs w:val="22"/>
        </w:rPr>
      </w:pPr>
      <w:r w:rsidRPr="002A76C8">
        <w:rPr>
          <w:b/>
          <w:szCs w:val="22"/>
          <w:u w:val="single"/>
        </w:rPr>
        <w:t>The award criteria</w:t>
      </w:r>
      <w:r w:rsidRPr="002A76C8">
        <w:rPr>
          <w:szCs w:val="22"/>
        </w:rPr>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rsidR="002A7F83" w:rsidRPr="002A76C8" w:rsidRDefault="002A7F83" w:rsidP="002A7F83">
      <w:pPr>
        <w:rPr>
          <w:i/>
          <w:szCs w:val="22"/>
        </w:rPr>
      </w:pPr>
      <w:r w:rsidRPr="002A76C8">
        <w:rPr>
          <w:i/>
          <w:szCs w:val="22"/>
        </w:rPr>
        <w:t>Scoring:</w:t>
      </w:r>
    </w:p>
    <w:p w:rsidR="002A7F83" w:rsidRPr="002A76C8" w:rsidRDefault="002A7F83" w:rsidP="002A7F83">
      <w:pPr>
        <w:rPr>
          <w:szCs w:val="22"/>
        </w:rPr>
      </w:pPr>
      <w:r w:rsidRPr="002A76C8">
        <w:rPr>
          <w:szCs w:val="22"/>
        </w:rPr>
        <w:t xml:space="preserve">The evaluation grid is divided into Sections and subsections. Each subsection will be given a score between 1 and 5 as follows: 1 = very poor; 2 = poor; 3 = adequate; 4 = good; 5 = very good. </w:t>
      </w:r>
    </w:p>
    <w:p w:rsidR="002A7F83" w:rsidRPr="002A76C8" w:rsidRDefault="002A7F83" w:rsidP="002A7F83">
      <w:pPr>
        <w:rPr>
          <w:b/>
          <w:szCs w:val="22"/>
        </w:rPr>
      </w:pPr>
      <w:r w:rsidRPr="002A76C8">
        <w:rPr>
          <w:b/>
          <w:szCs w:val="22"/>
        </w:rPr>
        <w:br w:type="page"/>
      </w:r>
      <w:r w:rsidRPr="002A76C8">
        <w:rPr>
          <w:b/>
          <w:szCs w:val="22"/>
        </w:rPr>
        <w:lastRenderedPageBreak/>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2A7F83" w:rsidRPr="002A76C8" w:rsidTr="00F42767">
        <w:tc>
          <w:tcPr>
            <w:tcW w:w="8472" w:type="dxa"/>
            <w:vAlign w:val="center"/>
          </w:tcPr>
          <w:p w:rsidR="002A7F83" w:rsidRPr="002A76C8" w:rsidRDefault="002A7F83" w:rsidP="00F42767">
            <w:pPr>
              <w:spacing w:before="120"/>
              <w:rPr>
                <w:b/>
                <w:szCs w:val="22"/>
              </w:rPr>
            </w:pPr>
            <w:r w:rsidRPr="002A76C8">
              <w:rPr>
                <w:b/>
                <w:szCs w:val="22"/>
              </w:rPr>
              <w:t>Section</w:t>
            </w:r>
          </w:p>
        </w:tc>
        <w:tc>
          <w:tcPr>
            <w:tcW w:w="1275" w:type="dxa"/>
            <w:vAlign w:val="center"/>
          </w:tcPr>
          <w:p w:rsidR="002A7F83" w:rsidRPr="002A76C8" w:rsidRDefault="002A7F83" w:rsidP="00F42767">
            <w:pPr>
              <w:spacing w:before="120"/>
              <w:jc w:val="center"/>
              <w:rPr>
                <w:b/>
                <w:szCs w:val="22"/>
              </w:rPr>
            </w:pPr>
            <w:r w:rsidRPr="002A76C8">
              <w:rPr>
                <w:b/>
                <w:szCs w:val="22"/>
              </w:rPr>
              <w:t>Maximum Score</w:t>
            </w:r>
          </w:p>
        </w:tc>
      </w:tr>
      <w:tr w:rsidR="002A7F83" w:rsidRPr="002A76C8" w:rsidTr="00F42767">
        <w:tc>
          <w:tcPr>
            <w:tcW w:w="8472" w:type="dxa"/>
            <w:shd w:val="pct10" w:color="auto" w:fill="FFFFFF"/>
            <w:vAlign w:val="center"/>
          </w:tcPr>
          <w:p w:rsidR="002A7F83" w:rsidRPr="002A76C8" w:rsidRDefault="002A7F83" w:rsidP="00F42767">
            <w:pPr>
              <w:spacing w:before="120"/>
              <w:rPr>
                <w:szCs w:val="22"/>
              </w:rPr>
            </w:pPr>
            <w:r w:rsidRPr="002A76C8">
              <w:rPr>
                <w:b/>
                <w:szCs w:val="22"/>
              </w:rPr>
              <w:t>1. Financial and operational capacity</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20</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1.1</w:t>
            </w:r>
            <w:r w:rsidRPr="002A76C8">
              <w:rPr>
                <w:szCs w:val="22"/>
              </w:rPr>
              <w:tab/>
              <w:t>Do the applicants and, if applicable, their affiliated entity(ies) have sufficient in-house experience of project</w:t>
            </w:r>
            <w:r w:rsidRPr="002A76C8">
              <w:rPr>
                <w:b/>
                <w:szCs w:val="22"/>
              </w:rPr>
              <w:t xml:space="preserve"> </w:t>
            </w:r>
            <w:r w:rsidRPr="002A76C8">
              <w:rPr>
                <w:szCs w:val="22"/>
              </w:rPr>
              <w:t xml:space="preserve">management? </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1.2</w:t>
            </w:r>
            <w:r w:rsidRPr="002A76C8">
              <w:rPr>
                <w:szCs w:val="22"/>
              </w:rPr>
              <w:tab/>
              <w:t>Do the applicants and, if applicable, their affiliated entity(ies) have sufficient in-house technical expertise? (especially knowledge of the issues to be addressed)</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Borders>
              <w:bottom w:val="nil"/>
            </w:tcBorders>
          </w:tcPr>
          <w:p w:rsidR="002A7F83" w:rsidRPr="002A76C8" w:rsidRDefault="002A7F83" w:rsidP="00F42767">
            <w:pPr>
              <w:spacing w:before="120"/>
              <w:ind w:left="425" w:hanging="425"/>
              <w:jc w:val="left"/>
              <w:rPr>
                <w:szCs w:val="22"/>
              </w:rPr>
            </w:pPr>
            <w:r w:rsidRPr="002A76C8">
              <w:rPr>
                <w:szCs w:val="22"/>
              </w:rPr>
              <w:t>1.3</w:t>
            </w:r>
            <w:r w:rsidRPr="002A76C8">
              <w:rPr>
                <w:szCs w:val="22"/>
              </w:rPr>
              <w:tab/>
              <w:t>Do the applicants and, if applicable, their affiliated entity(ies) have sufficient in-house management capacity? (Including staff, equipment and ability to handle the budget for the action)?</w:t>
            </w:r>
          </w:p>
        </w:tc>
        <w:tc>
          <w:tcPr>
            <w:tcW w:w="1275" w:type="dxa"/>
            <w:tcBorders>
              <w:bottom w:val="nil"/>
            </w:tcBorders>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1.4</w:t>
            </w:r>
            <w:r w:rsidRPr="002A76C8">
              <w:rPr>
                <w:szCs w:val="22"/>
              </w:rPr>
              <w:tab/>
              <w:t>Does the lead applicant have stable and sufficient sources of finance?</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shd w:val="pct10" w:color="auto" w:fill="FFFFFF"/>
          </w:tcPr>
          <w:p w:rsidR="002A7F83" w:rsidRPr="002A76C8" w:rsidRDefault="002A7F83" w:rsidP="00F42767">
            <w:pPr>
              <w:spacing w:before="120"/>
              <w:rPr>
                <w:szCs w:val="22"/>
              </w:rPr>
            </w:pPr>
            <w:r w:rsidRPr="002A76C8">
              <w:rPr>
                <w:b/>
                <w:szCs w:val="22"/>
              </w:rPr>
              <w:t>2. Relevance</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20</w:t>
            </w:r>
          </w:p>
        </w:tc>
      </w:tr>
      <w:tr w:rsidR="002A7F83" w:rsidRPr="002A76C8" w:rsidTr="00F42767">
        <w:tc>
          <w:tcPr>
            <w:tcW w:w="8472" w:type="dxa"/>
            <w:shd w:val="clear" w:color="auto" w:fill="FFFFFF"/>
          </w:tcPr>
          <w:p w:rsidR="002A7F83" w:rsidRPr="002A76C8" w:rsidRDefault="002A7F83" w:rsidP="00F42767">
            <w:pPr>
              <w:spacing w:before="120"/>
              <w:rPr>
                <w:i/>
                <w:szCs w:val="22"/>
              </w:rPr>
            </w:pPr>
            <w:r w:rsidRPr="002A76C8">
              <w:rPr>
                <w:i/>
                <w:szCs w:val="22"/>
              </w:rPr>
              <w:t>Score transferred from the Concept Note evaluation</w:t>
            </w:r>
          </w:p>
        </w:tc>
        <w:tc>
          <w:tcPr>
            <w:tcW w:w="1275" w:type="dxa"/>
            <w:shd w:val="clear" w:color="auto" w:fill="FFFFFF"/>
            <w:vAlign w:val="center"/>
          </w:tcPr>
          <w:p w:rsidR="002A7F83" w:rsidRPr="002A76C8" w:rsidRDefault="002A7F83" w:rsidP="00F42767">
            <w:pPr>
              <w:spacing w:before="120"/>
              <w:jc w:val="center"/>
              <w:rPr>
                <w:b/>
                <w:szCs w:val="22"/>
              </w:rPr>
            </w:pPr>
          </w:p>
        </w:tc>
      </w:tr>
      <w:tr w:rsidR="002A7F83" w:rsidRPr="002A76C8" w:rsidTr="00F42767">
        <w:tc>
          <w:tcPr>
            <w:tcW w:w="8472" w:type="dxa"/>
            <w:shd w:val="pct10" w:color="auto" w:fill="FFFFFF"/>
            <w:vAlign w:val="center"/>
          </w:tcPr>
          <w:p w:rsidR="002A7F83" w:rsidRPr="002A76C8" w:rsidRDefault="002A7F83" w:rsidP="00F42767">
            <w:pPr>
              <w:spacing w:before="120"/>
              <w:rPr>
                <w:szCs w:val="22"/>
              </w:rPr>
            </w:pPr>
            <w:r w:rsidRPr="002A76C8">
              <w:rPr>
                <w:b/>
                <w:szCs w:val="22"/>
              </w:rPr>
              <w:t>3. Design of the action</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15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3.1</w:t>
            </w:r>
            <w:r w:rsidRPr="002A76C8">
              <w:rPr>
                <w:szCs w:val="22"/>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3.2</w:t>
            </w:r>
            <w:r w:rsidRPr="002A76C8">
              <w:rPr>
                <w:szCs w:val="22"/>
              </w:rPr>
              <w:tab/>
              <w:t>Does the proposal/Logical Framework include credible baseline, targets and sources of verification? If not, is a baseline study foreseen (and is the study budgeted appropriately in the proposal)?</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3.3</w:t>
            </w:r>
            <w:r w:rsidRPr="002A76C8">
              <w:rPr>
                <w:szCs w:val="22"/>
              </w:rPr>
              <w:tab/>
              <w:t>Does the design reflect a robust analysis of the problems involved, and the capacities of the relevant stakeholders?</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shd w:val="pct10" w:color="auto" w:fill="FFFFFF"/>
            <w:vAlign w:val="center"/>
          </w:tcPr>
          <w:p w:rsidR="002A7F83" w:rsidRPr="002A76C8" w:rsidRDefault="002A7F83" w:rsidP="00F42767">
            <w:pPr>
              <w:spacing w:before="120"/>
              <w:rPr>
                <w:szCs w:val="22"/>
              </w:rPr>
            </w:pPr>
            <w:r w:rsidRPr="002A76C8">
              <w:rPr>
                <w:b/>
                <w:szCs w:val="22"/>
              </w:rPr>
              <w:t>4. Implementation approach</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15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4.1</w:t>
            </w:r>
            <w:r w:rsidRPr="002A76C8">
              <w:rPr>
                <w:szCs w:val="22"/>
              </w:rPr>
              <w:tab/>
              <w:t>Is the action plan for implementing the action clear and feasible? Is the timeline realistic?</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4.2</w:t>
            </w:r>
            <w:r w:rsidRPr="002A76C8">
              <w:rPr>
                <w:szCs w:val="22"/>
              </w:rPr>
              <w:tab/>
              <w:t>Does the proposal include an effective and efficient monitoring system? Is there an evaluation planned (previous, during or/and at the end of the implementation)?</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Borders>
              <w:bottom w:val="nil"/>
            </w:tcBorders>
          </w:tcPr>
          <w:p w:rsidR="002A7F83" w:rsidRPr="002A76C8" w:rsidRDefault="002A7F83" w:rsidP="00F42767">
            <w:pPr>
              <w:spacing w:before="120"/>
              <w:ind w:left="425" w:hanging="425"/>
              <w:jc w:val="left"/>
              <w:rPr>
                <w:szCs w:val="22"/>
              </w:rPr>
            </w:pPr>
            <w:r w:rsidRPr="002A76C8">
              <w:rPr>
                <w:szCs w:val="22"/>
              </w:rPr>
              <w:t>4.3</w:t>
            </w:r>
            <w:r w:rsidRPr="002A76C8">
              <w:rPr>
                <w:szCs w:val="22"/>
              </w:rPr>
              <w:tab/>
              <w:t>Is the co-applicant(s)'s and affiliated entity(ies)'s level of involvement and participation in the action satisfactory?</w:t>
            </w:r>
          </w:p>
        </w:tc>
        <w:tc>
          <w:tcPr>
            <w:tcW w:w="1275" w:type="dxa"/>
            <w:tcBorders>
              <w:bottom w:val="nil"/>
            </w:tcBorders>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shd w:val="pct10" w:color="auto" w:fill="FFFFFF"/>
            <w:vAlign w:val="center"/>
          </w:tcPr>
          <w:p w:rsidR="002A7F83" w:rsidRPr="002A76C8" w:rsidRDefault="002A7F83" w:rsidP="00F42767">
            <w:pPr>
              <w:spacing w:before="120"/>
              <w:rPr>
                <w:szCs w:val="22"/>
              </w:rPr>
            </w:pPr>
            <w:r w:rsidRPr="002A76C8">
              <w:rPr>
                <w:szCs w:val="22"/>
              </w:rPr>
              <w:br w:type="page"/>
            </w:r>
            <w:r w:rsidRPr="002A76C8">
              <w:rPr>
                <w:b/>
                <w:szCs w:val="22"/>
              </w:rPr>
              <w:t xml:space="preserve">5. Sustainability of the action </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15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5.1</w:t>
            </w:r>
            <w:r w:rsidRPr="002A76C8">
              <w:rPr>
                <w:szCs w:val="22"/>
              </w:rPr>
              <w:tab/>
              <w:t>Is the action likely to have a tangible impact on its target groups?</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lastRenderedPageBreak/>
              <w:t>5.2</w:t>
            </w:r>
            <w:r w:rsidRPr="002A76C8">
              <w:rPr>
                <w:szCs w:val="22"/>
              </w:rPr>
              <w:tab/>
              <w:t>Is the action likely to have multiplier effects, including scope for replication, extension, capitalisation on experience and knowledge sharing?</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5.3</w:t>
            </w:r>
            <w:r w:rsidRPr="002A76C8">
              <w:rPr>
                <w:szCs w:val="22"/>
              </w:rPr>
              <w:tab/>
              <w:t>Are the expected results of the proposed action sustainable?:</w:t>
            </w:r>
          </w:p>
          <w:p w:rsidR="002A7F83" w:rsidRPr="002A76C8" w:rsidRDefault="002A7F83" w:rsidP="00F42767">
            <w:pPr>
              <w:spacing w:before="120"/>
              <w:ind w:left="510" w:hanging="170"/>
              <w:rPr>
                <w:szCs w:val="22"/>
              </w:rPr>
            </w:pPr>
            <w:r w:rsidRPr="002A76C8">
              <w:rPr>
                <w:szCs w:val="22"/>
              </w:rPr>
              <w:t xml:space="preserve">- Financially </w:t>
            </w:r>
            <w:r w:rsidRPr="002A76C8">
              <w:rPr>
                <w:i/>
                <w:szCs w:val="22"/>
              </w:rPr>
              <w:t>(e.g. financing of follow-up activities, sources of revenue for covering all future operating and maintenance costs)</w:t>
            </w:r>
          </w:p>
          <w:p w:rsidR="002A7F83" w:rsidRPr="002A76C8" w:rsidRDefault="002A7F83" w:rsidP="00F42767">
            <w:pPr>
              <w:spacing w:before="120"/>
              <w:ind w:left="510" w:hanging="170"/>
              <w:rPr>
                <w:szCs w:val="22"/>
              </w:rPr>
            </w:pPr>
            <w:r w:rsidRPr="002A76C8">
              <w:rPr>
                <w:szCs w:val="22"/>
              </w:rPr>
              <w:t xml:space="preserve">- Institutionally </w:t>
            </w:r>
            <w:r w:rsidRPr="002A76C8">
              <w:rPr>
                <w:i/>
                <w:szCs w:val="22"/>
              </w:rPr>
              <w:t>(will structures allow the results of the action to be sustained at the end of the action? Will there be local ‘ownership’ of the results of the action?)</w:t>
            </w:r>
          </w:p>
          <w:p w:rsidR="002A7F83" w:rsidRPr="002A76C8" w:rsidRDefault="002A7F83" w:rsidP="00F42767">
            <w:pPr>
              <w:spacing w:before="120"/>
              <w:ind w:left="510" w:hanging="170"/>
              <w:rPr>
                <w:iCs/>
                <w:szCs w:val="22"/>
              </w:rPr>
            </w:pPr>
            <w:r w:rsidRPr="002A76C8">
              <w:rPr>
                <w:szCs w:val="22"/>
              </w:rPr>
              <w:t xml:space="preserve">- At policy level (where applicable) </w:t>
            </w:r>
            <w:r w:rsidRPr="002A76C8">
              <w:rPr>
                <w:i/>
                <w:szCs w:val="22"/>
              </w:rPr>
              <w:t>(what will be the structural impact of the action — e.g. improved legislation, codes of conduct, methods)</w:t>
            </w:r>
          </w:p>
          <w:p w:rsidR="002A7F83" w:rsidRPr="002A76C8" w:rsidRDefault="002A7F83" w:rsidP="00F42767">
            <w:pPr>
              <w:spacing w:before="120"/>
              <w:ind w:left="510" w:hanging="170"/>
              <w:rPr>
                <w:szCs w:val="22"/>
              </w:rPr>
            </w:pPr>
            <w:r w:rsidRPr="002A76C8">
              <w:rPr>
                <w:iCs/>
                <w:szCs w:val="22"/>
              </w:rPr>
              <w:t xml:space="preserve">- Environmentally (if applicable) </w:t>
            </w:r>
            <w:r w:rsidRPr="002A76C8">
              <w:rPr>
                <w:i/>
                <w:szCs w:val="22"/>
              </w:rPr>
              <w:t>(will the action have a negative/positive environmental impact?)</w:t>
            </w:r>
          </w:p>
        </w:tc>
        <w:tc>
          <w:tcPr>
            <w:tcW w:w="1275" w:type="dxa"/>
          </w:tcPr>
          <w:p w:rsidR="002A7F83" w:rsidRPr="002A76C8" w:rsidRDefault="002A7F83" w:rsidP="00F42767">
            <w:pPr>
              <w:spacing w:before="120"/>
              <w:jc w:val="center"/>
              <w:rPr>
                <w:szCs w:val="22"/>
              </w:rPr>
            </w:pPr>
            <w:r w:rsidRPr="002A76C8">
              <w:rPr>
                <w:szCs w:val="22"/>
              </w:rPr>
              <w:t>5</w:t>
            </w:r>
          </w:p>
        </w:tc>
      </w:tr>
      <w:tr w:rsidR="002A7F83" w:rsidRPr="002A76C8" w:rsidTr="00F42767">
        <w:tc>
          <w:tcPr>
            <w:tcW w:w="8472" w:type="dxa"/>
            <w:shd w:val="pct10" w:color="auto" w:fill="FFFFFF"/>
            <w:vAlign w:val="center"/>
          </w:tcPr>
          <w:p w:rsidR="002A7F83" w:rsidRPr="002A76C8" w:rsidRDefault="002A7F83" w:rsidP="00F42767">
            <w:pPr>
              <w:spacing w:before="120"/>
              <w:rPr>
                <w:szCs w:val="22"/>
              </w:rPr>
            </w:pPr>
            <w:r w:rsidRPr="002A76C8">
              <w:rPr>
                <w:szCs w:val="22"/>
              </w:rPr>
              <w:br w:type="page"/>
            </w:r>
            <w:r w:rsidRPr="002A76C8">
              <w:rPr>
                <w:b/>
                <w:szCs w:val="22"/>
              </w:rPr>
              <w:t>6. Budget and cost-effectiveness of the action</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15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6.1</w:t>
            </w:r>
            <w:r w:rsidRPr="002A76C8">
              <w:rPr>
                <w:szCs w:val="22"/>
              </w:rPr>
              <w:tab/>
              <w:t>Are the activities appropriately reflected in the budget?</w:t>
            </w:r>
          </w:p>
        </w:tc>
        <w:tc>
          <w:tcPr>
            <w:tcW w:w="1275" w:type="dxa"/>
          </w:tcPr>
          <w:p w:rsidR="002A7F83" w:rsidRPr="002A76C8" w:rsidRDefault="002A7F83" w:rsidP="00F42767">
            <w:pPr>
              <w:spacing w:before="120"/>
              <w:jc w:val="center"/>
              <w:rPr>
                <w:szCs w:val="22"/>
              </w:rPr>
            </w:pPr>
            <w:r w:rsidRPr="002A76C8">
              <w:rPr>
                <w:szCs w:val="22"/>
              </w:rPr>
              <w:t>/ 5</w:t>
            </w:r>
          </w:p>
        </w:tc>
      </w:tr>
      <w:tr w:rsidR="002A7F83" w:rsidRPr="002A76C8" w:rsidTr="00F42767">
        <w:tc>
          <w:tcPr>
            <w:tcW w:w="8472" w:type="dxa"/>
          </w:tcPr>
          <w:p w:rsidR="002A7F83" w:rsidRPr="002A76C8" w:rsidRDefault="002A7F83" w:rsidP="00F42767">
            <w:pPr>
              <w:spacing w:before="120"/>
              <w:ind w:left="425" w:hanging="425"/>
              <w:rPr>
                <w:szCs w:val="22"/>
              </w:rPr>
            </w:pPr>
            <w:r w:rsidRPr="002A76C8">
              <w:rPr>
                <w:szCs w:val="22"/>
              </w:rPr>
              <w:t>6.2</w:t>
            </w:r>
            <w:r w:rsidRPr="002A76C8">
              <w:rPr>
                <w:szCs w:val="22"/>
              </w:rPr>
              <w:tab/>
              <w:t>Is the ratio between the estimated costs and the results satisfactory?</w:t>
            </w:r>
          </w:p>
        </w:tc>
        <w:tc>
          <w:tcPr>
            <w:tcW w:w="1275" w:type="dxa"/>
          </w:tcPr>
          <w:p w:rsidR="002A7F83" w:rsidRPr="002A76C8" w:rsidRDefault="002A7F83" w:rsidP="00F42767">
            <w:pPr>
              <w:spacing w:before="120"/>
              <w:jc w:val="center"/>
              <w:rPr>
                <w:szCs w:val="22"/>
              </w:rPr>
            </w:pPr>
            <w:r w:rsidRPr="002A76C8">
              <w:rPr>
                <w:szCs w:val="22"/>
              </w:rPr>
              <w:t>/ 10</w:t>
            </w:r>
          </w:p>
        </w:tc>
      </w:tr>
      <w:tr w:rsidR="002A7F83" w:rsidRPr="002A76C8" w:rsidTr="00F42767">
        <w:tc>
          <w:tcPr>
            <w:tcW w:w="8472" w:type="dxa"/>
            <w:shd w:val="pct10" w:color="auto" w:fill="FFFFFF"/>
            <w:vAlign w:val="center"/>
          </w:tcPr>
          <w:p w:rsidR="002A7F83" w:rsidRPr="002A76C8" w:rsidRDefault="002A7F83" w:rsidP="00F42767">
            <w:pPr>
              <w:spacing w:before="120"/>
              <w:rPr>
                <w:b/>
                <w:szCs w:val="22"/>
              </w:rPr>
            </w:pPr>
            <w:r w:rsidRPr="002A76C8">
              <w:rPr>
                <w:b/>
                <w:szCs w:val="22"/>
              </w:rPr>
              <w:t>Maximum total score</w:t>
            </w:r>
          </w:p>
        </w:tc>
        <w:tc>
          <w:tcPr>
            <w:tcW w:w="1275" w:type="dxa"/>
            <w:shd w:val="pct10" w:color="auto" w:fill="FFFFFF"/>
            <w:vAlign w:val="center"/>
          </w:tcPr>
          <w:p w:rsidR="002A7F83" w:rsidRPr="002A76C8" w:rsidRDefault="002A7F83" w:rsidP="00F42767">
            <w:pPr>
              <w:spacing w:before="120"/>
              <w:jc w:val="center"/>
              <w:rPr>
                <w:b/>
                <w:szCs w:val="22"/>
              </w:rPr>
            </w:pPr>
            <w:r w:rsidRPr="002A76C8">
              <w:rPr>
                <w:b/>
                <w:szCs w:val="22"/>
              </w:rPr>
              <w:t>100</w:t>
            </w:r>
          </w:p>
        </w:tc>
      </w:tr>
    </w:tbl>
    <w:p w:rsidR="002A7F83" w:rsidRPr="002A76C8" w:rsidRDefault="002A7F83" w:rsidP="002A7F83">
      <w:pPr>
        <w:rPr>
          <w:szCs w:val="22"/>
        </w:rPr>
      </w:pPr>
    </w:p>
    <w:p w:rsidR="002A7F83" w:rsidRPr="002A76C8" w:rsidRDefault="002A7F83" w:rsidP="002A7F83">
      <w:pPr>
        <w:rPr>
          <w:szCs w:val="22"/>
        </w:rPr>
      </w:pPr>
      <w:r w:rsidRPr="002A76C8">
        <w:rPr>
          <w:szCs w:val="22"/>
        </w:rPr>
        <w:t>If the total score for Section 1 (financial and operational capacity) is less than 12 points, the application will be rejected. If the score for at least one of the subsections under Section 1 is 1, the application will also be rejected.</w:t>
      </w:r>
    </w:p>
    <w:p w:rsidR="002A7F83" w:rsidRPr="002A76C8" w:rsidRDefault="002A7F83" w:rsidP="002A7F83">
      <w:pPr>
        <w:rPr>
          <w:szCs w:val="22"/>
        </w:rPr>
      </w:pPr>
      <w:r w:rsidRPr="002A76C8">
        <w:rPr>
          <w:szCs w:val="22"/>
        </w:rPr>
        <w:t xml:space="preserve">If the lead applicant applies without co-applicants or affiliated entities the score for point 4.3 shall be 5 unless the involvement of co-applicants or affiliated entities is mandatory according to these guidelines for applicants.  </w:t>
      </w:r>
    </w:p>
    <w:p w:rsidR="002A7F83" w:rsidRPr="002A76C8" w:rsidRDefault="002A7F83" w:rsidP="002A7F83">
      <w:pPr>
        <w:rPr>
          <w:i/>
          <w:szCs w:val="22"/>
        </w:rPr>
      </w:pPr>
      <w:r w:rsidRPr="002A76C8">
        <w:rPr>
          <w:i/>
          <w:szCs w:val="22"/>
        </w:rPr>
        <w:t>Provisional selection</w:t>
      </w:r>
    </w:p>
    <w:p w:rsidR="002A7F83" w:rsidRPr="002A76C8" w:rsidRDefault="002A7F83" w:rsidP="002A7F83">
      <w:pPr>
        <w:rPr>
          <w:szCs w:val="22"/>
        </w:rPr>
      </w:pPr>
      <w:r w:rsidRPr="002A76C8">
        <w:rPr>
          <w:szCs w:val="22"/>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2A7F83" w:rsidRPr="002A76C8" w:rsidRDefault="002A7F83" w:rsidP="0033394E">
      <w:pPr>
        <w:numPr>
          <w:ilvl w:val="0"/>
          <w:numId w:val="33"/>
        </w:numPr>
        <w:tabs>
          <w:tab w:val="left" w:pos="426"/>
        </w:tabs>
        <w:spacing w:before="240"/>
        <w:ind w:left="1418" w:hanging="1418"/>
        <w:jc w:val="left"/>
        <w:rPr>
          <w:b/>
          <w:szCs w:val="22"/>
        </w:rPr>
      </w:pPr>
      <w:r w:rsidRPr="002A76C8">
        <w:rPr>
          <w:b/>
          <w:szCs w:val="22"/>
        </w:rPr>
        <w:br w:type="page"/>
      </w:r>
      <w:r w:rsidRPr="002A76C8">
        <w:rPr>
          <w:b/>
          <w:szCs w:val="22"/>
        </w:rPr>
        <w:lastRenderedPageBreak/>
        <w:t>STEP 3:</w:t>
      </w:r>
      <w:r w:rsidRPr="002A76C8">
        <w:rPr>
          <w:b/>
          <w:szCs w:val="22"/>
        </w:rPr>
        <w:tab/>
        <w:t>VERIFICATION OF ELIGIBILITY OF THE APPLICANTS AND AFFILIATED ENTITY(IES)</w:t>
      </w:r>
    </w:p>
    <w:p w:rsidR="002A7F83" w:rsidRPr="002A76C8" w:rsidRDefault="002A7F83" w:rsidP="002A7F83">
      <w:pPr>
        <w:rPr>
          <w:szCs w:val="22"/>
        </w:rPr>
      </w:pPr>
      <w:r w:rsidRPr="002A76C8">
        <w:rPr>
          <w:szCs w:val="22"/>
        </w:rPr>
        <w:t xml:space="preserve">The eligibility verification will be performed on the basis of the supporting documents requested by the contracting authority (see Section 2.4). It will by default </w:t>
      </w:r>
      <w:r w:rsidRPr="002A76C8">
        <w:rPr>
          <w:szCs w:val="22"/>
          <w:u w:val="single"/>
        </w:rPr>
        <w:t>only</w:t>
      </w:r>
      <w:r w:rsidRPr="002A76C8">
        <w:rPr>
          <w:szCs w:val="22"/>
        </w:rPr>
        <w:t xml:space="preserve"> be performed for the applications that have been provisionally selected according to their score and within the available budget for this call for proposals. </w:t>
      </w:r>
    </w:p>
    <w:p w:rsidR="002A7F83" w:rsidRPr="002A76C8" w:rsidRDefault="002A7F83" w:rsidP="0033394E">
      <w:pPr>
        <w:numPr>
          <w:ilvl w:val="0"/>
          <w:numId w:val="37"/>
        </w:numPr>
        <w:rPr>
          <w:szCs w:val="22"/>
        </w:rPr>
      </w:pPr>
      <w:r w:rsidRPr="002A76C8">
        <w:rPr>
          <w:szCs w:val="22"/>
        </w:rP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rsidR="002A7F83" w:rsidRPr="002A76C8" w:rsidRDefault="002A7F83" w:rsidP="0033394E">
      <w:pPr>
        <w:numPr>
          <w:ilvl w:val="0"/>
          <w:numId w:val="37"/>
        </w:numPr>
        <w:rPr>
          <w:szCs w:val="22"/>
        </w:rPr>
      </w:pPr>
      <w:r w:rsidRPr="002A76C8">
        <w:rPr>
          <w:szCs w:val="22"/>
        </w:rPr>
        <w:t>The eligibility of applicants and the affiliated entity(ies) will be verified according to the criteria set out in Sections 2.1.1, 2.1.2 and 2.1.3.</w:t>
      </w:r>
    </w:p>
    <w:p w:rsidR="002A7F83" w:rsidRPr="002A76C8" w:rsidRDefault="002A7F83" w:rsidP="002A7F83">
      <w:pPr>
        <w:rPr>
          <w:szCs w:val="22"/>
        </w:rPr>
      </w:pPr>
      <w:r w:rsidRPr="002A76C8">
        <w:rPr>
          <w:szCs w:val="22"/>
        </w:rPr>
        <w:t>Any rejected application will be replaced by the next best placed application on the reserve list that falls within the available budget for this call for proposals.</w:t>
      </w:r>
      <w:bookmarkStart w:id="39" w:name="_Toc40507654"/>
    </w:p>
    <w:p w:rsidR="002A7F83" w:rsidRPr="002A76C8" w:rsidRDefault="002A7F83" w:rsidP="0033394E">
      <w:pPr>
        <w:pStyle w:val="Guidelines2"/>
        <w:numPr>
          <w:ilvl w:val="1"/>
          <w:numId w:val="23"/>
        </w:numPr>
        <w:rPr>
          <w:rFonts w:ascii="Times New Roman" w:hAnsi="Times New Roman"/>
          <w:sz w:val="22"/>
          <w:szCs w:val="22"/>
        </w:rPr>
      </w:pPr>
      <w:r w:rsidRPr="002A76C8">
        <w:rPr>
          <w:rFonts w:ascii="Times New Roman" w:hAnsi="Times New Roman"/>
          <w:sz w:val="22"/>
          <w:szCs w:val="22"/>
        </w:rPr>
        <w:br w:type="page"/>
      </w:r>
      <w:bookmarkStart w:id="40" w:name="_Toc437893860"/>
      <w:r w:rsidRPr="002A76C8">
        <w:rPr>
          <w:rFonts w:ascii="Times New Roman" w:hAnsi="Times New Roman"/>
          <w:sz w:val="22"/>
          <w:szCs w:val="22"/>
        </w:rPr>
        <w:lastRenderedPageBreak/>
        <w:t>Submission of supporting documents for provisionally selected applications</w:t>
      </w:r>
      <w:bookmarkEnd w:id="39"/>
      <w:bookmarkEnd w:id="40"/>
      <w:r w:rsidRPr="002A76C8">
        <w:rPr>
          <w:rFonts w:ascii="Times New Roman" w:hAnsi="Times New Roman"/>
          <w:sz w:val="22"/>
          <w:szCs w:val="22"/>
        </w:rPr>
        <w:t xml:space="preserve"> </w:t>
      </w:r>
    </w:p>
    <w:p w:rsidR="002A7F83" w:rsidRPr="002A76C8" w:rsidRDefault="002A7F83" w:rsidP="002A7F83">
      <w:pPr>
        <w:rPr>
          <w:szCs w:val="22"/>
        </w:rPr>
      </w:pPr>
      <w:r w:rsidRPr="002A76C8">
        <w:rPr>
          <w:szCs w:val="22"/>
        </w:rPr>
        <w:t>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entity(ies)</w:t>
      </w:r>
      <w:r w:rsidRPr="002A76C8">
        <w:rPr>
          <w:rStyle w:val="FootnoteReference"/>
          <w:szCs w:val="22"/>
        </w:rPr>
        <w:footnoteReference w:id="14"/>
      </w:r>
      <w:r w:rsidRPr="002A76C8">
        <w:rPr>
          <w:szCs w:val="22"/>
        </w:rPr>
        <w:t>:</w:t>
      </w:r>
    </w:p>
    <w:p w:rsidR="002A7F83" w:rsidRPr="002A76C8" w:rsidRDefault="002A7F83" w:rsidP="0033394E">
      <w:pPr>
        <w:numPr>
          <w:ilvl w:val="6"/>
          <w:numId w:val="38"/>
        </w:numPr>
        <w:tabs>
          <w:tab w:val="left" w:pos="567"/>
          <w:tab w:val="left" w:pos="2126"/>
          <w:tab w:val="left" w:pos="2835"/>
        </w:tabs>
        <w:spacing w:before="120"/>
        <w:ind w:left="567"/>
        <w:rPr>
          <w:szCs w:val="22"/>
        </w:rPr>
      </w:pPr>
      <w:r w:rsidRPr="002A76C8">
        <w:rPr>
          <w:szCs w:val="22"/>
        </w:rPr>
        <w:t>The statutes or articles of association of the lead applicant, (if any) of each co-applicant and (if any) of each affiliated entity</w:t>
      </w:r>
      <w:r w:rsidRPr="002A76C8">
        <w:rPr>
          <w:rStyle w:val="FootnoteReference"/>
          <w:szCs w:val="22"/>
        </w:rPr>
        <w:footnoteReference w:id="15"/>
      </w:r>
      <w:r w:rsidRPr="002A76C8">
        <w:rPr>
          <w:szCs w:val="22"/>
        </w:rPr>
        <w:t>. Where the contracting authority has recognised the lead applicant’s, or the co-applicant(s)’s, or their affiliated entity(ies)’s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2A76C8">
        <w:rPr>
          <w:rStyle w:val="FootnoteReference"/>
          <w:szCs w:val="22"/>
        </w:rPr>
        <w:footnoteReference w:id="16"/>
      </w:r>
      <w:r w:rsidRPr="002A76C8">
        <w:rPr>
          <w:szCs w:val="22"/>
        </w:rPr>
        <w:t xml:space="preserve">.  This obligation does not apply to international organisations which have signed a framework agreement with the European Commission. </w:t>
      </w:r>
      <w:r w:rsidRPr="002A76C8" w:rsidDel="007C2E1E">
        <w:rPr>
          <w:szCs w:val="22"/>
        </w:rPr>
        <w:t xml:space="preserve"> </w:t>
      </w:r>
    </w:p>
    <w:p w:rsidR="002A7F83" w:rsidRPr="002A76C8" w:rsidRDefault="002A7F83" w:rsidP="0033394E">
      <w:pPr>
        <w:numPr>
          <w:ilvl w:val="6"/>
          <w:numId w:val="38"/>
        </w:numPr>
        <w:tabs>
          <w:tab w:val="left" w:pos="567"/>
          <w:tab w:val="left" w:pos="2126"/>
          <w:tab w:val="left" w:pos="2835"/>
        </w:tabs>
        <w:spacing w:before="120"/>
        <w:ind w:left="567"/>
        <w:rPr>
          <w:szCs w:val="22"/>
        </w:rPr>
      </w:pPr>
      <w:r w:rsidRPr="002A76C8">
        <w:rPr>
          <w:szCs w:val="22"/>
        </w:rPr>
        <w:t xml:space="preserve">For action grants exceeding EUR 750 000 and for operating grants above EUR 100 000, the lead applicant must provide an audit report produced by an approved external auditor where it is available, and always in cases where a statutory audit is required by EU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 </w:t>
      </w:r>
    </w:p>
    <w:p w:rsidR="002A7F83" w:rsidRPr="002A76C8" w:rsidRDefault="002A7F83" w:rsidP="002A7F83">
      <w:pPr>
        <w:tabs>
          <w:tab w:val="left" w:pos="567"/>
          <w:tab w:val="left" w:pos="2126"/>
          <w:tab w:val="left" w:pos="2835"/>
        </w:tabs>
        <w:spacing w:before="120"/>
        <w:ind w:left="567"/>
        <w:rPr>
          <w:szCs w:val="22"/>
        </w:rPr>
      </w:pPr>
      <w:r w:rsidRPr="002A76C8">
        <w:rPr>
          <w:szCs w:val="22"/>
        </w:rPr>
        <w:t xml:space="preserve">This requirement shall apply only to the first application made by a beneficiary to an authorising officer responsible in any one financial year.                                                                                    </w:t>
      </w:r>
    </w:p>
    <w:p w:rsidR="002A7F83" w:rsidRPr="002A76C8" w:rsidRDefault="002A7F83" w:rsidP="0033394E">
      <w:pPr>
        <w:numPr>
          <w:ilvl w:val="6"/>
          <w:numId w:val="38"/>
        </w:numPr>
        <w:tabs>
          <w:tab w:val="left" w:pos="567"/>
          <w:tab w:val="left" w:pos="2126"/>
          <w:tab w:val="left" w:pos="2835"/>
        </w:tabs>
        <w:spacing w:before="120"/>
        <w:ind w:left="567"/>
        <w:rPr>
          <w:szCs w:val="22"/>
        </w:rPr>
      </w:pPr>
      <w:r w:rsidRPr="002A76C8">
        <w:rPr>
          <w:szCs w:val="22"/>
        </w:rPr>
        <w:t>The external audit report is not required from (if any) the co-applicant(s)) or affiliated entities.</w:t>
      </w:r>
    </w:p>
    <w:p w:rsidR="002A7F83" w:rsidRPr="002A76C8" w:rsidRDefault="002A7F83" w:rsidP="002A7F83">
      <w:pPr>
        <w:ind w:left="567"/>
        <w:rPr>
          <w:szCs w:val="22"/>
        </w:rPr>
      </w:pPr>
      <w:r w:rsidRPr="002A76C8">
        <w:rPr>
          <w:szCs w:val="22"/>
        </w:rPr>
        <w:t>This obligation does not apply to public bodies and international organisations provided that the international organisation in question offers the guarantees provided for in the applicable Financial Regulation, as described in Chapter 6 of the practical guide.</w:t>
      </w:r>
    </w:p>
    <w:p w:rsidR="002A7F83" w:rsidRPr="002A76C8" w:rsidRDefault="002A7F83" w:rsidP="0033394E">
      <w:pPr>
        <w:numPr>
          <w:ilvl w:val="6"/>
          <w:numId w:val="38"/>
        </w:numPr>
        <w:tabs>
          <w:tab w:val="left" w:pos="567"/>
          <w:tab w:val="left" w:pos="2126"/>
          <w:tab w:val="left" w:pos="2835"/>
        </w:tabs>
        <w:spacing w:before="120"/>
        <w:ind w:left="567"/>
        <w:rPr>
          <w:szCs w:val="22"/>
        </w:rPr>
      </w:pPr>
      <w:r w:rsidRPr="002A76C8">
        <w:rPr>
          <w:szCs w:val="22"/>
        </w:rPr>
        <w:t>A copy of the lead applicant’s latest accounts (the profit and loss account and the balance sheet for the last financial year for which the accounts have been closed)</w:t>
      </w:r>
      <w:r w:rsidRPr="002A76C8">
        <w:rPr>
          <w:rStyle w:val="FootnoteReference"/>
          <w:szCs w:val="22"/>
        </w:rPr>
        <w:footnoteReference w:id="17"/>
      </w:r>
      <w:r w:rsidRPr="002A76C8">
        <w:rPr>
          <w:szCs w:val="22"/>
        </w:rPr>
        <w:t>. A copy of the latest account is neither required from (if any) the co-applicant(s) nor from (if any) affiliated entity(ies)).</w:t>
      </w:r>
    </w:p>
    <w:p w:rsidR="002A7F83" w:rsidRPr="002A76C8" w:rsidRDefault="002A7F83" w:rsidP="0033394E">
      <w:pPr>
        <w:numPr>
          <w:ilvl w:val="6"/>
          <w:numId w:val="38"/>
        </w:numPr>
        <w:tabs>
          <w:tab w:val="left" w:pos="567"/>
          <w:tab w:val="left" w:pos="2126"/>
          <w:tab w:val="left" w:pos="2835"/>
        </w:tabs>
        <w:spacing w:before="120"/>
        <w:ind w:left="567"/>
        <w:rPr>
          <w:szCs w:val="22"/>
        </w:rPr>
      </w:pPr>
      <w:r w:rsidRPr="002A76C8">
        <w:rPr>
          <w:szCs w:val="22"/>
        </w:rPr>
        <w:t>A financial identification form of the lead applicant (not from co-applicant(s)) conforming to the model attached as Annex E of these guidelines, certified by the bank to which the payments will be made. This bank should be located in the country where the lead applicant is established. If the lead applicant has already submitted a financial identification form in the past for a contract where the European Commission was in charge of the payments and intends to use the same bank account, a copy of the previous financial identification form may be provided instead.</w:t>
      </w:r>
    </w:p>
    <w:p w:rsidR="002A7F83" w:rsidRPr="002A76C8" w:rsidRDefault="002A7F83" w:rsidP="002A7F83">
      <w:pPr>
        <w:ind w:left="567" w:hanging="283"/>
        <w:rPr>
          <w:szCs w:val="22"/>
        </w:rPr>
      </w:pPr>
      <w:r w:rsidRPr="002A76C8">
        <w:rPr>
          <w:szCs w:val="22"/>
        </w:rPr>
        <w:lastRenderedPageBreak/>
        <w:t xml:space="preserve">7. The lead applicant as well as all co-applicants and affiliated entities shall fill in and sign the declaration on honour certifying that they are not in one of the exclusion situations (see Section 2.6.10.1 of the PRAG). </w:t>
      </w:r>
    </w:p>
    <w:p w:rsidR="002A7F83" w:rsidRPr="002A76C8" w:rsidRDefault="002A7F83" w:rsidP="002A7F83">
      <w:pPr>
        <w:rPr>
          <w:szCs w:val="22"/>
        </w:rPr>
      </w:pPr>
      <w:r w:rsidRPr="002A76C8">
        <w:rPr>
          <w:szCs w:val="22"/>
        </w:rPr>
        <w:t xml:space="preserve">Documents must be supplied in the form of originals, photocopies or scanned versions (i.e. showing legible stamps, signatures and dates) of the said originals. </w:t>
      </w:r>
    </w:p>
    <w:p w:rsidR="002A7F83" w:rsidRPr="002A76C8" w:rsidRDefault="002A7F83" w:rsidP="002A7F83">
      <w:pPr>
        <w:rPr>
          <w:szCs w:val="22"/>
        </w:rPr>
      </w:pPr>
      <w:r w:rsidRPr="002A76C8">
        <w:rPr>
          <w:szCs w:val="22"/>
        </w:rPr>
        <w:t>Where such documents are not in one of the official languages of the European Union or</w:t>
      </w:r>
      <w:r w:rsidRPr="002A76C8">
        <w:rPr>
          <w:i/>
          <w:szCs w:val="22"/>
        </w:rPr>
        <w:t xml:space="preserve"> </w:t>
      </w:r>
      <w:r w:rsidRPr="002A76C8">
        <w:rPr>
          <w:szCs w:val="22"/>
        </w:rPr>
        <w:t>in the language of the country where the action is implemented, a translation into English of the relevant parts of these documents proving the lead applicant's and, where applicable, co-applicants' and affiliated entity(ies)' eligibility, must be attached for the purpose of analysing the application.</w:t>
      </w:r>
    </w:p>
    <w:p w:rsidR="002A7F83" w:rsidRPr="002A76C8" w:rsidRDefault="002A7F83" w:rsidP="002A7F83">
      <w:pPr>
        <w:rPr>
          <w:rStyle w:val="StyleListBullet11ptChar"/>
          <w:szCs w:val="22"/>
        </w:rPr>
      </w:pPr>
      <w:r w:rsidRPr="002A76C8">
        <w:rPr>
          <w:rStyle w:val="StyleListBullet11ptChar"/>
          <w:szCs w:val="22"/>
        </w:rPr>
        <w:t xml:space="preserve">Where these documents are in an official language of the European Union other than English, it is </w:t>
      </w:r>
      <w:r w:rsidRPr="002A76C8">
        <w:rPr>
          <w:b/>
          <w:szCs w:val="22"/>
        </w:rPr>
        <w:t xml:space="preserve">strongly </w:t>
      </w:r>
      <w:r w:rsidRPr="002A76C8">
        <w:rPr>
          <w:rStyle w:val="StyleListBullet11ptChar"/>
          <w:szCs w:val="22"/>
        </w:rPr>
        <w:t>recommended, in order to facilitate the evaluation, to provide a translation of the relevant parts of the documents, proving the lead a</w:t>
      </w:r>
      <w:r w:rsidRPr="002A76C8">
        <w:rPr>
          <w:szCs w:val="22"/>
        </w:rPr>
        <w:t xml:space="preserve">pplicant's and, where applicable, co-applicants' and affiliated entity(ies)' </w:t>
      </w:r>
      <w:r w:rsidRPr="002A76C8">
        <w:rPr>
          <w:rStyle w:val="StyleListBullet11ptChar"/>
          <w:szCs w:val="22"/>
        </w:rPr>
        <w:t>eligibility, into English.</w:t>
      </w:r>
    </w:p>
    <w:p w:rsidR="002A7F83" w:rsidRPr="002A76C8" w:rsidRDefault="002A7F83" w:rsidP="002A7F83">
      <w:pPr>
        <w:rPr>
          <w:szCs w:val="22"/>
        </w:rPr>
      </w:pPr>
      <w:r w:rsidRPr="002A76C8">
        <w:rPr>
          <w:szCs w:val="22"/>
        </w:rPr>
        <w:t>If the abovementioned supporting documents are not provided before the deadline indicated in the request for supporting documents sent to the lead applicant by the contracting authority, the application may be rejected.</w:t>
      </w:r>
    </w:p>
    <w:p w:rsidR="002A7F83" w:rsidRPr="002A76C8" w:rsidRDefault="002A7F83" w:rsidP="002A7F83">
      <w:pPr>
        <w:rPr>
          <w:szCs w:val="22"/>
        </w:rPr>
      </w:pPr>
      <w:r w:rsidRPr="002A76C8">
        <w:rPr>
          <w:szCs w:val="22"/>
        </w:rPr>
        <w:t>After verifying the supporting documents, the evaluation committee will make a final recommendation to the contracting authority, which will decide on the award of grants.</w:t>
      </w:r>
    </w:p>
    <w:p w:rsidR="002A7F83" w:rsidRPr="002A76C8" w:rsidRDefault="002A7F83" w:rsidP="002A7F83">
      <w:pPr>
        <w:ind w:left="567" w:hanging="567"/>
        <w:rPr>
          <w:szCs w:val="22"/>
        </w:rPr>
      </w:pPr>
      <w:r w:rsidRPr="002A76C8">
        <w:rPr>
          <w:szCs w:val="22"/>
        </w:rPr>
        <w:t>NB :</w:t>
      </w:r>
      <w:r w:rsidRPr="002A76C8">
        <w:rPr>
          <w:szCs w:val="22"/>
        </w:rPr>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rsidR="002A7F83" w:rsidRPr="002A76C8" w:rsidRDefault="002A7F83" w:rsidP="0033394E">
      <w:pPr>
        <w:pStyle w:val="Guidelines2"/>
        <w:numPr>
          <w:ilvl w:val="1"/>
          <w:numId w:val="23"/>
        </w:numPr>
        <w:rPr>
          <w:rFonts w:ascii="Times New Roman" w:hAnsi="Times New Roman"/>
          <w:sz w:val="22"/>
          <w:szCs w:val="22"/>
        </w:rPr>
      </w:pPr>
      <w:bookmarkStart w:id="41" w:name="_Toc437893861"/>
      <w:r w:rsidRPr="002A76C8">
        <w:rPr>
          <w:rFonts w:ascii="Times New Roman" w:hAnsi="Times New Roman"/>
          <w:sz w:val="22"/>
          <w:szCs w:val="22"/>
        </w:rPr>
        <w:t>Notification of the Contracting Authority’s decision</w:t>
      </w:r>
      <w:bookmarkEnd w:id="41"/>
    </w:p>
    <w:p w:rsidR="002A7F83" w:rsidRPr="002A76C8" w:rsidRDefault="002A7F83" w:rsidP="0033394E">
      <w:pPr>
        <w:pStyle w:val="Guidelines3"/>
        <w:numPr>
          <w:ilvl w:val="2"/>
          <w:numId w:val="23"/>
        </w:numPr>
        <w:rPr>
          <w:sz w:val="22"/>
          <w:szCs w:val="22"/>
        </w:rPr>
      </w:pPr>
      <w:bookmarkStart w:id="42" w:name="_Toc437893862"/>
      <w:r w:rsidRPr="002A76C8">
        <w:rPr>
          <w:sz w:val="22"/>
          <w:szCs w:val="22"/>
        </w:rPr>
        <w:t>Content of the decision</w:t>
      </w:r>
      <w:bookmarkEnd w:id="42"/>
    </w:p>
    <w:p w:rsidR="002A7F83" w:rsidRPr="002A76C8" w:rsidRDefault="002A7F83" w:rsidP="002A7F83">
      <w:pPr>
        <w:spacing w:before="240"/>
        <w:rPr>
          <w:szCs w:val="22"/>
        </w:rPr>
      </w:pPr>
      <w:r w:rsidRPr="002A76C8">
        <w:rPr>
          <w:szCs w:val="22"/>
        </w:rPr>
        <w:t xml:space="preserve">The lead applicants will be informed in writing of the contracting authority’s decision concerning their application and, if rejected, the reasons for the negative decision. </w:t>
      </w:r>
    </w:p>
    <w:p w:rsidR="002A7F83" w:rsidRPr="002A76C8" w:rsidRDefault="002A7F83" w:rsidP="002A7F83">
      <w:pPr>
        <w:rPr>
          <w:szCs w:val="22"/>
        </w:rPr>
      </w:pPr>
      <w:r w:rsidRPr="002A76C8">
        <w:rPr>
          <w:szCs w:val="22"/>
        </w:rPr>
        <w:t xml:space="preserve">An applicant believing that it has been harmed by an error or irregularity during the award process may lodge a complaint. See further Section 2.4.15 of the practical guide. </w:t>
      </w:r>
    </w:p>
    <w:p w:rsidR="002A7F83" w:rsidRPr="002A76C8" w:rsidRDefault="002A7F83" w:rsidP="002A7F83">
      <w:pPr>
        <w:spacing w:after="60"/>
        <w:rPr>
          <w:szCs w:val="22"/>
        </w:rPr>
      </w:pPr>
      <w:r w:rsidRPr="002A76C8">
        <w:rPr>
          <w:szCs w:val="22"/>
        </w:rPr>
        <w:t>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p>
    <w:p w:rsidR="002A7F83" w:rsidRPr="002A76C8" w:rsidRDefault="002A7F83" w:rsidP="002A7F83">
      <w:pPr>
        <w:spacing w:after="60"/>
        <w:rPr>
          <w:szCs w:val="22"/>
        </w:rPr>
      </w:pPr>
      <w:r w:rsidRPr="002A76C8">
        <w:rPr>
          <w:szCs w:val="22"/>
        </w:rPr>
        <w:t xml:space="preserve">For more information, you may consult the privacy statement available on </w:t>
      </w:r>
      <w:hyperlink r:id="rId17" w:history="1">
        <w:r w:rsidRPr="002A76C8">
          <w:rPr>
            <w:rStyle w:val="Hyperlink"/>
            <w:szCs w:val="22"/>
          </w:rPr>
          <w:t>http://ec.europa.eu/budget/explained/management/protecting/protect_en.cfm</w:t>
        </w:r>
      </w:hyperlink>
      <w:r w:rsidRPr="002A76C8">
        <w:rPr>
          <w:szCs w:val="22"/>
        </w:rPr>
        <w:t xml:space="preserve"> </w:t>
      </w:r>
    </w:p>
    <w:p w:rsidR="002A7F83" w:rsidRPr="002A76C8" w:rsidRDefault="002A7F83" w:rsidP="002A7F83">
      <w:pPr>
        <w:rPr>
          <w:szCs w:val="22"/>
        </w:rPr>
      </w:pPr>
    </w:p>
    <w:p w:rsidR="002A7F83" w:rsidRPr="002A76C8" w:rsidRDefault="002A7F83" w:rsidP="002A7F83">
      <w:pPr>
        <w:rPr>
          <w:szCs w:val="22"/>
        </w:rPr>
      </w:pPr>
    </w:p>
    <w:p w:rsidR="002A7F83" w:rsidRPr="002A76C8" w:rsidRDefault="002A7F83" w:rsidP="0033394E">
      <w:pPr>
        <w:pStyle w:val="Guidelines3"/>
        <w:numPr>
          <w:ilvl w:val="2"/>
          <w:numId w:val="23"/>
        </w:numPr>
        <w:rPr>
          <w:sz w:val="22"/>
          <w:szCs w:val="22"/>
        </w:rPr>
      </w:pPr>
      <w:bookmarkStart w:id="43" w:name="_Toc437893863"/>
      <w:r w:rsidRPr="002A76C8">
        <w:rPr>
          <w:sz w:val="22"/>
          <w:szCs w:val="22"/>
        </w:rPr>
        <w:t>Indicative timetable</w:t>
      </w:r>
      <w:bookmarkEnd w:id="43"/>
      <w:r w:rsidRPr="002A76C8">
        <w:rPr>
          <w:sz w:val="22"/>
          <w:szCs w:val="22"/>
        </w:rPr>
        <w:t xml:space="preserve"> </w:t>
      </w:r>
    </w:p>
    <w:p w:rsidR="002A7F83" w:rsidRPr="002A76C8" w:rsidRDefault="002A7F83" w:rsidP="002A7F83">
      <w:pP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2A7F83" w:rsidRPr="002A76C8" w:rsidTr="00F42767">
        <w:tblPrEx>
          <w:tblCellMar>
            <w:top w:w="0" w:type="dxa"/>
            <w:bottom w:w="0" w:type="dxa"/>
          </w:tblCellMar>
        </w:tblPrEx>
        <w:tc>
          <w:tcPr>
            <w:tcW w:w="4678" w:type="dxa"/>
          </w:tcPr>
          <w:p w:rsidR="002A7F83" w:rsidRPr="002A76C8" w:rsidRDefault="002A7F83" w:rsidP="00F42767">
            <w:pPr>
              <w:spacing w:before="120"/>
              <w:rPr>
                <w:szCs w:val="22"/>
              </w:rPr>
            </w:pPr>
          </w:p>
        </w:tc>
        <w:tc>
          <w:tcPr>
            <w:tcW w:w="2552" w:type="dxa"/>
            <w:shd w:val="pct10" w:color="auto" w:fill="FFFFFF"/>
          </w:tcPr>
          <w:p w:rsidR="002A7F83" w:rsidRPr="002A76C8" w:rsidRDefault="002A7F83" w:rsidP="00F42767">
            <w:pPr>
              <w:spacing w:before="120"/>
              <w:jc w:val="center"/>
              <w:rPr>
                <w:b/>
                <w:szCs w:val="22"/>
              </w:rPr>
            </w:pPr>
            <w:r w:rsidRPr="002A76C8">
              <w:rPr>
                <w:b/>
                <w:szCs w:val="22"/>
              </w:rPr>
              <w:t>DATE</w:t>
            </w:r>
          </w:p>
        </w:tc>
        <w:tc>
          <w:tcPr>
            <w:tcW w:w="2551" w:type="dxa"/>
            <w:shd w:val="pct10" w:color="auto" w:fill="FFFFFF"/>
          </w:tcPr>
          <w:p w:rsidR="002A7F83" w:rsidRPr="002A76C8" w:rsidRDefault="002A7F83" w:rsidP="00F42767">
            <w:pPr>
              <w:spacing w:before="120"/>
              <w:jc w:val="center"/>
              <w:rPr>
                <w:b/>
                <w:szCs w:val="22"/>
              </w:rPr>
            </w:pPr>
            <w:r w:rsidRPr="002A76C8">
              <w:rPr>
                <w:b/>
                <w:szCs w:val="22"/>
              </w:rPr>
              <w:t>TIME</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318"/>
              <w:jc w:val="left"/>
              <w:rPr>
                <w:b/>
                <w:szCs w:val="22"/>
              </w:rPr>
            </w:pPr>
            <w:r w:rsidRPr="002A76C8">
              <w:rPr>
                <w:b/>
                <w:szCs w:val="22"/>
              </w:rPr>
              <w:lastRenderedPageBreak/>
              <w:t>1.</w:t>
            </w:r>
            <w:r w:rsidRPr="002A76C8">
              <w:rPr>
                <w:b/>
                <w:szCs w:val="22"/>
              </w:rPr>
              <w:tab/>
              <w:t>Information meeting (if any)</w:t>
            </w:r>
          </w:p>
        </w:tc>
        <w:tc>
          <w:tcPr>
            <w:tcW w:w="2552" w:type="dxa"/>
          </w:tcPr>
          <w:p w:rsidR="002A7F83" w:rsidRPr="002A76C8" w:rsidRDefault="002A7F83" w:rsidP="00F42767">
            <w:pPr>
              <w:spacing w:before="120"/>
              <w:jc w:val="center"/>
              <w:rPr>
                <w:szCs w:val="22"/>
              </w:rPr>
            </w:pPr>
            <w:r>
              <w:rPr>
                <w:szCs w:val="22"/>
              </w:rPr>
              <w:t>23.03.2020</w:t>
            </w:r>
          </w:p>
        </w:tc>
        <w:tc>
          <w:tcPr>
            <w:tcW w:w="2551" w:type="dxa"/>
          </w:tcPr>
          <w:p w:rsidR="002A7F83" w:rsidRPr="002A76C8" w:rsidRDefault="002A7F83" w:rsidP="00F42767">
            <w:pPr>
              <w:spacing w:before="120"/>
              <w:jc w:val="center"/>
              <w:rPr>
                <w:szCs w:val="22"/>
              </w:rPr>
            </w:pPr>
            <w:r>
              <w:rPr>
                <w:szCs w:val="22"/>
              </w:rPr>
              <w:t>12:00h</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2.</w:t>
            </w:r>
            <w:r w:rsidRPr="002A76C8">
              <w:rPr>
                <w:b/>
                <w:szCs w:val="22"/>
              </w:rPr>
              <w:tab/>
              <w:t>Deadline for requesting any clarifications from the contracting authority</w:t>
            </w:r>
          </w:p>
        </w:tc>
        <w:tc>
          <w:tcPr>
            <w:tcW w:w="2552" w:type="dxa"/>
          </w:tcPr>
          <w:p w:rsidR="002A7F83" w:rsidRPr="002A76C8" w:rsidRDefault="002A7F83" w:rsidP="00F42767">
            <w:pPr>
              <w:spacing w:before="120"/>
              <w:jc w:val="center"/>
              <w:rPr>
                <w:szCs w:val="22"/>
              </w:rPr>
            </w:pPr>
            <w:r>
              <w:rPr>
                <w:szCs w:val="22"/>
              </w:rPr>
              <w:t>30.03.2020</w:t>
            </w:r>
          </w:p>
        </w:tc>
        <w:tc>
          <w:tcPr>
            <w:tcW w:w="2551" w:type="dxa"/>
          </w:tcPr>
          <w:p w:rsidR="002A7F83" w:rsidRPr="002A76C8" w:rsidRDefault="002A7F83" w:rsidP="00F42767">
            <w:pPr>
              <w:spacing w:before="120"/>
              <w:jc w:val="center"/>
              <w:rPr>
                <w:szCs w:val="22"/>
              </w:rPr>
            </w:pPr>
            <w:r>
              <w:rPr>
                <w:szCs w:val="22"/>
              </w:rPr>
              <w:t>15:00h</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3.</w:t>
            </w:r>
            <w:r w:rsidRPr="002A76C8">
              <w:rPr>
                <w:b/>
                <w:szCs w:val="22"/>
              </w:rPr>
              <w:tab/>
              <w:t>Last date on which clarifications are issued by the contracting authority</w:t>
            </w:r>
          </w:p>
        </w:tc>
        <w:tc>
          <w:tcPr>
            <w:tcW w:w="2552" w:type="dxa"/>
          </w:tcPr>
          <w:p w:rsidR="002A7F83" w:rsidRPr="002A76C8" w:rsidRDefault="002A7F83" w:rsidP="00F42767">
            <w:pPr>
              <w:spacing w:before="120"/>
              <w:jc w:val="center"/>
              <w:rPr>
                <w:szCs w:val="22"/>
              </w:rPr>
            </w:pPr>
            <w:r>
              <w:rPr>
                <w:szCs w:val="22"/>
              </w:rPr>
              <w:t>09.04.2020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4.</w:t>
            </w:r>
            <w:r w:rsidRPr="002A76C8">
              <w:rPr>
                <w:b/>
                <w:szCs w:val="22"/>
              </w:rPr>
              <w:tab/>
              <w:t xml:space="preserve">Deadline for submission of concept notes </w:t>
            </w:r>
          </w:p>
        </w:tc>
        <w:tc>
          <w:tcPr>
            <w:tcW w:w="2552" w:type="dxa"/>
          </w:tcPr>
          <w:p w:rsidR="002A7F83" w:rsidRPr="002A76C8" w:rsidRDefault="002A7F83" w:rsidP="00F42767">
            <w:pPr>
              <w:spacing w:before="120"/>
              <w:jc w:val="center"/>
              <w:rPr>
                <w:szCs w:val="22"/>
              </w:rPr>
            </w:pPr>
            <w:r>
              <w:rPr>
                <w:szCs w:val="22"/>
              </w:rPr>
              <w:t>20.04.2020</w:t>
            </w:r>
          </w:p>
        </w:tc>
        <w:tc>
          <w:tcPr>
            <w:tcW w:w="2551" w:type="dxa"/>
          </w:tcPr>
          <w:p w:rsidR="002A7F83" w:rsidRPr="002A76C8" w:rsidRDefault="002A7F83" w:rsidP="00F42767">
            <w:pPr>
              <w:spacing w:before="120"/>
              <w:jc w:val="center"/>
              <w:rPr>
                <w:szCs w:val="22"/>
              </w:rPr>
            </w:pPr>
            <w:r>
              <w:rPr>
                <w:szCs w:val="22"/>
              </w:rPr>
              <w:t>15:00h</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5.</w:t>
            </w:r>
            <w:r w:rsidRPr="002A76C8">
              <w:rPr>
                <w:b/>
                <w:szCs w:val="22"/>
              </w:rPr>
              <w:tab/>
              <w:t>Information to lead applicants on opening, administrative checks and concept note evaluation  (Step 1)</w:t>
            </w:r>
          </w:p>
        </w:tc>
        <w:tc>
          <w:tcPr>
            <w:tcW w:w="2552" w:type="dxa"/>
          </w:tcPr>
          <w:p w:rsidR="002A7F83" w:rsidRPr="002A76C8" w:rsidRDefault="002A7F83" w:rsidP="00F42767">
            <w:pPr>
              <w:spacing w:before="120"/>
              <w:jc w:val="center"/>
              <w:rPr>
                <w:szCs w:val="22"/>
              </w:rPr>
            </w:pPr>
            <w:r>
              <w:rPr>
                <w:szCs w:val="22"/>
              </w:rPr>
              <w:t>22.06.2020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jc w:val="left"/>
              <w:rPr>
                <w:b/>
                <w:szCs w:val="22"/>
              </w:rPr>
            </w:pPr>
            <w:r w:rsidRPr="002A76C8">
              <w:rPr>
                <w:b/>
                <w:szCs w:val="22"/>
              </w:rPr>
              <w:t>6. Invitations to submit full applications</w:t>
            </w:r>
          </w:p>
        </w:tc>
        <w:tc>
          <w:tcPr>
            <w:tcW w:w="2552" w:type="dxa"/>
          </w:tcPr>
          <w:p w:rsidR="002A7F83" w:rsidRPr="002A76C8" w:rsidRDefault="002A7F83" w:rsidP="00F42767">
            <w:pPr>
              <w:spacing w:before="120"/>
              <w:jc w:val="center"/>
              <w:rPr>
                <w:szCs w:val="22"/>
              </w:rPr>
            </w:pPr>
            <w:r>
              <w:rPr>
                <w:szCs w:val="22"/>
              </w:rPr>
              <w:t>23.06.2020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jc w:val="left"/>
              <w:rPr>
                <w:b/>
                <w:szCs w:val="22"/>
              </w:rPr>
            </w:pPr>
            <w:r w:rsidRPr="002A76C8">
              <w:rPr>
                <w:b/>
                <w:szCs w:val="22"/>
              </w:rPr>
              <w:t>6. Deadline for submission of full applications</w:t>
            </w:r>
          </w:p>
        </w:tc>
        <w:tc>
          <w:tcPr>
            <w:tcW w:w="2552" w:type="dxa"/>
          </w:tcPr>
          <w:p w:rsidR="002A7F83" w:rsidRPr="002A76C8" w:rsidRDefault="002A7F83" w:rsidP="00F42767">
            <w:pPr>
              <w:spacing w:before="120"/>
              <w:jc w:val="center"/>
              <w:rPr>
                <w:szCs w:val="22"/>
              </w:rPr>
            </w:pPr>
            <w:r>
              <w:rPr>
                <w:szCs w:val="22"/>
              </w:rPr>
              <w:t>28.08.2020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7.</w:t>
            </w:r>
            <w:r w:rsidRPr="002A76C8">
              <w:rPr>
                <w:b/>
                <w:szCs w:val="22"/>
              </w:rPr>
              <w:tab/>
              <w:t>Information to lead applicants on the evaluation of the full applications (Step 2)</w:t>
            </w:r>
          </w:p>
        </w:tc>
        <w:tc>
          <w:tcPr>
            <w:tcW w:w="2552" w:type="dxa"/>
          </w:tcPr>
          <w:p w:rsidR="002A7F83" w:rsidRPr="002A76C8" w:rsidRDefault="002A7F83" w:rsidP="00F42767">
            <w:pPr>
              <w:spacing w:before="120"/>
              <w:jc w:val="center"/>
              <w:rPr>
                <w:szCs w:val="22"/>
              </w:rPr>
            </w:pPr>
            <w:r>
              <w:rPr>
                <w:szCs w:val="22"/>
              </w:rPr>
              <w:t>20.11.2020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8.</w:t>
            </w:r>
            <w:r w:rsidRPr="002A76C8">
              <w:rPr>
                <w:b/>
                <w:szCs w:val="22"/>
              </w:rPr>
              <w:tab/>
              <w:t>Notification of award (after the eligibility check) (Step 3)</w:t>
            </w:r>
          </w:p>
        </w:tc>
        <w:tc>
          <w:tcPr>
            <w:tcW w:w="2552" w:type="dxa"/>
          </w:tcPr>
          <w:p w:rsidR="002A7F83" w:rsidRPr="002A76C8" w:rsidRDefault="002A7F83" w:rsidP="00F42767">
            <w:pPr>
              <w:spacing w:before="120"/>
              <w:jc w:val="center"/>
              <w:rPr>
                <w:szCs w:val="22"/>
              </w:rPr>
            </w:pPr>
            <w:r>
              <w:rPr>
                <w:szCs w:val="22"/>
              </w:rPr>
              <w:t>November 2020</w:t>
            </w:r>
          </w:p>
        </w:tc>
        <w:tc>
          <w:tcPr>
            <w:tcW w:w="2551" w:type="dxa"/>
          </w:tcPr>
          <w:p w:rsidR="002A7F83" w:rsidRPr="002A76C8" w:rsidRDefault="002A7F83" w:rsidP="00F42767">
            <w:pPr>
              <w:spacing w:before="120"/>
              <w:jc w:val="center"/>
              <w:rPr>
                <w:szCs w:val="22"/>
              </w:rPr>
            </w:pPr>
            <w:r w:rsidRPr="002A76C8">
              <w:rPr>
                <w:szCs w:val="22"/>
              </w:rPr>
              <w:t>-</w:t>
            </w:r>
          </w:p>
        </w:tc>
      </w:tr>
      <w:tr w:rsidR="002A7F83" w:rsidRPr="002A76C8" w:rsidTr="00F42767">
        <w:tblPrEx>
          <w:tblCellMar>
            <w:top w:w="0" w:type="dxa"/>
            <w:bottom w:w="0" w:type="dxa"/>
          </w:tblCellMar>
        </w:tblPrEx>
        <w:tc>
          <w:tcPr>
            <w:tcW w:w="4678" w:type="dxa"/>
            <w:shd w:val="pct10" w:color="auto" w:fill="FFFFFF"/>
          </w:tcPr>
          <w:p w:rsidR="002A7F83" w:rsidRPr="002A76C8" w:rsidRDefault="002A7F83" w:rsidP="00F42767">
            <w:pPr>
              <w:spacing w:before="120"/>
              <w:ind w:left="318" w:hanging="284"/>
              <w:jc w:val="left"/>
              <w:rPr>
                <w:b/>
                <w:szCs w:val="22"/>
              </w:rPr>
            </w:pPr>
            <w:r w:rsidRPr="002A76C8">
              <w:rPr>
                <w:b/>
                <w:szCs w:val="22"/>
              </w:rPr>
              <w:t>9.</w:t>
            </w:r>
            <w:r w:rsidRPr="002A76C8">
              <w:rPr>
                <w:b/>
                <w:szCs w:val="22"/>
              </w:rPr>
              <w:tab/>
              <w:t>Contract signature</w:t>
            </w:r>
          </w:p>
        </w:tc>
        <w:tc>
          <w:tcPr>
            <w:tcW w:w="2552" w:type="dxa"/>
          </w:tcPr>
          <w:p w:rsidR="002A7F83" w:rsidRPr="002A76C8" w:rsidRDefault="002A7F83" w:rsidP="00F42767">
            <w:pPr>
              <w:spacing w:before="120"/>
              <w:jc w:val="center"/>
              <w:rPr>
                <w:szCs w:val="22"/>
              </w:rPr>
            </w:pPr>
            <w:r>
              <w:rPr>
                <w:szCs w:val="22"/>
              </w:rPr>
              <w:t>December 2020</w:t>
            </w:r>
          </w:p>
        </w:tc>
        <w:tc>
          <w:tcPr>
            <w:tcW w:w="2551" w:type="dxa"/>
          </w:tcPr>
          <w:p w:rsidR="002A7F83" w:rsidRPr="002A76C8" w:rsidRDefault="002A7F83" w:rsidP="00F42767">
            <w:pPr>
              <w:spacing w:before="120"/>
              <w:jc w:val="center"/>
              <w:rPr>
                <w:szCs w:val="22"/>
              </w:rPr>
            </w:pPr>
            <w:r w:rsidRPr="002A76C8">
              <w:rPr>
                <w:szCs w:val="22"/>
              </w:rPr>
              <w:t>-</w:t>
            </w:r>
          </w:p>
        </w:tc>
      </w:tr>
    </w:tbl>
    <w:p w:rsidR="002A7F83" w:rsidRPr="002A76C8" w:rsidRDefault="002A7F83" w:rsidP="002A7F83">
      <w:pPr>
        <w:spacing w:before="120"/>
        <w:rPr>
          <w:szCs w:val="22"/>
        </w:rPr>
      </w:pPr>
      <w:r w:rsidRPr="002A76C8">
        <w:rPr>
          <w:szCs w:val="22"/>
        </w:rPr>
        <w:t>All times are in the time zone of the country of the contracting authority.</w:t>
      </w:r>
    </w:p>
    <w:p w:rsidR="002A7F83" w:rsidRPr="002A76C8" w:rsidRDefault="002A7F83" w:rsidP="002A7F83">
      <w:pPr>
        <w:rPr>
          <w:szCs w:val="22"/>
        </w:rPr>
      </w:pPr>
      <w:r w:rsidRPr="002A76C8">
        <w:rPr>
          <w:szCs w:val="22"/>
        </w:rPr>
        <w:t>This indicative timetable refers to provisional dates (except for dates 2, 3, and 4) and may be updated by the contracting authority during the procedure. In such cases, the updated timetable will be published on the web site of DG International Cooperation and Development:</w:t>
      </w:r>
      <w:r w:rsidRPr="002A76C8">
        <w:rPr>
          <w:szCs w:val="22"/>
        </w:rPr>
        <w:tab/>
        <w:t xml:space="preserve"> </w:t>
      </w:r>
      <w:hyperlink r:id="rId18" w:history="1">
        <w:r w:rsidRPr="002A76C8">
          <w:rPr>
            <w:rStyle w:val="Hyperlink"/>
            <w:szCs w:val="22"/>
          </w:rPr>
          <w:t>https://webgate.ec.europa.eu/europeaid/online-services/index.cfm?do=publi.welcome</w:t>
        </w:r>
      </w:hyperlink>
      <w:r w:rsidRPr="002A76C8">
        <w:rPr>
          <w:szCs w:val="22"/>
        </w:rPr>
        <w:t>.</w:t>
      </w:r>
    </w:p>
    <w:p w:rsidR="002A7F83" w:rsidRPr="002A76C8" w:rsidRDefault="002A7F83" w:rsidP="0033394E">
      <w:pPr>
        <w:pStyle w:val="Guidelines2"/>
        <w:numPr>
          <w:ilvl w:val="1"/>
          <w:numId w:val="23"/>
        </w:numPr>
        <w:rPr>
          <w:rFonts w:ascii="Times New Roman" w:hAnsi="Times New Roman"/>
          <w:sz w:val="22"/>
          <w:szCs w:val="22"/>
        </w:rPr>
      </w:pPr>
      <w:bookmarkStart w:id="44" w:name="_Toc40507655"/>
      <w:bookmarkStart w:id="45" w:name="_Toc437893864"/>
      <w:r w:rsidRPr="002A76C8">
        <w:rPr>
          <w:rFonts w:ascii="Times New Roman" w:hAnsi="Times New Roman"/>
          <w:sz w:val="22"/>
          <w:szCs w:val="22"/>
        </w:rPr>
        <w:t>Conditions for implementation after the contracting authority’s decision to award a grant</w:t>
      </w:r>
      <w:bookmarkEnd w:id="44"/>
      <w:bookmarkEnd w:id="45"/>
    </w:p>
    <w:p w:rsidR="002A7F83" w:rsidRPr="002A76C8" w:rsidRDefault="002A7F83" w:rsidP="002A7F83">
      <w:pPr>
        <w:spacing w:after="120"/>
        <w:rPr>
          <w:szCs w:val="22"/>
        </w:rPr>
      </w:pPr>
      <w:r w:rsidRPr="002A76C8">
        <w:rPr>
          <w:szCs w:val="22"/>
        </w:rPr>
        <w:t>Following the decision to award a grant, the beneficiary(ies) will be offered a contract based on the standard grant contract (see Annex G of these guidelines). By signing the application form (Annex A of these guidelines), the applicants agree, if awarded a grant, to accept the contractual conditions of the standard grant contract. Where the coordinator is an organisation whose pillars have been positively assessed, it will sign a contribution agreement based on the contribution agreement template. In this case references to provisions of the standard grant contract and its annexes shall not apply. References in these guidelines to the grant contract shall be understood as references to the relevant provisions of the contribution agreement.</w:t>
      </w:r>
    </w:p>
    <w:p w:rsidR="002A7F83" w:rsidRPr="002A76C8" w:rsidRDefault="002A7F83" w:rsidP="002A7F83">
      <w:pPr>
        <w:spacing w:before="240"/>
        <w:rPr>
          <w:szCs w:val="22"/>
          <w:u w:val="single"/>
        </w:rPr>
      </w:pPr>
      <w:r w:rsidRPr="002A76C8">
        <w:rPr>
          <w:szCs w:val="22"/>
          <w:u w:val="single"/>
        </w:rPr>
        <w:t>Implementation contracts</w:t>
      </w:r>
    </w:p>
    <w:p w:rsidR="002A7F83" w:rsidRPr="002A76C8" w:rsidRDefault="002A7F83" w:rsidP="002A7F83">
      <w:pPr>
        <w:spacing w:before="240"/>
        <w:rPr>
          <w:szCs w:val="22"/>
          <w:u w:val="single"/>
        </w:rPr>
      </w:pPr>
    </w:p>
    <w:p w:rsidR="002A7F83" w:rsidRPr="002A76C8" w:rsidRDefault="002A7F83" w:rsidP="002A7F83">
      <w:pPr>
        <w:rPr>
          <w:szCs w:val="22"/>
        </w:rPr>
      </w:pPr>
      <w:r w:rsidRPr="002A76C8">
        <w:rPr>
          <w:szCs w:val="22"/>
        </w:rPr>
        <w:t>Where implementation of the action requires the beneficiary(ies) and its affiliated entity(ies) (if any) to award procurement contracts, those contracts must be awarded in accordance with Annex IV to the standard grant contract.</w:t>
      </w:r>
    </w:p>
    <w:p w:rsidR="002A7F83" w:rsidRPr="002A76C8" w:rsidRDefault="002A7F83" w:rsidP="002A7F83">
      <w:pPr>
        <w:rPr>
          <w:szCs w:val="22"/>
        </w:rPr>
      </w:pPr>
      <w:r w:rsidRPr="002A76C8">
        <w:rPr>
          <w:szCs w:val="22"/>
        </w:rPr>
        <w:lastRenderedPageBreak/>
        <w:t xml:space="preserve">In this context, a distinction should be made between awarding implementation contracts and subcontracting parts of the action described in the proposal, i.e. the description of the action annexed to the grant contract, such subcontracting being subject to additional restrictions (see the general terms and conditions in the model grant contract).  </w:t>
      </w:r>
    </w:p>
    <w:p w:rsidR="002A7F83" w:rsidRPr="002A76C8" w:rsidRDefault="002A7F83" w:rsidP="002A7F83">
      <w:pPr>
        <w:rPr>
          <w:szCs w:val="22"/>
        </w:rPr>
      </w:pPr>
      <w:r w:rsidRPr="002A76C8">
        <w:rPr>
          <w:szCs w:val="22"/>
        </w:rPr>
        <w:t xml:space="preserve">Awarding implementation contracts: implementation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contract. </w:t>
      </w:r>
    </w:p>
    <w:p w:rsidR="002A7F83" w:rsidRPr="002A76C8" w:rsidRDefault="002A7F83" w:rsidP="002A7F83">
      <w:pPr>
        <w:rPr>
          <w:szCs w:val="22"/>
        </w:rPr>
      </w:pPr>
      <w:r w:rsidRPr="002A76C8">
        <w:rPr>
          <w:szCs w:val="22"/>
        </w:rPr>
        <w:t xml:space="preserve">Subcontracting: Subcontracting is the implementation, by a third party with which one or more beneficiaries have concluded a procurement contract, of specific tasks forming part of the action as described in annex to the grant contract (see also the general terms and conditions in the model grant contract). </w:t>
      </w:r>
    </w:p>
    <w:p w:rsidR="002A7F83" w:rsidRPr="002A76C8" w:rsidRDefault="002A7F83" w:rsidP="002A7F83">
      <w:pPr>
        <w:rPr>
          <w:szCs w:val="22"/>
        </w:rPr>
      </w:pPr>
    </w:p>
    <w:p w:rsidR="002A7F83" w:rsidRPr="002A76C8" w:rsidRDefault="002A7F83" w:rsidP="0033394E">
      <w:pPr>
        <w:pStyle w:val="Guidelines1"/>
        <w:numPr>
          <w:ilvl w:val="0"/>
          <w:numId w:val="23"/>
        </w:numPr>
        <w:tabs>
          <w:tab w:val="clear" w:pos="1492"/>
          <w:tab w:val="num" w:pos="283"/>
        </w:tabs>
        <w:rPr>
          <w:rFonts w:ascii="Times New Roman" w:hAnsi="Times New Roman"/>
          <w:szCs w:val="22"/>
        </w:rPr>
      </w:pPr>
      <w:bookmarkStart w:id="46" w:name="_Toc40507656"/>
      <w:r w:rsidRPr="002A76C8">
        <w:rPr>
          <w:rFonts w:ascii="Times New Roman" w:hAnsi="Times New Roman"/>
          <w:szCs w:val="22"/>
        </w:rPr>
        <w:br w:type="page"/>
      </w:r>
      <w:bookmarkStart w:id="47" w:name="_Toc437893865"/>
      <w:r w:rsidRPr="002A76C8">
        <w:rPr>
          <w:rFonts w:ascii="Times New Roman" w:hAnsi="Times New Roman"/>
          <w:szCs w:val="22"/>
        </w:rPr>
        <w:lastRenderedPageBreak/>
        <w:t>LIST OF annexes</w:t>
      </w:r>
      <w:bookmarkEnd w:id="46"/>
      <w:bookmarkEnd w:id="47"/>
    </w:p>
    <w:p w:rsidR="002A7F83" w:rsidRPr="002A76C8" w:rsidRDefault="002A7F83" w:rsidP="002A7F83">
      <w:pPr>
        <w:rPr>
          <w:b/>
          <w:smallCaps/>
          <w:szCs w:val="22"/>
        </w:rPr>
      </w:pPr>
      <w:bookmarkStart w:id="48" w:name="_Toc40507657"/>
      <w:r w:rsidRPr="002A76C8">
        <w:rPr>
          <w:b/>
          <w:smallCaps/>
          <w:szCs w:val="22"/>
        </w:rPr>
        <w:t>Documents to be completed</w:t>
      </w:r>
    </w:p>
    <w:p w:rsidR="002A7F83" w:rsidRPr="002A76C8" w:rsidRDefault="002A7F83" w:rsidP="002A7F83">
      <w:pPr>
        <w:spacing w:after="80"/>
        <w:ind w:left="1134" w:hanging="1134"/>
        <w:rPr>
          <w:szCs w:val="22"/>
        </w:rPr>
      </w:pPr>
      <w:r w:rsidRPr="002A76C8">
        <w:rPr>
          <w:szCs w:val="22"/>
        </w:rPr>
        <w:t>Annex A:</w:t>
      </w:r>
      <w:r w:rsidRPr="002A76C8">
        <w:rPr>
          <w:szCs w:val="22"/>
        </w:rPr>
        <w:tab/>
        <w:t>Grant application form (Word format)</w:t>
      </w:r>
      <w:bookmarkEnd w:id="48"/>
    </w:p>
    <w:p w:rsidR="002A7F83" w:rsidRPr="002A76C8" w:rsidRDefault="002A7F83" w:rsidP="002A7F83">
      <w:pPr>
        <w:spacing w:after="80"/>
        <w:ind w:left="1134" w:hanging="1134"/>
        <w:rPr>
          <w:szCs w:val="22"/>
        </w:rPr>
      </w:pPr>
      <w:bookmarkStart w:id="49" w:name="_Toc40507658"/>
      <w:r w:rsidRPr="002A76C8">
        <w:rPr>
          <w:szCs w:val="22"/>
        </w:rPr>
        <w:t>Annex B:</w:t>
      </w:r>
      <w:r w:rsidRPr="002A76C8">
        <w:rPr>
          <w:szCs w:val="22"/>
        </w:rPr>
        <w:tab/>
        <w:t>Budget (Excel format)</w:t>
      </w:r>
      <w:bookmarkEnd w:id="49"/>
    </w:p>
    <w:p w:rsidR="002A7F83" w:rsidRPr="002A76C8" w:rsidRDefault="002A7F83" w:rsidP="002A7F83">
      <w:pPr>
        <w:spacing w:after="80"/>
        <w:ind w:left="1134" w:hanging="1134"/>
        <w:rPr>
          <w:szCs w:val="22"/>
        </w:rPr>
      </w:pPr>
      <w:bookmarkStart w:id="50" w:name="_Toc40507659"/>
      <w:r w:rsidRPr="002A76C8">
        <w:rPr>
          <w:szCs w:val="22"/>
        </w:rPr>
        <w:t>Annex C:</w:t>
      </w:r>
      <w:r w:rsidRPr="002A76C8">
        <w:rPr>
          <w:szCs w:val="22"/>
        </w:rPr>
        <w:tab/>
        <w:t>Logical framework (Excel format)</w:t>
      </w:r>
      <w:bookmarkEnd w:id="50"/>
    </w:p>
    <w:p w:rsidR="002A7F83" w:rsidRPr="002A76C8" w:rsidRDefault="002A7F83" w:rsidP="002A7F83">
      <w:pPr>
        <w:spacing w:after="80"/>
        <w:ind w:left="1134" w:hanging="1134"/>
        <w:rPr>
          <w:szCs w:val="22"/>
        </w:rPr>
      </w:pPr>
      <w:bookmarkStart w:id="51" w:name="_Toc40507661"/>
      <w:r w:rsidRPr="002A76C8">
        <w:rPr>
          <w:szCs w:val="22"/>
        </w:rPr>
        <w:t>Annex E:</w:t>
      </w:r>
      <w:r w:rsidRPr="002A76C8">
        <w:rPr>
          <w:szCs w:val="22"/>
        </w:rPr>
        <w:tab/>
        <w:t>Financial identification form</w:t>
      </w:r>
    </w:p>
    <w:p w:rsidR="002A7F83" w:rsidRPr="002A76C8" w:rsidRDefault="002A7F83" w:rsidP="002A7F83">
      <w:pPr>
        <w:spacing w:after="80"/>
        <w:ind w:left="1134" w:hanging="1134"/>
        <w:rPr>
          <w:szCs w:val="22"/>
        </w:rPr>
      </w:pPr>
      <w:r w:rsidRPr="002A76C8">
        <w:rPr>
          <w:szCs w:val="22"/>
        </w:rPr>
        <w:t xml:space="preserve">Annex F: </w:t>
      </w:r>
      <w:r w:rsidRPr="002A76C8">
        <w:rPr>
          <w:szCs w:val="22"/>
        </w:rPr>
        <w:tab/>
        <w:t xml:space="preserve">PADOR registration form </w:t>
      </w:r>
    </w:p>
    <w:p w:rsidR="002A7F83" w:rsidRPr="002A76C8" w:rsidRDefault="002A7F83" w:rsidP="002A7F83">
      <w:pPr>
        <w:spacing w:before="240"/>
        <w:rPr>
          <w:b/>
          <w:smallCaps/>
          <w:szCs w:val="22"/>
        </w:rPr>
      </w:pPr>
      <w:r w:rsidRPr="002A76C8">
        <w:rPr>
          <w:b/>
          <w:smallCaps/>
          <w:szCs w:val="22"/>
        </w:rPr>
        <w:t>DOCUMENTS FOR INFORMATION</w:t>
      </w:r>
      <w:r w:rsidRPr="002A76C8">
        <w:rPr>
          <w:rStyle w:val="FootnoteReference"/>
          <w:b/>
          <w:smallCaps/>
          <w:szCs w:val="22"/>
          <w:lang w:val="fr-FR"/>
        </w:rPr>
        <w:footnoteReference w:id="18"/>
      </w:r>
    </w:p>
    <w:p w:rsidR="002A7F83" w:rsidRPr="002A76C8" w:rsidRDefault="002A7F83" w:rsidP="002A7F83">
      <w:pPr>
        <w:spacing w:after="120"/>
        <w:ind w:left="1134" w:hanging="1134"/>
        <w:rPr>
          <w:szCs w:val="22"/>
        </w:rPr>
      </w:pPr>
      <w:r w:rsidRPr="002A76C8">
        <w:rPr>
          <w:szCs w:val="22"/>
        </w:rPr>
        <w:t>Annex G:</w:t>
      </w:r>
      <w:r w:rsidRPr="002A76C8">
        <w:rPr>
          <w:szCs w:val="22"/>
        </w:rPr>
        <w:tab/>
        <w:t>Standard grant contract</w:t>
      </w:r>
    </w:p>
    <w:bookmarkEnd w:id="51"/>
    <w:p w:rsidR="002A7F83" w:rsidRPr="002A76C8" w:rsidRDefault="002A7F83" w:rsidP="002A7F83">
      <w:pPr>
        <w:tabs>
          <w:tab w:val="left" w:pos="567"/>
          <w:tab w:val="left" w:pos="1701"/>
        </w:tabs>
        <w:spacing w:after="0"/>
        <w:ind w:left="1701" w:hanging="1276"/>
        <w:rPr>
          <w:szCs w:val="22"/>
        </w:rPr>
      </w:pPr>
      <w:r w:rsidRPr="002A76C8">
        <w:rPr>
          <w:szCs w:val="22"/>
        </w:rPr>
        <w:t>-</w:t>
      </w:r>
      <w:r w:rsidRPr="002A76C8">
        <w:rPr>
          <w:szCs w:val="22"/>
        </w:rPr>
        <w:tab/>
        <w:t>Annex II:</w:t>
      </w:r>
      <w:r w:rsidRPr="002A76C8">
        <w:rPr>
          <w:szCs w:val="22"/>
        </w:rPr>
        <w:tab/>
        <w:t xml:space="preserve">general conditions </w:t>
      </w:r>
    </w:p>
    <w:p w:rsidR="002A7F83" w:rsidRPr="002A76C8" w:rsidRDefault="002A7F83" w:rsidP="002A7F83">
      <w:pPr>
        <w:tabs>
          <w:tab w:val="left" w:pos="567"/>
          <w:tab w:val="left" w:pos="1701"/>
        </w:tabs>
        <w:spacing w:after="0"/>
        <w:ind w:left="1701" w:hanging="1276"/>
        <w:rPr>
          <w:szCs w:val="22"/>
        </w:rPr>
      </w:pPr>
      <w:r w:rsidRPr="002A76C8">
        <w:rPr>
          <w:szCs w:val="22"/>
        </w:rPr>
        <w:t>-</w:t>
      </w:r>
      <w:r w:rsidRPr="002A76C8">
        <w:rPr>
          <w:szCs w:val="22"/>
        </w:rPr>
        <w:tab/>
        <w:t>Annex IV:</w:t>
      </w:r>
      <w:r w:rsidRPr="002A76C8">
        <w:rPr>
          <w:szCs w:val="22"/>
        </w:rPr>
        <w:tab/>
        <w:t>contract award rules</w:t>
      </w:r>
    </w:p>
    <w:p w:rsidR="002A7F83" w:rsidRPr="002A76C8" w:rsidRDefault="002A7F83" w:rsidP="002A7F83">
      <w:pPr>
        <w:tabs>
          <w:tab w:val="left" w:pos="567"/>
          <w:tab w:val="left" w:pos="1701"/>
        </w:tabs>
        <w:spacing w:after="0"/>
        <w:ind w:left="1701" w:hanging="1276"/>
        <w:rPr>
          <w:szCs w:val="22"/>
        </w:rPr>
      </w:pPr>
      <w:r w:rsidRPr="002A76C8">
        <w:rPr>
          <w:szCs w:val="22"/>
        </w:rPr>
        <w:t>-</w:t>
      </w:r>
      <w:r w:rsidRPr="002A76C8">
        <w:rPr>
          <w:szCs w:val="22"/>
        </w:rPr>
        <w:tab/>
        <w:t>Annex V:</w:t>
      </w:r>
      <w:r w:rsidRPr="002A76C8">
        <w:rPr>
          <w:szCs w:val="22"/>
        </w:rPr>
        <w:tab/>
        <w:t>standard request for payment</w:t>
      </w:r>
    </w:p>
    <w:p w:rsidR="002A7F83" w:rsidRPr="002A76C8" w:rsidRDefault="002A7F83" w:rsidP="002A7F83">
      <w:pPr>
        <w:tabs>
          <w:tab w:val="left" w:pos="567"/>
          <w:tab w:val="left" w:pos="1701"/>
        </w:tabs>
        <w:spacing w:after="0"/>
        <w:ind w:left="1701" w:hanging="1276"/>
        <w:rPr>
          <w:szCs w:val="22"/>
        </w:rPr>
      </w:pPr>
      <w:r w:rsidRPr="002A76C8">
        <w:rPr>
          <w:szCs w:val="22"/>
        </w:rPr>
        <w:t>-</w:t>
      </w:r>
      <w:r w:rsidRPr="002A76C8">
        <w:rPr>
          <w:szCs w:val="22"/>
        </w:rPr>
        <w:tab/>
        <w:t>Annex VI:</w:t>
      </w:r>
      <w:r w:rsidRPr="002A76C8">
        <w:rPr>
          <w:szCs w:val="22"/>
        </w:rPr>
        <w:tab/>
        <w:t>model narrative and financial report</w:t>
      </w:r>
    </w:p>
    <w:p w:rsidR="002A7F83" w:rsidRPr="002A76C8" w:rsidRDefault="002A7F83" w:rsidP="002A7F83">
      <w:pPr>
        <w:tabs>
          <w:tab w:val="left" w:pos="567"/>
          <w:tab w:val="left" w:pos="1701"/>
        </w:tabs>
        <w:spacing w:after="0"/>
        <w:ind w:left="1701" w:hanging="1276"/>
        <w:rPr>
          <w:szCs w:val="22"/>
        </w:rPr>
      </w:pPr>
      <w:r w:rsidRPr="005D4AB0">
        <w:rPr>
          <w:szCs w:val="22"/>
        </w:rPr>
        <w:t>- Annex IX:</w:t>
      </w:r>
      <w:r w:rsidRPr="005D4AB0">
        <w:rPr>
          <w:szCs w:val="22"/>
        </w:rPr>
        <w:tab/>
        <w:t>standard template for transfer of ownership of assets</w:t>
      </w:r>
    </w:p>
    <w:p w:rsidR="002A7F83" w:rsidRPr="002A76C8" w:rsidRDefault="002A7F83" w:rsidP="002A7F83">
      <w:pPr>
        <w:tabs>
          <w:tab w:val="left" w:pos="567"/>
          <w:tab w:val="left" w:pos="1701"/>
        </w:tabs>
        <w:spacing w:after="0"/>
        <w:rPr>
          <w:szCs w:val="22"/>
        </w:rPr>
      </w:pPr>
    </w:p>
    <w:p w:rsidR="002A7F83" w:rsidRPr="002A76C8" w:rsidRDefault="002A7F83" w:rsidP="002A7F83">
      <w:pPr>
        <w:tabs>
          <w:tab w:val="left" w:pos="1134"/>
        </w:tabs>
        <w:spacing w:after="120"/>
        <w:ind w:left="1134" w:hanging="1134"/>
        <w:jc w:val="left"/>
        <w:rPr>
          <w:szCs w:val="22"/>
        </w:rPr>
      </w:pPr>
      <w:r w:rsidRPr="002A76C8">
        <w:rPr>
          <w:szCs w:val="22"/>
        </w:rPr>
        <w:t>Annex H:</w:t>
      </w:r>
      <w:r w:rsidRPr="002A76C8">
        <w:rPr>
          <w:szCs w:val="22"/>
        </w:rPr>
        <w:tab/>
        <w:t>Declaration on Honour</w:t>
      </w:r>
    </w:p>
    <w:p w:rsidR="002A7F83" w:rsidRPr="002A76C8" w:rsidRDefault="002A7F83" w:rsidP="002A7F83">
      <w:pPr>
        <w:tabs>
          <w:tab w:val="left" w:pos="1134"/>
        </w:tabs>
        <w:spacing w:after="120"/>
        <w:ind w:left="1134" w:hanging="1134"/>
        <w:jc w:val="left"/>
        <w:rPr>
          <w:szCs w:val="22"/>
        </w:rPr>
      </w:pPr>
    </w:p>
    <w:p w:rsidR="002A7F83" w:rsidRPr="002A76C8" w:rsidRDefault="002A7F83" w:rsidP="002A7F83">
      <w:pPr>
        <w:tabs>
          <w:tab w:val="left" w:pos="1134"/>
        </w:tabs>
        <w:spacing w:after="120"/>
        <w:ind w:left="1134" w:hanging="1134"/>
        <w:jc w:val="left"/>
        <w:rPr>
          <w:szCs w:val="22"/>
        </w:rPr>
      </w:pPr>
      <w:r w:rsidRPr="002A76C8">
        <w:rPr>
          <w:szCs w:val="22"/>
        </w:rPr>
        <w:t xml:space="preserve">Annex I:       Daily allowance rates (per diem), available at the following address: </w:t>
      </w:r>
      <w:hyperlink r:id="rId19" w:history="1">
        <w:r w:rsidRPr="002A76C8">
          <w:rPr>
            <w:rStyle w:val="Hyperlink"/>
            <w:szCs w:val="22"/>
          </w:rPr>
          <w:t>http://ec.europa.eu/europeaid/funding/about-procurement-contracts/procedures-and-practical-guide-prag/diems_en</w:t>
        </w:r>
      </w:hyperlink>
      <w:r w:rsidRPr="002A76C8">
        <w:rPr>
          <w:szCs w:val="22"/>
        </w:rPr>
        <w:t xml:space="preserve"> (as all necessary information is available via the link the publication of the annex is optional)</w:t>
      </w:r>
    </w:p>
    <w:p w:rsidR="002A7F83" w:rsidRPr="002A76C8" w:rsidRDefault="002A7F83" w:rsidP="002A7F83">
      <w:pPr>
        <w:tabs>
          <w:tab w:val="left" w:pos="1134"/>
        </w:tabs>
        <w:spacing w:after="120"/>
        <w:ind w:left="1134" w:hanging="1134"/>
        <w:jc w:val="left"/>
        <w:rPr>
          <w:szCs w:val="22"/>
        </w:rPr>
      </w:pPr>
    </w:p>
    <w:p w:rsidR="002A7F83" w:rsidRPr="002A76C8" w:rsidRDefault="002A7F83" w:rsidP="002A7F83">
      <w:pPr>
        <w:tabs>
          <w:tab w:val="left" w:pos="1134"/>
        </w:tabs>
        <w:spacing w:after="120"/>
        <w:ind w:left="1134" w:hanging="1134"/>
        <w:jc w:val="left"/>
        <w:rPr>
          <w:szCs w:val="22"/>
        </w:rPr>
      </w:pPr>
      <w:bookmarkStart w:id="52" w:name="_Toc216513983"/>
      <w:r w:rsidRPr="002A76C8">
        <w:rPr>
          <w:szCs w:val="22"/>
        </w:rPr>
        <w:t>Annex J:</w:t>
      </w:r>
      <w:r w:rsidRPr="002A76C8">
        <w:rPr>
          <w:szCs w:val="22"/>
        </w:rPr>
        <w:tab/>
        <w:t>Information on the tax regime applicable to grant contracts signed under the call.</w:t>
      </w:r>
    </w:p>
    <w:p w:rsidR="002A7F83" w:rsidRPr="002A76C8" w:rsidRDefault="002A7F83" w:rsidP="002A7F83">
      <w:pPr>
        <w:tabs>
          <w:tab w:val="left" w:pos="1134"/>
        </w:tabs>
        <w:spacing w:after="0"/>
        <w:ind w:left="1134" w:hanging="1134"/>
        <w:jc w:val="left"/>
        <w:rPr>
          <w:szCs w:val="22"/>
        </w:rPr>
      </w:pPr>
      <w:r w:rsidRPr="002A76C8">
        <w:rPr>
          <w:szCs w:val="22"/>
        </w:rPr>
        <w:t>Annex K:</w:t>
      </w:r>
      <w:r w:rsidRPr="002A76C8">
        <w:rPr>
          <w:szCs w:val="22"/>
        </w:rPr>
        <w:tab/>
        <w:t>Guidelines for assessing simplified cost options.</w:t>
      </w:r>
    </w:p>
    <w:p w:rsidR="002A7F83" w:rsidRPr="002A76C8" w:rsidRDefault="002A7F83" w:rsidP="002A7F83">
      <w:pPr>
        <w:tabs>
          <w:tab w:val="left" w:pos="1134"/>
        </w:tabs>
        <w:spacing w:after="0"/>
        <w:ind w:left="1134" w:hanging="1134"/>
        <w:jc w:val="left"/>
        <w:rPr>
          <w:szCs w:val="22"/>
        </w:rPr>
      </w:pPr>
    </w:p>
    <w:p w:rsidR="002A7F83" w:rsidRPr="002A76C8" w:rsidRDefault="002A7F83" w:rsidP="002A7F83">
      <w:pPr>
        <w:spacing w:before="240"/>
        <w:jc w:val="left"/>
        <w:rPr>
          <w:b/>
          <w:szCs w:val="22"/>
        </w:rPr>
      </w:pPr>
      <w:bookmarkStart w:id="53" w:name="_Toc216513984"/>
      <w:bookmarkEnd w:id="52"/>
      <w:r w:rsidRPr="002A76C8">
        <w:rPr>
          <w:b/>
          <w:szCs w:val="22"/>
        </w:rPr>
        <w:t>Useful links:</w:t>
      </w:r>
    </w:p>
    <w:p w:rsidR="002A7F83" w:rsidRPr="002A76C8" w:rsidRDefault="002A7F83" w:rsidP="002A7F83">
      <w:pPr>
        <w:spacing w:after="0"/>
        <w:jc w:val="left"/>
        <w:rPr>
          <w:b/>
          <w:szCs w:val="22"/>
        </w:rPr>
      </w:pPr>
      <w:r w:rsidRPr="002A76C8">
        <w:rPr>
          <w:b/>
          <w:szCs w:val="22"/>
        </w:rPr>
        <w:t>Project Cycle Management Guidelines</w:t>
      </w:r>
      <w:bookmarkEnd w:id="53"/>
      <w:r w:rsidRPr="002A76C8">
        <w:rPr>
          <w:b/>
          <w:szCs w:val="22"/>
        </w:rPr>
        <w:t xml:space="preserve"> </w:t>
      </w:r>
    </w:p>
    <w:p w:rsidR="002A7F83" w:rsidRPr="002A76C8" w:rsidRDefault="002A7F83" w:rsidP="002A7F83">
      <w:pPr>
        <w:spacing w:after="120"/>
        <w:jc w:val="left"/>
        <w:rPr>
          <w:rStyle w:val="Hyperlink"/>
          <w:szCs w:val="22"/>
        </w:rPr>
      </w:pPr>
      <w:hyperlink r:id="rId20" w:history="1">
        <w:r w:rsidRPr="002A76C8">
          <w:rPr>
            <w:rStyle w:val="Hyperlink"/>
            <w:szCs w:val="22"/>
          </w:rPr>
          <w:t>http://ec.europa.eu/europeaid/aid-delivery-methods-project-cycle-management-guidelines-vol-1_en</w:t>
        </w:r>
      </w:hyperlink>
    </w:p>
    <w:p w:rsidR="002A7F83" w:rsidRPr="002A76C8" w:rsidRDefault="002A7F83" w:rsidP="002A7F83">
      <w:pPr>
        <w:spacing w:before="120" w:after="120"/>
        <w:jc w:val="left"/>
        <w:rPr>
          <w:b/>
          <w:szCs w:val="22"/>
        </w:rPr>
      </w:pPr>
      <w:r w:rsidRPr="002A76C8">
        <w:rPr>
          <w:b/>
          <w:szCs w:val="22"/>
        </w:rPr>
        <w:t>The implementation of grant contracts</w:t>
      </w:r>
    </w:p>
    <w:p w:rsidR="002A7F83" w:rsidRPr="002A76C8" w:rsidRDefault="002A7F83" w:rsidP="002A7F83">
      <w:pPr>
        <w:spacing w:after="0"/>
        <w:jc w:val="left"/>
        <w:rPr>
          <w:b/>
          <w:szCs w:val="22"/>
        </w:rPr>
      </w:pPr>
      <w:r w:rsidRPr="002A76C8">
        <w:rPr>
          <w:b/>
          <w:szCs w:val="22"/>
        </w:rPr>
        <w:t>A Users' Guide</w:t>
      </w:r>
    </w:p>
    <w:p w:rsidR="002A7F83" w:rsidRPr="002A76C8" w:rsidRDefault="002A7F83" w:rsidP="002A7F83">
      <w:pPr>
        <w:spacing w:after="120"/>
        <w:jc w:val="left"/>
        <w:rPr>
          <w:b/>
          <w:szCs w:val="22"/>
        </w:rPr>
      </w:pPr>
      <w:hyperlink r:id="rId21" w:history="1">
        <w:r w:rsidRPr="002A76C8">
          <w:rPr>
            <w:rStyle w:val="Hyperlink"/>
            <w:szCs w:val="22"/>
          </w:rPr>
          <w:t>http://ec.europa.eu/europeaid/companion/document.do?nodeNumber=19&amp;locale=en</w:t>
        </w:r>
      </w:hyperlink>
    </w:p>
    <w:p w:rsidR="002A7F83" w:rsidRPr="00626ECB" w:rsidRDefault="002A7F83" w:rsidP="002A7F83">
      <w:pPr>
        <w:spacing w:before="120" w:after="0"/>
        <w:jc w:val="left"/>
        <w:rPr>
          <w:b/>
          <w:szCs w:val="22"/>
          <w:lang w:val="es-ES"/>
        </w:rPr>
      </w:pPr>
      <w:r w:rsidRPr="00626ECB">
        <w:rPr>
          <w:b/>
          <w:szCs w:val="22"/>
          <w:lang w:val="es-ES"/>
        </w:rPr>
        <w:t>Financial Toolkit</w:t>
      </w:r>
      <w:r w:rsidRPr="00626ECB">
        <w:rPr>
          <w:b/>
          <w:szCs w:val="22"/>
          <w:lang w:val="es-ES"/>
        </w:rPr>
        <w:tab/>
      </w:r>
    </w:p>
    <w:p w:rsidR="002A7F83" w:rsidRPr="00626ECB" w:rsidRDefault="002A7F83" w:rsidP="002A7F83">
      <w:pPr>
        <w:spacing w:after="120"/>
        <w:rPr>
          <w:szCs w:val="22"/>
          <w:lang w:val="es-ES"/>
        </w:rPr>
      </w:pPr>
      <w:hyperlink r:id="rId22" w:history="1">
        <w:r w:rsidRPr="00626ECB">
          <w:rPr>
            <w:rStyle w:val="Hyperlink"/>
            <w:szCs w:val="22"/>
            <w:lang w:val="es-ES"/>
          </w:rPr>
          <w:t>http://ec.europa.eu/europeaid/funding/procedures-beneficiary-countries-and-partners/financial-management-toolkit_en</w:t>
        </w:r>
      </w:hyperlink>
      <w:r w:rsidRPr="00626ECB">
        <w:rPr>
          <w:szCs w:val="22"/>
          <w:lang w:val="es-ES"/>
        </w:rPr>
        <w:t xml:space="preserve"> </w:t>
      </w:r>
    </w:p>
    <w:p w:rsidR="002A7F83" w:rsidRPr="002A76C8" w:rsidRDefault="002A7F83" w:rsidP="002A7F83">
      <w:pPr>
        <w:spacing w:after="0"/>
        <w:rPr>
          <w:iCs/>
          <w:color w:val="000000"/>
          <w:szCs w:val="22"/>
        </w:rPr>
      </w:pPr>
      <w:r w:rsidRPr="002A76C8">
        <w:rPr>
          <w:iCs/>
          <w:color w:val="000000"/>
          <w:szCs w:val="22"/>
        </w:rPr>
        <w:t>Please note: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p w:rsidR="002A7F83" w:rsidRPr="002A76C8" w:rsidRDefault="002A7F83" w:rsidP="002A7F83">
      <w:pPr>
        <w:spacing w:after="0"/>
        <w:jc w:val="center"/>
        <w:rPr>
          <w:b/>
          <w:szCs w:val="22"/>
          <w:highlight w:val="magenta"/>
          <w:lang w:val="pt-PT"/>
        </w:rPr>
      </w:pPr>
      <w:r w:rsidRPr="002A76C8">
        <w:rPr>
          <w:color w:val="000000"/>
          <w:szCs w:val="22"/>
          <w:lang w:val="pt-PT"/>
        </w:rPr>
        <w:t>* * *</w:t>
      </w:r>
    </w:p>
    <w:p w:rsidR="001C4D3A" w:rsidRPr="00712ADB" w:rsidRDefault="00197634" w:rsidP="001C4D3A">
      <w:pPr>
        <w:spacing w:after="0"/>
        <w:rPr>
          <w:iCs/>
          <w:color w:val="000000"/>
        </w:rPr>
      </w:pPr>
      <w:r w:rsidRPr="00712ADB">
        <w:rPr>
          <w:iCs/>
          <w:color w:val="000000"/>
        </w:rPr>
        <w:lastRenderedPageBreak/>
        <w:t xml:space="preserve">Please note: The toolkit is not part of the </w:t>
      </w:r>
      <w:r w:rsidR="0025435C" w:rsidRPr="00712ADB">
        <w:rPr>
          <w:iCs/>
          <w:color w:val="000000"/>
        </w:rPr>
        <w:t>g</w:t>
      </w:r>
      <w:r w:rsidRPr="00712ADB">
        <w:rPr>
          <w:iCs/>
          <w:color w:val="000000"/>
        </w:rPr>
        <w:t xml:space="preserve">rant </w:t>
      </w:r>
      <w:r w:rsidR="0025435C" w:rsidRPr="00712ADB">
        <w:rPr>
          <w:iCs/>
          <w:color w:val="000000"/>
        </w:rPr>
        <w:t>c</w:t>
      </w:r>
      <w:r w:rsidRPr="00712ADB">
        <w:rPr>
          <w:iCs/>
          <w:color w:val="000000"/>
        </w:rPr>
        <w:t>ontract and has no legal value. It merely provides general guidance and may in some d</w:t>
      </w:r>
      <w:r w:rsidR="0025435C" w:rsidRPr="00712ADB">
        <w:rPr>
          <w:iCs/>
          <w:color w:val="000000"/>
        </w:rPr>
        <w:t>etails differ from the signed g</w:t>
      </w:r>
      <w:r w:rsidRPr="00712ADB">
        <w:rPr>
          <w:iCs/>
          <w:color w:val="000000"/>
        </w:rPr>
        <w:t xml:space="preserve">rant </w:t>
      </w:r>
      <w:r w:rsidR="0025435C" w:rsidRPr="00712ADB">
        <w:rPr>
          <w:iCs/>
          <w:color w:val="000000"/>
        </w:rPr>
        <w:t>c</w:t>
      </w:r>
      <w:r w:rsidRPr="00712ADB">
        <w:rPr>
          <w:iCs/>
          <w:color w:val="000000"/>
        </w:rPr>
        <w:t xml:space="preserve">ontract. In order to ensure compliance with their contractual obligations </w:t>
      </w:r>
      <w:r w:rsidR="0025435C" w:rsidRPr="00712ADB">
        <w:rPr>
          <w:iCs/>
          <w:color w:val="000000"/>
        </w:rPr>
        <w:t>b</w:t>
      </w:r>
      <w:r w:rsidRPr="00712ADB">
        <w:rPr>
          <w:iCs/>
          <w:color w:val="000000"/>
        </w:rPr>
        <w:t>eneficiaries should not exclusively rely on the toolkit but always consult their</w:t>
      </w:r>
      <w:r w:rsidR="001C4D3A" w:rsidRPr="00712ADB">
        <w:rPr>
          <w:iCs/>
          <w:color w:val="000000"/>
        </w:rPr>
        <w:t xml:space="preserve"> individual contract documents.</w:t>
      </w:r>
    </w:p>
    <w:p w:rsidR="002573AC" w:rsidRPr="00807DAF" w:rsidRDefault="005D7AF3" w:rsidP="001C4D3A">
      <w:pPr>
        <w:spacing w:after="0"/>
        <w:jc w:val="center"/>
        <w:rPr>
          <w:b/>
          <w:szCs w:val="22"/>
          <w:highlight w:val="magenta"/>
          <w:lang w:val="pt-PT"/>
        </w:rPr>
      </w:pPr>
      <w:r w:rsidRPr="00712ADB">
        <w:rPr>
          <w:color w:val="000000"/>
          <w:szCs w:val="22"/>
          <w:lang w:val="pt-PT"/>
        </w:rPr>
        <w:t>* * *</w:t>
      </w:r>
    </w:p>
    <w:sectPr w:rsidR="002573AC" w:rsidRPr="00807DAF" w:rsidSect="002D4ACD">
      <w:footerReference w:type="first" r:id="rId23"/>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EED" w:rsidRDefault="00AB5EED">
      <w:r>
        <w:separator/>
      </w:r>
    </w:p>
    <w:p w:rsidR="00AB5EED" w:rsidRDefault="00AB5EED"/>
  </w:endnote>
  <w:endnote w:type="continuationSeparator" w:id="0">
    <w:p w:rsidR="00AB5EED" w:rsidRDefault="00AB5EED">
      <w:r>
        <w:continuationSeparator/>
      </w:r>
    </w:p>
    <w:p w:rsidR="00AB5EED" w:rsidRDefault="00AB5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83" w:rsidRPr="00A016F9" w:rsidRDefault="002A7F83" w:rsidP="00BF158E">
    <w:pPr>
      <w:pStyle w:val="Footer"/>
      <w:tabs>
        <w:tab w:val="right" w:pos="9639"/>
      </w:tabs>
      <w:spacing w:before="120" w:after="0"/>
      <w:rPr>
        <w:rFonts w:ascii="Times New Roman" w:hAnsi="Times New Roman"/>
        <w:sz w:val="18"/>
        <w:szCs w:val="18"/>
      </w:rPr>
    </w:pPr>
    <w:r>
      <w:rPr>
        <w:rFonts w:ascii="Times New Roman" w:hAnsi="Times New Roman"/>
        <w:b/>
        <w:sz w:val="20"/>
      </w:rPr>
      <w:t>July 2019</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D4765F">
      <w:rPr>
        <w:rFonts w:ascii="Times New Roman" w:hAnsi="Times New Roman"/>
        <w:noProof/>
        <w:sz w:val="18"/>
        <w:szCs w:val="18"/>
      </w:rPr>
      <w:t>2</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D4765F">
      <w:rPr>
        <w:rFonts w:ascii="Times New Roman" w:hAnsi="Times New Roman"/>
        <w:noProof/>
        <w:sz w:val="18"/>
        <w:szCs w:val="18"/>
      </w:rPr>
      <w:t>34</w:t>
    </w:r>
    <w:r>
      <w:rPr>
        <w:rFonts w:ascii="Times New Roman" w:hAnsi="Times New Roman"/>
        <w:sz w:val="18"/>
        <w:szCs w:val="18"/>
      </w:rPr>
      <w:fldChar w:fldCharType="end"/>
    </w:r>
  </w:p>
  <w:p w:rsidR="002A7F83" w:rsidRPr="00491F8A" w:rsidRDefault="002A7F83"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e3a_guidelines_en.doc</w:t>
    </w:r>
    <w:r w:rsidRPr="00C9081A">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83" w:rsidRDefault="002A7F83" w:rsidP="00BF158E">
    <w:pPr>
      <w:pStyle w:val="Footer"/>
      <w:tabs>
        <w:tab w:val="right" w:pos="9639"/>
      </w:tabs>
      <w:spacing w:before="120" w:after="0"/>
      <w:rPr>
        <w:rFonts w:ascii="Times New Roman" w:hAnsi="Times New Roman"/>
        <w:sz w:val="18"/>
        <w:szCs w:val="18"/>
      </w:rPr>
    </w:pPr>
    <w:r>
      <w:rPr>
        <w:rFonts w:ascii="Times New Roman" w:hAnsi="Times New Roman"/>
        <w:b/>
        <w:sz w:val="20"/>
      </w:rPr>
      <w:t>July 2019</w:t>
    </w:r>
    <w:r w:rsidRPr="00A016F9">
      <w:rPr>
        <w:rFonts w:ascii="Times New Roman" w:hAnsi="Times New Roman"/>
        <w:sz w:val="18"/>
        <w:szCs w:val="18"/>
      </w:rPr>
      <w:tab/>
    </w:r>
  </w:p>
  <w:p w:rsidR="002A7F83" w:rsidRPr="00491F8A" w:rsidRDefault="002A7F83"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e3a_guidelines_en.doc</w:t>
    </w:r>
    <w:r w:rsidRPr="00C9081A">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83" w:rsidRDefault="002A7F83" w:rsidP="00491F8A">
    <w:pPr>
      <w:pStyle w:val="Footer"/>
      <w:tabs>
        <w:tab w:val="right" w:pos="9639"/>
      </w:tabs>
      <w:spacing w:after="0"/>
      <w:rPr>
        <w:rFonts w:ascii="Times New Roman" w:hAnsi="Times New Roman"/>
        <w:sz w:val="18"/>
        <w:szCs w:val="18"/>
      </w:rPr>
    </w:pPr>
    <w:r>
      <w:rPr>
        <w:rFonts w:ascii="Times New Roman" w:hAnsi="Times New Roman"/>
        <w:b/>
        <w:sz w:val="20"/>
      </w:rPr>
      <w:t>July 2019</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D4765F">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D4765F">
      <w:rPr>
        <w:rFonts w:ascii="Times New Roman" w:hAnsi="Times New Roman"/>
        <w:noProof/>
        <w:sz w:val="18"/>
        <w:szCs w:val="18"/>
      </w:rPr>
      <w:t>34</w:t>
    </w:r>
    <w:r>
      <w:rPr>
        <w:rFonts w:ascii="Times New Roman" w:hAnsi="Times New Roman"/>
        <w:sz w:val="18"/>
        <w:szCs w:val="18"/>
      </w:rPr>
      <w:fldChar w:fldCharType="end"/>
    </w:r>
  </w:p>
  <w:p w:rsidR="002A7F83" w:rsidRPr="00491F8A" w:rsidRDefault="002A7F83"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e3a_guidelines_en.doc</w:t>
    </w:r>
    <w:r w:rsidRPr="00C9081A">
      <w:rPr>
        <w:rStyle w:val="PageNumbe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E8" w:rsidRDefault="00A73B59" w:rsidP="00491F8A">
    <w:pPr>
      <w:pStyle w:val="Footer"/>
      <w:tabs>
        <w:tab w:val="right" w:pos="9639"/>
      </w:tabs>
      <w:spacing w:after="0"/>
      <w:rPr>
        <w:rFonts w:ascii="Times New Roman" w:hAnsi="Times New Roman"/>
        <w:sz w:val="18"/>
        <w:szCs w:val="18"/>
      </w:rPr>
    </w:pPr>
    <w:r>
      <w:rPr>
        <w:rFonts w:ascii="Times New Roman" w:hAnsi="Times New Roman"/>
        <w:b/>
        <w:sz w:val="20"/>
      </w:rPr>
      <w:t>August</w:t>
    </w:r>
    <w:r w:rsidR="007B4D38">
      <w:rPr>
        <w:rFonts w:ascii="Times New Roman" w:hAnsi="Times New Roman"/>
        <w:b/>
        <w:sz w:val="20"/>
      </w:rPr>
      <w:t xml:space="preserve"> 2018</w:t>
    </w:r>
    <w:r w:rsidR="005709E8" w:rsidRPr="00A016F9">
      <w:rPr>
        <w:rFonts w:ascii="Times New Roman" w:hAnsi="Times New Roman"/>
        <w:sz w:val="18"/>
        <w:szCs w:val="18"/>
      </w:rPr>
      <w:tab/>
      <w:t xml:space="preserve">Page </w:t>
    </w:r>
    <w:r w:rsidR="005709E8">
      <w:rPr>
        <w:rFonts w:ascii="Times New Roman" w:hAnsi="Times New Roman"/>
        <w:sz w:val="18"/>
        <w:szCs w:val="18"/>
      </w:rPr>
      <w:fldChar w:fldCharType="begin"/>
    </w:r>
    <w:r w:rsidR="005709E8">
      <w:rPr>
        <w:rFonts w:ascii="Times New Roman" w:hAnsi="Times New Roman"/>
        <w:sz w:val="18"/>
        <w:szCs w:val="18"/>
      </w:rPr>
      <w:instrText xml:space="preserve"> PAGE   \* MERGEFORMAT </w:instrText>
    </w:r>
    <w:r w:rsidR="005709E8">
      <w:rPr>
        <w:rFonts w:ascii="Times New Roman" w:hAnsi="Times New Roman"/>
        <w:sz w:val="18"/>
        <w:szCs w:val="18"/>
      </w:rPr>
      <w:fldChar w:fldCharType="separate"/>
    </w:r>
    <w:r w:rsidR="00D4765F">
      <w:rPr>
        <w:rFonts w:ascii="Times New Roman" w:hAnsi="Times New Roman"/>
        <w:noProof/>
        <w:sz w:val="18"/>
        <w:szCs w:val="18"/>
      </w:rPr>
      <w:t>4</w:t>
    </w:r>
    <w:r w:rsidR="005709E8">
      <w:rPr>
        <w:rFonts w:ascii="Times New Roman" w:hAnsi="Times New Roman"/>
        <w:sz w:val="18"/>
        <w:szCs w:val="18"/>
      </w:rPr>
      <w:fldChar w:fldCharType="end"/>
    </w:r>
    <w:r w:rsidR="005709E8" w:rsidRPr="00A016F9">
      <w:rPr>
        <w:rFonts w:ascii="Times New Roman" w:hAnsi="Times New Roman"/>
        <w:sz w:val="18"/>
        <w:szCs w:val="18"/>
      </w:rPr>
      <w:t xml:space="preserve"> of </w:t>
    </w:r>
    <w:r w:rsidR="005709E8">
      <w:rPr>
        <w:rFonts w:ascii="Times New Roman" w:hAnsi="Times New Roman"/>
        <w:sz w:val="18"/>
        <w:szCs w:val="18"/>
      </w:rPr>
      <w:fldChar w:fldCharType="begin"/>
    </w:r>
    <w:r w:rsidR="005709E8">
      <w:rPr>
        <w:rFonts w:ascii="Times New Roman" w:hAnsi="Times New Roman"/>
        <w:sz w:val="18"/>
        <w:szCs w:val="18"/>
      </w:rPr>
      <w:instrText xml:space="preserve"> NUMPAGES   \* MERGEFORMAT </w:instrText>
    </w:r>
    <w:r w:rsidR="005709E8">
      <w:rPr>
        <w:rFonts w:ascii="Times New Roman" w:hAnsi="Times New Roman"/>
        <w:sz w:val="18"/>
        <w:szCs w:val="18"/>
      </w:rPr>
      <w:fldChar w:fldCharType="separate"/>
    </w:r>
    <w:r w:rsidR="00D4765F">
      <w:rPr>
        <w:rFonts w:ascii="Times New Roman" w:hAnsi="Times New Roman"/>
        <w:noProof/>
        <w:sz w:val="18"/>
        <w:szCs w:val="18"/>
      </w:rPr>
      <w:t>34</w:t>
    </w:r>
    <w:r w:rsidR="005709E8">
      <w:rPr>
        <w:rFonts w:ascii="Times New Roman" w:hAnsi="Times New Roman"/>
        <w:sz w:val="18"/>
        <w:szCs w:val="18"/>
      </w:rPr>
      <w:fldChar w:fldCharType="end"/>
    </w:r>
  </w:p>
  <w:p w:rsidR="005709E8" w:rsidRPr="00491F8A" w:rsidRDefault="005709E8"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DC4CD8">
      <w:rPr>
        <w:rStyle w:val="PageNumber"/>
        <w:rFonts w:ascii="Times New Roman" w:hAnsi="Times New Roman"/>
        <w:noProof/>
        <w:sz w:val="18"/>
        <w:szCs w:val="18"/>
      </w:rPr>
      <w:t>e3a_guidelines_en.doc</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EED" w:rsidRDefault="00AB5EED" w:rsidP="00BF158E">
      <w:pPr>
        <w:spacing w:before="120" w:after="0"/>
      </w:pPr>
      <w:r>
        <w:separator/>
      </w:r>
    </w:p>
  </w:footnote>
  <w:footnote w:type="continuationSeparator" w:id="0">
    <w:p w:rsidR="00AB5EED" w:rsidRDefault="00AB5EED">
      <w:r>
        <w:continuationSeparator/>
      </w:r>
    </w:p>
  </w:footnote>
  <w:footnote w:type="continuationNotice" w:id="1">
    <w:p w:rsidR="00AB5EED" w:rsidRPr="004D357E" w:rsidRDefault="00AB5EED" w:rsidP="004D357E">
      <w:pPr>
        <w:pStyle w:val="Footer"/>
      </w:pPr>
    </w:p>
  </w:footnote>
  <w:footnote w:id="2">
    <w:p w:rsidR="00000000" w:rsidRDefault="002A7F83" w:rsidP="002A7F83">
      <w:pPr>
        <w:pStyle w:val="FootnoteText"/>
      </w:pPr>
      <w:r>
        <w:rPr>
          <w:rStyle w:val="FootnoteReference"/>
        </w:rPr>
        <w:footnoteRef/>
      </w:r>
      <w:r>
        <w:t xml:space="preserve"> National Biodiversity Strategy 2016-2020, National Strategy for Management of Air Quality 2013-2016, Master plan for removal and waste water treatment at the Montenegrin coast and Master plan for removal and waste water treatment at the central and northern region of Montenegro 2005-2029, National Strategy on Waste Management 2015-2030 and National Waste Management plan 2015-2020, Strategy for Eco remediation 2014-2020, National Strategy for Climate Change 2015-2030, National Strategy for Chemicals Management with the Action Plan 2015-2018, Strategy on Ionizing Radiation Protection, Radiation Safety and Radioactive Waste with Action Plan 2012-2016; National Plan for Implementation of the Stockholm Convention for the period 2014-2021, etc.</w:t>
      </w:r>
    </w:p>
  </w:footnote>
  <w:footnote w:id="3">
    <w:p w:rsidR="00000000" w:rsidRDefault="002A7F83" w:rsidP="002A7F83">
      <w:pPr>
        <w:pStyle w:val="FootnoteText"/>
      </w:pPr>
      <w:r w:rsidRPr="00BF158E">
        <w:rPr>
          <w:vertAlign w:val="superscript"/>
        </w:rPr>
        <w:footnoteRef/>
      </w:r>
      <w:r>
        <w:t xml:space="preserve"> </w:t>
      </w:r>
      <w:r w:rsidRPr="00844680">
        <w:t>Where a grant is financed by the European Development Fund, any mention of European Union financing must be understood as referring to European Development Fund financin</w:t>
      </w:r>
      <w:r w:rsidRPr="00402208">
        <w:t>g.</w:t>
      </w:r>
    </w:p>
  </w:footnote>
  <w:footnote w:id="4">
    <w:p w:rsidR="00000000" w:rsidRDefault="002A7F83" w:rsidP="002A7F83">
      <w:pPr>
        <w:pStyle w:val="FootnoteText"/>
      </w:pPr>
      <w:r w:rsidRPr="008E179D">
        <w:rPr>
          <w:rStyle w:val="FootnoteReference"/>
        </w:rPr>
        <w:footnoteRef/>
      </w:r>
      <w:r w:rsidRPr="00BC4203">
        <w:t xml:space="preserve"> </w:t>
      </w:r>
      <w:r w:rsidRPr="002346D0">
        <w:t>Note</w:t>
      </w:r>
      <w:r>
        <w:t xml:space="preserve"> that a lead applicant (i.e. a c</w:t>
      </w:r>
      <w:r w:rsidRPr="002346D0">
        <w:t>oordinator) whose pillars have been positively assessed by the European Commission and who is awarded a grant will not sign the standard grant contract publish</w:t>
      </w:r>
      <w:r>
        <w:t>ed with these guidelines but a contribution a</w:t>
      </w:r>
      <w:r w:rsidRPr="002346D0">
        <w:t>greement based o</w:t>
      </w:r>
      <w:r>
        <w:t>n the contribution a</w:t>
      </w:r>
      <w:r w:rsidRPr="002346D0">
        <w:t xml:space="preserve">greement template. All references in these guidelines and other documents related to this call to the standard grant contract shall in this case be understood as referring to </w:t>
      </w:r>
      <w:r>
        <w:t>the relevant provisions of the c</w:t>
      </w:r>
      <w:r w:rsidRPr="002346D0">
        <w:t xml:space="preserve">ontribution </w:t>
      </w:r>
      <w:r>
        <w:t>a</w:t>
      </w:r>
      <w:r w:rsidRPr="002346D0">
        <w:t>greement template</w:t>
      </w:r>
      <w:r>
        <w:t>.</w:t>
      </w:r>
    </w:p>
  </w:footnote>
  <w:footnote w:id="5">
    <w:p w:rsidR="00000000" w:rsidRDefault="002A7F83" w:rsidP="002A7F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91E7C">
        <w:rPr>
          <w:sz w:val="20"/>
        </w:rPr>
        <w:footnoteRef/>
      </w:r>
      <w:r w:rsidRPr="00391E7C">
        <w:rPr>
          <w:sz w:val="20"/>
        </w:rPr>
        <w:t xml:space="preserve"> </w:t>
      </w:r>
      <w:r>
        <w:rPr>
          <w:sz w:val="20"/>
        </w:rPr>
        <w:tab/>
      </w:r>
      <w:r w:rsidRPr="00391E7C">
        <w:rPr>
          <w:sz w:val="20"/>
        </w:rPr>
        <w:t xml:space="preserve">Registered under at least one of the following laws: Law on Non-governmental Organisations (Official Gazette of Montenegro 27/99, 09, 30/02, 39/11), Labour Law (OG of Montenegro 43/03, 79/04, 49/08, 26/08, 88/09, 26/10, 59/11), Law on Representation of Trade Unions (OG of Montenegro 26/2010), the Bylaw on the representation of employers' organisations (OG of Montenegro, 34/05), the Law on the Chamber of Economy of Montenegro (OG of Montenegro, 42/98), Law on Red Cross of Montenegro (OG of Montenegro, 28/06). </w:t>
      </w:r>
    </w:p>
  </w:footnote>
  <w:footnote w:id="6">
    <w:p w:rsidR="00000000" w:rsidRDefault="002A7F83" w:rsidP="002A7F83">
      <w:pPr>
        <w:pStyle w:val="FootnoteText"/>
      </w:pPr>
      <w:r w:rsidRPr="00391E7C">
        <w:footnoteRef/>
      </w:r>
      <w:r w:rsidRPr="00391E7C">
        <w:tab/>
        <w:t>To be determined on the basis of the organisation’s statutes that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7">
    <w:p w:rsidR="00000000" w:rsidRDefault="002A7F83" w:rsidP="002A7F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088"/>
        </w:tabs>
        <w:autoSpaceDE w:val="0"/>
        <w:autoSpaceDN w:val="0"/>
        <w:adjustRightInd w:val="0"/>
        <w:spacing w:after="0"/>
      </w:pPr>
      <w:r>
        <w:rPr>
          <w:sz w:val="16"/>
          <w:szCs w:val="18"/>
        </w:rPr>
        <w:footnoteRef/>
      </w:r>
      <w:r>
        <w:rPr>
          <w:sz w:val="16"/>
          <w:szCs w:val="18"/>
        </w:rPr>
        <w:t xml:space="preserve"> D</w:t>
      </w:r>
      <w:r>
        <w:rPr>
          <w:rFonts w:ascii="Times" w:hAnsi="Times" w:cs="Times"/>
          <w:sz w:val="16"/>
          <w:szCs w:val="16"/>
          <w:lang w:eastAsia="de-DE"/>
        </w:rPr>
        <w:t>ownloadable from:</w:t>
      </w:r>
      <w:r>
        <w:rPr>
          <w:rFonts w:ascii="Arial" w:hAnsi="Arial" w:cs="Arial"/>
        </w:rPr>
        <w:t xml:space="preserve"> </w:t>
      </w:r>
      <w:hyperlink r:id="rId1" w:tgtFrame="_blank" w:history="1">
        <w:r>
          <w:rPr>
            <w:rStyle w:val="Hyperlink"/>
            <w:rFonts w:ascii="Times" w:hAnsi="Times" w:cs="Times"/>
            <w:sz w:val="16"/>
            <w:szCs w:val="16"/>
            <w:lang w:eastAsia="de-DE"/>
          </w:rPr>
          <w:t>http://ec.europa.eu/enlargement/pdf/financial_assistance/ipa/2014/236-2014_cir.pdf</w:t>
        </w:r>
      </w:hyperlink>
      <w:r>
        <w:rPr>
          <w:rFonts w:ascii="Times" w:hAnsi="Times" w:cs="Times"/>
          <w:sz w:val="16"/>
          <w:szCs w:val="16"/>
          <w:lang w:eastAsia="de-DE"/>
        </w:rPr>
        <w:t xml:space="preserve">  Participation in the award of procurement contracts, grants and other award procedures for actions financed under the CIR </w:t>
      </w:r>
      <w:r>
        <w:rPr>
          <w:rFonts w:ascii="Times" w:hAnsi="Times" w:cs="Times"/>
          <w:b/>
          <w:bCs/>
          <w:sz w:val="16"/>
          <w:szCs w:val="16"/>
          <w:u w:val="single"/>
          <w:lang w:eastAsia="de-DE"/>
        </w:rPr>
        <w:t>for IPA II</w:t>
      </w:r>
      <w:r>
        <w:rPr>
          <w:rFonts w:ascii="Times" w:hAnsi="Times" w:cs="Times"/>
          <w:sz w:val="16"/>
          <w:szCs w:val="16"/>
          <w:lang w:eastAsia="de-DE"/>
        </w:rPr>
        <w:t xml:space="preserve"> for the benefit of third parties shall be o</w:t>
      </w:r>
      <w:r>
        <w:rPr>
          <w:sz w:val="16"/>
          <w:szCs w:val="18"/>
        </w:rPr>
        <w:t>pen to all natural persons who are nationals of, and legal persons who are effectively established in, one of the following eligible cou</w:t>
      </w:r>
      <w:r>
        <w:rPr>
          <w:rFonts w:ascii="Times" w:hAnsi="Times" w:cs="Times"/>
          <w:sz w:val="16"/>
          <w:szCs w:val="16"/>
          <w:lang w:eastAsia="de-DE"/>
        </w:rPr>
        <w:t>ntries/territories/beneficiaries: Albania, Algeria, Armenia, Austria, Azerbaijan, Belarus, Belgium, Bosnia and Herzegovina, Bulgaria, Croatia, Cyprus, Czech Republic, Denmark, Egypt, Estonia, Finland, the former  Yugoslav Republic of Macedonia, France, Georgia, Germany, Greece, Hungary, Iceland, Israel, Ireland, Italy,  Jordan, Kosovo under UNSCR1244/99, Latvia, Lebanon, Libya, Liechtenstein, Lithuania, Luxembourg, Moldova,  Montenegro, Morocco, the Netherlands, Norway, occupied Palestinian territory (oPt), Poland,  Portugal, Romania, Russian Federation, Serbia, Slovak Republic, Slovenia, Spain, Sweden, Syria, Tunisia, Turkey,  Ukraine and the United Kingdom.</w:t>
      </w:r>
    </w:p>
  </w:footnote>
  <w:footnote w:id="8">
    <w:p w:rsidR="002A7F83" w:rsidRDefault="002A7F83" w:rsidP="002A7F83">
      <w:pPr>
        <w:pStyle w:val="FootnoteText"/>
      </w:pPr>
      <w:r>
        <w:rPr>
          <w:rStyle w:val="FootnoteReference"/>
        </w:rPr>
        <w:footnoteRef/>
      </w:r>
      <w:r>
        <w:t xml:space="preserve"> </w:t>
      </w:r>
      <w:r w:rsidRPr="004C65C2">
        <w:t xml:space="preserve">The updated lists of sanctions are available at </w:t>
      </w:r>
      <w:hyperlink r:id="rId2" w:history="1">
        <w:r w:rsidRPr="00D87006">
          <w:rPr>
            <w:rStyle w:val="Hyperlink"/>
          </w:rPr>
          <w:t>www.sanctionsmap.eu</w:t>
        </w:r>
      </w:hyperlink>
      <w:r>
        <w:t>.</w:t>
      </w:r>
    </w:p>
    <w:p w:rsidR="002A7F83" w:rsidRPr="00BF158E" w:rsidRDefault="002A7F83" w:rsidP="002A7F83">
      <w:pPr>
        <w:rPr>
          <w:sz w:val="20"/>
        </w:rPr>
      </w:pPr>
      <w:r w:rsidRPr="00BF158E">
        <w:rPr>
          <w:sz w:val="20"/>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rsidR="00000000" w:rsidRDefault="00AB5EED" w:rsidP="002A7F83"/>
  </w:footnote>
  <w:footnote w:id="9">
    <w:p w:rsidR="00000000" w:rsidRDefault="002A7F83" w:rsidP="002A7F83">
      <w:pPr>
        <w:pStyle w:val="FootnoteText"/>
      </w:pPr>
      <w:r w:rsidRPr="00BF158E">
        <w:rPr>
          <w:rStyle w:val="FootnoteReference"/>
          <w:sz w:val="16"/>
          <w:szCs w:val="16"/>
        </w:rPr>
        <w:footnoteRef/>
      </w:r>
      <w:r w:rsidRPr="00844680">
        <w:t xml:space="preserve"> These third parties are neither affiliated entity(ies) nor associates nor contractors.</w:t>
      </w:r>
    </w:p>
  </w:footnote>
  <w:footnote w:id="10">
    <w:p w:rsidR="00000000" w:rsidRDefault="002A7F83" w:rsidP="002A7F83">
      <w:pPr>
        <w:pStyle w:val="FootnoteText"/>
      </w:pPr>
      <w:r w:rsidRPr="00BF158E">
        <w:rPr>
          <w:vertAlign w:val="superscript"/>
        </w:rPr>
        <w:footnoteRef/>
      </w:r>
      <w:r>
        <w:t xml:space="preserve"> </w:t>
      </w:r>
      <w:r w:rsidRPr="00844680">
        <w:t>Examples</w:t>
      </w:r>
      <w:r w:rsidRPr="008E179D">
        <w:t>:- for staff costs: number of hours or days of work * hourly or daily rate pre-set according to the category of personnel concerned;- for travel expenses: distance in km * pre-set cost of transport per km; number of days * daily allowance pre-set according</w:t>
      </w:r>
      <w:r w:rsidRPr="00BC4203">
        <w:t xml:space="preserve"> to the country;- for specific costs arising from the organization of an event: number of participants at the event * pre-set total cost per participant etc.</w:t>
      </w:r>
    </w:p>
  </w:footnote>
  <w:footnote w:id="11">
    <w:p w:rsidR="00000000" w:rsidRDefault="002A7F83" w:rsidP="002A7F83">
      <w:pPr>
        <w:pStyle w:val="FootnoteText"/>
      </w:pPr>
      <w:r w:rsidRPr="00BF158E">
        <w:rPr>
          <w:rStyle w:val="FootnoteReference"/>
          <w:sz w:val="16"/>
          <w:szCs w:val="16"/>
        </w:rPr>
        <w:footnoteRef/>
      </w:r>
      <w:r w:rsidRPr="00844680">
        <w:t xml:space="preserve"> Please note that the concept note / full application should not be rejected only because the lead a</w:t>
      </w:r>
      <w:r w:rsidRPr="00402208">
        <w:t>pplicant did not submit the checklist or the information in the checklist is not correct.</w:t>
      </w:r>
    </w:p>
  </w:footnote>
  <w:footnote w:id="12">
    <w:p w:rsidR="002A7F83" w:rsidRPr="001B4EC0" w:rsidRDefault="002A7F83" w:rsidP="002A7F83">
      <w:pPr>
        <w:pStyle w:val="FootnoteText"/>
      </w:pPr>
      <w:r>
        <w:rPr>
          <w:rStyle w:val="FootnoteReference"/>
        </w:rPr>
        <w:footnoteRef/>
      </w:r>
      <w:r>
        <w:t xml:space="preserve"> </w:t>
      </w:r>
      <w:r w:rsidRPr="001B4EC0">
        <w:t>It is recommended to use registered mail in case the postmark would not be readable.</w:t>
      </w:r>
    </w:p>
    <w:p w:rsidR="00000000" w:rsidRDefault="00AB5EED" w:rsidP="002A7F83">
      <w:pPr>
        <w:pStyle w:val="FootnoteText"/>
      </w:pPr>
    </w:p>
  </w:footnote>
  <w:footnote w:id="13">
    <w:p w:rsidR="00000000" w:rsidRDefault="002A7F83" w:rsidP="002A7F83">
      <w:pPr>
        <w:pStyle w:val="FootnoteText"/>
      </w:pPr>
      <w:r w:rsidRPr="00BF158E">
        <w:rPr>
          <w:rStyle w:val="FootnoteReference"/>
          <w:sz w:val="16"/>
          <w:szCs w:val="16"/>
        </w:rPr>
        <w:footnoteRef/>
      </w:r>
      <w:r w:rsidRPr="00844680">
        <w:t xml:space="preserve"> Natural persons who apply for a grant (if so allowed in the guidelines for applicants) do not have to provide an </w:t>
      </w:r>
      <w:r>
        <w:t>o</w:t>
      </w:r>
      <w:r w:rsidRPr="00844680">
        <w:t xml:space="preserve">rganisation </w:t>
      </w:r>
      <w:r>
        <w:t>d</w:t>
      </w:r>
      <w:r w:rsidRPr="00844680">
        <w:t xml:space="preserve">ata </w:t>
      </w:r>
      <w:r>
        <w:t>f</w:t>
      </w:r>
      <w:r w:rsidRPr="00844680">
        <w:t>orm</w:t>
      </w:r>
      <w:r w:rsidRPr="008E179D">
        <w:t>. In this case, the information included in the grant application form is sufficient.</w:t>
      </w:r>
    </w:p>
  </w:footnote>
  <w:footnote w:id="14">
    <w:p w:rsidR="00000000" w:rsidRDefault="002A7F83" w:rsidP="002A7F83">
      <w:pPr>
        <w:pStyle w:val="FootnoteText"/>
      </w:pPr>
      <w:r w:rsidRPr="00BF158E">
        <w:rPr>
          <w:vertAlign w:val="superscript"/>
        </w:rPr>
        <w:footnoteRef/>
      </w:r>
      <w:r>
        <w:t xml:space="preserve"> </w:t>
      </w:r>
      <w:r w:rsidRPr="00844680">
        <w:t xml:space="preserve">No supporting document will be requested for applications for a grant not exceeding EUR 60 </w:t>
      </w:r>
      <w:r w:rsidRPr="00402208">
        <w:t>000.</w:t>
      </w:r>
    </w:p>
  </w:footnote>
  <w:footnote w:id="15">
    <w:p w:rsidR="00000000" w:rsidRDefault="002A7F83" w:rsidP="002A7F83">
      <w:pPr>
        <w:pStyle w:val="FootnoteText"/>
      </w:pPr>
      <w:r w:rsidRPr="00BF158E">
        <w:rPr>
          <w:vertAlign w:val="superscript"/>
        </w:rPr>
        <w:footnoteRef/>
      </w:r>
      <w:r>
        <w:t xml:space="preserve"> </w:t>
      </w:r>
      <w:r w:rsidRPr="00844680">
        <w:t>Where the lead applicant and/or a co-applicant(s) and or an affiliated entity(ies) is a public body created by a law, a copy of the said law must be provided.</w:t>
      </w:r>
    </w:p>
  </w:footnote>
  <w:footnote w:id="16">
    <w:p w:rsidR="00000000" w:rsidRDefault="002A7F83" w:rsidP="002A7F83">
      <w:pPr>
        <w:pStyle w:val="FootnoteText"/>
      </w:pPr>
      <w:r w:rsidRPr="00BF158E">
        <w:rPr>
          <w:vertAlign w:val="superscript"/>
        </w:rPr>
        <w:footnoteRef/>
      </w:r>
      <w:r>
        <w:t xml:space="preserve"> </w:t>
      </w:r>
      <w:r w:rsidRPr="00844680">
        <w:t>To be inserted only where the eligibility conditions have not changed from one call for proposals to the other.</w:t>
      </w:r>
    </w:p>
  </w:footnote>
  <w:footnote w:id="17">
    <w:p w:rsidR="00000000" w:rsidRDefault="002A7F83" w:rsidP="002A7F83">
      <w:pPr>
        <w:pStyle w:val="FootnoteText"/>
      </w:pPr>
      <w:r w:rsidRPr="00BF158E">
        <w:rPr>
          <w:vertAlign w:val="superscript"/>
        </w:rPr>
        <w:footnoteRef/>
      </w:r>
      <w:r w:rsidRPr="00844680">
        <w:t xml:space="preserve"> This obligation does not apply to natural persons who have received a scholarship or that are in most need in receipt of direct support, nor to public bodies and to international organisations. It does not apply either when th</w:t>
      </w:r>
      <w:r w:rsidRPr="008E179D">
        <w:t xml:space="preserve">e accounts are in practice the same documents as the external audit report already provided pursuant to </w:t>
      </w:r>
      <w:r>
        <w:t>S</w:t>
      </w:r>
      <w:r w:rsidRPr="001807CB">
        <w:t xml:space="preserve">ection 2.4.2. </w:t>
      </w:r>
    </w:p>
  </w:footnote>
  <w:footnote w:id="18">
    <w:p w:rsidR="00000000" w:rsidRDefault="002A7F83" w:rsidP="002A7F83">
      <w:pPr>
        <w:pStyle w:val="FootnoteText"/>
      </w:pPr>
      <w:r w:rsidRPr="00BF158E">
        <w:rPr>
          <w:vertAlign w:val="superscript"/>
        </w:rPr>
        <w:footnoteRef/>
      </w:r>
      <w:r w:rsidRPr="00D34B88">
        <w:t xml:space="preserve"> </w:t>
      </w:r>
      <w:r w:rsidRPr="00844680">
        <w:t xml:space="preserve">These documents should also be published by the </w:t>
      </w:r>
      <w:r>
        <w:t>c</w:t>
      </w:r>
      <w:r w:rsidRPr="00844680">
        <w:t xml:space="preserve">ontracting </w:t>
      </w:r>
      <w:r>
        <w:t>a</w:t>
      </w:r>
      <w:r w:rsidRPr="00844680">
        <w:t>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E2E32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FFFFFF89"/>
    <w:multiLevelType w:val="singleLevel"/>
    <w:tmpl w:val="02DE3E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298096B6"/>
    <w:lvl w:ilvl="0">
      <w:start w:val="1"/>
      <w:numFmt w:val="decimal"/>
      <w:lvlText w:val="%1."/>
      <w:lvlJc w:val="left"/>
      <w:pPr>
        <w:ind w:left="567" w:hanging="567"/>
      </w:pPr>
      <w:rPr>
        <w:rFonts w:ascii="Times New Roman Bold" w:hAnsi="Times New Roman Bold" w:cs="Times New Roman"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30467A7"/>
    <w:multiLevelType w:val="multilevel"/>
    <w:tmpl w:val="583EAE98"/>
    <w:lvl w:ilvl="0">
      <w:start w:val="1"/>
      <w:numFmt w:val="decimal"/>
      <w:lvlText w:val="%1."/>
      <w:lvlJc w:val="left"/>
      <w:pPr>
        <w:ind w:left="482" w:hanging="480"/>
      </w:pPr>
      <w:rPr>
        <w:rFonts w:cs="Times New Roman"/>
      </w:rPr>
    </w:lvl>
    <w:lvl w:ilvl="1">
      <w:start w:val="1"/>
      <w:numFmt w:val="decimal"/>
      <w:lvlText w:val="%1.%2."/>
      <w:lvlJc w:val="left"/>
      <w:pPr>
        <w:ind w:left="1202" w:hanging="720"/>
      </w:pPr>
      <w:rPr>
        <w:rFonts w:cs="Times New Roman"/>
      </w:rPr>
    </w:lvl>
    <w:lvl w:ilvl="2">
      <w:start w:val="1"/>
      <w:numFmt w:val="decimal"/>
      <w:lvlText w:val="%1.%2.%3."/>
      <w:lvlJc w:val="left"/>
      <w:pPr>
        <w:ind w:left="1984" w:hanging="720"/>
      </w:pPr>
      <w:rPr>
        <w:rFonts w:cs="Times New Roman"/>
      </w:rPr>
    </w:lvl>
    <w:lvl w:ilvl="3">
      <w:start w:val="1"/>
      <w:numFmt w:val="decimal"/>
      <w:lvlText w:val="%1.%2.%3.%4."/>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5" w15:restartNumberingAfterBreak="0">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A5C2F"/>
    <w:multiLevelType w:val="hybridMultilevel"/>
    <w:tmpl w:val="6650A4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C6C60"/>
    <w:multiLevelType w:val="hybridMultilevel"/>
    <w:tmpl w:val="F5404C88"/>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15" w15:restartNumberingAfterBreak="0">
    <w:nsid w:val="34E03117"/>
    <w:multiLevelType w:val="multilevel"/>
    <w:tmpl w:val="132E2DF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8C47C02"/>
    <w:multiLevelType w:val="hybridMultilevel"/>
    <w:tmpl w:val="960235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02C0814"/>
    <w:multiLevelType w:val="hybridMultilevel"/>
    <w:tmpl w:val="4808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B3BCD"/>
    <w:multiLevelType w:val="hybridMultilevel"/>
    <w:tmpl w:val="57C216AC"/>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7235510"/>
    <w:multiLevelType w:val="hybridMultilevel"/>
    <w:tmpl w:val="309E6CFC"/>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35C69"/>
    <w:multiLevelType w:val="hybridMultilevel"/>
    <w:tmpl w:val="CC5680EC"/>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0064D"/>
    <w:multiLevelType w:val="multilevel"/>
    <w:tmpl w:val="235869C4"/>
    <w:lvl w:ilvl="0">
      <w:start w:val="1"/>
      <w:numFmt w:val="decimal"/>
      <w:lvlText w:val="%1."/>
      <w:lvlJc w:val="left"/>
      <w:pPr>
        <w:tabs>
          <w:tab w:val="num" w:pos="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BD44FBD"/>
    <w:multiLevelType w:val="hybridMultilevel"/>
    <w:tmpl w:val="4A12FD18"/>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25" w15:restartNumberingAfterBreak="0">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76D31F1"/>
    <w:multiLevelType w:val="multilevel"/>
    <w:tmpl w:val="3CB07CF0"/>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5F4140"/>
    <w:multiLevelType w:val="hybridMultilevel"/>
    <w:tmpl w:val="EA5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15"/>
  </w:num>
  <w:num w:numId="18">
    <w:abstractNumId w:val="26"/>
  </w:num>
  <w:num w:numId="19">
    <w:abstractNumId w:val="23"/>
  </w:num>
  <w:num w:numId="20">
    <w:abstractNumId w:val="4"/>
  </w:num>
  <w:num w:numId="21">
    <w:abstractNumId w:val="5"/>
  </w:num>
  <w:num w:numId="22">
    <w:abstractNumId w:val="14"/>
  </w:num>
  <w:num w:numId="23">
    <w:abstractNumId w:val="3"/>
  </w:num>
  <w:num w:numId="24">
    <w:abstractNumId w:val="9"/>
  </w:num>
  <w:num w:numId="25">
    <w:abstractNumId w:val="22"/>
  </w:num>
  <w:num w:numId="26">
    <w:abstractNumId w:val="34"/>
  </w:num>
  <w:num w:numId="27">
    <w:abstractNumId w:val="19"/>
  </w:num>
  <w:num w:numId="28">
    <w:abstractNumId w:val="8"/>
  </w:num>
  <w:num w:numId="29">
    <w:abstractNumId w:val="28"/>
  </w:num>
  <w:num w:numId="30">
    <w:abstractNumId w:val="29"/>
  </w:num>
  <w:num w:numId="31">
    <w:abstractNumId w:val="10"/>
  </w:num>
  <w:num w:numId="32">
    <w:abstractNumId w:val="30"/>
  </w:num>
  <w:num w:numId="33">
    <w:abstractNumId w:val="25"/>
  </w:num>
  <w:num w:numId="34">
    <w:abstractNumId w:val="11"/>
  </w:num>
  <w:num w:numId="35">
    <w:abstractNumId w:val="33"/>
  </w:num>
  <w:num w:numId="36">
    <w:abstractNumId w:val="12"/>
  </w:num>
  <w:num w:numId="37">
    <w:abstractNumId w:val="6"/>
  </w:num>
  <w:num w:numId="38">
    <w:abstractNumId w:val="16"/>
  </w:num>
  <w:num w:numId="39">
    <w:abstractNumId w:val="18"/>
  </w:num>
  <w:num w:numId="40">
    <w:abstractNumId w:val="24"/>
    <w:lvlOverride w:ilvl="0"/>
    <w:lvlOverride w:ilvl="1"/>
    <w:lvlOverride w:ilvl="2"/>
    <w:lvlOverride w:ilvl="3"/>
    <w:lvlOverride w:ilvl="4"/>
    <w:lvlOverride w:ilvl="5"/>
    <w:lvlOverride w:ilvl="6"/>
    <w:lvlOverride w:ilvl="7"/>
    <w:lvlOverride w:ilvl="8"/>
  </w:num>
  <w:num w:numId="41">
    <w:abstractNumId w:val="31"/>
  </w:num>
  <w:num w:numId="42">
    <w:abstractNumId w:val="7"/>
  </w:num>
  <w:num w:numId="43">
    <w:abstractNumId w:val="21"/>
  </w:num>
  <w:num w:numId="44">
    <w:abstractNumId w:val="20"/>
  </w:num>
  <w:num w:numId="45">
    <w:abstractNumId w:val="13"/>
  </w:num>
  <w:num w:numId="46">
    <w:abstractNumId w:val="32"/>
  </w:num>
  <w:num w:numId="47">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F83"/>
    <w:rsid w:val="00003166"/>
    <w:rsid w:val="00003724"/>
    <w:rsid w:val="000041CE"/>
    <w:rsid w:val="000043F8"/>
    <w:rsid w:val="0000587D"/>
    <w:rsid w:val="00006318"/>
    <w:rsid w:val="0001129D"/>
    <w:rsid w:val="00011765"/>
    <w:rsid w:val="0001251B"/>
    <w:rsid w:val="000127B4"/>
    <w:rsid w:val="00012D9A"/>
    <w:rsid w:val="0001411D"/>
    <w:rsid w:val="0001462B"/>
    <w:rsid w:val="0001485A"/>
    <w:rsid w:val="00014E97"/>
    <w:rsid w:val="000159A3"/>
    <w:rsid w:val="000176DE"/>
    <w:rsid w:val="00017DDF"/>
    <w:rsid w:val="00017EFF"/>
    <w:rsid w:val="00020C81"/>
    <w:rsid w:val="000220E5"/>
    <w:rsid w:val="00022D3C"/>
    <w:rsid w:val="00023576"/>
    <w:rsid w:val="0002374A"/>
    <w:rsid w:val="0002503B"/>
    <w:rsid w:val="00025394"/>
    <w:rsid w:val="00026D5B"/>
    <w:rsid w:val="00027881"/>
    <w:rsid w:val="00027C2F"/>
    <w:rsid w:val="00030A89"/>
    <w:rsid w:val="00030E42"/>
    <w:rsid w:val="000312D2"/>
    <w:rsid w:val="00031E41"/>
    <w:rsid w:val="000323AD"/>
    <w:rsid w:val="00033A1F"/>
    <w:rsid w:val="00034524"/>
    <w:rsid w:val="00034BC8"/>
    <w:rsid w:val="0003772E"/>
    <w:rsid w:val="000405C5"/>
    <w:rsid w:val="00040730"/>
    <w:rsid w:val="00042967"/>
    <w:rsid w:val="00045E79"/>
    <w:rsid w:val="00046C46"/>
    <w:rsid w:val="00047C7D"/>
    <w:rsid w:val="00050B50"/>
    <w:rsid w:val="00050E48"/>
    <w:rsid w:val="0005133A"/>
    <w:rsid w:val="0005169C"/>
    <w:rsid w:val="00051AC1"/>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1B91"/>
    <w:rsid w:val="00082D09"/>
    <w:rsid w:val="000842B5"/>
    <w:rsid w:val="00084CB5"/>
    <w:rsid w:val="000852E9"/>
    <w:rsid w:val="0008570E"/>
    <w:rsid w:val="0008672E"/>
    <w:rsid w:val="00087373"/>
    <w:rsid w:val="00090A34"/>
    <w:rsid w:val="000919FB"/>
    <w:rsid w:val="00092688"/>
    <w:rsid w:val="00093C1F"/>
    <w:rsid w:val="00093DA8"/>
    <w:rsid w:val="0009588C"/>
    <w:rsid w:val="00095C5E"/>
    <w:rsid w:val="0009657A"/>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6A5"/>
    <w:rsid w:val="000C0AD6"/>
    <w:rsid w:val="000C1624"/>
    <w:rsid w:val="000C183F"/>
    <w:rsid w:val="000C3E25"/>
    <w:rsid w:val="000C4252"/>
    <w:rsid w:val="000C6140"/>
    <w:rsid w:val="000C6593"/>
    <w:rsid w:val="000D240A"/>
    <w:rsid w:val="000D40CC"/>
    <w:rsid w:val="000D5F55"/>
    <w:rsid w:val="000D61C6"/>
    <w:rsid w:val="000D773C"/>
    <w:rsid w:val="000D7ACD"/>
    <w:rsid w:val="000E123D"/>
    <w:rsid w:val="000E1508"/>
    <w:rsid w:val="000E19B9"/>
    <w:rsid w:val="000E2AF6"/>
    <w:rsid w:val="000E2E9C"/>
    <w:rsid w:val="000E3294"/>
    <w:rsid w:val="000E32B1"/>
    <w:rsid w:val="000E38CD"/>
    <w:rsid w:val="000E4726"/>
    <w:rsid w:val="000E5BD3"/>
    <w:rsid w:val="000E76E9"/>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B03"/>
    <w:rsid w:val="001232A6"/>
    <w:rsid w:val="001236BA"/>
    <w:rsid w:val="00124239"/>
    <w:rsid w:val="001249D9"/>
    <w:rsid w:val="001254ED"/>
    <w:rsid w:val="00126371"/>
    <w:rsid w:val="00127131"/>
    <w:rsid w:val="001309F2"/>
    <w:rsid w:val="00132E55"/>
    <w:rsid w:val="0013435B"/>
    <w:rsid w:val="00136AD0"/>
    <w:rsid w:val="0013713C"/>
    <w:rsid w:val="00137D64"/>
    <w:rsid w:val="00140A0D"/>
    <w:rsid w:val="001421B6"/>
    <w:rsid w:val="00143E05"/>
    <w:rsid w:val="0014692E"/>
    <w:rsid w:val="00146F1C"/>
    <w:rsid w:val="00147ECE"/>
    <w:rsid w:val="0015028B"/>
    <w:rsid w:val="00150568"/>
    <w:rsid w:val="001507E7"/>
    <w:rsid w:val="00151EDE"/>
    <w:rsid w:val="00152F84"/>
    <w:rsid w:val="00153366"/>
    <w:rsid w:val="00153C75"/>
    <w:rsid w:val="00153E80"/>
    <w:rsid w:val="00154428"/>
    <w:rsid w:val="00154C34"/>
    <w:rsid w:val="001554CF"/>
    <w:rsid w:val="00155BB8"/>
    <w:rsid w:val="001561E0"/>
    <w:rsid w:val="001566CE"/>
    <w:rsid w:val="00156DE6"/>
    <w:rsid w:val="00157648"/>
    <w:rsid w:val="00160781"/>
    <w:rsid w:val="00161AC7"/>
    <w:rsid w:val="00161C69"/>
    <w:rsid w:val="0016355E"/>
    <w:rsid w:val="001640CB"/>
    <w:rsid w:val="0016598D"/>
    <w:rsid w:val="00165EB2"/>
    <w:rsid w:val="001664B1"/>
    <w:rsid w:val="00167D43"/>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7A"/>
    <w:rsid w:val="00183435"/>
    <w:rsid w:val="001844EB"/>
    <w:rsid w:val="001848C3"/>
    <w:rsid w:val="001851C2"/>
    <w:rsid w:val="001870D3"/>
    <w:rsid w:val="00187D60"/>
    <w:rsid w:val="00190A83"/>
    <w:rsid w:val="00192503"/>
    <w:rsid w:val="0019373F"/>
    <w:rsid w:val="00195347"/>
    <w:rsid w:val="00195EAB"/>
    <w:rsid w:val="001974E4"/>
    <w:rsid w:val="00197634"/>
    <w:rsid w:val="00197AA9"/>
    <w:rsid w:val="001A081C"/>
    <w:rsid w:val="001A0FEC"/>
    <w:rsid w:val="001A143D"/>
    <w:rsid w:val="001A1E7A"/>
    <w:rsid w:val="001A2125"/>
    <w:rsid w:val="001A31B7"/>
    <w:rsid w:val="001A3322"/>
    <w:rsid w:val="001A394F"/>
    <w:rsid w:val="001A3FE1"/>
    <w:rsid w:val="001A4D38"/>
    <w:rsid w:val="001A4F8E"/>
    <w:rsid w:val="001B03E2"/>
    <w:rsid w:val="001B0750"/>
    <w:rsid w:val="001B2484"/>
    <w:rsid w:val="001B26AC"/>
    <w:rsid w:val="001B4EC0"/>
    <w:rsid w:val="001B53ED"/>
    <w:rsid w:val="001B596A"/>
    <w:rsid w:val="001B69A5"/>
    <w:rsid w:val="001B6E72"/>
    <w:rsid w:val="001B6F5A"/>
    <w:rsid w:val="001C0A89"/>
    <w:rsid w:val="001C0EFE"/>
    <w:rsid w:val="001C1D2C"/>
    <w:rsid w:val="001C1EB6"/>
    <w:rsid w:val="001C474A"/>
    <w:rsid w:val="001C4D3A"/>
    <w:rsid w:val="001C4EEE"/>
    <w:rsid w:val="001C5D7E"/>
    <w:rsid w:val="001C71E4"/>
    <w:rsid w:val="001C71F8"/>
    <w:rsid w:val="001C7DA0"/>
    <w:rsid w:val="001D07C0"/>
    <w:rsid w:val="001D0C7B"/>
    <w:rsid w:val="001D0D72"/>
    <w:rsid w:val="001D2826"/>
    <w:rsid w:val="001D3C19"/>
    <w:rsid w:val="001D4949"/>
    <w:rsid w:val="001D5B79"/>
    <w:rsid w:val="001D6917"/>
    <w:rsid w:val="001D6EA7"/>
    <w:rsid w:val="001D7B14"/>
    <w:rsid w:val="001E0435"/>
    <w:rsid w:val="001E10DA"/>
    <w:rsid w:val="001E2490"/>
    <w:rsid w:val="001E274C"/>
    <w:rsid w:val="001E2E0D"/>
    <w:rsid w:val="001E3BA7"/>
    <w:rsid w:val="001E4A72"/>
    <w:rsid w:val="001E61B6"/>
    <w:rsid w:val="001E633D"/>
    <w:rsid w:val="001E6568"/>
    <w:rsid w:val="001E7C41"/>
    <w:rsid w:val="001F0C60"/>
    <w:rsid w:val="001F4014"/>
    <w:rsid w:val="001F47DB"/>
    <w:rsid w:val="001F59CD"/>
    <w:rsid w:val="001F6434"/>
    <w:rsid w:val="001F7DFC"/>
    <w:rsid w:val="002004B0"/>
    <w:rsid w:val="002015A7"/>
    <w:rsid w:val="00201E89"/>
    <w:rsid w:val="002023D8"/>
    <w:rsid w:val="00203ABF"/>
    <w:rsid w:val="00203BFA"/>
    <w:rsid w:val="0020401B"/>
    <w:rsid w:val="002040AB"/>
    <w:rsid w:val="002045C6"/>
    <w:rsid w:val="00205D6F"/>
    <w:rsid w:val="002060C2"/>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0192"/>
    <w:rsid w:val="002311AE"/>
    <w:rsid w:val="00231C23"/>
    <w:rsid w:val="00232FF9"/>
    <w:rsid w:val="00233450"/>
    <w:rsid w:val="00233466"/>
    <w:rsid w:val="00234312"/>
    <w:rsid w:val="00234335"/>
    <w:rsid w:val="002346D0"/>
    <w:rsid w:val="002355D2"/>
    <w:rsid w:val="00236984"/>
    <w:rsid w:val="00237884"/>
    <w:rsid w:val="00237938"/>
    <w:rsid w:val="002379BB"/>
    <w:rsid w:val="00237B61"/>
    <w:rsid w:val="00237BB9"/>
    <w:rsid w:val="0024146B"/>
    <w:rsid w:val="0024336B"/>
    <w:rsid w:val="00244AFA"/>
    <w:rsid w:val="00244BC4"/>
    <w:rsid w:val="00244D10"/>
    <w:rsid w:val="00245478"/>
    <w:rsid w:val="0024623A"/>
    <w:rsid w:val="00247941"/>
    <w:rsid w:val="00252448"/>
    <w:rsid w:val="0025435C"/>
    <w:rsid w:val="00254371"/>
    <w:rsid w:val="0025585A"/>
    <w:rsid w:val="00256233"/>
    <w:rsid w:val="0025737C"/>
    <w:rsid w:val="002573AC"/>
    <w:rsid w:val="00260548"/>
    <w:rsid w:val="00260640"/>
    <w:rsid w:val="0026123F"/>
    <w:rsid w:val="00264C31"/>
    <w:rsid w:val="00265280"/>
    <w:rsid w:val="00265A33"/>
    <w:rsid w:val="0026609F"/>
    <w:rsid w:val="002661BC"/>
    <w:rsid w:val="00266751"/>
    <w:rsid w:val="00266BD4"/>
    <w:rsid w:val="00267AD8"/>
    <w:rsid w:val="00267BD6"/>
    <w:rsid w:val="00267E4F"/>
    <w:rsid w:val="00270A4A"/>
    <w:rsid w:val="002729BF"/>
    <w:rsid w:val="00273299"/>
    <w:rsid w:val="002777BB"/>
    <w:rsid w:val="00277B28"/>
    <w:rsid w:val="002809D4"/>
    <w:rsid w:val="00280C8B"/>
    <w:rsid w:val="00281295"/>
    <w:rsid w:val="00282832"/>
    <w:rsid w:val="002852CE"/>
    <w:rsid w:val="00285551"/>
    <w:rsid w:val="00286739"/>
    <w:rsid w:val="002875B2"/>
    <w:rsid w:val="002901C9"/>
    <w:rsid w:val="0029143C"/>
    <w:rsid w:val="0029175E"/>
    <w:rsid w:val="00291A36"/>
    <w:rsid w:val="00292E73"/>
    <w:rsid w:val="002932B4"/>
    <w:rsid w:val="00293A81"/>
    <w:rsid w:val="00294236"/>
    <w:rsid w:val="00295591"/>
    <w:rsid w:val="00296A25"/>
    <w:rsid w:val="00296BDF"/>
    <w:rsid w:val="00296CF3"/>
    <w:rsid w:val="00296EE4"/>
    <w:rsid w:val="00297054"/>
    <w:rsid w:val="00297DCC"/>
    <w:rsid w:val="002A0BA0"/>
    <w:rsid w:val="002A189E"/>
    <w:rsid w:val="002A1D7C"/>
    <w:rsid w:val="002A4363"/>
    <w:rsid w:val="002A4866"/>
    <w:rsid w:val="002A4A5A"/>
    <w:rsid w:val="002A66CB"/>
    <w:rsid w:val="002A680D"/>
    <w:rsid w:val="002A730B"/>
    <w:rsid w:val="002A76C8"/>
    <w:rsid w:val="002A7F83"/>
    <w:rsid w:val="002B2921"/>
    <w:rsid w:val="002B3016"/>
    <w:rsid w:val="002B370E"/>
    <w:rsid w:val="002B4D8B"/>
    <w:rsid w:val="002B4EDE"/>
    <w:rsid w:val="002B6407"/>
    <w:rsid w:val="002B68A5"/>
    <w:rsid w:val="002B7141"/>
    <w:rsid w:val="002B78DD"/>
    <w:rsid w:val="002B7E10"/>
    <w:rsid w:val="002C1016"/>
    <w:rsid w:val="002C4B11"/>
    <w:rsid w:val="002C52B2"/>
    <w:rsid w:val="002C5506"/>
    <w:rsid w:val="002C706C"/>
    <w:rsid w:val="002C788C"/>
    <w:rsid w:val="002D0607"/>
    <w:rsid w:val="002D0B7B"/>
    <w:rsid w:val="002D0EEF"/>
    <w:rsid w:val="002D2C92"/>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1E5E"/>
    <w:rsid w:val="0030239C"/>
    <w:rsid w:val="00302E84"/>
    <w:rsid w:val="00304E7C"/>
    <w:rsid w:val="00306EBD"/>
    <w:rsid w:val="00311AAE"/>
    <w:rsid w:val="00311D7F"/>
    <w:rsid w:val="00312C98"/>
    <w:rsid w:val="003137E2"/>
    <w:rsid w:val="003139E4"/>
    <w:rsid w:val="00314734"/>
    <w:rsid w:val="00314D93"/>
    <w:rsid w:val="0031666A"/>
    <w:rsid w:val="00316F9A"/>
    <w:rsid w:val="003172E5"/>
    <w:rsid w:val="0031769D"/>
    <w:rsid w:val="00320C1F"/>
    <w:rsid w:val="00322322"/>
    <w:rsid w:val="00322D1B"/>
    <w:rsid w:val="00322F1C"/>
    <w:rsid w:val="003248FB"/>
    <w:rsid w:val="0032711C"/>
    <w:rsid w:val="003271BD"/>
    <w:rsid w:val="0032734C"/>
    <w:rsid w:val="003273E1"/>
    <w:rsid w:val="00327BB2"/>
    <w:rsid w:val="0033060C"/>
    <w:rsid w:val="0033119E"/>
    <w:rsid w:val="003319BB"/>
    <w:rsid w:val="00331E06"/>
    <w:rsid w:val="00332780"/>
    <w:rsid w:val="0033394E"/>
    <w:rsid w:val="00333E48"/>
    <w:rsid w:val="00334342"/>
    <w:rsid w:val="00334997"/>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2725"/>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F72"/>
    <w:rsid w:val="003660DB"/>
    <w:rsid w:val="003664DD"/>
    <w:rsid w:val="00367035"/>
    <w:rsid w:val="00370173"/>
    <w:rsid w:val="00370AB0"/>
    <w:rsid w:val="00371364"/>
    <w:rsid w:val="0037369C"/>
    <w:rsid w:val="003737C8"/>
    <w:rsid w:val="003743F9"/>
    <w:rsid w:val="003749B5"/>
    <w:rsid w:val="00374E8E"/>
    <w:rsid w:val="00376E92"/>
    <w:rsid w:val="003776B9"/>
    <w:rsid w:val="00380723"/>
    <w:rsid w:val="00380C43"/>
    <w:rsid w:val="00382428"/>
    <w:rsid w:val="00382704"/>
    <w:rsid w:val="0038373D"/>
    <w:rsid w:val="003858CD"/>
    <w:rsid w:val="00386331"/>
    <w:rsid w:val="0038698E"/>
    <w:rsid w:val="00386D0F"/>
    <w:rsid w:val="00387AB3"/>
    <w:rsid w:val="00387B18"/>
    <w:rsid w:val="0039065F"/>
    <w:rsid w:val="00391C3F"/>
    <w:rsid w:val="00391E7C"/>
    <w:rsid w:val="003927A2"/>
    <w:rsid w:val="00392B2D"/>
    <w:rsid w:val="00393662"/>
    <w:rsid w:val="003942A2"/>
    <w:rsid w:val="00394391"/>
    <w:rsid w:val="0039471F"/>
    <w:rsid w:val="00394918"/>
    <w:rsid w:val="003951C2"/>
    <w:rsid w:val="003956DF"/>
    <w:rsid w:val="003970CB"/>
    <w:rsid w:val="00397FA1"/>
    <w:rsid w:val="003A2107"/>
    <w:rsid w:val="003A23FE"/>
    <w:rsid w:val="003A69F2"/>
    <w:rsid w:val="003A6C87"/>
    <w:rsid w:val="003A6E35"/>
    <w:rsid w:val="003A7309"/>
    <w:rsid w:val="003B254C"/>
    <w:rsid w:val="003B33EE"/>
    <w:rsid w:val="003C0A2F"/>
    <w:rsid w:val="003C1E47"/>
    <w:rsid w:val="003C4D5C"/>
    <w:rsid w:val="003C6FFD"/>
    <w:rsid w:val="003C756F"/>
    <w:rsid w:val="003D03C9"/>
    <w:rsid w:val="003D09EB"/>
    <w:rsid w:val="003D0C0F"/>
    <w:rsid w:val="003D10CF"/>
    <w:rsid w:val="003D1718"/>
    <w:rsid w:val="003D1E09"/>
    <w:rsid w:val="003D30A4"/>
    <w:rsid w:val="003D3168"/>
    <w:rsid w:val="003D43B3"/>
    <w:rsid w:val="003D4A4D"/>
    <w:rsid w:val="003D5B2F"/>
    <w:rsid w:val="003D5E22"/>
    <w:rsid w:val="003D5E2E"/>
    <w:rsid w:val="003E106D"/>
    <w:rsid w:val="003E2253"/>
    <w:rsid w:val="003E2690"/>
    <w:rsid w:val="003E3BD6"/>
    <w:rsid w:val="003E532D"/>
    <w:rsid w:val="003E5ECD"/>
    <w:rsid w:val="003E6C9D"/>
    <w:rsid w:val="003F04E9"/>
    <w:rsid w:val="003F3F53"/>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0221"/>
    <w:rsid w:val="004113FC"/>
    <w:rsid w:val="0041161F"/>
    <w:rsid w:val="00411F34"/>
    <w:rsid w:val="004122CF"/>
    <w:rsid w:val="004127BD"/>
    <w:rsid w:val="00413F03"/>
    <w:rsid w:val="00415248"/>
    <w:rsid w:val="004154CD"/>
    <w:rsid w:val="0041708A"/>
    <w:rsid w:val="00417585"/>
    <w:rsid w:val="0041758A"/>
    <w:rsid w:val="00417F28"/>
    <w:rsid w:val="00420A95"/>
    <w:rsid w:val="00421353"/>
    <w:rsid w:val="00421824"/>
    <w:rsid w:val="00424CF8"/>
    <w:rsid w:val="00424E58"/>
    <w:rsid w:val="00424EAC"/>
    <w:rsid w:val="004255A3"/>
    <w:rsid w:val="00425F69"/>
    <w:rsid w:val="00426333"/>
    <w:rsid w:val="00426C34"/>
    <w:rsid w:val="00426D31"/>
    <w:rsid w:val="004305E4"/>
    <w:rsid w:val="00430F5F"/>
    <w:rsid w:val="004325F0"/>
    <w:rsid w:val="00433627"/>
    <w:rsid w:val="0043468C"/>
    <w:rsid w:val="00434BCE"/>
    <w:rsid w:val="00434C00"/>
    <w:rsid w:val="0043616F"/>
    <w:rsid w:val="00437006"/>
    <w:rsid w:val="004407CC"/>
    <w:rsid w:val="00440800"/>
    <w:rsid w:val="0044216B"/>
    <w:rsid w:val="00442791"/>
    <w:rsid w:val="00443D35"/>
    <w:rsid w:val="0044463D"/>
    <w:rsid w:val="00445C75"/>
    <w:rsid w:val="00446B63"/>
    <w:rsid w:val="00446C56"/>
    <w:rsid w:val="00450281"/>
    <w:rsid w:val="00450369"/>
    <w:rsid w:val="0045095B"/>
    <w:rsid w:val="00452579"/>
    <w:rsid w:val="00452786"/>
    <w:rsid w:val="00452E79"/>
    <w:rsid w:val="004536B8"/>
    <w:rsid w:val="00454FD2"/>
    <w:rsid w:val="00455ABC"/>
    <w:rsid w:val="00456E52"/>
    <w:rsid w:val="00457B2F"/>
    <w:rsid w:val="00460729"/>
    <w:rsid w:val="0046081F"/>
    <w:rsid w:val="00460A7B"/>
    <w:rsid w:val="00460A87"/>
    <w:rsid w:val="00463413"/>
    <w:rsid w:val="00463EA4"/>
    <w:rsid w:val="00465F1A"/>
    <w:rsid w:val="00465F47"/>
    <w:rsid w:val="00466510"/>
    <w:rsid w:val="00466C25"/>
    <w:rsid w:val="004675C2"/>
    <w:rsid w:val="0047012A"/>
    <w:rsid w:val="004702E1"/>
    <w:rsid w:val="00470768"/>
    <w:rsid w:val="0047210D"/>
    <w:rsid w:val="00472D68"/>
    <w:rsid w:val="00472F70"/>
    <w:rsid w:val="004741A1"/>
    <w:rsid w:val="00474248"/>
    <w:rsid w:val="004749BD"/>
    <w:rsid w:val="0047511D"/>
    <w:rsid w:val="00475EF7"/>
    <w:rsid w:val="00476F3E"/>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A07CE"/>
    <w:rsid w:val="004A1DEF"/>
    <w:rsid w:val="004A51E9"/>
    <w:rsid w:val="004A69FB"/>
    <w:rsid w:val="004A6BFC"/>
    <w:rsid w:val="004B0A96"/>
    <w:rsid w:val="004B0D14"/>
    <w:rsid w:val="004B0D72"/>
    <w:rsid w:val="004B244E"/>
    <w:rsid w:val="004B2899"/>
    <w:rsid w:val="004B291C"/>
    <w:rsid w:val="004B2A28"/>
    <w:rsid w:val="004B2E36"/>
    <w:rsid w:val="004B3788"/>
    <w:rsid w:val="004B4447"/>
    <w:rsid w:val="004B50D9"/>
    <w:rsid w:val="004B5545"/>
    <w:rsid w:val="004B573E"/>
    <w:rsid w:val="004B6306"/>
    <w:rsid w:val="004B6AB4"/>
    <w:rsid w:val="004B70E0"/>
    <w:rsid w:val="004B7BC2"/>
    <w:rsid w:val="004C1416"/>
    <w:rsid w:val="004C1C2D"/>
    <w:rsid w:val="004C26CB"/>
    <w:rsid w:val="004C39F2"/>
    <w:rsid w:val="004C443D"/>
    <w:rsid w:val="004C44FA"/>
    <w:rsid w:val="004C6510"/>
    <w:rsid w:val="004C65C2"/>
    <w:rsid w:val="004C67FD"/>
    <w:rsid w:val="004C6AEC"/>
    <w:rsid w:val="004D0B22"/>
    <w:rsid w:val="004D0CD7"/>
    <w:rsid w:val="004D18E3"/>
    <w:rsid w:val="004D1B60"/>
    <w:rsid w:val="004D21F5"/>
    <w:rsid w:val="004D357E"/>
    <w:rsid w:val="004D3D9C"/>
    <w:rsid w:val="004D51A5"/>
    <w:rsid w:val="004D5415"/>
    <w:rsid w:val="004D67AB"/>
    <w:rsid w:val="004D6C9C"/>
    <w:rsid w:val="004D6CA2"/>
    <w:rsid w:val="004D7250"/>
    <w:rsid w:val="004D7B57"/>
    <w:rsid w:val="004E1EE1"/>
    <w:rsid w:val="004E2364"/>
    <w:rsid w:val="004E3290"/>
    <w:rsid w:val="004E3875"/>
    <w:rsid w:val="004E5BA4"/>
    <w:rsid w:val="004E6654"/>
    <w:rsid w:val="004E6C6B"/>
    <w:rsid w:val="004E7813"/>
    <w:rsid w:val="004E78DB"/>
    <w:rsid w:val="004F0D4A"/>
    <w:rsid w:val="004F0F92"/>
    <w:rsid w:val="004F3DC5"/>
    <w:rsid w:val="004F544E"/>
    <w:rsid w:val="004F6678"/>
    <w:rsid w:val="004F6D83"/>
    <w:rsid w:val="004F7814"/>
    <w:rsid w:val="00500898"/>
    <w:rsid w:val="00503878"/>
    <w:rsid w:val="005047FC"/>
    <w:rsid w:val="00504963"/>
    <w:rsid w:val="00506B9A"/>
    <w:rsid w:val="0050751C"/>
    <w:rsid w:val="0050790D"/>
    <w:rsid w:val="005106C5"/>
    <w:rsid w:val="00511112"/>
    <w:rsid w:val="00511837"/>
    <w:rsid w:val="00511FEE"/>
    <w:rsid w:val="0051337A"/>
    <w:rsid w:val="0051431A"/>
    <w:rsid w:val="00515AB0"/>
    <w:rsid w:val="00516D39"/>
    <w:rsid w:val="00516FC2"/>
    <w:rsid w:val="00517318"/>
    <w:rsid w:val="0051738E"/>
    <w:rsid w:val="00517ECD"/>
    <w:rsid w:val="00520486"/>
    <w:rsid w:val="00520968"/>
    <w:rsid w:val="005216E1"/>
    <w:rsid w:val="00522EDC"/>
    <w:rsid w:val="00523A01"/>
    <w:rsid w:val="005240D9"/>
    <w:rsid w:val="005242FC"/>
    <w:rsid w:val="00524552"/>
    <w:rsid w:val="0052492E"/>
    <w:rsid w:val="00524EC8"/>
    <w:rsid w:val="005257C1"/>
    <w:rsid w:val="005257D2"/>
    <w:rsid w:val="00526FF1"/>
    <w:rsid w:val="0052786F"/>
    <w:rsid w:val="00530122"/>
    <w:rsid w:val="0053033E"/>
    <w:rsid w:val="00530706"/>
    <w:rsid w:val="00530E9C"/>
    <w:rsid w:val="00532DA0"/>
    <w:rsid w:val="00534396"/>
    <w:rsid w:val="005347F9"/>
    <w:rsid w:val="00535B95"/>
    <w:rsid w:val="00535C4C"/>
    <w:rsid w:val="00536D2E"/>
    <w:rsid w:val="00537CD5"/>
    <w:rsid w:val="00537FAD"/>
    <w:rsid w:val="005408CF"/>
    <w:rsid w:val="0054105C"/>
    <w:rsid w:val="00541090"/>
    <w:rsid w:val="00541B50"/>
    <w:rsid w:val="00543106"/>
    <w:rsid w:val="00543361"/>
    <w:rsid w:val="00543B44"/>
    <w:rsid w:val="00543FAD"/>
    <w:rsid w:val="00543FC0"/>
    <w:rsid w:val="00544E5D"/>
    <w:rsid w:val="00545C2F"/>
    <w:rsid w:val="00546330"/>
    <w:rsid w:val="00546686"/>
    <w:rsid w:val="00546FE0"/>
    <w:rsid w:val="00550818"/>
    <w:rsid w:val="00550DC6"/>
    <w:rsid w:val="00552465"/>
    <w:rsid w:val="0055340F"/>
    <w:rsid w:val="00554F55"/>
    <w:rsid w:val="0055648F"/>
    <w:rsid w:val="0055701E"/>
    <w:rsid w:val="005579B4"/>
    <w:rsid w:val="00557BF1"/>
    <w:rsid w:val="0056067D"/>
    <w:rsid w:val="00560EBA"/>
    <w:rsid w:val="005649CD"/>
    <w:rsid w:val="00567380"/>
    <w:rsid w:val="005677E7"/>
    <w:rsid w:val="005700D5"/>
    <w:rsid w:val="005703A7"/>
    <w:rsid w:val="005709E8"/>
    <w:rsid w:val="0057177A"/>
    <w:rsid w:val="00572B45"/>
    <w:rsid w:val="00573FF2"/>
    <w:rsid w:val="00576A20"/>
    <w:rsid w:val="00577465"/>
    <w:rsid w:val="00577A43"/>
    <w:rsid w:val="00577FAF"/>
    <w:rsid w:val="00582052"/>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0E6"/>
    <w:rsid w:val="005A2A01"/>
    <w:rsid w:val="005A308C"/>
    <w:rsid w:val="005A61AA"/>
    <w:rsid w:val="005A758C"/>
    <w:rsid w:val="005A7B55"/>
    <w:rsid w:val="005B080C"/>
    <w:rsid w:val="005B0F4C"/>
    <w:rsid w:val="005B35CB"/>
    <w:rsid w:val="005B3FFC"/>
    <w:rsid w:val="005B43DC"/>
    <w:rsid w:val="005B5ECF"/>
    <w:rsid w:val="005B6DB5"/>
    <w:rsid w:val="005B7326"/>
    <w:rsid w:val="005C0C4D"/>
    <w:rsid w:val="005C1451"/>
    <w:rsid w:val="005C17D5"/>
    <w:rsid w:val="005C1B16"/>
    <w:rsid w:val="005C1BB1"/>
    <w:rsid w:val="005C3B40"/>
    <w:rsid w:val="005C4566"/>
    <w:rsid w:val="005C495C"/>
    <w:rsid w:val="005C52C9"/>
    <w:rsid w:val="005C7E1D"/>
    <w:rsid w:val="005C7F3E"/>
    <w:rsid w:val="005D061E"/>
    <w:rsid w:val="005D15E9"/>
    <w:rsid w:val="005D1CFA"/>
    <w:rsid w:val="005D2283"/>
    <w:rsid w:val="005D2782"/>
    <w:rsid w:val="005D2841"/>
    <w:rsid w:val="005D2AC6"/>
    <w:rsid w:val="005D3F9F"/>
    <w:rsid w:val="005D465E"/>
    <w:rsid w:val="005D494F"/>
    <w:rsid w:val="005D4AB0"/>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4D6B"/>
    <w:rsid w:val="005F5233"/>
    <w:rsid w:val="00600357"/>
    <w:rsid w:val="00600738"/>
    <w:rsid w:val="0060100E"/>
    <w:rsid w:val="0060155A"/>
    <w:rsid w:val="00601848"/>
    <w:rsid w:val="00601862"/>
    <w:rsid w:val="00601FE8"/>
    <w:rsid w:val="006038E1"/>
    <w:rsid w:val="00603FB6"/>
    <w:rsid w:val="0060510D"/>
    <w:rsid w:val="00606AF7"/>
    <w:rsid w:val="00606C25"/>
    <w:rsid w:val="0060744A"/>
    <w:rsid w:val="00607B38"/>
    <w:rsid w:val="00607F60"/>
    <w:rsid w:val="0061182F"/>
    <w:rsid w:val="006122DE"/>
    <w:rsid w:val="00613158"/>
    <w:rsid w:val="006134ED"/>
    <w:rsid w:val="00613863"/>
    <w:rsid w:val="0061511C"/>
    <w:rsid w:val="00617B58"/>
    <w:rsid w:val="00617F8B"/>
    <w:rsid w:val="00621F20"/>
    <w:rsid w:val="0062208F"/>
    <w:rsid w:val="00622160"/>
    <w:rsid w:val="00622381"/>
    <w:rsid w:val="006225E8"/>
    <w:rsid w:val="00622E2A"/>
    <w:rsid w:val="006230DB"/>
    <w:rsid w:val="0062443A"/>
    <w:rsid w:val="00624899"/>
    <w:rsid w:val="00625380"/>
    <w:rsid w:val="00626ECB"/>
    <w:rsid w:val="0063068F"/>
    <w:rsid w:val="0063168E"/>
    <w:rsid w:val="00631DC8"/>
    <w:rsid w:val="00632BA5"/>
    <w:rsid w:val="006334E7"/>
    <w:rsid w:val="00633C06"/>
    <w:rsid w:val="00634BFA"/>
    <w:rsid w:val="00635062"/>
    <w:rsid w:val="00637716"/>
    <w:rsid w:val="00645311"/>
    <w:rsid w:val="00645688"/>
    <w:rsid w:val="006459C5"/>
    <w:rsid w:val="00645F01"/>
    <w:rsid w:val="0064630F"/>
    <w:rsid w:val="00646638"/>
    <w:rsid w:val="00647464"/>
    <w:rsid w:val="00647555"/>
    <w:rsid w:val="006507EF"/>
    <w:rsid w:val="0065394D"/>
    <w:rsid w:val="00654311"/>
    <w:rsid w:val="006548FC"/>
    <w:rsid w:val="0065499E"/>
    <w:rsid w:val="0065548C"/>
    <w:rsid w:val="00656DF0"/>
    <w:rsid w:val="00660E64"/>
    <w:rsid w:val="00661830"/>
    <w:rsid w:val="006622E3"/>
    <w:rsid w:val="0066279E"/>
    <w:rsid w:val="00665D40"/>
    <w:rsid w:val="00666EE8"/>
    <w:rsid w:val="006701DF"/>
    <w:rsid w:val="00671019"/>
    <w:rsid w:val="006715C8"/>
    <w:rsid w:val="00671996"/>
    <w:rsid w:val="006725F0"/>
    <w:rsid w:val="006729D9"/>
    <w:rsid w:val="00672B21"/>
    <w:rsid w:val="00673007"/>
    <w:rsid w:val="006739C4"/>
    <w:rsid w:val="0067474F"/>
    <w:rsid w:val="0067518E"/>
    <w:rsid w:val="006765B7"/>
    <w:rsid w:val="00676727"/>
    <w:rsid w:val="0067758A"/>
    <w:rsid w:val="0067762C"/>
    <w:rsid w:val="00680687"/>
    <w:rsid w:val="00680944"/>
    <w:rsid w:val="006809B5"/>
    <w:rsid w:val="006810C3"/>
    <w:rsid w:val="0068216F"/>
    <w:rsid w:val="00682762"/>
    <w:rsid w:val="00682B40"/>
    <w:rsid w:val="0068385F"/>
    <w:rsid w:val="00684559"/>
    <w:rsid w:val="00684AFF"/>
    <w:rsid w:val="00684BC7"/>
    <w:rsid w:val="006859AB"/>
    <w:rsid w:val="00686261"/>
    <w:rsid w:val="00687642"/>
    <w:rsid w:val="006877FC"/>
    <w:rsid w:val="00687B37"/>
    <w:rsid w:val="00687B7E"/>
    <w:rsid w:val="006900B5"/>
    <w:rsid w:val="006909AB"/>
    <w:rsid w:val="0069176B"/>
    <w:rsid w:val="0069357C"/>
    <w:rsid w:val="0069357D"/>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2CAD"/>
    <w:rsid w:val="006B2F0A"/>
    <w:rsid w:val="006B3966"/>
    <w:rsid w:val="006B5799"/>
    <w:rsid w:val="006B6048"/>
    <w:rsid w:val="006B6203"/>
    <w:rsid w:val="006B6C05"/>
    <w:rsid w:val="006B6FC1"/>
    <w:rsid w:val="006B73CE"/>
    <w:rsid w:val="006C1232"/>
    <w:rsid w:val="006C185A"/>
    <w:rsid w:val="006C1988"/>
    <w:rsid w:val="006C5300"/>
    <w:rsid w:val="006C5494"/>
    <w:rsid w:val="006C599C"/>
    <w:rsid w:val="006C739A"/>
    <w:rsid w:val="006D063C"/>
    <w:rsid w:val="006D186B"/>
    <w:rsid w:val="006D1FC0"/>
    <w:rsid w:val="006D2969"/>
    <w:rsid w:val="006D34B0"/>
    <w:rsid w:val="006D36D0"/>
    <w:rsid w:val="006D47C6"/>
    <w:rsid w:val="006D4DAD"/>
    <w:rsid w:val="006D5029"/>
    <w:rsid w:val="006D66FE"/>
    <w:rsid w:val="006D7E6A"/>
    <w:rsid w:val="006D7FAE"/>
    <w:rsid w:val="006E0555"/>
    <w:rsid w:val="006E05F6"/>
    <w:rsid w:val="006E09FB"/>
    <w:rsid w:val="006E20CC"/>
    <w:rsid w:val="006E2CBC"/>
    <w:rsid w:val="006E2FAE"/>
    <w:rsid w:val="006E3A64"/>
    <w:rsid w:val="006E581B"/>
    <w:rsid w:val="006E59E2"/>
    <w:rsid w:val="006E7B55"/>
    <w:rsid w:val="006F0C58"/>
    <w:rsid w:val="006F1CFC"/>
    <w:rsid w:val="006F2030"/>
    <w:rsid w:val="006F2266"/>
    <w:rsid w:val="006F2605"/>
    <w:rsid w:val="006F280A"/>
    <w:rsid w:val="006F29B8"/>
    <w:rsid w:val="006F44FB"/>
    <w:rsid w:val="006F4ACD"/>
    <w:rsid w:val="006F57B6"/>
    <w:rsid w:val="006F5EE5"/>
    <w:rsid w:val="006F67A4"/>
    <w:rsid w:val="006F758A"/>
    <w:rsid w:val="006F7F20"/>
    <w:rsid w:val="00700AF2"/>
    <w:rsid w:val="0070121D"/>
    <w:rsid w:val="007014CE"/>
    <w:rsid w:val="007017C5"/>
    <w:rsid w:val="00701E4D"/>
    <w:rsid w:val="007026FF"/>
    <w:rsid w:val="00702ADB"/>
    <w:rsid w:val="007034C6"/>
    <w:rsid w:val="00703ED7"/>
    <w:rsid w:val="00705402"/>
    <w:rsid w:val="00705C17"/>
    <w:rsid w:val="0070601C"/>
    <w:rsid w:val="007068E7"/>
    <w:rsid w:val="00706C64"/>
    <w:rsid w:val="007073F4"/>
    <w:rsid w:val="00710D11"/>
    <w:rsid w:val="00711DBA"/>
    <w:rsid w:val="00712095"/>
    <w:rsid w:val="00712335"/>
    <w:rsid w:val="00712752"/>
    <w:rsid w:val="00712897"/>
    <w:rsid w:val="00712ADB"/>
    <w:rsid w:val="00712F4C"/>
    <w:rsid w:val="0071337F"/>
    <w:rsid w:val="0071759B"/>
    <w:rsid w:val="00717ADB"/>
    <w:rsid w:val="007208E1"/>
    <w:rsid w:val="00720CF6"/>
    <w:rsid w:val="00722EB5"/>
    <w:rsid w:val="00723E91"/>
    <w:rsid w:val="00725462"/>
    <w:rsid w:val="00725B7A"/>
    <w:rsid w:val="00725BA5"/>
    <w:rsid w:val="00726063"/>
    <w:rsid w:val="00726131"/>
    <w:rsid w:val="007261B1"/>
    <w:rsid w:val="00726A47"/>
    <w:rsid w:val="00727EA5"/>
    <w:rsid w:val="00735554"/>
    <w:rsid w:val="00736C0B"/>
    <w:rsid w:val="00736EF6"/>
    <w:rsid w:val="00737047"/>
    <w:rsid w:val="00737417"/>
    <w:rsid w:val="007377DD"/>
    <w:rsid w:val="0074095C"/>
    <w:rsid w:val="00741570"/>
    <w:rsid w:val="007427A7"/>
    <w:rsid w:val="00742F0A"/>
    <w:rsid w:val="007432AD"/>
    <w:rsid w:val="00743465"/>
    <w:rsid w:val="00745D47"/>
    <w:rsid w:val="0075050D"/>
    <w:rsid w:val="00750AF1"/>
    <w:rsid w:val="00755F4C"/>
    <w:rsid w:val="0076334A"/>
    <w:rsid w:val="0076351E"/>
    <w:rsid w:val="00763558"/>
    <w:rsid w:val="00763743"/>
    <w:rsid w:val="0076380D"/>
    <w:rsid w:val="007640A2"/>
    <w:rsid w:val="00764123"/>
    <w:rsid w:val="00764189"/>
    <w:rsid w:val="00765310"/>
    <w:rsid w:val="007679E7"/>
    <w:rsid w:val="00770BEA"/>
    <w:rsid w:val="0077426F"/>
    <w:rsid w:val="00774EAC"/>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4204"/>
    <w:rsid w:val="00796220"/>
    <w:rsid w:val="0079640D"/>
    <w:rsid w:val="0079772D"/>
    <w:rsid w:val="007A0F56"/>
    <w:rsid w:val="007A17C0"/>
    <w:rsid w:val="007A2166"/>
    <w:rsid w:val="007A2260"/>
    <w:rsid w:val="007A260F"/>
    <w:rsid w:val="007A3169"/>
    <w:rsid w:val="007A31BD"/>
    <w:rsid w:val="007A37D3"/>
    <w:rsid w:val="007A457A"/>
    <w:rsid w:val="007A5B2A"/>
    <w:rsid w:val="007A7431"/>
    <w:rsid w:val="007B036F"/>
    <w:rsid w:val="007B075A"/>
    <w:rsid w:val="007B1D3B"/>
    <w:rsid w:val="007B2B84"/>
    <w:rsid w:val="007B2BEC"/>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C7F45"/>
    <w:rsid w:val="007D0424"/>
    <w:rsid w:val="007D1451"/>
    <w:rsid w:val="007D1FF4"/>
    <w:rsid w:val="007D4CA7"/>
    <w:rsid w:val="007D4E58"/>
    <w:rsid w:val="007D5D6C"/>
    <w:rsid w:val="007D62FA"/>
    <w:rsid w:val="007D7751"/>
    <w:rsid w:val="007D79DC"/>
    <w:rsid w:val="007E1BE2"/>
    <w:rsid w:val="007E22C3"/>
    <w:rsid w:val="007E3BA3"/>
    <w:rsid w:val="007E462C"/>
    <w:rsid w:val="007E4F56"/>
    <w:rsid w:val="007E5576"/>
    <w:rsid w:val="007E58A6"/>
    <w:rsid w:val="007E6312"/>
    <w:rsid w:val="007F0987"/>
    <w:rsid w:val="007F1763"/>
    <w:rsid w:val="007F3170"/>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7D73"/>
    <w:rsid w:val="008227F8"/>
    <w:rsid w:val="00822EF8"/>
    <w:rsid w:val="00824471"/>
    <w:rsid w:val="00824491"/>
    <w:rsid w:val="00825A19"/>
    <w:rsid w:val="00830E9A"/>
    <w:rsid w:val="008336A2"/>
    <w:rsid w:val="00833F09"/>
    <w:rsid w:val="00836248"/>
    <w:rsid w:val="00842FEC"/>
    <w:rsid w:val="00844680"/>
    <w:rsid w:val="0084479D"/>
    <w:rsid w:val="00845CAC"/>
    <w:rsid w:val="00846908"/>
    <w:rsid w:val="0084701E"/>
    <w:rsid w:val="008503BC"/>
    <w:rsid w:val="00852DE6"/>
    <w:rsid w:val="0085300F"/>
    <w:rsid w:val="00853E40"/>
    <w:rsid w:val="00854640"/>
    <w:rsid w:val="00856712"/>
    <w:rsid w:val="00857150"/>
    <w:rsid w:val="008619B1"/>
    <w:rsid w:val="00861CED"/>
    <w:rsid w:val="00862D68"/>
    <w:rsid w:val="00863C06"/>
    <w:rsid w:val="008676BE"/>
    <w:rsid w:val="0086780C"/>
    <w:rsid w:val="00870FE4"/>
    <w:rsid w:val="00872E67"/>
    <w:rsid w:val="008735C7"/>
    <w:rsid w:val="008740A0"/>
    <w:rsid w:val="00874903"/>
    <w:rsid w:val="0087633A"/>
    <w:rsid w:val="00876E0B"/>
    <w:rsid w:val="0088120A"/>
    <w:rsid w:val="00881642"/>
    <w:rsid w:val="0088168E"/>
    <w:rsid w:val="00881ABE"/>
    <w:rsid w:val="00885EC5"/>
    <w:rsid w:val="00886214"/>
    <w:rsid w:val="0088661F"/>
    <w:rsid w:val="008879D2"/>
    <w:rsid w:val="008901F2"/>
    <w:rsid w:val="00890798"/>
    <w:rsid w:val="008914A1"/>
    <w:rsid w:val="008918E6"/>
    <w:rsid w:val="00892D87"/>
    <w:rsid w:val="008944AE"/>
    <w:rsid w:val="008954B6"/>
    <w:rsid w:val="008954FE"/>
    <w:rsid w:val="0089575C"/>
    <w:rsid w:val="008958B1"/>
    <w:rsid w:val="00895BBA"/>
    <w:rsid w:val="00896ECA"/>
    <w:rsid w:val="00897D82"/>
    <w:rsid w:val="008A134D"/>
    <w:rsid w:val="008A2023"/>
    <w:rsid w:val="008A2158"/>
    <w:rsid w:val="008A2B2C"/>
    <w:rsid w:val="008A3609"/>
    <w:rsid w:val="008A3857"/>
    <w:rsid w:val="008A3903"/>
    <w:rsid w:val="008A39DE"/>
    <w:rsid w:val="008A4D2D"/>
    <w:rsid w:val="008A5CD8"/>
    <w:rsid w:val="008A62F6"/>
    <w:rsid w:val="008A6F06"/>
    <w:rsid w:val="008A7A99"/>
    <w:rsid w:val="008B0D33"/>
    <w:rsid w:val="008B12C7"/>
    <w:rsid w:val="008B1EA7"/>
    <w:rsid w:val="008B3646"/>
    <w:rsid w:val="008B4806"/>
    <w:rsid w:val="008B4939"/>
    <w:rsid w:val="008B4F07"/>
    <w:rsid w:val="008B793C"/>
    <w:rsid w:val="008B7E9A"/>
    <w:rsid w:val="008C0076"/>
    <w:rsid w:val="008C00E4"/>
    <w:rsid w:val="008C12F5"/>
    <w:rsid w:val="008C1586"/>
    <w:rsid w:val="008C2544"/>
    <w:rsid w:val="008C2E58"/>
    <w:rsid w:val="008C30AD"/>
    <w:rsid w:val="008C3978"/>
    <w:rsid w:val="008C39D8"/>
    <w:rsid w:val="008C3DD7"/>
    <w:rsid w:val="008C3F49"/>
    <w:rsid w:val="008C40BA"/>
    <w:rsid w:val="008C5173"/>
    <w:rsid w:val="008C5797"/>
    <w:rsid w:val="008C646B"/>
    <w:rsid w:val="008C69F5"/>
    <w:rsid w:val="008D0534"/>
    <w:rsid w:val="008D0C9A"/>
    <w:rsid w:val="008D21D9"/>
    <w:rsid w:val="008D29C8"/>
    <w:rsid w:val="008D3120"/>
    <w:rsid w:val="008D452A"/>
    <w:rsid w:val="008D4C88"/>
    <w:rsid w:val="008D553A"/>
    <w:rsid w:val="008D71C9"/>
    <w:rsid w:val="008D79B5"/>
    <w:rsid w:val="008E179D"/>
    <w:rsid w:val="008E274E"/>
    <w:rsid w:val="008E27C2"/>
    <w:rsid w:val="008E31B9"/>
    <w:rsid w:val="008E3CA3"/>
    <w:rsid w:val="008E4091"/>
    <w:rsid w:val="008E4FA0"/>
    <w:rsid w:val="008E6AB3"/>
    <w:rsid w:val="008E7757"/>
    <w:rsid w:val="008F021C"/>
    <w:rsid w:val="008F1ED2"/>
    <w:rsid w:val="008F2FF0"/>
    <w:rsid w:val="008F3758"/>
    <w:rsid w:val="008F3F5F"/>
    <w:rsid w:val="008F4EF4"/>
    <w:rsid w:val="008F66A1"/>
    <w:rsid w:val="008F73E0"/>
    <w:rsid w:val="009001C1"/>
    <w:rsid w:val="00902B04"/>
    <w:rsid w:val="0090351E"/>
    <w:rsid w:val="00904B8C"/>
    <w:rsid w:val="00904EBD"/>
    <w:rsid w:val="00905D8F"/>
    <w:rsid w:val="009114A9"/>
    <w:rsid w:val="009133A3"/>
    <w:rsid w:val="0091382B"/>
    <w:rsid w:val="009141A7"/>
    <w:rsid w:val="009143F9"/>
    <w:rsid w:val="00914462"/>
    <w:rsid w:val="009171EE"/>
    <w:rsid w:val="009174F0"/>
    <w:rsid w:val="00920496"/>
    <w:rsid w:val="00920737"/>
    <w:rsid w:val="0092095E"/>
    <w:rsid w:val="00921263"/>
    <w:rsid w:val="0092178C"/>
    <w:rsid w:val="0092230C"/>
    <w:rsid w:val="009229F1"/>
    <w:rsid w:val="00922C48"/>
    <w:rsid w:val="0092399A"/>
    <w:rsid w:val="00931576"/>
    <w:rsid w:val="00931EA3"/>
    <w:rsid w:val="00934768"/>
    <w:rsid w:val="009348D1"/>
    <w:rsid w:val="00937DE7"/>
    <w:rsid w:val="00940FBA"/>
    <w:rsid w:val="0094303F"/>
    <w:rsid w:val="00943D37"/>
    <w:rsid w:val="009444A8"/>
    <w:rsid w:val="009458E6"/>
    <w:rsid w:val="00946471"/>
    <w:rsid w:val="00946650"/>
    <w:rsid w:val="00946D61"/>
    <w:rsid w:val="00946E9A"/>
    <w:rsid w:val="009475EF"/>
    <w:rsid w:val="00947DE9"/>
    <w:rsid w:val="00947FC9"/>
    <w:rsid w:val="009505B1"/>
    <w:rsid w:val="0095069E"/>
    <w:rsid w:val="0095088F"/>
    <w:rsid w:val="00950EFB"/>
    <w:rsid w:val="00951BF6"/>
    <w:rsid w:val="0095253F"/>
    <w:rsid w:val="00952FBF"/>
    <w:rsid w:val="00960082"/>
    <w:rsid w:val="00962588"/>
    <w:rsid w:val="00962F90"/>
    <w:rsid w:val="00963709"/>
    <w:rsid w:val="00965F97"/>
    <w:rsid w:val="00966EF8"/>
    <w:rsid w:val="0096737D"/>
    <w:rsid w:val="00967492"/>
    <w:rsid w:val="00967B1E"/>
    <w:rsid w:val="00967C3D"/>
    <w:rsid w:val="00972258"/>
    <w:rsid w:val="0097226D"/>
    <w:rsid w:val="00972857"/>
    <w:rsid w:val="00976871"/>
    <w:rsid w:val="00976E42"/>
    <w:rsid w:val="0097715A"/>
    <w:rsid w:val="00977B15"/>
    <w:rsid w:val="00980971"/>
    <w:rsid w:val="009828C9"/>
    <w:rsid w:val="00983DD5"/>
    <w:rsid w:val="00984153"/>
    <w:rsid w:val="00984331"/>
    <w:rsid w:val="00986C39"/>
    <w:rsid w:val="009901E5"/>
    <w:rsid w:val="00990A37"/>
    <w:rsid w:val="00990BD8"/>
    <w:rsid w:val="00991C46"/>
    <w:rsid w:val="00991F51"/>
    <w:rsid w:val="009921D8"/>
    <w:rsid w:val="00993052"/>
    <w:rsid w:val="00994DF9"/>
    <w:rsid w:val="00995032"/>
    <w:rsid w:val="00995DE1"/>
    <w:rsid w:val="009961A2"/>
    <w:rsid w:val="00996EA5"/>
    <w:rsid w:val="00997B52"/>
    <w:rsid w:val="009A17B4"/>
    <w:rsid w:val="009A1832"/>
    <w:rsid w:val="009A2A2F"/>
    <w:rsid w:val="009A2CD9"/>
    <w:rsid w:val="009A51CA"/>
    <w:rsid w:val="009A595B"/>
    <w:rsid w:val="009A70EB"/>
    <w:rsid w:val="009B076E"/>
    <w:rsid w:val="009B1FF4"/>
    <w:rsid w:val="009B21FA"/>
    <w:rsid w:val="009B2625"/>
    <w:rsid w:val="009B27DD"/>
    <w:rsid w:val="009B41E2"/>
    <w:rsid w:val="009B54D0"/>
    <w:rsid w:val="009B5592"/>
    <w:rsid w:val="009B6884"/>
    <w:rsid w:val="009B7203"/>
    <w:rsid w:val="009B74AB"/>
    <w:rsid w:val="009B7BB7"/>
    <w:rsid w:val="009C01C4"/>
    <w:rsid w:val="009C1C8B"/>
    <w:rsid w:val="009C3DFC"/>
    <w:rsid w:val="009C4B81"/>
    <w:rsid w:val="009C5780"/>
    <w:rsid w:val="009C67A1"/>
    <w:rsid w:val="009C7178"/>
    <w:rsid w:val="009C7319"/>
    <w:rsid w:val="009C7388"/>
    <w:rsid w:val="009D0FE4"/>
    <w:rsid w:val="009D1285"/>
    <w:rsid w:val="009D136D"/>
    <w:rsid w:val="009D141D"/>
    <w:rsid w:val="009D29CA"/>
    <w:rsid w:val="009D3054"/>
    <w:rsid w:val="009D3154"/>
    <w:rsid w:val="009D31FF"/>
    <w:rsid w:val="009D4055"/>
    <w:rsid w:val="009D40E7"/>
    <w:rsid w:val="009D7456"/>
    <w:rsid w:val="009D7AC9"/>
    <w:rsid w:val="009E132E"/>
    <w:rsid w:val="009E15DE"/>
    <w:rsid w:val="009E3A82"/>
    <w:rsid w:val="009E4085"/>
    <w:rsid w:val="009E4C6A"/>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463B"/>
    <w:rsid w:val="00A05EA3"/>
    <w:rsid w:val="00A07623"/>
    <w:rsid w:val="00A1027B"/>
    <w:rsid w:val="00A104B7"/>
    <w:rsid w:val="00A11755"/>
    <w:rsid w:val="00A121F5"/>
    <w:rsid w:val="00A13D00"/>
    <w:rsid w:val="00A14EFD"/>
    <w:rsid w:val="00A155DA"/>
    <w:rsid w:val="00A17170"/>
    <w:rsid w:val="00A214A2"/>
    <w:rsid w:val="00A21739"/>
    <w:rsid w:val="00A2450D"/>
    <w:rsid w:val="00A24F0A"/>
    <w:rsid w:val="00A2792E"/>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5351"/>
    <w:rsid w:val="00A463FB"/>
    <w:rsid w:val="00A46B14"/>
    <w:rsid w:val="00A47BF3"/>
    <w:rsid w:val="00A50A63"/>
    <w:rsid w:val="00A51766"/>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B59"/>
    <w:rsid w:val="00A75D61"/>
    <w:rsid w:val="00A762B5"/>
    <w:rsid w:val="00A77B35"/>
    <w:rsid w:val="00A80223"/>
    <w:rsid w:val="00A80390"/>
    <w:rsid w:val="00A8066A"/>
    <w:rsid w:val="00A81125"/>
    <w:rsid w:val="00A822CE"/>
    <w:rsid w:val="00A830CA"/>
    <w:rsid w:val="00A83A5A"/>
    <w:rsid w:val="00A83A9E"/>
    <w:rsid w:val="00A83B32"/>
    <w:rsid w:val="00A8481C"/>
    <w:rsid w:val="00A84C23"/>
    <w:rsid w:val="00A856E5"/>
    <w:rsid w:val="00A8610D"/>
    <w:rsid w:val="00A8691A"/>
    <w:rsid w:val="00A92665"/>
    <w:rsid w:val="00A92D43"/>
    <w:rsid w:val="00A94C89"/>
    <w:rsid w:val="00A956A9"/>
    <w:rsid w:val="00A9727A"/>
    <w:rsid w:val="00AA02A5"/>
    <w:rsid w:val="00AA0B45"/>
    <w:rsid w:val="00AA1F17"/>
    <w:rsid w:val="00AA2065"/>
    <w:rsid w:val="00AA38DE"/>
    <w:rsid w:val="00AA424B"/>
    <w:rsid w:val="00AA4BE3"/>
    <w:rsid w:val="00AA4E23"/>
    <w:rsid w:val="00AA4FE0"/>
    <w:rsid w:val="00AA5E53"/>
    <w:rsid w:val="00AA6691"/>
    <w:rsid w:val="00AA6F1C"/>
    <w:rsid w:val="00AA7FFB"/>
    <w:rsid w:val="00AB02F3"/>
    <w:rsid w:val="00AB10F7"/>
    <w:rsid w:val="00AB17CC"/>
    <w:rsid w:val="00AB382E"/>
    <w:rsid w:val="00AB3BE8"/>
    <w:rsid w:val="00AB3F8A"/>
    <w:rsid w:val="00AB50EC"/>
    <w:rsid w:val="00AB5CDD"/>
    <w:rsid w:val="00AB5EED"/>
    <w:rsid w:val="00AB6405"/>
    <w:rsid w:val="00AC0991"/>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D64B5"/>
    <w:rsid w:val="00AE04C4"/>
    <w:rsid w:val="00AE2299"/>
    <w:rsid w:val="00AE481D"/>
    <w:rsid w:val="00AE509A"/>
    <w:rsid w:val="00AF2064"/>
    <w:rsid w:val="00AF24E8"/>
    <w:rsid w:val="00AF32BC"/>
    <w:rsid w:val="00AF40C6"/>
    <w:rsid w:val="00AF4484"/>
    <w:rsid w:val="00AF46DE"/>
    <w:rsid w:val="00AF4B76"/>
    <w:rsid w:val="00AF62CA"/>
    <w:rsid w:val="00AF748D"/>
    <w:rsid w:val="00AF769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5460"/>
    <w:rsid w:val="00B15DCF"/>
    <w:rsid w:val="00B1674B"/>
    <w:rsid w:val="00B1744D"/>
    <w:rsid w:val="00B175EE"/>
    <w:rsid w:val="00B1766A"/>
    <w:rsid w:val="00B17D2F"/>
    <w:rsid w:val="00B20D69"/>
    <w:rsid w:val="00B21510"/>
    <w:rsid w:val="00B21BD2"/>
    <w:rsid w:val="00B22511"/>
    <w:rsid w:val="00B253C8"/>
    <w:rsid w:val="00B253E2"/>
    <w:rsid w:val="00B254EE"/>
    <w:rsid w:val="00B265EC"/>
    <w:rsid w:val="00B27AB1"/>
    <w:rsid w:val="00B27E78"/>
    <w:rsid w:val="00B334AC"/>
    <w:rsid w:val="00B3380F"/>
    <w:rsid w:val="00B34A8F"/>
    <w:rsid w:val="00B3539E"/>
    <w:rsid w:val="00B373D8"/>
    <w:rsid w:val="00B37DC8"/>
    <w:rsid w:val="00B37E6D"/>
    <w:rsid w:val="00B40CBC"/>
    <w:rsid w:val="00B41A93"/>
    <w:rsid w:val="00B432AE"/>
    <w:rsid w:val="00B44869"/>
    <w:rsid w:val="00B45C50"/>
    <w:rsid w:val="00B470F6"/>
    <w:rsid w:val="00B47361"/>
    <w:rsid w:val="00B4756B"/>
    <w:rsid w:val="00B50652"/>
    <w:rsid w:val="00B5166D"/>
    <w:rsid w:val="00B51F43"/>
    <w:rsid w:val="00B523E2"/>
    <w:rsid w:val="00B526B1"/>
    <w:rsid w:val="00B52AE6"/>
    <w:rsid w:val="00B52B59"/>
    <w:rsid w:val="00B53DEA"/>
    <w:rsid w:val="00B54C9C"/>
    <w:rsid w:val="00B56414"/>
    <w:rsid w:val="00B5657F"/>
    <w:rsid w:val="00B607BD"/>
    <w:rsid w:val="00B612EC"/>
    <w:rsid w:val="00B644FC"/>
    <w:rsid w:val="00B66332"/>
    <w:rsid w:val="00B66B56"/>
    <w:rsid w:val="00B67806"/>
    <w:rsid w:val="00B67D3F"/>
    <w:rsid w:val="00B71380"/>
    <w:rsid w:val="00B713E2"/>
    <w:rsid w:val="00B71C4B"/>
    <w:rsid w:val="00B723B7"/>
    <w:rsid w:val="00B725EB"/>
    <w:rsid w:val="00B737C9"/>
    <w:rsid w:val="00B73985"/>
    <w:rsid w:val="00B73F3F"/>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A17"/>
    <w:rsid w:val="00B863AB"/>
    <w:rsid w:val="00B9066E"/>
    <w:rsid w:val="00B9110E"/>
    <w:rsid w:val="00B9213E"/>
    <w:rsid w:val="00B9348E"/>
    <w:rsid w:val="00B957B9"/>
    <w:rsid w:val="00B96993"/>
    <w:rsid w:val="00B971F7"/>
    <w:rsid w:val="00B975FF"/>
    <w:rsid w:val="00B97671"/>
    <w:rsid w:val="00B97B95"/>
    <w:rsid w:val="00BA00F7"/>
    <w:rsid w:val="00BA0D02"/>
    <w:rsid w:val="00BA0FA5"/>
    <w:rsid w:val="00BA10D9"/>
    <w:rsid w:val="00BA1BA3"/>
    <w:rsid w:val="00BA2A04"/>
    <w:rsid w:val="00BA3418"/>
    <w:rsid w:val="00BA36EF"/>
    <w:rsid w:val="00BA60E5"/>
    <w:rsid w:val="00BA6E6B"/>
    <w:rsid w:val="00BA7002"/>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7BB1"/>
    <w:rsid w:val="00BC7EE3"/>
    <w:rsid w:val="00BC7EE4"/>
    <w:rsid w:val="00BD0D0F"/>
    <w:rsid w:val="00BD1C99"/>
    <w:rsid w:val="00BD4B21"/>
    <w:rsid w:val="00BD53D5"/>
    <w:rsid w:val="00BD6D84"/>
    <w:rsid w:val="00BD6FF1"/>
    <w:rsid w:val="00BD71F8"/>
    <w:rsid w:val="00BD7A1D"/>
    <w:rsid w:val="00BE0250"/>
    <w:rsid w:val="00BE0CCE"/>
    <w:rsid w:val="00BE4754"/>
    <w:rsid w:val="00BE582E"/>
    <w:rsid w:val="00BE62A9"/>
    <w:rsid w:val="00BE6CAC"/>
    <w:rsid w:val="00BE7108"/>
    <w:rsid w:val="00BF158E"/>
    <w:rsid w:val="00BF3A26"/>
    <w:rsid w:val="00BF3D42"/>
    <w:rsid w:val="00BF49D5"/>
    <w:rsid w:val="00BF7060"/>
    <w:rsid w:val="00C0191B"/>
    <w:rsid w:val="00C023B5"/>
    <w:rsid w:val="00C02A2A"/>
    <w:rsid w:val="00C03C7A"/>
    <w:rsid w:val="00C0426E"/>
    <w:rsid w:val="00C045AD"/>
    <w:rsid w:val="00C05DD5"/>
    <w:rsid w:val="00C067EC"/>
    <w:rsid w:val="00C06DC9"/>
    <w:rsid w:val="00C11AA8"/>
    <w:rsid w:val="00C12138"/>
    <w:rsid w:val="00C124E7"/>
    <w:rsid w:val="00C12830"/>
    <w:rsid w:val="00C12CDF"/>
    <w:rsid w:val="00C147AE"/>
    <w:rsid w:val="00C14F69"/>
    <w:rsid w:val="00C15D52"/>
    <w:rsid w:val="00C17499"/>
    <w:rsid w:val="00C175CE"/>
    <w:rsid w:val="00C17825"/>
    <w:rsid w:val="00C179C5"/>
    <w:rsid w:val="00C17DDD"/>
    <w:rsid w:val="00C218D1"/>
    <w:rsid w:val="00C237F0"/>
    <w:rsid w:val="00C23A90"/>
    <w:rsid w:val="00C25630"/>
    <w:rsid w:val="00C25A25"/>
    <w:rsid w:val="00C27448"/>
    <w:rsid w:val="00C30364"/>
    <w:rsid w:val="00C3056A"/>
    <w:rsid w:val="00C31C8F"/>
    <w:rsid w:val="00C35AFB"/>
    <w:rsid w:val="00C36661"/>
    <w:rsid w:val="00C36A22"/>
    <w:rsid w:val="00C40B9B"/>
    <w:rsid w:val="00C4172B"/>
    <w:rsid w:val="00C4175C"/>
    <w:rsid w:val="00C41D2A"/>
    <w:rsid w:val="00C43081"/>
    <w:rsid w:val="00C4575C"/>
    <w:rsid w:val="00C45D35"/>
    <w:rsid w:val="00C4604A"/>
    <w:rsid w:val="00C47B5A"/>
    <w:rsid w:val="00C502B9"/>
    <w:rsid w:val="00C515AC"/>
    <w:rsid w:val="00C52D62"/>
    <w:rsid w:val="00C52EA8"/>
    <w:rsid w:val="00C53E5E"/>
    <w:rsid w:val="00C541D9"/>
    <w:rsid w:val="00C54735"/>
    <w:rsid w:val="00C5520A"/>
    <w:rsid w:val="00C5556D"/>
    <w:rsid w:val="00C55820"/>
    <w:rsid w:val="00C56426"/>
    <w:rsid w:val="00C56B03"/>
    <w:rsid w:val="00C56C64"/>
    <w:rsid w:val="00C56C96"/>
    <w:rsid w:val="00C60C7C"/>
    <w:rsid w:val="00C61B44"/>
    <w:rsid w:val="00C63DBE"/>
    <w:rsid w:val="00C643F6"/>
    <w:rsid w:val="00C64EA0"/>
    <w:rsid w:val="00C657E4"/>
    <w:rsid w:val="00C65BDC"/>
    <w:rsid w:val="00C65C15"/>
    <w:rsid w:val="00C662CC"/>
    <w:rsid w:val="00C67E04"/>
    <w:rsid w:val="00C70268"/>
    <w:rsid w:val="00C7032D"/>
    <w:rsid w:val="00C708FC"/>
    <w:rsid w:val="00C70AE8"/>
    <w:rsid w:val="00C70BDE"/>
    <w:rsid w:val="00C70D07"/>
    <w:rsid w:val="00C722DA"/>
    <w:rsid w:val="00C727EC"/>
    <w:rsid w:val="00C727F8"/>
    <w:rsid w:val="00C7546F"/>
    <w:rsid w:val="00C76607"/>
    <w:rsid w:val="00C77634"/>
    <w:rsid w:val="00C776EE"/>
    <w:rsid w:val="00C82948"/>
    <w:rsid w:val="00C83718"/>
    <w:rsid w:val="00C845B0"/>
    <w:rsid w:val="00C85211"/>
    <w:rsid w:val="00C85BF4"/>
    <w:rsid w:val="00C9081A"/>
    <w:rsid w:val="00C90D06"/>
    <w:rsid w:val="00C90F08"/>
    <w:rsid w:val="00C93EE9"/>
    <w:rsid w:val="00C942EE"/>
    <w:rsid w:val="00C967BC"/>
    <w:rsid w:val="00C97A42"/>
    <w:rsid w:val="00CA1B42"/>
    <w:rsid w:val="00CA1D66"/>
    <w:rsid w:val="00CA3BEC"/>
    <w:rsid w:val="00CA45E4"/>
    <w:rsid w:val="00CA5162"/>
    <w:rsid w:val="00CA5801"/>
    <w:rsid w:val="00CA6D19"/>
    <w:rsid w:val="00CB0BF4"/>
    <w:rsid w:val="00CB13BC"/>
    <w:rsid w:val="00CB1D22"/>
    <w:rsid w:val="00CB1EB8"/>
    <w:rsid w:val="00CB360F"/>
    <w:rsid w:val="00CB5FB3"/>
    <w:rsid w:val="00CB6E77"/>
    <w:rsid w:val="00CC03A5"/>
    <w:rsid w:val="00CC1BB3"/>
    <w:rsid w:val="00CC225C"/>
    <w:rsid w:val="00CC27F8"/>
    <w:rsid w:val="00CC3FF9"/>
    <w:rsid w:val="00CC48F5"/>
    <w:rsid w:val="00CC580C"/>
    <w:rsid w:val="00CC6D85"/>
    <w:rsid w:val="00CC723C"/>
    <w:rsid w:val="00CD24A0"/>
    <w:rsid w:val="00CD29E6"/>
    <w:rsid w:val="00CD35FE"/>
    <w:rsid w:val="00CD36A3"/>
    <w:rsid w:val="00CD3821"/>
    <w:rsid w:val="00CD6230"/>
    <w:rsid w:val="00CE0309"/>
    <w:rsid w:val="00CE14D0"/>
    <w:rsid w:val="00CE18C9"/>
    <w:rsid w:val="00CE18FE"/>
    <w:rsid w:val="00CE2CA8"/>
    <w:rsid w:val="00CE6EFA"/>
    <w:rsid w:val="00CE7D94"/>
    <w:rsid w:val="00CF3AC1"/>
    <w:rsid w:val="00CF3CC3"/>
    <w:rsid w:val="00CF53D6"/>
    <w:rsid w:val="00CF5740"/>
    <w:rsid w:val="00CF5919"/>
    <w:rsid w:val="00CF6359"/>
    <w:rsid w:val="00CF7BEF"/>
    <w:rsid w:val="00D0067B"/>
    <w:rsid w:val="00D0109C"/>
    <w:rsid w:val="00D03ADB"/>
    <w:rsid w:val="00D078E2"/>
    <w:rsid w:val="00D10207"/>
    <w:rsid w:val="00D11783"/>
    <w:rsid w:val="00D1274C"/>
    <w:rsid w:val="00D12F6C"/>
    <w:rsid w:val="00D134F4"/>
    <w:rsid w:val="00D14F8D"/>
    <w:rsid w:val="00D15DE5"/>
    <w:rsid w:val="00D16502"/>
    <w:rsid w:val="00D206B2"/>
    <w:rsid w:val="00D21515"/>
    <w:rsid w:val="00D220FF"/>
    <w:rsid w:val="00D23749"/>
    <w:rsid w:val="00D23C8D"/>
    <w:rsid w:val="00D24E93"/>
    <w:rsid w:val="00D25127"/>
    <w:rsid w:val="00D26816"/>
    <w:rsid w:val="00D27180"/>
    <w:rsid w:val="00D27884"/>
    <w:rsid w:val="00D347C4"/>
    <w:rsid w:val="00D34B88"/>
    <w:rsid w:val="00D35017"/>
    <w:rsid w:val="00D37CE4"/>
    <w:rsid w:val="00D37FBD"/>
    <w:rsid w:val="00D4141F"/>
    <w:rsid w:val="00D41820"/>
    <w:rsid w:val="00D44190"/>
    <w:rsid w:val="00D45C0A"/>
    <w:rsid w:val="00D467E3"/>
    <w:rsid w:val="00D46FCB"/>
    <w:rsid w:val="00D4765F"/>
    <w:rsid w:val="00D50411"/>
    <w:rsid w:val="00D504FB"/>
    <w:rsid w:val="00D522A2"/>
    <w:rsid w:val="00D54450"/>
    <w:rsid w:val="00D556CC"/>
    <w:rsid w:val="00D55A3E"/>
    <w:rsid w:val="00D55B71"/>
    <w:rsid w:val="00D570FA"/>
    <w:rsid w:val="00D57C7A"/>
    <w:rsid w:val="00D6011A"/>
    <w:rsid w:val="00D60160"/>
    <w:rsid w:val="00D620D1"/>
    <w:rsid w:val="00D62689"/>
    <w:rsid w:val="00D65DE9"/>
    <w:rsid w:val="00D65E10"/>
    <w:rsid w:val="00D66442"/>
    <w:rsid w:val="00D679CD"/>
    <w:rsid w:val="00D67AFE"/>
    <w:rsid w:val="00D70735"/>
    <w:rsid w:val="00D716C6"/>
    <w:rsid w:val="00D721E7"/>
    <w:rsid w:val="00D73A72"/>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00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E9D"/>
    <w:rsid w:val="00DA4373"/>
    <w:rsid w:val="00DA4FB4"/>
    <w:rsid w:val="00DA618E"/>
    <w:rsid w:val="00DA673A"/>
    <w:rsid w:val="00DA6EB5"/>
    <w:rsid w:val="00DB06F5"/>
    <w:rsid w:val="00DB0B48"/>
    <w:rsid w:val="00DB111A"/>
    <w:rsid w:val="00DB227A"/>
    <w:rsid w:val="00DB4235"/>
    <w:rsid w:val="00DB53B7"/>
    <w:rsid w:val="00DB5567"/>
    <w:rsid w:val="00DB57AE"/>
    <w:rsid w:val="00DB6F5A"/>
    <w:rsid w:val="00DB7632"/>
    <w:rsid w:val="00DB770C"/>
    <w:rsid w:val="00DC085D"/>
    <w:rsid w:val="00DC0E3A"/>
    <w:rsid w:val="00DC12C9"/>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A15"/>
    <w:rsid w:val="00DE1CC1"/>
    <w:rsid w:val="00DE283A"/>
    <w:rsid w:val="00DE2DC7"/>
    <w:rsid w:val="00DE2FF9"/>
    <w:rsid w:val="00DE4FCB"/>
    <w:rsid w:val="00DE52E6"/>
    <w:rsid w:val="00DE5CB4"/>
    <w:rsid w:val="00DE6222"/>
    <w:rsid w:val="00DE6435"/>
    <w:rsid w:val="00DE7018"/>
    <w:rsid w:val="00DF0428"/>
    <w:rsid w:val="00DF127A"/>
    <w:rsid w:val="00DF1CBB"/>
    <w:rsid w:val="00DF225D"/>
    <w:rsid w:val="00DF3402"/>
    <w:rsid w:val="00DF428A"/>
    <w:rsid w:val="00DF7B16"/>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ED4"/>
    <w:rsid w:val="00E11A21"/>
    <w:rsid w:val="00E120C3"/>
    <w:rsid w:val="00E12C9E"/>
    <w:rsid w:val="00E12CD1"/>
    <w:rsid w:val="00E1397C"/>
    <w:rsid w:val="00E139C0"/>
    <w:rsid w:val="00E13AE5"/>
    <w:rsid w:val="00E14E03"/>
    <w:rsid w:val="00E16D0E"/>
    <w:rsid w:val="00E16F20"/>
    <w:rsid w:val="00E17C2A"/>
    <w:rsid w:val="00E17CAD"/>
    <w:rsid w:val="00E22294"/>
    <w:rsid w:val="00E23583"/>
    <w:rsid w:val="00E2372C"/>
    <w:rsid w:val="00E2380E"/>
    <w:rsid w:val="00E23CCC"/>
    <w:rsid w:val="00E23D83"/>
    <w:rsid w:val="00E242C9"/>
    <w:rsid w:val="00E24801"/>
    <w:rsid w:val="00E249FE"/>
    <w:rsid w:val="00E25913"/>
    <w:rsid w:val="00E2599B"/>
    <w:rsid w:val="00E261F6"/>
    <w:rsid w:val="00E266A3"/>
    <w:rsid w:val="00E27344"/>
    <w:rsid w:val="00E302BC"/>
    <w:rsid w:val="00E30384"/>
    <w:rsid w:val="00E30CC4"/>
    <w:rsid w:val="00E3173F"/>
    <w:rsid w:val="00E31BF9"/>
    <w:rsid w:val="00E31D7E"/>
    <w:rsid w:val="00E32226"/>
    <w:rsid w:val="00E3316F"/>
    <w:rsid w:val="00E34E9C"/>
    <w:rsid w:val="00E359F9"/>
    <w:rsid w:val="00E35E98"/>
    <w:rsid w:val="00E40DB3"/>
    <w:rsid w:val="00E41674"/>
    <w:rsid w:val="00E422E1"/>
    <w:rsid w:val="00E43789"/>
    <w:rsid w:val="00E447D8"/>
    <w:rsid w:val="00E44A12"/>
    <w:rsid w:val="00E44E30"/>
    <w:rsid w:val="00E468A3"/>
    <w:rsid w:val="00E46A1F"/>
    <w:rsid w:val="00E47803"/>
    <w:rsid w:val="00E50F04"/>
    <w:rsid w:val="00E53D76"/>
    <w:rsid w:val="00E54900"/>
    <w:rsid w:val="00E5521C"/>
    <w:rsid w:val="00E555A4"/>
    <w:rsid w:val="00E56448"/>
    <w:rsid w:val="00E577EE"/>
    <w:rsid w:val="00E60092"/>
    <w:rsid w:val="00E60E18"/>
    <w:rsid w:val="00E61D38"/>
    <w:rsid w:val="00E62EFF"/>
    <w:rsid w:val="00E64637"/>
    <w:rsid w:val="00E659EB"/>
    <w:rsid w:val="00E65AC1"/>
    <w:rsid w:val="00E66223"/>
    <w:rsid w:val="00E708CB"/>
    <w:rsid w:val="00E70A33"/>
    <w:rsid w:val="00E738A1"/>
    <w:rsid w:val="00E73F33"/>
    <w:rsid w:val="00E74441"/>
    <w:rsid w:val="00E76203"/>
    <w:rsid w:val="00E77BB0"/>
    <w:rsid w:val="00E80599"/>
    <w:rsid w:val="00E80733"/>
    <w:rsid w:val="00E810CC"/>
    <w:rsid w:val="00E83DFF"/>
    <w:rsid w:val="00E8410F"/>
    <w:rsid w:val="00E84699"/>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669E"/>
    <w:rsid w:val="00E97D9E"/>
    <w:rsid w:val="00EA0330"/>
    <w:rsid w:val="00EA0BC8"/>
    <w:rsid w:val="00EA18DA"/>
    <w:rsid w:val="00EA262B"/>
    <w:rsid w:val="00EA380E"/>
    <w:rsid w:val="00EA47C7"/>
    <w:rsid w:val="00EA4ACC"/>
    <w:rsid w:val="00EA5312"/>
    <w:rsid w:val="00EA5BDF"/>
    <w:rsid w:val="00EA7062"/>
    <w:rsid w:val="00EA7756"/>
    <w:rsid w:val="00EB09D0"/>
    <w:rsid w:val="00EB1223"/>
    <w:rsid w:val="00EB26A0"/>
    <w:rsid w:val="00EB3645"/>
    <w:rsid w:val="00EB3943"/>
    <w:rsid w:val="00EB3DA4"/>
    <w:rsid w:val="00EB591D"/>
    <w:rsid w:val="00EB6F7C"/>
    <w:rsid w:val="00EB7F5D"/>
    <w:rsid w:val="00EC0FFB"/>
    <w:rsid w:val="00EC2089"/>
    <w:rsid w:val="00EC667A"/>
    <w:rsid w:val="00EC6E5E"/>
    <w:rsid w:val="00EC7468"/>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E19F2"/>
    <w:rsid w:val="00EE2C5A"/>
    <w:rsid w:val="00EE6BF6"/>
    <w:rsid w:val="00EE6FFA"/>
    <w:rsid w:val="00EE729B"/>
    <w:rsid w:val="00EE74B2"/>
    <w:rsid w:val="00EE7F56"/>
    <w:rsid w:val="00EF003E"/>
    <w:rsid w:val="00EF0B44"/>
    <w:rsid w:val="00EF1DCD"/>
    <w:rsid w:val="00EF1F87"/>
    <w:rsid w:val="00EF41DE"/>
    <w:rsid w:val="00EF483C"/>
    <w:rsid w:val="00EF5004"/>
    <w:rsid w:val="00EF6B8A"/>
    <w:rsid w:val="00F00047"/>
    <w:rsid w:val="00F00789"/>
    <w:rsid w:val="00F012FD"/>
    <w:rsid w:val="00F0203E"/>
    <w:rsid w:val="00F0330A"/>
    <w:rsid w:val="00F060ED"/>
    <w:rsid w:val="00F06309"/>
    <w:rsid w:val="00F06CAE"/>
    <w:rsid w:val="00F06CB4"/>
    <w:rsid w:val="00F07F24"/>
    <w:rsid w:val="00F10AB1"/>
    <w:rsid w:val="00F111CE"/>
    <w:rsid w:val="00F118D3"/>
    <w:rsid w:val="00F1192A"/>
    <w:rsid w:val="00F12EE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26B"/>
    <w:rsid w:val="00F25C5B"/>
    <w:rsid w:val="00F260EC"/>
    <w:rsid w:val="00F278A6"/>
    <w:rsid w:val="00F31C06"/>
    <w:rsid w:val="00F36FBE"/>
    <w:rsid w:val="00F40FA9"/>
    <w:rsid w:val="00F4105E"/>
    <w:rsid w:val="00F42767"/>
    <w:rsid w:val="00F428F4"/>
    <w:rsid w:val="00F42DD2"/>
    <w:rsid w:val="00F44CC0"/>
    <w:rsid w:val="00F45651"/>
    <w:rsid w:val="00F47D23"/>
    <w:rsid w:val="00F502B8"/>
    <w:rsid w:val="00F50D42"/>
    <w:rsid w:val="00F51227"/>
    <w:rsid w:val="00F51D5E"/>
    <w:rsid w:val="00F52A06"/>
    <w:rsid w:val="00F52B38"/>
    <w:rsid w:val="00F55AF3"/>
    <w:rsid w:val="00F56223"/>
    <w:rsid w:val="00F60B50"/>
    <w:rsid w:val="00F62B98"/>
    <w:rsid w:val="00F650C5"/>
    <w:rsid w:val="00F6572C"/>
    <w:rsid w:val="00F6599E"/>
    <w:rsid w:val="00F65B55"/>
    <w:rsid w:val="00F704FB"/>
    <w:rsid w:val="00F7184D"/>
    <w:rsid w:val="00F720DE"/>
    <w:rsid w:val="00F72C55"/>
    <w:rsid w:val="00F72D70"/>
    <w:rsid w:val="00F72E51"/>
    <w:rsid w:val="00F73C3C"/>
    <w:rsid w:val="00F740B2"/>
    <w:rsid w:val="00F74EC5"/>
    <w:rsid w:val="00F75029"/>
    <w:rsid w:val="00F75284"/>
    <w:rsid w:val="00F77C36"/>
    <w:rsid w:val="00F811CD"/>
    <w:rsid w:val="00F815AC"/>
    <w:rsid w:val="00F81C9A"/>
    <w:rsid w:val="00F82B3B"/>
    <w:rsid w:val="00F83225"/>
    <w:rsid w:val="00F83B6D"/>
    <w:rsid w:val="00F84938"/>
    <w:rsid w:val="00F84F2D"/>
    <w:rsid w:val="00F85A89"/>
    <w:rsid w:val="00F90A41"/>
    <w:rsid w:val="00F91FAA"/>
    <w:rsid w:val="00F9288E"/>
    <w:rsid w:val="00F93110"/>
    <w:rsid w:val="00F93423"/>
    <w:rsid w:val="00F94D60"/>
    <w:rsid w:val="00F95172"/>
    <w:rsid w:val="00F95BDE"/>
    <w:rsid w:val="00F96162"/>
    <w:rsid w:val="00F965DD"/>
    <w:rsid w:val="00F968E1"/>
    <w:rsid w:val="00FA0760"/>
    <w:rsid w:val="00FA1338"/>
    <w:rsid w:val="00FA1E9A"/>
    <w:rsid w:val="00FA2043"/>
    <w:rsid w:val="00FA2479"/>
    <w:rsid w:val="00FA26FD"/>
    <w:rsid w:val="00FA2C5C"/>
    <w:rsid w:val="00FA4A80"/>
    <w:rsid w:val="00FA65F9"/>
    <w:rsid w:val="00FA761F"/>
    <w:rsid w:val="00FA7B41"/>
    <w:rsid w:val="00FB0E93"/>
    <w:rsid w:val="00FB2666"/>
    <w:rsid w:val="00FB39B2"/>
    <w:rsid w:val="00FB3E12"/>
    <w:rsid w:val="00FB448C"/>
    <w:rsid w:val="00FB4DBF"/>
    <w:rsid w:val="00FC01CD"/>
    <w:rsid w:val="00FC1960"/>
    <w:rsid w:val="00FC1DF8"/>
    <w:rsid w:val="00FC1E70"/>
    <w:rsid w:val="00FC2345"/>
    <w:rsid w:val="00FC4EAA"/>
    <w:rsid w:val="00FD1807"/>
    <w:rsid w:val="00FD1922"/>
    <w:rsid w:val="00FD1957"/>
    <w:rsid w:val="00FD4845"/>
    <w:rsid w:val="00FD5A29"/>
    <w:rsid w:val="00FD5C7E"/>
    <w:rsid w:val="00FD61E3"/>
    <w:rsid w:val="00FD7811"/>
    <w:rsid w:val="00FE00F9"/>
    <w:rsid w:val="00FE05D4"/>
    <w:rsid w:val="00FE1326"/>
    <w:rsid w:val="00FE1422"/>
    <w:rsid w:val="00FE2CA6"/>
    <w:rsid w:val="00FE2D4C"/>
    <w:rsid w:val="00FE31D4"/>
    <w:rsid w:val="00FE3AC1"/>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6C385F-1DA2-4559-A708-521454D4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z w:val="22"/>
      <w:lang w:val="en-GB"/>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8"/>
      </w:numPr>
      <w:tabs>
        <w:tab w:val="clear" w:pos="360"/>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8"/>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locked/>
    <w:rPr>
      <w:rFonts w:cs="Times New Roman"/>
      <w:b/>
      <w:sz w:val="22"/>
      <w:lang w:val="x-none" w:eastAsia="en-US"/>
    </w:rPr>
  </w:style>
  <w:style w:type="character" w:customStyle="1" w:styleId="Heading3Char">
    <w:name w:val="Heading 3 Char"/>
    <w:basedOn w:val="DefaultParagraphFont"/>
    <w:link w:val="Heading3"/>
    <w:uiPriority w:val="9"/>
    <w:locked/>
    <w:rPr>
      <w:rFonts w:cs="Times New Roman"/>
      <w:b/>
      <w:sz w:val="22"/>
      <w:lang w:val="x-none" w:eastAsia="en-US"/>
    </w:rPr>
  </w:style>
  <w:style w:type="character" w:customStyle="1" w:styleId="Heading4Char">
    <w:name w:val="Heading 4 Char"/>
    <w:basedOn w:val="DefaultParagraphFont"/>
    <w:link w:val="Heading4"/>
    <w:uiPriority w:val="9"/>
    <w:locked/>
    <w:rsid w:val="008109C1"/>
    <w:rPr>
      <w:rFonts w:cs="Times New Roman"/>
      <w:sz w:val="24"/>
      <w:lang w:val="x-none" w:eastAsia="en-US"/>
    </w:rPr>
  </w:style>
  <w:style w:type="character" w:customStyle="1" w:styleId="Heading5Char">
    <w:name w:val="Heading 5 Char"/>
    <w:basedOn w:val="DefaultParagraphFont"/>
    <w:link w:val="Heading5"/>
    <w:uiPriority w:val="9"/>
    <w:locked/>
    <w:rPr>
      <w:rFonts w:ascii="Arial" w:hAnsi="Arial" w:cs="Times New Roman"/>
      <w:sz w:val="22"/>
      <w:lang w:val="x-none" w:eastAsia="en-US"/>
    </w:rPr>
  </w:style>
  <w:style w:type="character" w:customStyle="1" w:styleId="Heading6Char">
    <w:name w:val="Heading 6 Char"/>
    <w:basedOn w:val="DefaultParagraphFont"/>
    <w:link w:val="Heading6"/>
    <w:uiPriority w:val="9"/>
    <w:locked/>
    <w:rPr>
      <w:rFonts w:ascii="Arial" w:hAnsi="Arial" w:cs="Times New Roman"/>
      <w:i/>
      <w:sz w:val="22"/>
      <w:lang w:val="x-none" w:eastAsia="en-US"/>
    </w:rPr>
  </w:style>
  <w:style w:type="character" w:customStyle="1" w:styleId="Heading7Char">
    <w:name w:val="Heading 7 Char"/>
    <w:basedOn w:val="DefaultParagraphFont"/>
    <w:link w:val="Heading7"/>
    <w:uiPriority w:val="9"/>
    <w:locked/>
    <w:rPr>
      <w:rFonts w:ascii="Arial" w:hAnsi="Arial" w:cs="Times New Roman"/>
      <w:lang w:val="x-none" w:eastAsia="en-US"/>
    </w:rPr>
  </w:style>
  <w:style w:type="character" w:customStyle="1" w:styleId="Heading8Char">
    <w:name w:val="Heading 8 Char"/>
    <w:basedOn w:val="DefaultParagraphFont"/>
    <w:link w:val="Heading8"/>
    <w:uiPriority w:val="9"/>
    <w:locked/>
    <w:rPr>
      <w:rFonts w:ascii="Arial" w:hAnsi="Arial" w:cs="Times New Roman"/>
      <w:i/>
      <w:lang w:val="x-none" w:eastAsia="en-US"/>
    </w:rPr>
  </w:style>
  <w:style w:type="character" w:customStyle="1" w:styleId="Heading9Char">
    <w:name w:val="Heading 9 Char"/>
    <w:basedOn w:val="DefaultParagraphFont"/>
    <w:link w:val="Heading9"/>
    <w:uiPriority w:val="9"/>
    <w:locked/>
    <w:rPr>
      <w:rFonts w:ascii="Arial" w:hAnsi="Arial" w:cs="Times New Roman"/>
      <w:i/>
      <w:sz w:val="18"/>
      <w:lang w:val="x-none" w:eastAsia="en-US"/>
    </w:rPr>
  </w:style>
  <w:style w:type="paragraph" w:customStyle="1" w:styleId="Application1">
    <w:name w:val="Application1"/>
    <w:basedOn w:val="Heading1"/>
    <w:next w:val="Application2"/>
    <w:pPr>
      <w:pageBreakBefore/>
      <w:widowControl w:val="0"/>
      <w:numPr>
        <w:numId w:val="3"/>
      </w:numPr>
      <w:tabs>
        <w:tab w:val="num" w:pos="360"/>
      </w:tabs>
      <w:spacing w:before="0" w:after="480"/>
      <w:ind w:left="360"/>
    </w:pPr>
    <w:rPr>
      <w:caps/>
    </w:rPr>
  </w:style>
  <w:style w:type="paragraph" w:customStyle="1" w:styleId="Text4">
    <w:name w:val="Text 4"/>
    <w:basedOn w:val="Normal"/>
    <w:pPr>
      <w:tabs>
        <w:tab w:val="left" w:pos="2302"/>
      </w:tabs>
      <w:spacing w:after="240"/>
      <w:ind w:left="1202"/>
    </w:pPr>
  </w:style>
  <w:style w:type="paragraph" w:customStyle="1" w:styleId="Application2">
    <w:name w:val="Application2"/>
    <w:basedOn w:val="Normal"/>
    <w:pPr>
      <w:widowControl w:val="0"/>
      <w:numPr>
        <w:numId w:val="5"/>
      </w:numPr>
      <w:tabs>
        <w:tab w:val="clear" w:pos="360"/>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6"/>
      </w:numPr>
      <w:tabs>
        <w:tab w:val="clear" w:pos="567"/>
        <w:tab w:val="num" w:pos="0"/>
      </w:tabs>
      <w:ind w:left="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3"/>
      </w:numPr>
      <w:tabs>
        <w:tab w:val="num" w:pos="0"/>
        <w:tab w:val="num" w:pos="283"/>
      </w:tabs>
      <w:spacing w:after="360"/>
      <w:ind w:left="567" w:hanging="567"/>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3"/>
      </w:numPr>
      <w:tabs>
        <w:tab w:val="num" w:pos="283"/>
      </w:tabs>
      <w:spacing w:before="240" w:after="120"/>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B7BC2"/>
    <w:pPr>
      <w:keepNext/>
      <w:numPr>
        <w:ilvl w:val="2"/>
        <w:numId w:val="13"/>
      </w:numPr>
      <w:pBdr>
        <w:top w:val="single" w:sz="4" w:space="1" w:color="auto"/>
        <w:left w:val="single" w:sz="4" w:space="4" w:color="auto"/>
        <w:bottom w:val="single" w:sz="4" w:space="1" w:color="auto"/>
        <w:right w:val="single" w:sz="4" w:space="4" w:color="auto"/>
      </w:pBdr>
      <w:tabs>
        <w:tab w:val="num" w:pos="283"/>
        <w:tab w:val="left" w:pos="900"/>
      </w:tabs>
      <w:spacing w:before="120" w:after="0"/>
      <w:ind w:left="851" w:hanging="851"/>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D11783"/>
    <w:pPr>
      <w:spacing w:after="60"/>
    </w:pPr>
    <w:rPr>
      <w:sz w:val="20"/>
    </w:rPr>
  </w:style>
  <w:style w:type="character" w:customStyle="1" w:styleId="FootnoteTextChar">
    <w:name w:val="Footnote Text Char"/>
    <w:basedOn w:val="DefaultParagraphFont"/>
    <w:link w:val="FootnoteText"/>
    <w:uiPriority w:val="99"/>
    <w:locked/>
    <w:rsid w:val="00D11783"/>
    <w:rPr>
      <w:rFonts w:cs="Times New Roman"/>
      <w:lang w:val="x-none"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x-none"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semiHidden/>
    <w:locked/>
    <w:rPr>
      <w:rFonts w:cs="Times New Roman"/>
      <w:sz w:val="22"/>
      <w:lang w:val="x-none" w:eastAsia="en-US"/>
    </w:rPr>
  </w:style>
  <w:style w:type="paragraph" w:customStyle="1" w:styleId="Style0">
    <w:name w:val="Style0"/>
    <w:rPr>
      <w:rFonts w:ascii="Arial" w:hAnsi="Arial"/>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en-US"/>
    </w:rPr>
  </w:style>
  <w:style w:type="paragraph" w:styleId="TOC5">
    <w:name w:val="toc 5"/>
    <w:basedOn w:val="Normal"/>
    <w:next w:val="Normal"/>
    <w:autoRedefine/>
    <w:uiPriority w:val="39"/>
    <w:semiHidden/>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numId w:val="1"/>
      </w:numPr>
      <w:tabs>
        <w:tab w:val="clear" w:pos="567"/>
        <w:tab w:val="num" w:pos="360"/>
      </w:tabs>
      <w:spacing w:after="240"/>
      <w:ind w:hanging="283"/>
      <w:outlineLvl w:val="9"/>
    </w:pPr>
    <w:rPr>
      <w:b w:val="0"/>
      <w:lang w:val="fr-FR"/>
    </w:rPr>
  </w:style>
  <w:style w:type="paragraph" w:styleId="ListBullet5">
    <w:name w:val="List Bullet 5"/>
    <w:basedOn w:val="Normal"/>
    <w:autoRedefine/>
    <w:uiPriority w:val="99"/>
    <w:pPr>
      <w:numPr>
        <w:numId w:val="2"/>
      </w:numPr>
      <w:spacing w:after="240"/>
    </w:pPr>
    <w:rPr>
      <w:lang w:val="fr-FR"/>
    </w:rPr>
  </w:style>
  <w:style w:type="paragraph" w:styleId="ListBullet">
    <w:name w:val="List Bullet"/>
    <w:basedOn w:val="Normal"/>
    <w:link w:val="ListBulletChar"/>
    <w:uiPriority w:val="99"/>
    <w:rsid w:val="00684AFF"/>
    <w:pPr>
      <w:numPr>
        <w:numId w:val="9"/>
      </w:numPr>
      <w:tabs>
        <w:tab w:val="num" w:pos="567"/>
      </w:tabs>
      <w:spacing w:after="240"/>
      <w:ind w:left="567" w:hanging="283"/>
    </w:pPr>
    <w:rPr>
      <w:lang w:eastAsia="en-GB"/>
    </w:rPr>
  </w:style>
  <w:style w:type="character" w:customStyle="1" w:styleId="ListBulletChar">
    <w:name w:val="List Bullet Char"/>
    <w:link w:val="ListBullet"/>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1492"/>
        <w:tab w:val="clear" w:pos="2161"/>
        <w:tab w:val="num" w:pos="0"/>
        <w:tab w:val="num" w:pos="1485"/>
      </w:tabs>
      <w:ind w:left="1485" w:hanging="283"/>
    </w:pPr>
  </w:style>
  <w:style w:type="table" w:styleId="TableGrid">
    <w:name w:val="Table Grid"/>
    <w:basedOn w:val="TableNormal"/>
    <w:uiPriority w:val="59"/>
    <w:rsid w:val="008619B1"/>
    <w:pPr>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lang w:val="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en-US"/>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numPr>
        <w:numId w:val="11"/>
      </w:numPr>
      <w:tabs>
        <w:tab w:val="clear" w:pos="360"/>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numPr>
        <w:numId w:val="12"/>
      </w:numPr>
      <w:tabs>
        <w:tab w:val="clear" w:pos="2161"/>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val="en-GB"/>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aliases w:val="BVI fnr,Char Char,BVI fnr Zchn,BVI fnr Char Zchn,Appel note de bas de p..BVI fnr Car Car Car Car Zchn,BVI fnr Car Car Zchn,BVI fnr Car Zchn,BVI fnr Car Car Car Car Zchn,BVI fnr Car Car Car Car Char Zchn Zchn,Ref,BVI fnr Car Car,ftre"/>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en-US"/>
    </w:rPr>
  </w:style>
  <w:style w:type="character" w:styleId="CommentReference">
    <w:name w:val="annotation reference"/>
    <w:basedOn w:val="DefaultParagraphFont"/>
    <w:uiPriority w:val="99"/>
    <w:rsid w:val="00A6227D"/>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908397">
      <w:marLeft w:val="0"/>
      <w:marRight w:val="0"/>
      <w:marTop w:val="0"/>
      <w:marBottom w:val="0"/>
      <w:divBdr>
        <w:top w:val="none" w:sz="0" w:space="0" w:color="auto"/>
        <w:left w:val="none" w:sz="0" w:space="0" w:color="auto"/>
        <w:bottom w:val="none" w:sz="0" w:space="0" w:color="auto"/>
        <w:right w:val="none" w:sz="0" w:space="0" w:color="auto"/>
      </w:divBdr>
    </w:div>
    <w:div w:id="1883908398">
      <w:marLeft w:val="0"/>
      <w:marRight w:val="0"/>
      <w:marTop w:val="0"/>
      <w:marBottom w:val="0"/>
      <w:divBdr>
        <w:top w:val="none" w:sz="0" w:space="0" w:color="auto"/>
        <w:left w:val="none" w:sz="0" w:space="0" w:color="auto"/>
        <w:bottom w:val="none" w:sz="0" w:space="0" w:color="auto"/>
        <w:right w:val="none" w:sz="0" w:space="0" w:color="auto"/>
      </w:divBdr>
    </w:div>
    <w:div w:id="1883908399">
      <w:marLeft w:val="0"/>
      <w:marRight w:val="0"/>
      <w:marTop w:val="0"/>
      <w:marBottom w:val="0"/>
      <w:divBdr>
        <w:top w:val="none" w:sz="0" w:space="0" w:color="auto"/>
        <w:left w:val="none" w:sz="0" w:space="0" w:color="auto"/>
        <w:bottom w:val="none" w:sz="0" w:space="0" w:color="auto"/>
        <w:right w:val="none" w:sz="0" w:space="0" w:color="auto"/>
      </w:divBdr>
    </w:div>
    <w:div w:id="1883908400">
      <w:marLeft w:val="0"/>
      <w:marRight w:val="0"/>
      <w:marTop w:val="0"/>
      <w:marBottom w:val="0"/>
      <w:divBdr>
        <w:top w:val="none" w:sz="0" w:space="0" w:color="auto"/>
        <w:left w:val="none" w:sz="0" w:space="0" w:color="auto"/>
        <w:bottom w:val="none" w:sz="0" w:space="0" w:color="auto"/>
        <w:right w:val="none" w:sz="0" w:space="0" w:color="auto"/>
      </w:divBdr>
    </w:div>
    <w:div w:id="1883908401">
      <w:marLeft w:val="0"/>
      <w:marRight w:val="0"/>
      <w:marTop w:val="0"/>
      <w:marBottom w:val="0"/>
      <w:divBdr>
        <w:top w:val="none" w:sz="0" w:space="0" w:color="auto"/>
        <w:left w:val="none" w:sz="0" w:space="0" w:color="auto"/>
        <w:bottom w:val="none" w:sz="0" w:space="0" w:color="auto"/>
        <w:right w:val="none" w:sz="0" w:space="0" w:color="auto"/>
      </w:divBdr>
    </w:div>
    <w:div w:id="1883908402">
      <w:marLeft w:val="0"/>
      <w:marRight w:val="0"/>
      <w:marTop w:val="0"/>
      <w:marBottom w:val="0"/>
      <w:divBdr>
        <w:top w:val="none" w:sz="0" w:space="0" w:color="auto"/>
        <w:left w:val="none" w:sz="0" w:space="0" w:color="auto"/>
        <w:bottom w:val="none" w:sz="0" w:space="0" w:color="auto"/>
        <w:right w:val="none" w:sz="0" w:space="0" w:color="auto"/>
      </w:divBdr>
    </w:div>
    <w:div w:id="1883908403">
      <w:marLeft w:val="0"/>
      <w:marRight w:val="0"/>
      <w:marTop w:val="0"/>
      <w:marBottom w:val="0"/>
      <w:divBdr>
        <w:top w:val="none" w:sz="0" w:space="0" w:color="auto"/>
        <w:left w:val="none" w:sz="0" w:space="0" w:color="auto"/>
        <w:bottom w:val="none" w:sz="0" w:space="0" w:color="auto"/>
        <w:right w:val="none" w:sz="0" w:space="0" w:color="auto"/>
      </w:divBdr>
    </w:div>
    <w:div w:id="1883908404">
      <w:marLeft w:val="0"/>
      <w:marRight w:val="0"/>
      <w:marTop w:val="0"/>
      <w:marBottom w:val="0"/>
      <w:divBdr>
        <w:top w:val="none" w:sz="0" w:space="0" w:color="auto"/>
        <w:left w:val="none" w:sz="0" w:space="0" w:color="auto"/>
        <w:bottom w:val="none" w:sz="0" w:space="0" w:color="auto"/>
        <w:right w:val="none" w:sz="0" w:space="0" w:color="auto"/>
      </w:divBdr>
    </w:div>
    <w:div w:id="1883908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c.europa.eu/europeaid/prag/document.do?locale=en" TargetMode="External"/><Relationship Id="rId18" Type="http://schemas.openxmlformats.org/officeDocument/2006/relationships/hyperlink" Target="https://webgate.ec.europa.eu/europeaid/online-services/index.cfm?do=publi.welcome" TargetMode="External"/><Relationship Id="rId3" Type="http://schemas.openxmlformats.org/officeDocument/2006/relationships/styles" Target="styles.xml"/><Relationship Id="rId21" Type="http://schemas.openxmlformats.org/officeDocument/2006/relationships/hyperlink" Target="http://ec.europa.eu/europeaid/companion/document.do?nodeNumber=19&amp;locale=en" TargetMode="External"/><Relationship Id="rId7" Type="http://schemas.openxmlformats.org/officeDocument/2006/relationships/endnotes" Target="endnotes.xml"/><Relationship Id="rId12" Type="http://schemas.openxmlformats.org/officeDocument/2006/relationships/hyperlink" Target="https://ec.europa.eu/neighbourhood-enlargement/instruments/funding-by-country/montenegro_en" TargetMode="External"/><Relationship Id="rId17" Type="http://schemas.openxmlformats.org/officeDocument/2006/relationships/hyperlink" Target="http://ec.europa.eu/budget/explained/management/protecting/protect_en.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bgate.ec.europa.eu/europeaid/online-services/index.cfm?do=publi.welcome" TargetMode="External"/><Relationship Id="rId20" Type="http://schemas.openxmlformats.org/officeDocument/2006/relationships/hyperlink" Target="https://ec.europa.eu/europeaid/aid-delivery-methods-project-cycle-management-guidelines-vol-1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gate.ec.europa.eu/europeaid/online-services/index.cfm?do=publi.welcome"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ec.europa.eu/europeaid/funding/about-procurement-contracts/procedures-and-practical-guide-prag/diems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europeaid/funding/communication-and-visibility-manual-eu-external-actions_en" TargetMode="External"/><Relationship Id="rId22" Type="http://schemas.openxmlformats.org/officeDocument/2006/relationships/hyperlink" Target="http://ec.europa.eu/europeaid/funding/procedures-beneficiary-countries-and-partners/financial-management-toolkit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ec.europa.eu/enlargement/pdf/financial_assistance/ipa/2014/236-2014_ci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E400-DB9C-4D14-9C84-F068B695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12271</Words>
  <Characters>69951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82058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Igor Sekulic</cp:lastModifiedBy>
  <cp:revision>2</cp:revision>
  <cp:lastPrinted>2015-06-18T13:54:00Z</cp:lastPrinted>
  <dcterms:created xsi:type="dcterms:W3CDTF">2020-02-18T13:39:00Z</dcterms:created>
  <dcterms:modified xsi:type="dcterms:W3CDTF">2020-02-18T13:39:00Z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