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1A1D" w:rsidRDefault="00AD5A68">
      <w:pPr>
        <w:pStyle w:val="Title"/>
        <w:ind w:left="0"/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4422496</wp:posOffset>
                </wp:positionH>
                <wp:positionV relativeFrom="paragraph">
                  <wp:posOffset>256972</wp:posOffset>
                </wp:positionV>
                <wp:extent cx="1792224" cy="892454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2224" cy="8924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1A1D" w:rsidRDefault="00AD5A68">
                            <w:pPr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421220" cy="825754"/>
                                  <wp:effectExtent l="0" t="0" r="7620" b="0"/>
                                  <wp:docPr id="2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3946" cy="8331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shape 1" o:spid="_x0000_s1" o:spt="202" type="#_x0000_t202" style="position:absolute;z-index:251661312;o:allowoverlap:true;o:allowincell:true;mso-position-horizontal-relative:text;margin-left:348.23pt;mso-position-horizontal:absolute;mso-position-vertical-relative:text;margin-top:20.23pt;mso-position-vertical:absolute;width:141.12pt;height:70.27pt;mso-wrap-distance-left:9.00pt;mso-wrap-distance-top:3.60pt;mso-wrap-distance-right:9.00pt;mso-wrap-distance-bottom:3.60pt;v-text-anchor:top;visibility:visible;" fillcolor="#FFFFFF" stroked="f" strokeweight="0.75pt">
                <v:textbox inset="0,0,0,0">
                  <w:txbxContent>
                    <w:p>
                      <w:pPr>
                        <w:pBdr/>
                        <w:spacing/>
                        <w:ind/>
                        <w:jc w:val="right"/>
                        <w:rPr>
                          <w:sz w:val="20"/>
                        </w:rPr>
                      </w:pPr>
                      <w:r>
                        <mc:AlternateContent>
                          <mc:Choice Requires="wpg">
                            <w:drawing>
                              <wp:inline xmlns:wp="http://schemas.openxmlformats.org/drawingml/2006/wordprocessingDrawing" distT="0" distB="0" distL="0" distR="0">
                                <wp:extent cx="1421220" cy="825754"/>
                                <wp:effectExtent l="0" t="0" r="7620" b="0"/>
                                <wp:docPr id="2" name="Picture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/>
                                        </pic:cNvPicPr>
                                        <pic:nvPr/>
                                      </pic:nvPicPr>
                                      <pic:blipFill>
                                        <a:blip r:embed="rId11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33946" cy="8331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0" o:spid="_x0000_s0" type="#_x0000_t75" style="width:111.91pt;height:65.02pt;mso-wrap-distance-left:0.00pt;mso-wrap-distance-top:0.00pt;mso-wrap-distance-right:0.00pt;mso-wrap-distance-bottom:0.00pt;z-index:1;" stroked="f">
                                <v:imagedata r:id="rId11" o:title=""/>
                                <o:lock v:ext="edit" rotation="t"/>
                              </v:shape>
                            </w:pict>
                          </mc:Fallback>
                        </mc:AlternateContent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-30480</wp:posOffset>
                </wp:positionH>
                <wp:positionV relativeFrom="paragraph">
                  <wp:posOffset>82550</wp:posOffset>
                </wp:positionV>
                <wp:extent cx="539115" cy="621665"/>
                <wp:effectExtent l="0" t="0" r="0" b="6985"/>
                <wp:wrapNone/>
                <wp:docPr id="3" name="Picture 1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Grb CB 15.jpg"/>
                        <pic:cNvPicPr>
                          <a:picLocks noChangeAspect="1"/>
                        </pic:cNvPicPr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539115" cy="6216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0288;o:allowoverlap:true;o:allowincell:true;mso-position-horizontal-relative:margin;margin-left:-2.40pt;mso-position-horizontal:absolute;mso-position-vertical-relative:text;margin-top:6.50pt;mso-position-vertical:absolute;width:42.45pt;height:48.95pt;mso-wrap-distance-left:9.00pt;mso-wrap-distance-top:0.00pt;mso-wrap-distance-right:9.00pt;mso-wrap-distance-bottom:0.00pt;z-index:1;" stroked="false">
                <v:imagedata r:id="rId13" o:title=""/>
                <o:lock v:ext="edit" rota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622295</wp:posOffset>
                </wp:positionH>
                <wp:positionV relativeFrom="paragraph">
                  <wp:posOffset>52750</wp:posOffset>
                </wp:positionV>
                <wp:extent cx="0" cy="635106"/>
                <wp:effectExtent l="0" t="0" r="19050" b="31750"/>
                <wp:wrapNone/>
                <wp:docPr id="4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0" cy="63510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line id="shape 3" o:spid="_x0000_s3" style="position:absolute;left:0;text-align:left;z-index:251659264;mso-wrap-distance-left:9.00pt;mso-wrap-distance-top:0.00pt;mso-wrap-distance-right:9.00pt;mso-wrap-distance-bottom:0.00pt;visibility:visible;" from="49.0pt,4.2pt" to="49.0pt,54.2pt" filled="f" strokecolor="#D5B03D" strokeweight="1.50pt">
                <v:stroke dashstyle="solid"/>
              </v:line>
            </w:pict>
          </mc:Fallback>
        </mc:AlternateContent>
      </w:r>
    </w:p>
    <w:p w:rsidR="007C1A1D" w:rsidRDefault="00AD5A68">
      <w:pPr>
        <w:pStyle w:val="Title"/>
        <w:rPr>
          <w:rFonts w:eastAsiaTheme="majorEastAsia" w:cstheme="majorBidi"/>
        </w:rPr>
      </w:pPr>
      <w:proofErr w:type="spellStart"/>
      <w:r>
        <w:t>Crna</w:t>
      </w:r>
      <w:proofErr w:type="spellEnd"/>
      <w:r>
        <w:t xml:space="preserve"> Gora</w:t>
      </w:r>
    </w:p>
    <w:p w:rsidR="007C1A1D" w:rsidRDefault="00AD5A68">
      <w:pPr>
        <w:pStyle w:val="Title"/>
        <w:spacing w:before="40"/>
      </w:pPr>
      <w:proofErr w:type="spellStart"/>
      <w:r>
        <w:t>Ministarstvo</w:t>
      </w:r>
      <w:proofErr w:type="spellEnd"/>
      <w:r>
        <w:t xml:space="preserve"> poljoprivrede, </w:t>
      </w:r>
    </w:p>
    <w:p w:rsidR="007C1A1D" w:rsidRDefault="00AD5A68">
      <w:pPr>
        <w:pStyle w:val="Title"/>
        <w:spacing w:before="0"/>
      </w:pPr>
      <w:r>
        <w:t xml:space="preserve">šumarstva i vodoprivrede </w:t>
      </w:r>
    </w:p>
    <w:p w:rsidR="007C1A1D" w:rsidRDefault="007C1A1D">
      <w:pPr>
        <w:spacing w:after="240" w:line="276" w:lineRule="auto"/>
        <w:jc w:val="both"/>
        <w:rPr>
          <w:rFonts w:ascii="Arial" w:hAnsi="Arial" w:cs="Arial"/>
          <w:sz w:val="22"/>
          <w:highlight w:val="yellow"/>
          <w:lang w:val="sr-Latn-CS"/>
        </w:rPr>
      </w:pPr>
    </w:p>
    <w:p w:rsidR="007C1A1D" w:rsidRDefault="00AD5A68">
      <w:pPr>
        <w:tabs>
          <w:tab w:val="center" w:pos="5103"/>
          <w:tab w:val="left" w:pos="8087"/>
        </w:tabs>
        <w:spacing w:line="276" w:lineRule="auto"/>
        <w:jc w:val="both"/>
        <w:rPr>
          <w:rFonts w:ascii="Arial" w:hAnsi="Arial" w:cs="Arial"/>
          <w:b/>
          <w:sz w:val="28"/>
          <w:szCs w:val="32"/>
          <w:lang w:val="sr-Latn-CS"/>
        </w:rPr>
      </w:pPr>
      <w:r>
        <w:rPr>
          <w:rFonts w:ascii="Arial" w:hAnsi="Arial" w:cs="Arial"/>
          <w:sz w:val="22"/>
          <w:lang w:val="sr-Latn-CS"/>
        </w:rPr>
        <w:t>Na osnovu člana 6 Zakona o sprovođenju mjera podrške poljoprivredne politike, politike ruralnog razvoja i politike rib</w:t>
      </w:r>
      <w:r>
        <w:rPr>
          <w:rFonts w:ascii="Arial" w:hAnsi="Arial" w:cs="Arial"/>
          <w:sz w:val="22"/>
          <w:lang w:val="sr-Latn-CS"/>
        </w:rPr>
        <w:t>arstva („Sl. list CG“, br. 92/25) i Uredbe o uslovima, načinu i dinamici sprovođenja mjera agrarne politike za 2026. godinu – Agrobudžet („Sl. list CG, br 48/26), u okviru mjere 12.2 Podrška po prihvatljivom ha za livade i pašnjake – agroekološka mjera  za</w:t>
      </w:r>
      <w:r>
        <w:rPr>
          <w:rFonts w:ascii="Arial" w:hAnsi="Arial" w:cs="Arial"/>
          <w:sz w:val="22"/>
          <w:lang w:val="sr-Latn-CS"/>
        </w:rPr>
        <w:t xml:space="preserve"> 2026. godinu, Agencija za plaćanja u poljoprivredi, ruralnom razvoju i ribarstvu, nakon obavljenih konsultacija sa Ministarstvom poljoprivrede, šumarstva i vodoprivrede, objavljuje</w:t>
      </w:r>
      <w:r>
        <w:rPr>
          <w:rFonts w:ascii="Arial" w:hAnsi="Arial" w:cs="Arial"/>
          <w:b/>
          <w:sz w:val="28"/>
          <w:szCs w:val="32"/>
          <w:lang w:val="sr-Latn-CS"/>
        </w:rPr>
        <w:tab/>
      </w:r>
    </w:p>
    <w:p w:rsidR="007C1A1D" w:rsidRDefault="00AD5A68">
      <w:pPr>
        <w:tabs>
          <w:tab w:val="center" w:pos="5103"/>
          <w:tab w:val="left" w:pos="8087"/>
        </w:tabs>
        <w:spacing w:before="240" w:line="276" w:lineRule="auto"/>
        <w:ind w:left="284"/>
        <w:jc w:val="center"/>
        <w:rPr>
          <w:rFonts w:ascii="Arial" w:hAnsi="Arial" w:cs="Arial"/>
          <w:b/>
          <w:sz w:val="28"/>
          <w:szCs w:val="32"/>
          <w:lang w:val="sr-Latn-CS"/>
        </w:rPr>
      </w:pPr>
      <w:r>
        <w:rPr>
          <w:rFonts w:ascii="Arial" w:hAnsi="Arial" w:cs="Arial"/>
          <w:b/>
          <w:sz w:val="28"/>
          <w:szCs w:val="32"/>
          <w:lang w:val="sr-Latn-CS"/>
        </w:rPr>
        <w:t>JAVNI POZIV</w:t>
      </w:r>
    </w:p>
    <w:p w:rsidR="007C1A1D" w:rsidRDefault="00AD5A68">
      <w:pPr>
        <w:spacing w:line="276" w:lineRule="auto"/>
        <w:ind w:left="284"/>
        <w:jc w:val="center"/>
        <w:rPr>
          <w:rFonts w:ascii="Arial" w:hAnsi="Arial" w:cs="Arial"/>
          <w:b/>
          <w:sz w:val="28"/>
          <w:szCs w:val="32"/>
          <w:lang w:val="sr-Latn-CS"/>
        </w:rPr>
      </w:pPr>
      <w:r>
        <w:rPr>
          <w:rFonts w:ascii="Arial" w:hAnsi="Arial" w:cs="Arial"/>
          <w:b/>
          <w:sz w:val="28"/>
          <w:szCs w:val="32"/>
          <w:lang w:val="sr-Latn-CS"/>
        </w:rPr>
        <w:t>Podrška po prihvatljivom ha za livade i pašnjake – agroekološ</w:t>
      </w:r>
      <w:r>
        <w:rPr>
          <w:rFonts w:ascii="Arial" w:hAnsi="Arial" w:cs="Arial"/>
          <w:b/>
          <w:sz w:val="28"/>
          <w:szCs w:val="32"/>
          <w:lang w:val="sr-Latn-CS"/>
        </w:rPr>
        <w:t>ka mjera za 2026. godinu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Predmet ovog javnog poziva je podrška poljoprivrednim proizvođačima koji koriste livade i pašnjake  za proizvodnju sijena ili napasanje stoke. 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Ovim javnim pozivom utvrđuju se uslovi, kriterijumi, način prijavljivanja za dodjelu po</w:t>
      </w:r>
      <w:r>
        <w:rPr>
          <w:rFonts w:ascii="Arial" w:hAnsi="Arial" w:cs="Arial"/>
          <w:sz w:val="22"/>
          <w:lang w:val="sr-Latn-CS"/>
        </w:rPr>
        <w:t>drške, rokovi za podnošenje zahtjeva, procedura realizacije zahtjeva i isplata podrške.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DEFINICIJA KORISNIKA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Prihvatljivi korisnici su:</w:t>
      </w:r>
    </w:p>
    <w:p w:rsidR="007C1A1D" w:rsidRDefault="00AD5A68">
      <w:pPr>
        <w:pStyle w:val="ListParagraph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fizička ili pravna lica koja su do (uključujući i) dana podnošenja zahtjeva za podršku u okviru ovog javnog poziva upisa</w:t>
      </w:r>
      <w:r>
        <w:rPr>
          <w:rFonts w:ascii="Arial" w:hAnsi="Arial" w:cs="Arial"/>
          <w:sz w:val="22"/>
          <w:lang w:val="sr-Latn-CS"/>
        </w:rPr>
        <w:t xml:space="preserve">na u Registru poljoprivrednih gazdinstava, u skladu sa Pravilnikom o obliku i načinu vođenja registra subjekata i registra poljoprivrednih gazdinstava („Sl. list CG“, br. 16/14, 37/18). </w:t>
      </w:r>
    </w:p>
    <w:p w:rsidR="007C1A1D" w:rsidRDefault="00AD5A68">
      <w:pPr>
        <w:pStyle w:val="ListParagraph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upisani u Registru životinja, u skladu sa Zakonom o identifikaciji i </w:t>
      </w:r>
      <w:r>
        <w:rPr>
          <w:rFonts w:ascii="Arial" w:hAnsi="Arial" w:cs="Arial"/>
          <w:sz w:val="22"/>
          <w:lang w:val="sr-Latn-CS"/>
        </w:rPr>
        <w:t>registraciji životinja („Sl. list CG“, br. 48/07, 73/10, 40/11, 48/15), do dana podnošenja zahtjeva.</w:t>
      </w:r>
    </w:p>
    <w:p w:rsidR="007C1A1D" w:rsidRDefault="00AD5A68">
      <w:pPr>
        <w:pStyle w:val="ListParagraph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korisnici direktnih plaćanja kroz mjeru 12.2 Direktna plaćanja u biljnoj proizvodnji – Osnovna plaćanja u skladu sa Agrobudžetom za 2026</w:t>
      </w:r>
      <w:r>
        <w:rPr>
          <w:rFonts w:ascii="Arial" w:hAnsi="Arial" w:cs="Arial"/>
          <w:sz w:val="22"/>
          <w:lang w:val="sr-Latn-CS"/>
        </w:rPr>
        <w:t>. godinu, za plaćanja livada/pašnjaka. Dodatna podrška za Agro-ekološku mjeru može se dobiti samo za parcele koje su bile prihvatljive kroz mjeru 12.2 Direktna plaćanja u biljnoj proizvodnji – Osnovna plaćanja u skladu sa Agrobudžetom za 2026. godinu.</w:t>
      </w:r>
    </w:p>
    <w:p w:rsidR="007C1A1D" w:rsidRDefault="00AD5A68">
      <w:pPr>
        <w:pStyle w:val="ListParagraph"/>
        <w:numPr>
          <w:ilvl w:val="0"/>
          <w:numId w:val="22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kori</w:t>
      </w:r>
      <w:r>
        <w:rPr>
          <w:rFonts w:ascii="Arial" w:hAnsi="Arial" w:cs="Arial"/>
          <w:sz w:val="22"/>
          <w:lang w:val="sr-Latn-CS"/>
        </w:rPr>
        <w:t>snici direktnih plaćanja kroz mjeru 12.1 Direktna plaćanja u stočarskoj u skladu sa Agrobudžetom za 2026. godinu. Relevantni broj preživara se odnosi na broj životinja za koje se smatra da ispunjavaju uslove u okviru mjere 12.1 – Direktna plaćanja u stočar</w:t>
      </w:r>
      <w:r>
        <w:rPr>
          <w:rFonts w:ascii="Arial" w:hAnsi="Arial" w:cs="Arial"/>
          <w:sz w:val="22"/>
          <w:lang w:val="sr-Latn-CS"/>
        </w:rPr>
        <w:t>skoj proizvodnji.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lang w:val="sr-Latn-CS"/>
        </w:rPr>
        <w:t>Ukoliko je korisnik ovog poziva pravno lice (preduzetnik/pravno lice, privredno društvo, kooperativa ili udruženje), mora biti registrovan u Centralnom registru privrednih subjekata (u daljem tekstu: CRPS</w:t>
      </w:r>
      <w:r>
        <w:rPr>
          <w:vertAlign w:val="superscript"/>
        </w:rPr>
        <w:footnoteReference w:id="1"/>
      </w:r>
      <w:r>
        <w:rPr>
          <w:rFonts w:ascii="Arial" w:hAnsi="Arial" w:cs="Arial"/>
          <w:sz w:val="22"/>
          <w:lang w:val="sr-Latn-CS"/>
        </w:rPr>
        <w:t xml:space="preserve">). </w:t>
      </w:r>
    </w:p>
    <w:p w:rsidR="007C1A1D" w:rsidRDefault="007C1A1D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7C1A1D" w:rsidRDefault="007C1A1D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</w:p>
    <w:p w:rsidR="007C1A1D" w:rsidRDefault="007C1A1D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PRIHVATLJIVE POVRŠINE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trike/>
          <w:sz w:val="22"/>
          <w:lang w:val="sr-Latn-CS"/>
        </w:rPr>
      </w:pPr>
      <w:r>
        <w:rPr>
          <w:rFonts w:ascii="Arial" w:hAnsi="Arial" w:cs="Arial"/>
          <w:b/>
          <w:sz w:val="22"/>
          <w:u w:val="single"/>
          <w:lang w:val="sr-Latn-CS"/>
        </w:rPr>
        <w:t>LIVADE</w:t>
      </w:r>
      <w:r>
        <w:rPr>
          <w:rFonts w:ascii="Arial" w:hAnsi="Arial" w:cs="Arial"/>
          <w:sz w:val="22"/>
          <w:lang w:val="sr-Latn-CS"/>
        </w:rPr>
        <w:t xml:space="preserve"> kao poljoprivredna površina koja se koristi za proizvodnju/kultivaciju trave, bilo zasijane ili samonikle i nije uključena u plodored pet ili više godina. Površina se mora kositi najmanje jednom godišnje.</w:t>
      </w:r>
    </w:p>
    <w:p w:rsidR="007C1A1D" w:rsidRDefault="00AD5A68">
      <w:pPr>
        <w:spacing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u w:val="single"/>
          <w:lang w:val="sr-Latn-CS"/>
        </w:rPr>
        <w:t>PAŠNJACI</w:t>
      </w:r>
      <w:r>
        <w:rPr>
          <w:rFonts w:ascii="Arial" w:hAnsi="Arial" w:cs="Arial"/>
          <w:sz w:val="22"/>
          <w:lang w:val="sr-Latn-CS"/>
        </w:rPr>
        <w:t xml:space="preserve"> kao poljoprivredna površina pokrive</w:t>
      </w:r>
      <w:r>
        <w:rPr>
          <w:rFonts w:ascii="Arial" w:hAnsi="Arial" w:cs="Arial"/>
          <w:sz w:val="22"/>
          <w:lang w:val="sr-Latn-CS"/>
        </w:rPr>
        <w:t>na travom uključujući žbunje i/ili drveće i nije uključena u plodored pet ili više godina. Površina se mora koristiti za ispašu stoke.</w:t>
      </w:r>
      <w:r>
        <w:t xml:space="preserve"> </w:t>
      </w:r>
      <w:r>
        <w:rPr>
          <w:rFonts w:ascii="Arial" w:hAnsi="Arial" w:cs="Arial"/>
          <w:sz w:val="22"/>
          <w:lang w:val="sr-Latn-CS"/>
        </w:rPr>
        <w:t xml:space="preserve">Pašnjak može da sadrži  pojedinačna stabla i žbunove. Površina pašnjaka određuje se množenjem ukupne (grafičke) površine </w:t>
      </w:r>
      <w:r>
        <w:rPr>
          <w:rFonts w:ascii="Arial" w:hAnsi="Arial" w:cs="Arial"/>
          <w:sz w:val="22"/>
          <w:lang w:val="sr-Latn-CS"/>
        </w:rPr>
        <w:t xml:space="preserve"> referentne parcele koeficijentom prihvatljivosti:</w:t>
      </w:r>
    </w:p>
    <w:p w:rsidR="007C1A1D" w:rsidRDefault="00AD5A68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Pašnjak na kojem trava pokriva od 90% do 100% površine ima koeficijent prihvatljivosti 1;</w:t>
      </w:r>
    </w:p>
    <w:p w:rsidR="007C1A1D" w:rsidRDefault="00AD5A68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Pašnjak na kojem trava pokriva od 75% do 90% površine ima koeficijent prihvatljivosti 0,75;</w:t>
      </w:r>
    </w:p>
    <w:p w:rsidR="007C1A1D" w:rsidRDefault="00AD5A68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Pašnjak na kojem trava </w:t>
      </w:r>
      <w:r>
        <w:rPr>
          <w:rFonts w:ascii="Arial" w:hAnsi="Arial" w:cs="Arial"/>
          <w:sz w:val="22"/>
          <w:lang w:val="sr-Latn-CS"/>
        </w:rPr>
        <w:t>pokriva od 50% do 75% površine ima koeficijent prihvatljivosti 0,5;</w:t>
      </w:r>
    </w:p>
    <w:p w:rsidR="007C1A1D" w:rsidRDefault="00AD5A68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Pašnjak na kojem trava pokriva od 25% do 50% površine ima koeficijent prihvatljivosti 0,25;</w:t>
      </w:r>
    </w:p>
    <w:p w:rsidR="007C1A1D" w:rsidRDefault="00AD5A68">
      <w:pPr>
        <w:pStyle w:val="ListParagraph"/>
        <w:numPr>
          <w:ilvl w:val="0"/>
          <w:numId w:val="17"/>
        </w:numPr>
        <w:spacing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Pašnjak na kojem trava pokriva manje od 25% površine nije prihvatljiv.</w:t>
      </w:r>
    </w:p>
    <w:p w:rsidR="007C1A1D" w:rsidRDefault="007C1A1D">
      <w:pPr>
        <w:spacing w:line="276" w:lineRule="auto"/>
        <w:ind w:left="360"/>
        <w:jc w:val="both"/>
        <w:rPr>
          <w:rFonts w:ascii="Arial" w:hAnsi="Arial" w:cs="Arial"/>
          <w:sz w:val="22"/>
          <w:lang w:val="sr-Latn-CS"/>
        </w:rPr>
      </w:pPr>
    </w:p>
    <w:p w:rsidR="007C1A1D" w:rsidRDefault="00AD5A68">
      <w:pPr>
        <w:spacing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Površine koje ispunjavaj</w:t>
      </w:r>
      <w:r>
        <w:rPr>
          <w:rFonts w:ascii="Arial" w:hAnsi="Arial" w:cs="Arial"/>
          <w:sz w:val="22"/>
          <w:lang w:val="sr-Latn-CS"/>
        </w:rPr>
        <w:t>u uslove za podršku su one klasifikovane kao pašnjaci i/ili livade evidentirane u Sistemu za identifikaciju zemljišnih parcela (u daljem tekstu: SIZEP-u), kao površine koje koriste podnosioci zahtjeva (koji nemaju spor s ostalim korisnicima podrške u trenu</w:t>
      </w:r>
      <w:r>
        <w:rPr>
          <w:rFonts w:ascii="Arial" w:hAnsi="Arial" w:cs="Arial"/>
          <w:sz w:val="22"/>
          <w:lang w:val="sr-Latn-CS"/>
        </w:rPr>
        <w:t>tku podnošenja zahtjeva).</w:t>
      </w:r>
    </w:p>
    <w:p w:rsidR="007C1A1D" w:rsidRDefault="007C1A1D">
      <w:pPr>
        <w:spacing w:line="276" w:lineRule="auto"/>
        <w:jc w:val="both"/>
        <w:rPr>
          <w:rFonts w:ascii="Arial" w:hAnsi="Arial" w:cs="Arial"/>
          <w:sz w:val="22"/>
          <w:lang w:val="sr-Latn-CS"/>
        </w:rPr>
      </w:pP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SPECIFIČNI KRITERIJUMI PRIHVATLJIVOSTI</w:t>
      </w:r>
      <w:r>
        <w:rPr>
          <w:rFonts w:ascii="Arial" w:hAnsi="Arial" w:cs="Arial"/>
          <w:sz w:val="22"/>
          <w:lang w:val="sr-Latn-CS"/>
        </w:rPr>
        <w:t xml:space="preserve"> 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Korisnik ima pravo na dodjelu sredstava podrške ukoliko su ispunjeni sledeći kriterijumi prihvatljivosti:</w:t>
      </w:r>
    </w:p>
    <w:p w:rsidR="007C1A1D" w:rsidRDefault="00AD5A68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Minimalna površina prihvatljiva za podršku po zahtjevu je 1 ha zemljišta klasifiko</w:t>
      </w:r>
      <w:r>
        <w:rPr>
          <w:rFonts w:ascii="Arial" w:hAnsi="Arial" w:cs="Arial"/>
          <w:sz w:val="22"/>
          <w:lang w:val="sr-Latn-CS"/>
        </w:rPr>
        <w:t>vanog kao pašnjaci i/ili livade;</w:t>
      </w:r>
    </w:p>
    <w:p w:rsidR="007C1A1D" w:rsidRDefault="00AD5A68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Minimalna poljoprivredna parcela prihvatljiva za podršku je 0,1 ha;</w:t>
      </w:r>
    </w:p>
    <w:p w:rsidR="007C1A1D" w:rsidRDefault="00AD5A68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Stoka koja boravi na livadama/pašnjacima mora biti identifikovana i registrovana u skladu sa važećim Zakonom o identifikaciji i registraciji životinja, na ime korisnika/gazdinstva;</w:t>
      </w:r>
    </w:p>
    <w:p w:rsidR="007C1A1D" w:rsidRDefault="00AD5A68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Sve veterinarske intervencije treba evidentirati i prijaviti, u skladu sa </w:t>
      </w:r>
      <w:r>
        <w:rPr>
          <w:rFonts w:ascii="Arial" w:hAnsi="Arial" w:cs="Arial"/>
          <w:sz w:val="22"/>
          <w:lang w:val="sr-Latn-CS"/>
        </w:rPr>
        <w:t>važećim Zakonom o veterinarstvu;</w:t>
      </w:r>
    </w:p>
    <w:p w:rsidR="007C1A1D" w:rsidRDefault="00AD5A68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Korisnik mora poštovati minimalne zahtjeve predviđene unakrsnom usklađenošću/ uslovnošću (Dobri uslovi poljoprivrede i životne sredine - GAEC):</w:t>
      </w:r>
    </w:p>
    <w:p w:rsidR="007C1A1D" w:rsidRDefault="00AD5A68">
      <w:pPr>
        <w:pStyle w:val="ListParagraph"/>
        <w:numPr>
          <w:ilvl w:val="2"/>
          <w:numId w:val="16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zabrana bilo kakvog paljenja tokom cijele godine i</w:t>
      </w:r>
    </w:p>
    <w:p w:rsidR="007C1A1D" w:rsidRDefault="00AD5A68">
      <w:pPr>
        <w:pStyle w:val="ListParagraph"/>
        <w:numPr>
          <w:ilvl w:val="2"/>
          <w:numId w:val="16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zabrana bilo koje vrste o</w:t>
      </w:r>
      <w:r>
        <w:rPr>
          <w:rFonts w:ascii="Arial" w:hAnsi="Arial" w:cs="Arial"/>
          <w:sz w:val="22"/>
          <w:lang w:val="sr-Latn-CS"/>
        </w:rPr>
        <w:t>brade zemljišta</w:t>
      </w:r>
      <w:r>
        <w:rPr>
          <w:rStyle w:val="FootnoteReference"/>
          <w:rFonts w:ascii="Arial" w:hAnsi="Arial" w:cs="Arial"/>
          <w:sz w:val="22"/>
          <w:lang w:val="sr-Latn-CS"/>
        </w:rPr>
        <w:footnoteReference w:id="2"/>
      </w:r>
      <w:r>
        <w:rPr>
          <w:rFonts w:ascii="Arial" w:hAnsi="Arial" w:cs="Arial"/>
          <w:sz w:val="22"/>
          <w:lang w:val="sr-Latn-CS"/>
        </w:rPr>
        <w:t>;</w:t>
      </w:r>
    </w:p>
    <w:p w:rsidR="007C1A1D" w:rsidRDefault="00AD5A68">
      <w:pPr>
        <w:pStyle w:val="ListParagraph"/>
        <w:numPr>
          <w:ilvl w:val="0"/>
          <w:numId w:val="16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Korisnik je u obavezi da poštuje zahtjeve upravljanja u kontinuitetu od 2 godine</w:t>
      </w:r>
      <w:r>
        <w:rPr>
          <w:rStyle w:val="FootnoteReference"/>
          <w:rFonts w:ascii="Arial" w:hAnsi="Arial" w:cs="Arial"/>
          <w:sz w:val="22"/>
          <w:lang w:val="sr-Latn-CS"/>
        </w:rPr>
        <w:footnoteReference w:id="3"/>
      </w:r>
      <w:r>
        <w:rPr>
          <w:rFonts w:ascii="Arial" w:hAnsi="Arial" w:cs="Arial"/>
          <w:sz w:val="22"/>
          <w:lang w:val="sr-Latn-CS"/>
        </w:rPr>
        <w:t>.</w:t>
      </w:r>
    </w:p>
    <w:p w:rsidR="007C1A1D" w:rsidRDefault="00AD5A68">
      <w:pPr>
        <w:spacing w:before="240" w:after="240" w:line="276" w:lineRule="auto"/>
        <w:ind w:firstLine="360"/>
        <w:jc w:val="both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ZA POVRŠINE KLASIFIKOVANE KAO PAŠNJACI</w:t>
      </w:r>
    </w:p>
    <w:p w:rsidR="007C1A1D" w:rsidRDefault="00AD5A68">
      <w:pPr>
        <w:pStyle w:val="ListParagraph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Podršku mogu dobiti samo domaćinstava koja uzgajaju preživare;</w:t>
      </w:r>
    </w:p>
    <w:p w:rsidR="007C1A1D" w:rsidRDefault="00AD5A68">
      <w:pPr>
        <w:pStyle w:val="ListParagraph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Ispaša se obavlja najmanje tri mjeseca (90 dana) u toku kalendarske godine isključivo u sušnim periodima (od 15. maja do 15. oktobra) kako bi se izbjeglo sabijanje zemljišta zbog prekomjerne vlage u zemljištu; </w:t>
      </w:r>
    </w:p>
    <w:p w:rsidR="007C1A1D" w:rsidRDefault="00AD5A68">
      <w:pPr>
        <w:pStyle w:val="ListParagraph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lastRenderedPageBreak/>
        <w:t>Minimalno opterećenje pašnjaka je 0,2</w:t>
      </w:r>
      <w:r>
        <w:rPr>
          <w:vertAlign w:val="superscript"/>
        </w:rPr>
        <w:footnoteReference w:id="4"/>
      </w:r>
      <w:r>
        <w:rPr>
          <w:rFonts w:ascii="Arial" w:hAnsi="Arial" w:cs="Arial"/>
          <w:sz w:val="22"/>
          <w:vertAlign w:val="superscript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 xml:space="preserve">UG po </w:t>
      </w:r>
      <w:r>
        <w:rPr>
          <w:rFonts w:ascii="Arial" w:hAnsi="Arial" w:cs="Arial"/>
          <w:sz w:val="22"/>
          <w:lang w:val="sr-Latn-CS"/>
        </w:rPr>
        <w:t>ha pašnjaka;</w:t>
      </w:r>
    </w:p>
    <w:p w:rsidR="007C1A1D" w:rsidRDefault="00AD5A68">
      <w:pPr>
        <w:pStyle w:val="ListParagraph"/>
        <w:numPr>
          <w:ilvl w:val="0"/>
          <w:numId w:val="23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Maksimalno opterećenje pašnjaka je 1 UG po ha pašnjaka;</w:t>
      </w:r>
    </w:p>
    <w:p w:rsidR="007C1A1D" w:rsidRDefault="00AD5A68">
      <w:pPr>
        <w:pStyle w:val="ListParagraph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Vođenje Dnevnika pašnjaka kako bi se zabilježilo prisustvo životinja na različitim parcelama za koje se traži podrška, uključujući datum početka i završetka ispaše po pojedinoj parceli (</w:t>
      </w:r>
      <w:r>
        <w:rPr>
          <w:rFonts w:ascii="Arial" w:hAnsi="Arial" w:cs="Arial"/>
          <w:sz w:val="22"/>
          <w:lang w:val="sr-Latn-CS"/>
        </w:rPr>
        <w:t>Obrazac 1) Dnevnikom pašnjaka se mora evidentirati da se poštuju prethodni zahtjevi o opterećenju pašnjaka i trajanju ispaše;</w:t>
      </w:r>
    </w:p>
    <w:p w:rsidR="007C1A1D" w:rsidRDefault="00AD5A68">
      <w:pPr>
        <w:pStyle w:val="ListParagraph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Ručno uklanjanje žbunja i invazivnih drvenastih vrsta radi održavanja produktivnih trava;</w:t>
      </w:r>
    </w:p>
    <w:p w:rsidR="007C1A1D" w:rsidRDefault="00AD5A68">
      <w:pPr>
        <w:pStyle w:val="ListParagraph"/>
        <w:numPr>
          <w:ilvl w:val="0"/>
          <w:numId w:val="24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Zabrana korišćenja stajnjaka (čvrstog/te</w:t>
      </w:r>
      <w:r>
        <w:rPr>
          <w:rFonts w:ascii="Arial" w:hAnsi="Arial" w:cs="Arial"/>
          <w:sz w:val="22"/>
          <w:lang w:val="sr-Latn-CS"/>
        </w:rPr>
        <w:t>čnog) tokom perioda mraza, kao i perioda jakih kiša ili tokom toplih perioda (novembar-februar, odnosno jul-avgust).</w:t>
      </w:r>
    </w:p>
    <w:p w:rsidR="007C1A1D" w:rsidRDefault="00AD5A68">
      <w:pPr>
        <w:spacing w:before="240" w:after="240" w:line="276" w:lineRule="auto"/>
        <w:ind w:firstLine="360"/>
        <w:jc w:val="both"/>
        <w:rPr>
          <w:rFonts w:ascii="Arial" w:hAnsi="Arial" w:cs="Arial"/>
          <w:bCs/>
          <w:sz w:val="22"/>
          <w:lang w:val="sr-Latn-CS"/>
        </w:rPr>
      </w:pPr>
      <w:r>
        <w:rPr>
          <w:rFonts w:ascii="Arial" w:hAnsi="Arial" w:cs="Arial"/>
          <w:bCs/>
          <w:sz w:val="22"/>
          <w:lang w:val="sr-Latn-CS"/>
        </w:rPr>
        <w:t>ZA POVRŠINE KLASIFIKOVANE KAO LIVADE</w:t>
      </w:r>
    </w:p>
    <w:p w:rsidR="007C1A1D" w:rsidRDefault="00AD5A68">
      <w:pPr>
        <w:pStyle w:val="ListParagraph"/>
        <w:numPr>
          <w:ilvl w:val="0"/>
          <w:numId w:val="25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Sprovođenje najmanje jedne agrotehničke mjere u toku tekuće godine (košenje).</w:t>
      </w:r>
    </w:p>
    <w:p w:rsidR="007C1A1D" w:rsidRDefault="00AD5A68">
      <w:pPr>
        <w:pStyle w:val="ListParagraph"/>
        <w:numPr>
          <w:ilvl w:val="0"/>
          <w:numId w:val="25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Zabrana korišćenja stajn</w:t>
      </w:r>
      <w:r>
        <w:rPr>
          <w:rFonts w:ascii="Arial" w:hAnsi="Arial" w:cs="Arial"/>
          <w:sz w:val="22"/>
          <w:lang w:val="sr-Latn-CS"/>
        </w:rPr>
        <w:t>jaka (čvrstog/tečnog) tokom perioda mraza, kao i perioda jakih kiša ili tokom toplih perioda (novembar-februar, odnosno jul-avgust).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Obračun uslovnih grla će biti sproveden kao što je prikazano u tabeli ispod:</w:t>
      </w:r>
    </w:p>
    <w:tbl>
      <w:tblPr>
        <w:tblStyle w:val="GridTable1Light1"/>
        <w:tblW w:w="10060" w:type="dxa"/>
        <w:jc w:val="center"/>
        <w:tblLook w:val="04A0" w:firstRow="1" w:lastRow="0" w:firstColumn="1" w:lastColumn="0" w:noHBand="0" w:noVBand="1"/>
      </w:tblPr>
      <w:tblGrid>
        <w:gridCol w:w="7755"/>
        <w:gridCol w:w="2305"/>
      </w:tblGrid>
      <w:tr w:rsidR="007C1A1D" w:rsidTr="007C1A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shd w:val="clear" w:color="auto" w:fill="A8D08D" w:themeFill="accent6" w:themeFillTint="99"/>
            <w:vAlign w:val="center"/>
          </w:tcPr>
          <w:p w:rsidR="007C1A1D" w:rsidRDefault="00AD5A68">
            <w:pPr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bCs w:val="0"/>
                <w:sz w:val="22"/>
                <w:lang w:val="sr-Latn-CS"/>
              </w:rPr>
              <w:t xml:space="preserve">Grlo </w:t>
            </w:r>
          </w:p>
        </w:tc>
        <w:tc>
          <w:tcPr>
            <w:tcW w:w="2305" w:type="dxa"/>
            <w:shd w:val="clear" w:color="auto" w:fill="A8D08D" w:themeFill="accent6" w:themeFillTint="99"/>
            <w:vAlign w:val="center"/>
          </w:tcPr>
          <w:p w:rsidR="007C1A1D" w:rsidRDefault="00AD5A6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bCs w:val="0"/>
                <w:sz w:val="22"/>
                <w:lang w:val="sr-Latn-CS"/>
              </w:rPr>
              <w:t>Koeficijent stočne jedinice</w:t>
            </w:r>
          </w:p>
        </w:tc>
      </w:tr>
      <w:tr w:rsidR="007C1A1D" w:rsidTr="007C1A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vAlign w:val="center"/>
          </w:tcPr>
          <w:p w:rsidR="007C1A1D" w:rsidRDefault="00AD5A68">
            <w:pPr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lang w:val="sr-Latn-CS"/>
              </w:rPr>
              <w:t>Krave i junice starosti preko jedne godine</w:t>
            </w:r>
          </w:p>
        </w:tc>
        <w:tc>
          <w:tcPr>
            <w:tcW w:w="2305" w:type="dxa"/>
            <w:vAlign w:val="center"/>
          </w:tcPr>
          <w:p w:rsidR="007C1A1D" w:rsidRDefault="00AD5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1.0</w:t>
            </w:r>
          </w:p>
        </w:tc>
      </w:tr>
      <w:tr w:rsidR="007C1A1D" w:rsidTr="007C1A1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55" w:type="dxa"/>
            <w:vAlign w:val="center"/>
          </w:tcPr>
          <w:p w:rsidR="007C1A1D" w:rsidRDefault="00AD5A68">
            <w:pPr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lang w:val="sr-Latn-CS"/>
              </w:rPr>
              <w:t>Ovce i koze (reproduktivna grla)</w:t>
            </w:r>
          </w:p>
        </w:tc>
        <w:tc>
          <w:tcPr>
            <w:tcW w:w="2305" w:type="dxa"/>
            <w:vAlign w:val="center"/>
          </w:tcPr>
          <w:p w:rsidR="007C1A1D" w:rsidRDefault="00AD5A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0.10</w:t>
            </w:r>
          </w:p>
        </w:tc>
      </w:tr>
    </w:tbl>
    <w:p w:rsidR="007C1A1D" w:rsidRDefault="00AD5A68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IZNOS PODRŠKE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Podrška za Agro-ekološku mjeru za 2026. godinu, iznosi za:</w:t>
      </w:r>
    </w:p>
    <w:p w:rsidR="007C1A1D" w:rsidRDefault="00AD5A68">
      <w:pPr>
        <w:spacing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ab/>
        <w:t xml:space="preserve">livade – </w:t>
      </w:r>
      <w:r>
        <w:rPr>
          <w:rFonts w:ascii="Arial" w:hAnsi="Arial" w:cs="Arial"/>
          <w:b/>
          <w:sz w:val="22"/>
          <w:lang w:val="sr-Latn-CS"/>
        </w:rPr>
        <w:t>15,00 €/prihvatljivog ha</w:t>
      </w:r>
    </w:p>
    <w:p w:rsidR="007C1A1D" w:rsidRDefault="00AD5A68">
      <w:pPr>
        <w:spacing w:line="276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ab/>
        <w:t xml:space="preserve">pašnjake - </w:t>
      </w:r>
      <w:r>
        <w:rPr>
          <w:rFonts w:ascii="Arial" w:hAnsi="Arial" w:cs="Arial"/>
          <w:b/>
          <w:sz w:val="22"/>
          <w:lang w:val="sr-Latn-CS"/>
        </w:rPr>
        <w:t>20,00 €/prihvatljivog ha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Maksimalni iznos podrške po korisniku je 10.000,00 €.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Ako ukupna visina svih zahtjeva za dodjelu podrške po ovom javnom pozivu, prevazilazi budžetom planirani godišnji iznos, proporcionalno se smanjuju jedinična plaćanja po hektaru.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 xml:space="preserve">PRIJAVA NA JAVNI POZIV </w:t>
      </w:r>
      <w:r>
        <w:rPr>
          <w:rFonts w:ascii="Arial" w:hAnsi="Arial" w:cs="Arial"/>
          <w:b/>
          <w:sz w:val="22"/>
          <w:lang w:val="sr-Latn-CS"/>
        </w:rPr>
        <w:t>I POTREBNA DOKUMENTA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Prijava na javni poziv vrši se u zakazanom terminu u kancelarijama Odsjeka za koordinaciju regionalnih poslova – Agencija za plaćanja u poljoprivredi, ruralnom razvoju i ribarstvu (u daljem tekstu Agencija za plaćanja), na način što po</w:t>
      </w:r>
      <w:r>
        <w:rPr>
          <w:rFonts w:ascii="Arial" w:hAnsi="Arial" w:cs="Arial"/>
          <w:sz w:val="22"/>
          <w:lang w:val="sr-Latn-CS"/>
        </w:rPr>
        <w:t>ljoprivredni proizvođač popunjava i podnosi zahtjev za dodjelu podrške uz pomoć službenika iz kancelarije, kroz dio softverskog rješenja Sistema upravljanja i evidencije zahtjeva kroz mjere direktnih plaćanja i ruralnog razvoja prema površini referentne pa</w:t>
      </w:r>
      <w:r>
        <w:rPr>
          <w:rFonts w:ascii="Arial" w:hAnsi="Arial" w:cs="Arial"/>
          <w:sz w:val="22"/>
          <w:lang w:val="sr-Latn-CS"/>
        </w:rPr>
        <w:t xml:space="preserve">rcele </w:t>
      </w:r>
      <w:r>
        <w:rPr>
          <w:rFonts w:ascii="Arial" w:hAnsi="Arial" w:cs="Arial"/>
          <w:sz w:val="22"/>
          <w:szCs w:val="22"/>
          <w:lang w:val="sr-Latn-CS"/>
        </w:rPr>
        <w:t>(Evidencija zahtjeva).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Zahtjev za dodjelu podrške, u ime podnosioca zahtjeva, može podnijeti i član poljoprivrednog gazdinstva koji se nalazi u Registru poljoprivrednih gazdinstava ili drugo lice sa ovlašćenjem datim od podnosioca zahtjeva ovjerenim </w:t>
      </w:r>
      <w:r>
        <w:rPr>
          <w:rFonts w:ascii="Arial" w:hAnsi="Arial" w:cs="Arial"/>
          <w:sz w:val="22"/>
          <w:lang w:val="sr-Latn-CS"/>
        </w:rPr>
        <w:t>na način propisan zakonom.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Podnosilac zahtjeva je dužan da dostavi Obrazac 1- Dnevnik pašnjaka koji je sastavni dio ovog javnog poziva.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lastRenderedPageBreak/>
        <w:t>Poljoprivredni proizvođač na sastanku donosi dokumentaciju navedenu u javnom pozivu, uz napomenu da cjelokupna dokumenta</w:t>
      </w:r>
      <w:r>
        <w:rPr>
          <w:rFonts w:ascii="Arial" w:hAnsi="Arial" w:cs="Arial"/>
          <w:sz w:val="22"/>
          <w:lang w:val="sr-Latn-CS"/>
        </w:rPr>
        <w:t>cija mora biti na ime korisnika.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Ukoliko su korisnici u statusu pravnih lica, CRPS će se provjeravati po službenoj dužnosti. 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Broj registrovanih životinja će biti provjeren u službenim evidencijama Agencije za plaćanja, iz Sistema direktnih plaćanja u sto</w:t>
      </w:r>
      <w:r>
        <w:rPr>
          <w:rFonts w:ascii="Arial" w:hAnsi="Arial" w:cs="Arial"/>
          <w:sz w:val="22"/>
          <w:lang w:val="sr-Latn-CS"/>
        </w:rPr>
        <w:t>čarstvu (mjera 12.1 Agrobudžeta za 2026. godinu).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II NAČIN I ROK ZA PODNOŠENJE ZAHTJEVA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szCs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Nakon popunjavanja zahtjeva podnosilac zahtjeva dobija na uvid primjerak zahtjeva, kako bi</w:t>
      </w:r>
      <w:r>
        <w:rPr>
          <w:rFonts w:ascii="Arial" w:hAnsi="Arial" w:cs="Arial"/>
          <w:b/>
          <w:sz w:val="22"/>
          <w:lang w:val="sr-Latn-CS"/>
        </w:rPr>
        <w:t xml:space="preserve"> </w:t>
      </w:r>
      <w:r>
        <w:rPr>
          <w:rFonts w:ascii="Arial" w:hAnsi="Arial" w:cs="Arial"/>
          <w:sz w:val="22"/>
          <w:lang w:val="sr-Latn-CS"/>
        </w:rPr>
        <w:t>otklonio eventualna nepoklapanja, zatim se zahtjev potpisuje od strane podnos</w:t>
      </w:r>
      <w:r>
        <w:rPr>
          <w:rFonts w:ascii="Arial" w:hAnsi="Arial" w:cs="Arial"/>
          <w:sz w:val="22"/>
          <w:lang w:val="sr-Latn-CS"/>
        </w:rPr>
        <w:t xml:space="preserve">ioca zahtjeva (punomoćnika ili člana poljoprivrednog gazdinstva) i odgovorog službenika. Ovako potpisan zahtjev, zajedno sa </w:t>
      </w:r>
      <w:r>
        <w:rPr>
          <w:rFonts w:ascii="Arial" w:hAnsi="Arial" w:cs="Arial"/>
          <w:sz w:val="22"/>
          <w:szCs w:val="22"/>
          <w:lang w:val="sr-Latn-CS"/>
        </w:rPr>
        <w:t xml:space="preserve">relevantnom dokumentacijom, službenik skenira i unosi u sistem, čime se zahtjev smatra podnijetim. 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bookmarkStart w:id="1" w:name="_GoBack"/>
      <w:bookmarkEnd w:id="1"/>
      <w:r w:rsidRPr="00845962">
        <w:rPr>
          <w:rFonts w:ascii="Arial" w:hAnsi="Arial" w:cs="Arial"/>
          <w:sz w:val="22"/>
          <w:lang w:val="sr-Latn-CS"/>
        </w:rPr>
        <w:t>Rok za podnošenje zahtjeva za po</w:t>
      </w:r>
      <w:r w:rsidRPr="00845962">
        <w:rPr>
          <w:rFonts w:ascii="Arial" w:hAnsi="Arial" w:cs="Arial"/>
          <w:sz w:val="22"/>
          <w:lang w:val="sr-Latn-CS"/>
        </w:rPr>
        <w:t>dršku je od 27.04.2026. godine do 21.08.2026. godine.</w:t>
      </w:r>
      <w:r>
        <w:rPr>
          <w:rFonts w:ascii="Arial" w:hAnsi="Arial" w:cs="Arial"/>
          <w:sz w:val="22"/>
          <w:lang w:val="sr-Latn-CS"/>
        </w:rPr>
        <w:t xml:space="preserve"> 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Nakon isteka roka za zakašnjele zahtjeve, zahtjev se smatra neprihvatljivim, osim u slučaju više sile.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Nepotpuna i neblagovremeno podnijeta dokumentacija se neće razmatrati.</w:t>
      </w:r>
    </w:p>
    <w:p w:rsidR="007C1A1D" w:rsidRDefault="00AD5A68">
      <w:pPr>
        <w:spacing w:before="240" w:line="276" w:lineRule="auto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III VIŠA SILA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Viša sila je </w:t>
      </w:r>
      <w:r>
        <w:rPr>
          <w:rFonts w:ascii="Arial" w:hAnsi="Arial" w:cs="Arial"/>
          <w:sz w:val="22"/>
          <w:lang w:val="sr-Latn-CS"/>
        </w:rPr>
        <w:t>prirodni događaj ili ljudska radnja koja se nije mogla predvidjeti ili spriječiti, a usljed kojih je nastupila šteta, s tim da se ljudska radnja nije mogla pripisati u krivicu lica na koje bi inače pripala odgovornost. Viša sila nastaje u slučajevima:</w:t>
      </w:r>
    </w:p>
    <w:p w:rsidR="007C1A1D" w:rsidRDefault="00AD5A68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Smrt</w:t>
      </w:r>
      <w:r>
        <w:rPr>
          <w:rFonts w:ascii="Arial" w:hAnsi="Arial" w:cs="Arial"/>
          <w:sz w:val="22"/>
          <w:lang w:val="sr-Latn-CS"/>
        </w:rPr>
        <w:t>i nosioca gazdinstva ili člana poljoprivrednog gazdinstva;</w:t>
      </w:r>
    </w:p>
    <w:p w:rsidR="007C1A1D" w:rsidRDefault="00AD5A68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Dugoročne profesionalne nesposobnosti nosioca gazdinstva ili člana poljoprivrednog gazdinstva;</w:t>
      </w:r>
    </w:p>
    <w:p w:rsidR="007C1A1D" w:rsidRDefault="00AD5A68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Ozbiljne prirodne katastrofe ili bolesti stoke, pojedinaca ili košnica koje utiču na region  a koji po</w:t>
      </w:r>
      <w:r>
        <w:rPr>
          <w:rFonts w:ascii="Arial" w:hAnsi="Arial" w:cs="Arial"/>
          <w:sz w:val="22"/>
          <w:lang w:val="sr-Latn-CS"/>
        </w:rPr>
        <w:t>gađa poljoprivredno gazdinstvo;</w:t>
      </w:r>
    </w:p>
    <w:p w:rsidR="007C1A1D" w:rsidRDefault="00AD5A68">
      <w:pPr>
        <w:pStyle w:val="ListParagraph"/>
        <w:numPr>
          <w:ilvl w:val="0"/>
          <w:numId w:val="8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Nenamjernog uništavanja poljoprivrednih objekata na poljoprivrednom gazdinstvu.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U slučaju više sile, podnosilac zahtjeva ili njegov ovlašćeni zastupnik, je obavezan u pisanom obliku dostaviti odgovarajući dokaz Direktoratu z</w:t>
      </w:r>
      <w:r>
        <w:rPr>
          <w:rFonts w:ascii="Arial" w:hAnsi="Arial" w:cs="Arial"/>
          <w:sz w:val="22"/>
          <w:lang w:val="sr-Latn-CS"/>
        </w:rPr>
        <w:t xml:space="preserve">a plaćanja, u roku od 15 radnih dana </w:t>
      </w:r>
      <w:r>
        <w:rPr>
          <w:rFonts w:ascii="Arial" w:hAnsi="Arial" w:cs="Arial"/>
          <w:sz w:val="22"/>
          <w:lang w:val="sr-Latn-ME"/>
        </w:rPr>
        <w:t>od dana djelovanja više sile</w:t>
      </w:r>
      <w:r>
        <w:rPr>
          <w:rFonts w:ascii="Arial" w:hAnsi="Arial" w:cs="Arial"/>
          <w:sz w:val="22"/>
          <w:lang w:val="sr-Latn-CS"/>
        </w:rPr>
        <w:t xml:space="preserve">. Dokaz je potrebno dostaviti od organa nadležnog za taj oblik više sile (npr. u slučaju smrti to je smrtovnica izdata od strane Ministarstva unutrašnjih poslova). 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Datum izdavanja dokaza od </w:t>
      </w:r>
      <w:r>
        <w:rPr>
          <w:rFonts w:ascii="Arial" w:hAnsi="Arial" w:cs="Arial"/>
          <w:sz w:val="22"/>
          <w:lang w:val="sr-Latn-CS"/>
        </w:rPr>
        <w:t>nadležnog organa mora biti prije datuma isteka roka za zakašnjele zahtjeve, ukoliko se podnosi kao razlog kašnjenja zahtjeva.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IV IZMJENE, DOPUNE I ODUSTAJANJE OD DIJELA ZAHTJEVA ILI KOMPLETNOG ZAHTJEVA</w:t>
      </w:r>
    </w:p>
    <w:p w:rsidR="007C1A1D" w:rsidRDefault="00AD5A68">
      <w:pPr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Korisnik može zatražiti izmjenu ili dopunu zahtjeva tokom roka za podnošenje zahtjeva, samo ukoliko se ta izmjena/dopuna odnosi na već zahtijevanu podršku.</w:t>
      </w:r>
    </w:p>
    <w:p w:rsidR="007C1A1D" w:rsidRDefault="00AD5A68">
      <w:pPr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 </w:t>
      </w:r>
    </w:p>
    <w:p w:rsidR="007C1A1D" w:rsidRDefault="00AD5A68">
      <w:pPr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Zahtjev za izmjene i dopune zahtjeva popunjava se na isti način na koji se vrši i prijava na Javni</w:t>
      </w:r>
      <w:r>
        <w:rPr>
          <w:rFonts w:ascii="Arial" w:hAnsi="Arial" w:cs="Arial"/>
          <w:sz w:val="22"/>
          <w:lang w:val="sr-Latn-CS"/>
        </w:rPr>
        <w:t xml:space="preserve"> poziv. </w:t>
      </w:r>
    </w:p>
    <w:p w:rsidR="007C1A1D" w:rsidRDefault="007C1A1D">
      <w:pPr>
        <w:jc w:val="both"/>
        <w:rPr>
          <w:rFonts w:ascii="Arial" w:hAnsi="Arial" w:cs="Arial"/>
          <w:sz w:val="22"/>
          <w:lang w:val="sr-Latn-CS"/>
        </w:rPr>
      </w:pPr>
    </w:p>
    <w:p w:rsidR="007C1A1D" w:rsidRDefault="00AD5A68">
      <w:pPr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Odustajanje od dijela ili kompletnog zahtjeva može se dostaviti Agencija za plaćanja u bilo kom momentu tokom obrade zahtjeva na isti način na koji se vrši i prijava na Javni poziv.</w:t>
      </w:r>
    </w:p>
    <w:p w:rsidR="007C1A1D" w:rsidRDefault="007C1A1D">
      <w:pPr>
        <w:jc w:val="both"/>
        <w:rPr>
          <w:rFonts w:ascii="Arial" w:hAnsi="Arial" w:cs="Arial"/>
          <w:sz w:val="22"/>
          <w:lang w:val="sr-Latn-CS"/>
        </w:rPr>
      </w:pPr>
    </w:p>
    <w:p w:rsidR="007C1A1D" w:rsidRDefault="00AD5A68">
      <w:pPr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Izmjene, dopune i odustajanja od zahtjeva, koje se vrše van sis</w:t>
      </w:r>
      <w:r>
        <w:rPr>
          <w:rFonts w:ascii="Arial" w:hAnsi="Arial" w:cs="Arial"/>
          <w:sz w:val="22"/>
          <w:lang w:val="sr-Latn-CS"/>
        </w:rPr>
        <w:t>tema Evidencije zahtjeva, neće biti prihvaćene. Ukoliko su izmjene i/ili dopune nejasne ili nerazumljive ili se iz traženih izmjena/dopuna ne može utvrditi predmet izmjene/dopune, iste neće biti razmatrane.</w:t>
      </w:r>
    </w:p>
    <w:p w:rsidR="007C1A1D" w:rsidRDefault="007C1A1D">
      <w:pPr>
        <w:jc w:val="both"/>
        <w:rPr>
          <w:rFonts w:ascii="Arial" w:hAnsi="Arial" w:cs="Arial"/>
          <w:sz w:val="22"/>
          <w:lang w:val="sr-Latn-CS"/>
        </w:rPr>
      </w:pPr>
    </w:p>
    <w:p w:rsidR="007C1A1D" w:rsidRDefault="00AD5A68">
      <w:pPr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Ako je Korisnik obaviješten o namjeri obavljanja</w:t>
      </w:r>
      <w:r>
        <w:rPr>
          <w:rFonts w:ascii="Arial" w:hAnsi="Arial" w:cs="Arial"/>
          <w:sz w:val="22"/>
          <w:lang w:val="sr-Latn-CS"/>
        </w:rPr>
        <w:t xml:space="preserve"> kontrole na terenu ili inspekcijskog nadzora ili mu je otkrivena nepravilnost na temelju administrativne kontrole i/ili kontrole na terenu i/ili inspekcijskog nadzora, u tom slučaju izmjene, dopune ili odustajanja od zahtjeva nisu dozvoljene.</w:t>
      </w:r>
    </w:p>
    <w:p w:rsidR="007C1A1D" w:rsidRDefault="007C1A1D">
      <w:pPr>
        <w:jc w:val="both"/>
        <w:rPr>
          <w:rFonts w:ascii="Arial" w:hAnsi="Arial" w:cs="Arial"/>
          <w:sz w:val="22"/>
          <w:lang w:val="sr-Latn-CS"/>
        </w:rPr>
      </w:pPr>
    </w:p>
    <w:p w:rsidR="007C1A1D" w:rsidRDefault="00AD5A68">
      <w:pPr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Zahtjev za </w:t>
      </w:r>
      <w:r>
        <w:rPr>
          <w:rFonts w:ascii="Arial" w:hAnsi="Arial" w:cs="Arial"/>
          <w:sz w:val="22"/>
          <w:lang w:val="sr-Latn-CS"/>
        </w:rPr>
        <w:t>koji je podnijeta izmjena ili dopuna će biti razmatran sa zadnje odobrenom izmjenom ili dopunom. Izmjene i dopune jedinstvenog zahtjeva mogu se podnijeti i u roku za zakašnjele zahtjeve. U ovom slučaju kao datum podnošenja jedinstvenog zahtjeva, uzima se d</w:t>
      </w:r>
      <w:r>
        <w:rPr>
          <w:rFonts w:ascii="Arial" w:hAnsi="Arial" w:cs="Arial"/>
          <w:sz w:val="22"/>
          <w:lang w:val="sr-Latn-CS"/>
        </w:rPr>
        <w:t>atum podnijete izmjene i/ili dopune.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V PROCEDURA REALIZACIJE ZAHTJEVA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Nakon podnošenja zahtjeva, Agencija za plaćanja će izvršiti administrativnu kontrolu podnijete dokumentacije i kontrolu na terenu. 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Provjera prihvatljivosti korisnika u pogledu kriteriju</w:t>
      </w:r>
      <w:r>
        <w:rPr>
          <w:rFonts w:ascii="Arial" w:hAnsi="Arial" w:cs="Arial"/>
          <w:sz w:val="22"/>
          <w:lang w:val="sr-Latn-CS"/>
        </w:rPr>
        <w:t>ma opterećenja pašnjaka (broj UG po ha) će biti izvršena unakrsnom provjerom podataka iz Sistema direktnih plaćanja u stočarstvu (mjera 12.1 Agrobudžeta za 2026. godinu).</w:t>
      </w:r>
      <w:r>
        <w:rPr>
          <w:rFonts w:ascii="Arial" w:hAnsi="Arial" w:cs="Arial"/>
          <w:sz w:val="22"/>
          <w:highlight w:val="green"/>
          <w:lang w:val="sr-Latn-CS"/>
        </w:rPr>
        <w:t xml:space="preserve"> 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Kontrola na terenu od strane Agencije za plaćanje sprovodi se na određenom uzorku pa</w:t>
      </w:r>
      <w:r>
        <w:rPr>
          <w:rFonts w:ascii="Arial" w:hAnsi="Arial" w:cs="Arial"/>
          <w:sz w:val="22"/>
          <w:lang w:val="sr-Latn-CS"/>
        </w:rPr>
        <w:t>rcela/zahtjeva koji su potpuni i ispunjavaju uslove i kriterijume za podršku po ovom javnom pozivu, kao i u svim slučajevima kada se pojavi sumnja u vjerodostojnost podataka iz podnijete dokumentacije.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Kontrolori mogu (nije obavezujuće) najaviti kontrolu 4</w:t>
      </w:r>
      <w:r>
        <w:rPr>
          <w:rFonts w:ascii="Arial" w:hAnsi="Arial" w:cs="Arial"/>
          <w:sz w:val="22"/>
          <w:lang w:val="sr-Latn-CS"/>
        </w:rPr>
        <w:t>8 sati unaprijed korisniku, pod uslovima da ciljevi i svrha kontrole na terenu nijesu ugroženi prethodnom najavom. Geolociranje parcela se obavlja na osnovu podataka koje je korisnik ostavio u Sistem za identifikaciju zemljišnih parcela (SIZEP) i Evidencij</w:t>
      </w:r>
      <w:r>
        <w:rPr>
          <w:rFonts w:ascii="Arial" w:hAnsi="Arial" w:cs="Arial"/>
          <w:sz w:val="22"/>
          <w:lang w:val="sr-Latn-CS"/>
        </w:rPr>
        <w:t>u zahtjeva.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Podnošenjem zahtjeva korisnik daje saglasanost da se na sve parcele koje je locirao u SIZEP-u i za koje se zahtijeva podrška u Evidenciji zahtjeva, izvrši kontrola bez njegovog prisustva. 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Za vrijeme kontrole na terenu, kontrolori mogu provjera</w:t>
      </w:r>
      <w:r>
        <w:rPr>
          <w:rFonts w:ascii="Arial" w:hAnsi="Arial" w:cs="Arial"/>
          <w:sz w:val="22"/>
          <w:lang w:val="sr-Latn-CS"/>
        </w:rPr>
        <w:t xml:space="preserve">vati sve navode iz zahtjeva. Kontrola na terenu je dužna da utvrdi da li je prijavljena površina pod vrstom/kulturom koja je navedena u zahtjevu i da li se redovno primjenjuju agrotehničke mjere. U slučaju kada je korisnik obaviješten o kontroli na terenu </w:t>
      </w:r>
      <w:r>
        <w:rPr>
          <w:rFonts w:ascii="Arial" w:hAnsi="Arial" w:cs="Arial"/>
          <w:sz w:val="22"/>
          <w:lang w:val="sr-Latn-CS"/>
        </w:rPr>
        <w:t>obavezan je prisustvovati istoj, on ili član gazdinstva (iz Registra poljoprivrednih gazdinstava) ili drugo lice sa ovlašćenjem korisnika ovjerenom u sudu, opštini ili kod notara. Korisnik je u obavezi da detaljno objasni kontrolorima kako da dođu do gazdi</w:t>
      </w:r>
      <w:r>
        <w:rPr>
          <w:rFonts w:ascii="Arial" w:hAnsi="Arial" w:cs="Arial"/>
          <w:sz w:val="22"/>
          <w:lang w:val="sr-Latn-CS"/>
        </w:rPr>
        <w:t>nstva ili površina koje su predmet kontrole.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Stanje na terenu se može utvrditi putem fizičke posjete parcelama ili pregledom snimaka iz vazduha relevantne starosti. Agencija za plaćanja vodi evidenciju o načinu na koji je utvrđeno stanje na terenu.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Nakon i</w:t>
      </w:r>
      <w:r>
        <w:rPr>
          <w:rFonts w:ascii="Arial" w:hAnsi="Arial" w:cs="Arial"/>
          <w:sz w:val="22"/>
          <w:lang w:val="sr-Latn-CS"/>
        </w:rPr>
        <w:t xml:space="preserve">zvršene kontrole, Agencija za plaćanja će sačiniti izvještaj o stanju na terenu i isti dostaviti korisniku na adresu koja je navedena u Zahtjevu za podršku.  Po prijemu izještaja o kontroli na terenu podnosilac zahtjeva ima pravo da se izjasni u roku od 3 </w:t>
      </w:r>
      <w:r>
        <w:rPr>
          <w:rFonts w:ascii="Arial" w:hAnsi="Arial" w:cs="Arial"/>
          <w:sz w:val="22"/>
          <w:lang w:val="sr-Latn-CS"/>
        </w:rPr>
        <w:t>dana od dana prijema.</w:t>
      </w:r>
    </w:p>
    <w:p w:rsidR="007C1A1D" w:rsidRDefault="00AD5A68">
      <w:pPr>
        <w:spacing w:after="240" w:line="276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Ukoliko se korisnik:</w:t>
      </w:r>
    </w:p>
    <w:p w:rsidR="007C1A1D" w:rsidRDefault="00AD5A68">
      <w:pPr>
        <w:pStyle w:val="ListParagraph"/>
        <w:numPr>
          <w:ilvl w:val="0"/>
          <w:numId w:val="28"/>
        </w:num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Ne izjasni, smatra se da je saglasan sa istim i zahtjev se dalje obrađuje administrativno;</w:t>
      </w:r>
    </w:p>
    <w:p w:rsidR="007C1A1D" w:rsidRDefault="00AD5A68">
      <w:pPr>
        <w:pStyle w:val="ListParagraph"/>
        <w:numPr>
          <w:ilvl w:val="0"/>
          <w:numId w:val="28"/>
        </w:num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Izjasni, Direktorat za plaćanja će još jednom izvršiti uvid u izvještaj o stanju na terenu i fotodokumentaciju. Ukoliko se</w:t>
      </w:r>
      <w:r>
        <w:rPr>
          <w:rFonts w:ascii="Arial" w:hAnsi="Arial" w:cs="Arial"/>
          <w:sz w:val="22"/>
          <w:lang w:val="sr-Latn-CS"/>
        </w:rPr>
        <w:t xml:space="preserve"> utvrdi da je potrebno ponoviti kontrolu na terenu, ista će ponovo biti obavljena uz prisustvo korisnika.</w:t>
      </w:r>
    </w:p>
    <w:p w:rsidR="007C1A1D" w:rsidRDefault="00AD5A68">
      <w:pPr>
        <w:spacing w:after="240" w:line="276" w:lineRule="auto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Izvještaji koji nisu dostavljeni zbog netačno unesene adrese u Zahtjevu će se smatrati kao dostavljeni.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lastRenderedPageBreak/>
        <w:t>Podnosilac zahtjeva ima pravo uvida u fotodokumentaciju u prostorijama Agencije za plaćanje.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U slučaju da se terenskom kontrolom utvrdi veća površina od prijavljene u zahtjevu, obračun će se vršiti prema podacima iz zahtjeva. Ako se utvrdi manja površina o</w:t>
      </w:r>
      <w:r>
        <w:rPr>
          <w:rFonts w:ascii="Arial" w:hAnsi="Arial" w:cs="Arial"/>
          <w:sz w:val="22"/>
          <w:lang w:val="sr-Latn-CS"/>
        </w:rPr>
        <w:t>d navedene u zahtjevu, obračun će se vršiti prema podacima sa terenske kontrole.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U slučaju da se terenskom kontrolom utvrdi neusklađenost  kod 50%, nasumično odabranih parcela, za koje je zahtijevana podška kontrola se može smatrati završena u cjelosti.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NA</w:t>
      </w:r>
      <w:r>
        <w:rPr>
          <w:rFonts w:ascii="Arial" w:hAnsi="Arial" w:cs="Arial"/>
          <w:b/>
          <w:sz w:val="22"/>
          <w:lang w:val="sr-Latn-CS"/>
        </w:rPr>
        <w:t>POMENA</w:t>
      </w:r>
    </w:p>
    <w:p w:rsidR="007C1A1D" w:rsidRDefault="00AD5A68">
      <w:pPr>
        <w:pStyle w:val="ListParagraph"/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U slučaju da korisnik ne dozvoli ili spriječi terensku kontrolu, ili na bilo koji drugi način utiče/ili ometa rad kontrolora, podnijeti zahtjev neće biti odobren.</w:t>
      </w:r>
    </w:p>
    <w:p w:rsidR="007C1A1D" w:rsidRDefault="00AD5A68">
      <w:pPr>
        <w:pStyle w:val="ListParagraph"/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U slučaju da se terenskom kontrolom utvrdi veća površina od prijavljene u zahtjevu, ob</w:t>
      </w:r>
      <w:r>
        <w:rPr>
          <w:rFonts w:ascii="Arial" w:hAnsi="Arial" w:cs="Arial"/>
          <w:sz w:val="22"/>
          <w:lang w:val="sr-Latn-CS"/>
        </w:rPr>
        <w:t xml:space="preserve">račun će se vršiti prema podacima iz zahtjeva. Ako se utvrdi manja površina od navedene u zahtjevu, obračun će se vršiti prema podacima utvrđenim terenskom kontrolom. </w:t>
      </w:r>
    </w:p>
    <w:p w:rsidR="007C1A1D" w:rsidRDefault="00AD5A68">
      <w:pPr>
        <w:pStyle w:val="ListParagraph"/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Broj uslovnih grla iz odjeljka „Specifični krireijumi prihvatljivosti“ ovog javnog poziv</w:t>
      </w:r>
      <w:r>
        <w:rPr>
          <w:rFonts w:ascii="Arial" w:hAnsi="Arial" w:cs="Arial"/>
          <w:sz w:val="22"/>
          <w:lang w:val="sr-Latn-CS"/>
        </w:rPr>
        <w:t>a utvrđuje se na osnovu evidencije isplate korisnika koji su ostvarili podršku u okviru mjere 12.1 – Direktna plaćanja u stočarskoj proizvodnji.</w:t>
      </w:r>
    </w:p>
    <w:p w:rsidR="007C1A1D" w:rsidRDefault="00AD5A68">
      <w:pPr>
        <w:pStyle w:val="ListParagraph"/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Podnosilac zahtjeva koji ne poštuje propisanu minimalnu gustinu ispaše, a prijavi više hektara po UG nego što j</w:t>
      </w:r>
      <w:r>
        <w:rPr>
          <w:rFonts w:ascii="Arial" w:hAnsi="Arial" w:cs="Arial"/>
          <w:sz w:val="22"/>
          <w:lang w:val="sr-Latn-CS"/>
        </w:rPr>
        <w:t>e propisano, isplatiće se onoliko hektara koliko je proporcionalno propisanom minimumu u skladu sa brojem uslovnih grla. (Broj UG grla preživara se odnosi na broj životinja za koje je podnosilac zahtjeva ostavrio pravo na podršku u okviru mjere 12.1 – Dire</w:t>
      </w:r>
      <w:r>
        <w:rPr>
          <w:rFonts w:ascii="Arial" w:hAnsi="Arial" w:cs="Arial"/>
          <w:sz w:val="22"/>
          <w:lang w:val="sr-Latn-CS"/>
        </w:rPr>
        <w:t>ktna plaćanja u stočarskoj proizvodnji). U tom slučaju prihvatljiva površina pašnjaka za podršku dobijena proporcionalnim umanjenjem biće referentna prilikom obračuna maksimalnog opterećenja pašnjaka.</w:t>
      </w:r>
    </w:p>
    <w:p w:rsidR="007C1A1D" w:rsidRDefault="00AD5A68">
      <w:pPr>
        <w:pStyle w:val="ListParagraph"/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Podnosilac zahtjeva koji ne poštuje propisanu maksimaln</w:t>
      </w:r>
      <w:r>
        <w:rPr>
          <w:rFonts w:ascii="Arial" w:hAnsi="Arial" w:cs="Arial"/>
          <w:sz w:val="22"/>
          <w:lang w:val="sr-Latn-CS"/>
        </w:rPr>
        <w:t>u gustinu ispaše i prijavi manje hektara nego što je proporcionalno broju UG za koja je ostvario podršku kroz mjeru 12.1 Direktna plaćanja u stočarstvu, neće ostvariti pravo na podršku.</w:t>
      </w:r>
    </w:p>
    <w:p w:rsidR="007C1A1D" w:rsidRDefault="00AD5A68">
      <w:pPr>
        <w:pStyle w:val="ListParagraph"/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Podnosilac zahtjeva koji u toku tekuće godine ne primjenjuje najmanje </w:t>
      </w:r>
      <w:r>
        <w:rPr>
          <w:rFonts w:ascii="Arial" w:hAnsi="Arial" w:cs="Arial"/>
          <w:sz w:val="22"/>
          <w:lang w:val="sr-Latn-CS"/>
        </w:rPr>
        <w:t>jednu agrotehničku mjeru (košenje), na površinama kvalifikovanim kao livade, i isto se dokaže kontrolom na terenu, neće ostvariti pravo na podršku.</w:t>
      </w:r>
    </w:p>
    <w:p w:rsidR="007C1A1D" w:rsidRDefault="00AD5A68">
      <w:pPr>
        <w:pStyle w:val="ListParagraph"/>
        <w:numPr>
          <w:ilvl w:val="0"/>
          <w:numId w:val="30"/>
        </w:num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Korisnik je odgovoran za tačnost podataka i dokumentacije za ostvarivanje prava na podršku.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t>FINANSIJE I ISPL</w:t>
      </w:r>
      <w:r>
        <w:rPr>
          <w:rFonts w:ascii="Arial" w:hAnsi="Arial" w:cs="Arial"/>
          <w:b/>
          <w:sz w:val="22"/>
          <w:lang w:val="sr-Latn-CS"/>
        </w:rPr>
        <w:t>ATA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 xml:space="preserve">Isplata se vrši podnosiocima zahtjeva na bankovni račun (koji se nalazi u Registru poljoprivrednih gazdinstava) nakon izvršenih kontrola i odobrenja zahtjeva od strane Agencije za plaćanje. 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Ukoliko u momentu isplate podnosilac zahtjeva nema aktivan/is</w:t>
      </w:r>
      <w:r>
        <w:rPr>
          <w:rFonts w:ascii="Arial" w:hAnsi="Arial" w:cs="Arial"/>
          <w:sz w:val="22"/>
          <w:lang w:val="sr-Latn-CS"/>
        </w:rPr>
        <w:t>pravan nacionalni broj žiro računa u banci, prijavljen i evidentiran u Registru poljoprivrednih gazdinstava, sredstva će biti vraćena u budžet Crne Gore na Glavni Račun Trezora.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Ukoliko ukupna visina zahtijevane podrške za pojedinu vrstu proizvodnje prevaz</w:t>
      </w:r>
      <w:r>
        <w:rPr>
          <w:rFonts w:ascii="Arial" w:hAnsi="Arial" w:cs="Arial"/>
          <w:sz w:val="22"/>
          <w:lang w:val="sr-Latn-CS"/>
        </w:rPr>
        <w:t>ilazi planirani iznos sredstava opredijeljen ovom mjerom, proporcionalno će se smanjivati plaćanja po hektaru.</w:t>
      </w:r>
    </w:p>
    <w:p w:rsidR="007C1A1D" w:rsidRDefault="00AD5A68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  <w:r>
        <w:rPr>
          <w:rFonts w:ascii="Arial" w:hAnsi="Arial" w:cs="Arial"/>
          <w:sz w:val="22"/>
          <w:lang w:val="sr-Latn-CS"/>
        </w:rPr>
        <w:t>Javni poziv za Direktna plaćanja u biljnoj proizvodnji – osnovna plaćanja za 2026. godinu je dostupan na internet stranici Ministarstva, poljopri</w:t>
      </w:r>
      <w:r>
        <w:rPr>
          <w:rFonts w:ascii="Arial" w:hAnsi="Arial" w:cs="Arial"/>
          <w:sz w:val="22"/>
          <w:lang w:val="sr-Latn-CS"/>
        </w:rPr>
        <w:t xml:space="preserve">vrede šumarstva i vodoprivrede </w:t>
      </w:r>
      <w:hyperlink r:id="rId14" w:tooltip="http://www.gov.me/mpsv" w:history="1">
        <w:r>
          <w:rPr>
            <w:rStyle w:val="Hyperlink"/>
            <w:rFonts w:ascii="Arial" w:hAnsi="Arial" w:cs="Arial"/>
            <w:sz w:val="22"/>
            <w:lang w:val="sr-Latn-CS"/>
          </w:rPr>
          <w:t>www.gov.me/mpsv</w:t>
        </w:r>
      </w:hyperlink>
      <w:r>
        <w:rPr>
          <w:rFonts w:ascii="Arial" w:hAnsi="Arial" w:cs="Arial"/>
          <w:sz w:val="22"/>
          <w:lang w:val="sr-Latn-CS"/>
        </w:rPr>
        <w:t>.</w:t>
      </w:r>
    </w:p>
    <w:p w:rsidR="007C1A1D" w:rsidRDefault="00AD5A68">
      <w:pPr>
        <w:spacing w:before="240" w:after="240" w:line="276" w:lineRule="auto"/>
        <w:jc w:val="both"/>
        <w:rPr>
          <w:rFonts w:ascii="Arial" w:hAnsi="Arial" w:cs="Arial"/>
          <w:sz w:val="22"/>
          <w:lang w:val="sr-Latn-CS"/>
        </w:rPr>
      </w:pPr>
      <w:bookmarkStart w:id="2" w:name="_Hlk223944231"/>
      <w:r>
        <w:rPr>
          <w:rFonts w:ascii="Arial" w:hAnsi="Arial" w:cs="Arial"/>
          <w:sz w:val="22"/>
          <w:lang w:val="sr-Latn-CS"/>
        </w:rPr>
        <w:t>Takođe,informacije o ovom javnom pozivu se mogu dobiti putem telefona ili lično na sljedećoj adresi:</w:t>
      </w:r>
    </w:p>
    <w:p w:rsidR="007C1A1D" w:rsidRDefault="00AD5A68">
      <w:pPr>
        <w:spacing w:line="276" w:lineRule="auto"/>
        <w:jc w:val="center"/>
        <w:rPr>
          <w:rFonts w:ascii="Arial" w:hAnsi="Arial" w:cs="Arial"/>
          <w:b/>
          <w:sz w:val="22"/>
          <w:lang w:val="sr-Latn-CS"/>
        </w:rPr>
      </w:pPr>
      <w:r>
        <w:rPr>
          <w:rFonts w:ascii="Arial" w:hAnsi="Arial" w:cs="Arial"/>
          <w:b/>
          <w:sz w:val="22"/>
          <w:lang w:val="sr-Latn-CS"/>
        </w:rPr>
        <w:lastRenderedPageBreak/>
        <w:t>Agencija za plaćanja u poljoprivredi, ruralnom razvoju i ribarstvu, Moskovska 101, 21000 Podgorica, tel: 020 672 007</w:t>
      </w:r>
    </w:p>
    <w:p w:rsidR="007C1A1D" w:rsidRDefault="007C1A1D">
      <w:pPr>
        <w:spacing w:line="276" w:lineRule="auto"/>
        <w:jc w:val="center"/>
        <w:rPr>
          <w:rFonts w:ascii="Arial" w:hAnsi="Arial" w:cs="Arial"/>
          <w:b/>
          <w:sz w:val="22"/>
          <w:lang w:val="sr-Latn-CS"/>
        </w:rPr>
      </w:pPr>
    </w:p>
    <w:p w:rsidR="007C1A1D" w:rsidRDefault="00AD5A68">
      <w:pPr>
        <w:spacing w:line="276" w:lineRule="auto"/>
        <w:jc w:val="center"/>
        <w:rPr>
          <w:rFonts w:ascii="Arial" w:hAnsi="Arial" w:cs="Arial"/>
          <w:b/>
          <w:sz w:val="22"/>
          <w:lang w:val="sr-Latn-ME"/>
        </w:rPr>
      </w:pPr>
      <w:r>
        <w:rPr>
          <w:rFonts w:ascii="Arial" w:hAnsi="Arial" w:cs="Arial"/>
          <w:b/>
          <w:sz w:val="22"/>
          <w:lang w:val="sr-Latn-ME"/>
        </w:rPr>
        <w:t>Odsjek za koordinaciju regionalnih poslova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44"/>
        <w:gridCol w:w="4445"/>
      </w:tblGrid>
      <w:tr w:rsidR="007C1A1D">
        <w:trPr>
          <w:jc w:val="center"/>
        </w:trPr>
        <w:tc>
          <w:tcPr>
            <w:tcW w:w="4444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Bar</w:t>
            </w:r>
          </w:p>
        </w:tc>
        <w:tc>
          <w:tcPr>
            <w:tcW w:w="4445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069/573-003; 067/328-811; 069/432-746</w:t>
            </w:r>
          </w:p>
        </w:tc>
      </w:tr>
      <w:tr w:rsidR="007C1A1D">
        <w:trPr>
          <w:jc w:val="center"/>
        </w:trPr>
        <w:tc>
          <w:tcPr>
            <w:tcW w:w="4444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Berane</w:t>
            </w:r>
          </w:p>
        </w:tc>
        <w:tc>
          <w:tcPr>
            <w:tcW w:w="4445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051/235-408</w:t>
            </w:r>
          </w:p>
        </w:tc>
      </w:tr>
      <w:tr w:rsidR="007C1A1D">
        <w:trPr>
          <w:jc w:val="center"/>
        </w:trPr>
        <w:tc>
          <w:tcPr>
            <w:tcW w:w="4444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Bijelo Polje</w:t>
            </w:r>
          </w:p>
        </w:tc>
        <w:tc>
          <w:tcPr>
            <w:tcW w:w="4445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067/002-858</w:t>
            </w:r>
          </w:p>
        </w:tc>
      </w:tr>
      <w:tr w:rsidR="007C1A1D">
        <w:trPr>
          <w:jc w:val="center"/>
        </w:trPr>
        <w:tc>
          <w:tcPr>
            <w:tcW w:w="4444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Nikšić</w:t>
            </w:r>
          </w:p>
        </w:tc>
        <w:tc>
          <w:tcPr>
            <w:tcW w:w="4445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040/201-122</w:t>
            </w:r>
          </w:p>
        </w:tc>
      </w:tr>
      <w:tr w:rsidR="007C1A1D">
        <w:trPr>
          <w:jc w:val="center"/>
        </w:trPr>
        <w:tc>
          <w:tcPr>
            <w:tcW w:w="4444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Podgorica</w:t>
            </w:r>
          </w:p>
        </w:tc>
        <w:tc>
          <w:tcPr>
            <w:tcW w:w="4445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020/673-934; 067/045-208</w:t>
            </w:r>
          </w:p>
        </w:tc>
      </w:tr>
      <w:tr w:rsidR="007C1A1D">
        <w:trPr>
          <w:jc w:val="center"/>
        </w:trPr>
        <w:tc>
          <w:tcPr>
            <w:tcW w:w="4444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ME"/>
              </w:rPr>
              <w:t>Pljevlja</w:t>
            </w:r>
          </w:p>
        </w:tc>
        <w:tc>
          <w:tcPr>
            <w:tcW w:w="4445" w:type="dxa"/>
          </w:tcPr>
          <w:p w:rsidR="007C1A1D" w:rsidRDefault="00AD5A68">
            <w:pPr>
              <w:spacing w:line="276" w:lineRule="auto"/>
              <w:jc w:val="center"/>
              <w:rPr>
                <w:rFonts w:ascii="Arial" w:hAnsi="Arial" w:cs="Arial"/>
                <w:b/>
                <w:sz w:val="22"/>
                <w:lang w:val="sr-Latn-CS"/>
              </w:rPr>
            </w:pPr>
            <w:r>
              <w:rPr>
                <w:rFonts w:ascii="Arial" w:hAnsi="Arial" w:cs="Arial"/>
                <w:sz w:val="22"/>
                <w:lang w:val="sr-Latn-CS"/>
              </w:rPr>
              <w:t>069/270-447; 067/176-357</w:t>
            </w:r>
          </w:p>
        </w:tc>
      </w:tr>
    </w:tbl>
    <w:p w:rsidR="007C1A1D" w:rsidRDefault="007C1A1D">
      <w:pPr>
        <w:spacing w:line="276" w:lineRule="auto"/>
        <w:jc w:val="center"/>
        <w:rPr>
          <w:rFonts w:ascii="Arial" w:hAnsi="Arial" w:cs="Arial"/>
          <w:b/>
          <w:sz w:val="22"/>
          <w:lang w:val="sr-Latn-CS"/>
        </w:rPr>
      </w:pPr>
    </w:p>
    <w:bookmarkEnd w:id="2"/>
    <w:p w:rsidR="007C1A1D" w:rsidRDefault="007C1A1D">
      <w:pPr>
        <w:spacing w:line="276" w:lineRule="auto"/>
        <w:jc w:val="both"/>
        <w:rPr>
          <w:rFonts w:ascii="Arial" w:hAnsi="Arial" w:cs="Arial"/>
          <w:b/>
          <w:sz w:val="10"/>
          <w:szCs w:val="12"/>
          <w:highlight w:val="yellow"/>
          <w:lang w:val="sr-Latn-CS"/>
        </w:rPr>
      </w:pPr>
    </w:p>
    <w:p w:rsidR="007C1A1D" w:rsidRDefault="007C1A1D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</w:p>
    <w:p w:rsidR="007C1A1D" w:rsidRDefault="007C1A1D">
      <w:pPr>
        <w:spacing w:after="240" w:line="276" w:lineRule="auto"/>
        <w:jc w:val="both"/>
        <w:rPr>
          <w:rFonts w:ascii="Arial" w:hAnsi="Arial" w:cs="Arial"/>
          <w:sz w:val="22"/>
          <w:lang w:val="sr-Latn-CS"/>
        </w:rPr>
      </w:pPr>
    </w:p>
    <w:p w:rsidR="007C1A1D" w:rsidRDefault="007C1A1D">
      <w:pPr>
        <w:spacing w:line="276" w:lineRule="auto"/>
        <w:rPr>
          <w:rFonts w:ascii="Arial" w:hAnsi="Arial" w:cs="Arial"/>
          <w:b/>
          <w:sz w:val="22"/>
          <w:lang w:val="sr-Latn-ME"/>
        </w:rPr>
      </w:pPr>
    </w:p>
    <w:p w:rsidR="007C1A1D" w:rsidRDefault="007C1A1D">
      <w:pPr>
        <w:spacing w:before="40" w:line="276" w:lineRule="auto"/>
        <w:rPr>
          <w:rFonts w:ascii="Arial" w:hAnsi="Arial" w:cs="Arial"/>
          <w:b/>
          <w:sz w:val="22"/>
          <w:lang w:val="sr-Latn-ME"/>
        </w:rPr>
      </w:pPr>
    </w:p>
    <w:p w:rsidR="007C1A1D" w:rsidRDefault="007C1A1D">
      <w:pPr>
        <w:spacing w:before="40" w:line="276" w:lineRule="auto"/>
        <w:rPr>
          <w:rFonts w:ascii="Arial" w:hAnsi="Arial" w:cs="Arial"/>
          <w:b/>
          <w:sz w:val="22"/>
          <w:lang w:val="sr-Latn-ME"/>
        </w:rPr>
      </w:pPr>
    </w:p>
    <w:sectPr w:rsidR="007C1A1D">
      <w:footerReference w:type="default" r:id="rId15"/>
      <w:pgSz w:w="11906" w:h="16838" w:orient="landscape"/>
      <w:pgMar w:top="851" w:right="849" w:bottom="85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A68" w:rsidRDefault="00AD5A68">
      <w:r>
        <w:separator/>
      </w:r>
    </w:p>
  </w:endnote>
  <w:endnote w:type="continuationSeparator" w:id="0">
    <w:p w:rsidR="00AD5A68" w:rsidRDefault="00AD5A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0550292"/>
      <w:docPartObj>
        <w:docPartGallery w:val="Page Numbers (Bottom of Page)"/>
        <w:docPartUnique/>
      </w:docPartObj>
    </w:sdtPr>
    <w:sdtEndPr/>
    <w:sdtContent>
      <w:p w:rsidR="007C1A1D" w:rsidRDefault="00AD5A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C1A1D" w:rsidRDefault="007C1A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A68" w:rsidRDefault="00AD5A68">
      <w:r>
        <w:separator/>
      </w:r>
    </w:p>
  </w:footnote>
  <w:footnote w:type="continuationSeparator" w:id="0">
    <w:p w:rsidR="00AD5A68" w:rsidRDefault="00AD5A68">
      <w:r>
        <w:continuationSeparator/>
      </w:r>
    </w:p>
  </w:footnote>
  <w:footnote w:id="1">
    <w:p w:rsidR="007C1A1D" w:rsidRDefault="00AD5A68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U </w:t>
      </w:r>
      <w:proofErr w:type="spellStart"/>
      <w:r>
        <w:t>slučaju</w:t>
      </w:r>
      <w:proofErr w:type="spellEnd"/>
      <w:r>
        <w:t xml:space="preserve"> da </w:t>
      </w:r>
      <w:proofErr w:type="spellStart"/>
      <w:r>
        <w:t>pravno</w:t>
      </w:r>
      <w:proofErr w:type="spellEnd"/>
      <w:r>
        <w:t xml:space="preserve"> lice ne </w:t>
      </w:r>
      <w:proofErr w:type="spellStart"/>
      <w:r>
        <w:t>podliježe</w:t>
      </w:r>
      <w:proofErr w:type="spellEnd"/>
      <w:r>
        <w:t xml:space="preserve"> </w:t>
      </w:r>
      <w:proofErr w:type="spellStart"/>
      <w:r>
        <w:t>registraciji</w:t>
      </w:r>
      <w:proofErr w:type="spellEnd"/>
      <w:r>
        <w:t xml:space="preserve"> u CRPS, </w:t>
      </w:r>
      <w:proofErr w:type="spellStart"/>
      <w:r>
        <w:t>potrebno</w:t>
      </w:r>
      <w:proofErr w:type="spellEnd"/>
      <w:r>
        <w:t xml:space="preserve"> je </w:t>
      </w:r>
      <w:proofErr w:type="spellStart"/>
      <w:r>
        <w:t>dostaviti</w:t>
      </w:r>
      <w:proofErr w:type="spellEnd"/>
      <w:r>
        <w:t xml:space="preserve"> </w:t>
      </w:r>
      <w:proofErr w:type="spellStart"/>
      <w:r>
        <w:t>Uverenje</w:t>
      </w:r>
      <w:proofErr w:type="spellEnd"/>
      <w:r>
        <w:t xml:space="preserve"> Ministarstva </w:t>
      </w:r>
      <w:proofErr w:type="spellStart"/>
      <w:r>
        <w:t>pravde</w:t>
      </w:r>
      <w:proofErr w:type="spellEnd"/>
    </w:p>
  </w:footnote>
  <w:footnote w:id="2">
    <w:p w:rsidR="007C1A1D" w:rsidRDefault="00AD5A68">
      <w:pPr>
        <w:pStyle w:val="FootnoteText"/>
        <w:jc w:val="both"/>
        <w:rPr>
          <w:rFonts w:ascii="Arial" w:hAnsi="Arial" w:cs="Arial"/>
          <w:sz w:val="18"/>
          <w:szCs w:val="18"/>
          <w:lang w:val="sr-Latn-ME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Nakon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uspostavljanja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potpunog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sistema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kontrole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biće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snazi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zabrana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uklanjanja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pejzažnih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obiležaja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kao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što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žive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ograde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drveće</w:t>
      </w:r>
      <w:proofErr w:type="spellEnd"/>
      <w:r>
        <w:rPr>
          <w:rFonts w:ascii="Arial" w:hAnsi="Arial" w:cs="Arial"/>
          <w:sz w:val="18"/>
          <w:szCs w:val="18"/>
        </w:rPr>
        <w:t xml:space="preserve">, bare, </w:t>
      </w:r>
      <w:proofErr w:type="spellStart"/>
      <w:r>
        <w:rPr>
          <w:rFonts w:ascii="Arial" w:hAnsi="Arial" w:cs="Arial"/>
          <w:sz w:val="18"/>
          <w:szCs w:val="18"/>
        </w:rPr>
        <w:t>kameni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zidovi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jaruge</w:t>
      </w:r>
      <w:proofErr w:type="spellEnd"/>
      <w:r>
        <w:rPr>
          <w:rFonts w:ascii="Arial" w:hAnsi="Arial" w:cs="Arial"/>
          <w:sz w:val="18"/>
          <w:szCs w:val="18"/>
        </w:rPr>
        <w:t xml:space="preserve"> i </w:t>
      </w:r>
      <w:proofErr w:type="spellStart"/>
      <w:r>
        <w:rPr>
          <w:rFonts w:ascii="Arial" w:hAnsi="Arial" w:cs="Arial"/>
          <w:sz w:val="18"/>
          <w:szCs w:val="18"/>
        </w:rPr>
        <w:t>terase</w:t>
      </w:r>
      <w:proofErr w:type="spellEnd"/>
      <w:r>
        <w:rPr>
          <w:rFonts w:ascii="Arial" w:hAnsi="Arial" w:cs="Arial"/>
          <w:sz w:val="18"/>
          <w:szCs w:val="18"/>
        </w:rPr>
        <w:t>.</w:t>
      </w:r>
    </w:p>
  </w:footnote>
  <w:footnote w:id="3">
    <w:p w:rsidR="007C1A1D" w:rsidRDefault="00AD5A68">
      <w:pPr>
        <w:pStyle w:val="FootnoteText"/>
        <w:jc w:val="both"/>
        <w:rPr>
          <w:rFonts w:ascii="Arial" w:hAnsi="Arial" w:cs="Arial"/>
          <w:sz w:val="18"/>
          <w:szCs w:val="18"/>
          <w:lang w:val="sr-Latn-ME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Izjava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korisnika</w:t>
      </w:r>
      <w:proofErr w:type="spellEnd"/>
    </w:p>
  </w:footnote>
  <w:footnote w:id="4">
    <w:p w:rsidR="007C1A1D" w:rsidRDefault="00AD5A68">
      <w:pPr>
        <w:pStyle w:val="FootnoteText"/>
        <w:jc w:val="both"/>
        <w:rPr>
          <w:lang w:val="sr-Latn-ME"/>
        </w:rPr>
      </w:pPr>
      <w:r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rihvatljivost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korisnika</w:t>
      </w:r>
      <w:proofErr w:type="spellEnd"/>
      <w:r>
        <w:rPr>
          <w:rFonts w:ascii="Arial" w:hAnsi="Arial" w:cs="Arial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</w:rPr>
        <w:t>pogledu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kriterijuma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opterećenja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pašnjaka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broj</w:t>
      </w:r>
      <w:proofErr w:type="spellEnd"/>
      <w:r>
        <w:rPr>
          <w:rFonts w:ascii="Arial" w:hAnsi="Arial" w:cs="Arial"/>
          <w:sz w:val="18"/>
          <w:szCs w:val="18"/>
        </w:rPr>
        <w:t xml:space="preserve"> UG po ha). </w:t>
      </w:r>
      <w:bookmarkStart w:id="0" w:name="_Hlk165014784"/>
      <w:proofErr w:type="spellStart"/>
      <w:r>
        <w:rPr>
          <w:rFonts w:ascii="Arial" w:hAnsi="Arial" w:cs="Arial"/>
          <w:sz w:val="18"/>
          <w:szCs w:val="18"/>
        </w:rPr>
        <w:t>Provjera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će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biti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izvršena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unakrsnom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provjerom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podataka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iz</w:t>
      </w:r>
      <w:proofErr w:type="spellEnd"/>
      <w:r>
        <w:rPr>
          <w:rFonts w:ascii="Arial" w:hAnsi="Arial" w:cs="Arial"/>
          <w:sz w:val="18"/>
          <w:szCs w:val="18"/>
        </w:rPr>
        <w:t xml:space="preserve"> Sistema </w:t>
      </w:r>
      <w:proofErr w:type="spellStart"/>
      <w:r>
        <w:rPr>
          <w:rFonts w:ascii="Arial" w:hAnsi="Arial" w:cs="Arial"/>
          <w:sz w:val="18"/>
          <w:szCs w:val="18"/>
        </w:rPr>
        <w:t>direktnih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plaćanja</w:t>
      </w:r>
      <w:proofErr w:type="spellEnd"/>
      <w:r>
        <w:rPr>
          <w:rFonts w:ascii="Arial" w:hAnsi="Arial" w:cs="Arial"/>
          <w:sz w:val="18"/>
          <w:szCs w:val="18"/>
        </w:rPr>
        <w:t xml:space="preserve"> u </w:t>
      </w:r>
      <w:proofErr w:type="spellStart"/>
      <w:r>
        <w:rPr>
          <w:rFonts w:ascii="Arial" w:hAnsi="Arial" w:cs="Arial"/>
          <w:sz w:val="18"/>
          <w:szCs w:val="18"/>
        </w:rPr>
        <w:t>stočarstvu</w:t>
      </w:r>
      <w:proofErr w:type="spellEnd"/>
      <w:r>
        <w:rPr>
          <w:rFonts w:ascii="Arial" w:hAnsi="Arial" w:cs="Arial"/>
          <w:sz w:val="18"/>
          <w:szCs w:val="18"/>
        </w:rPr>
        <w:t xml:space="preserve"> (</w:t>
      </w:r>
      <w:proofErr w:type="spellStart"/>
      <w:r>
        <w:rPr>
          <w:rFonts w:ascii="Arial" w:hAnsi="Arial" w:cs="Arial"/>
          <w:sz w:val="18"/>
          <w:szCs w:val="18"/>
        </w:rPr>
        <w:t>mjera</w:t>
      </w:r>
      <w:proofErr w:type="spellEnd"/>
      <w:r>
        <w:rPr>
          <w:rFonts w:ascii="Arial" w:hAnsi="Arial" w:cs="Arial"/>
          <w:sz w:val="18"/>
          <w:szCs w:val="18"/>
        </w:rPr>
        <w:t xml:space="preserve"> 12.1. </w:t>
      </w:r>
      <w:proofErr w:type="spellStart"/>
      <w:r>
        <w:rPr>
          <w:rFonts w:ascii="Arial" w:hAnsi="Arial" w:cs="Arial"/>
          <w:sz w:val="18"/>
          <w:szCs w:val="18"/>
        </w:rPr>
        <w:t>Agrobudžeta</w:t>
      </w:r>
      <w:proofErr w:type="spellEnd"/>
      <w:r>
        <w:rPr>
          <w:rFonts w:ascii="Arial" w:hAnsi="Arial" w:cs="Arial"/>
          <w:sz w:val="18"/>
          <w:szCs w:val="18"/>
        </w:rPr>
        <w:t xml:space="preserve"> za 2026. </w:t>
      </w:r>
      <w:proofErr w:type="spellStart"/>
      <w:r>
        <w:rPr>
          <w:rFonts w:ascii="Arial" w:hAnsi="Arial" w:cs="Arial"/>
          <w:sz w:val="18"/>
          <w:szCs w:val="18"/>
        </w:rPr>
        <w:t>godinu</w:t>
      </w:r>
      <w:bookmarkEnd w:id="0"/>
      <w:proofErr w:type="spellEnd"/>
      <w:r>
        <w:rPr>
          <w:rFonts w:ascii="Arial" w:hAnsi="Arial" w:cs="Arial"/>
          <w:sz w:val="18"/>
          <w:szCs w:val="18"/>
        </w:rPr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B5AC8"/>
    <w:multiLevelType w:val="multilevel"/>
    <w:tmpl w:val="E0A24D2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D4B81"/>
    <w:multiLevelType w:val="multilevel"/>
    <w:tmpl w:val="CB5633A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AF7255"/>
    <w:multiLevelType w:val="multilevel"/>
    <w:tmpl w:val="0B285DA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056D5"/>
    <w:multiLevelType w:val="multilevel"/>
    <w:tmpl w:val="CEDA1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57B6"/>
    <w:multiLevelType w:val="multilevel"/>
    <w:tmpl w:val="5C1871A6"/>
    <w:lvl w:ilvl="0">
      <w:start w:val="20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C2CCD"/>
    <w:multiLevelType w:val="multilevel"/>
    <w:tmpl w:val="FD80B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97F20"/>
    <w:multiLevelType w:val="multilevel"/>
    <w:tmpl w:val="856E467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25D15"/>
    <w:multiLevelType w:val="multilevel"/>
    <w:tmpl w:val="5644CF2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530239"/>
    <w:multiLevelType w:val="multilevel"/>
    <w:tmpl w:val="EC529A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AA39BD"/>
    <w:multiLevelType w:val="multilevel"/>
    <w:tmpl w:val="70BAF03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2546F"/>
    <w:multiLevelType w:val="multilevel"/>
    <w:tmpl w:val="B5F4E5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D62422"/>
    <w:multiLevelType w:val="multilevel"/>
    <w:tmpl w:val="CCB0169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996BFA"/>
    <w:multiLevelType w:val="multilevel"/>
    <w:tmpl w:val="3E6651E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63641"/>
    <w:multiLevelType w:val="multilevel"/>
    <w:tmpl w:val="55CCDE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F6639"/>
    <w:multiLevelType w:val="multilevel"/>
    <w:tmpl w:val="BFB4047A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F04775"/>
    <w:multiLevelType w:val="multilevel"/>
    <w:tmpl w:val="265ABBF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5554C"/>
    <w:multiLevelType w:val="multilevel"/>
    <w:tmpl w:val="268C396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F1616"/>
    <w:multiLevelType w:val="multilevel"/>
    <w:tmpl w:val="085E589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FB3095"/>
    <w:multiLevelType w:val="multilevel"/>
    <w:tmpl w:val="EDB0368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3D6589"/>
    <w:multiLevelType w:val="multilevel"/>
    <w:tmpl w:val="F9D063B6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F93818"/>
    <w:multiLevelType w:val="multilevel"/>
    <w:tmpl w:val="42DC44B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527FD"/>
    <w:multiLevelType w:val="multilevel"/>
    <w:tmpl w:val="82BA8CA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B70A27"/>
    <w:multiLevelType w:val="multilevel"/>
    <w:tmpl w:val="4198B3A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531A6A"/>
    <w:multiLevelType w:val="multilevel"/>
    <w:tmpl w:val="3B48905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E91C16"/>
    <w:multiLevelType w:val="multilevel"/>
    <w:tmpl w:val="72E07FE2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18285D"/>
    <w:multiLevelType w:val="multilevel"/>
    <w:tmpl w:val="77961F6C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8A4233"/>
    <w:multiLevelType w:val="multilevel"/>
    <w:tmpl w:val="DB5E27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757D74"/>
    <w:multiLevelType w:val="multilevel"/>
    <w:tmpl w:val="43EABB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8D5939"/>
    <w:multiLevelType w:val="multilevel"/>
    <w:tmpl w:val="76ECC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43260C"/>
    <w:multiLevelType w:val="multilevel"/>
    <w:tmpl w:val="A0EE54F6"/>
    <w:lvl w:ilvl="0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"/>
  </w:num>
  <w:num w:numId="3">
    <w:abstractNumId w:val="2"/>
  </w:num>
  <w:num w:numId="4">
    <w:abstractNumId w:val="27"/>
  </w:num>
  <w:num w:numId="5">
    <w:abstractNumId w:val="12"/>
  </w:num>
  <w:num w:numId="6">
    <w:abstractNumId w:val="24"/>
  </w:num>
  <w:num w:numId="7">
    <w:abstractNumId w:val="16"/>
  </w:num>
  <w:num w:numId="8">
    <w:abstractNumId w:val="7"/>
  </w:num>
  <w:num w:numId="9">
    <w:abstractNumId w:val="22"/>
  </w:num>
  <w:num w:numId="10">
    <w:abstractNumId w:val="29"/>
  </w:num>
  <w:num w:numId="11">
    <w:abstractNumId w:val="4"/>
  </w:num>
  <w:num w:numId="12">
    <w:abstractNumId w:val="17"/>
  </w:num>
  <w:num w:numId="13">
    <w:abstractNumId w:val="10"/>
  </w:num>
  <w:num w:numId="14">
    <w:abstractNumId w:val="18"/>
  </w:num>
  <w:num w:numId="15">
    <w:abstractNumId w:val="5"/>
  </w:num>
  <w:num w:numId="16">
    <w:abstractNumId w:val="25"/>
  </w:num>
  <w:num w:numId="17">
    <w:abstractNumId w:val="15"/>
  </w:num>
  <w:num w:numId="18">
    <w:abstractNumId w:val="11"/>
  </w:num>
  <w:num w:numId="19">
    <w:abstractNumId w:val="14"/>
  </w:num>
  <w:num w:numId="20">
    <w:abstractNumId w:val="6"/>
  </w:num>
  <w:num w:numId="21">
    <w:abstractNumId w:val="0"/>
  </w:num>
  <w:num w:numId="22">
    <w:abstractNumId w:val="28"/>
  </w:num>
  <w:num w:numId="23">
    <w:abstractNumId w:val="3"/>
  </w:num>
  <w:num w:numId="24">
    <w:abstractNumId w:val="13"/>
  </w:num>
  <w:num w:numId="25">
    <w:abstractNumId w:val="8"/>
  </w:num>
  <w:num w:numId="26">
    <w:abstractNumId w:val="26"/>
  </w:num>
  <w:num w:numId="27">
    <w:abstractNumId w:val="9"/>
  </w:num>
  <w:num w:numId="28">
    <w:abstractNumId w:val="23"/>
  </w:num>
  <w:num w:numId="29">
    <w:abstractNumId w:val="2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1D"/>
    <w:rsid w:val="007C1A1D"/>
    <w:rsid w:val="00845962"/>
    <w:rsid w:val="00AD5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6F5226-FBF1-4614-A019-E0C56500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GridTable1Light-Accent1">
    <w:name w:val="Grid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2-Accent2">
    <w:name w:val="Grid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2-Accent6">
    <w:name w:val="Grid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-Accent1">
    <w:name w:val="Grid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styleId="GridTable3-Accent2">
    <w:name w:val="Grid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3-Accent6">
    <w:name w:val="Grid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-Accent1">
    <w:name w:val="Grid Table 4 Accent 1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styleId="GridTable4-Accent2">
    <w:name w:val="Grid Table 4 Accent 2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styleId="GridTable4-Accent6">
    <w:name w:val="Grid Table 4 Accent 6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-Accent1">
    <w:name w:val="List Table 2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2-Accent2">
    <w:name w:val="List Table 2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2-Accent6">
    <w:name w:val="List Table 2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-Accent1">
    <w:name w:val="List Table 3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styleId="ListTable3-Accent2">
    <w:name w:val="List Table 3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styleId="ListTable4-Accent2">
    <w:name w:val="List Table 4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styleId="ListTable4-Accent6">
    <w:name w:val="List Table 4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styleId="ListTable5Dark-Accent2">
    <w:name w:val="List Table 5 Dark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</w:style>
  <w:style w:type="character" w:customStyle="1" w:styleId="SubtitleChar">
    <w:name w:val="Subtitle Char"/>
    <w:basedOn w:val="DefaultParagraphFont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  <w:sz w:val="20"/>
      <w:szCs w:val="20"/>
      <w:lang w:val="sr-Latn-ME" w:eastAsia="sr-Latn-M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link w:val="EndnoteText"/>
    <w:uiPriority w:val="99"/>
    <w:rPr>
      <w:sz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table" w:styleId="TableGrid">
    <w:name w:val="Table Grid"/>
    <w:basedOn w:val="TableNormal"/>
    <w:uiPriority w:val="39"/>
    <w:pPr>
      <w:spacing w:before="40" w:after="40" w:line="240" w:lineRule="auto"/>
    </w:pPr>
    <w:rPr>
      <w:rFonts w:ascii="Times New Roman" w:eastAsia="Times New Roman" w:hAnsi="Times New Roman" w:cs="Times New Roman"/>
      <w:szCs w:val="20"/>
      <w:lang w:val="sl-SI" w:eastAsia="sl-S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="Times New Roman" w:hAnsi="Segoe UI" w:cs="Segoe UI"/>
      <w:sz w:val="18"/>
      <w:szCs w:val="18"/>
      <w:lang w:val="en-GB"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en-GB" w:eastAsia="cs-CZ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120" w:after="80" w:line="192" w:lineRule="auto"/>
      <w:ind w:left="1134"/>
    </w:pPr>
    <w:rPr>
      <w:rFonts w:ascii="Calibri" w:hAnsi="Calibri"/>
      <w:spacing w:val="-10"/>
      <w:sz w:val="28"/>
      <w:szCs w:val="40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" w:eastAsia="Times New Roman" w:hAnsi="Calibri" w:cs="Times New Roman"/>
      <w:spacing w:val="-10"/>
      <w:sz w:val="28"/>
      <w:szCs w:val="4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table" w:customStyle="1" w:styleId="GridTable1Light1">
    <w:name w:val="Grid Table 1 Light1"/>
    <w:basedOn w:val="TableNormal"/>
    <w:uiPriority w:val="46"/>
    <w:pPr>
      <w:spacing w:after="0" w:line="240" w:lineRule="auto"/>
    </w:pPr>
    <w:rPr>
      <w:rFonts w:ascii="Times New Roman" w:eastAsia="Times New Roman" w:hAnsi="Times New Roman" w:cs="Times New Roman"/>
      <w:lang w:val="it-IT" w:eastAsia="it-IT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val="en-GB" w:eastAsia="cs-CZ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val="en-GB" w:eastAsia="cs-CZ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20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4" Type="http://schemas.openxmlformats.org/officeDocument/2006/relationships/settings" Target="settings.xml"/><Relationship Id="rId14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E9D83-E8AC-4EFE-ABD0-51B87EBA54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2617</Words>
  <Characters>14923</Characters>
  <Application>Microsoft Office Word</Application>
  <DocSecurity>0</DocSecurity>
  <Lines>124</Lines>
  <Paragraphs>35</Paragraphs>
  <ScaleCrop>false</ScaleCrop>
  <Company>Hewlett-Packard Company</Company>
  <LinksUpToDate>false</LinksUpToDate>
  <CharactersWithSpaces>17505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Radunovic</dc:creator>
  <cp:lastModifiedBy>Dijana Stijepović-Aleksić</cp:lastModifiedBy>
  <cp:revision>101</cp:revision>
  <dcterms:created xsi:type="dcterms:W3CDTF">2024-04-26T06:24:00Z</dcterms:created>
  <dcterms:modified xsi:type="dcterms:W3CDTF">2026-04-24T12:33:00Z</dcterms:modified>
</cp:coreProperties>
</file>