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B63" w:rsidRDefault="00AA3B63" w:rsidP="00AA3B63">
      <w:pPr>
        <w:spacing w:after="517" w:line="240" w:lineRule="auto"/>
        <w:ind w:left="283" w:hanging="10"/>
        <w:rPr>
          <w:rFonts w:ascii="Times New Roman" w:hAnsi="Times New Roman" w:cs="Times New Roman"/>
        </w:rPr>
      </w:pPr>
      <w:r w:rsidRPr="008624AC">
        <w:rPr>
          <w:rFonts w:ascii="Times New Roman" w:hAnsi="Times New Roman" w:cs="Times New Roman"/>
        </w:rPr>
        <w:t>Predmet: Mišljenje o svrstavanju proizvoda „pavlake za kuvanje”</w:t>
      </w:r>
    </w:p>
    <w:p w:rsidR="009C6941" w:rsidRPr="008624AC" w:rsidRDefault="00AE1934" w:rsidP="00AA3B63">
      <w:pPr>
        <w:spacing w:after="517" w:line="240" w:lineRule="auto"/>
        <w:ind w:left="283" w:hanging="10"/>
        <w:rPr>
          <w:rFonts w:ascii="Times New Roman" w:hAnsi="Times New Roman" w:cs="Times New Roman"/>
        </w:rPr>
        <w:sectPr w:rsidR="009C6941" w:rsidRPr="008624AC" w:rsidSect="009B3A31">
          <w:type w:val="continuous"/>
          <w:pgSz w:w="11902" w:h="16862"/>
          <w:pgMar w:top="0" w:right="1022" w:bottom="3403" w:left="1001" w:header="708" w:footer="708" w:gutter="0"/>
          <w:cols w:space="708"/>
        </w:sectPr>
      </w:pPr>
      <w:r w:rsidRPr="008624AC">
        <w:rPr>
          <w:rFonts w:ascii="Times New Roman" w:hAnsi="Times New Roman" w:cs="Times New Roman"/>
        </w:rPr>
        <w:t>Stavlja se van snage mišljenje o svrstavanju „pavlake za kuvanje", koje je Odsjek za tarifu i TARICG donio pod brojem01/01 br.D-1528/2 od 25.02.2015.godine. Ovim mišljenjem proizvod „pavlaka za kuvanje" svrstan je u tarifnu oznaku 1901 90 99 (mišljenje u prilogu).Kako je Crna Gora država kandidatkinja za članstvo u EU, u cilju jedoobraznog</w:t>
      </w:r>
      <w:r w:rsidR="00B9526A" w:rsidRPr="008624AC">
        <w:rPr>
          <w:rFonts w:ascii="Times New Roman" w:hAnsi="Times New Roman" w:cs="Times New Roman"/>
        </w:rPr>
        <w:t xml:space="preserve">  </w:t>
      </w:r>
      <w:r w:rsidRPr="008624AC">
        <w:rPr>
          <w:rFonts w:ascii="Times New Roman" w:hAnsi="Times New Roman" w:cs="Times New Roman"/>
          <w:noProof/>
          <w:lang w:val="en-US" w:eastAsia="en-US"/>
        </w:rPr>
        <w:drawing>
          <wp:inline distT="0" distB="0" distL="0" distR="0">
            <wp:extent cx="4572" cy="4572"/>
            <wp:effectExtent l="0" t="0" r="0" b="0"/>
            <wp:docPr id="2151" name="Picture 2151"/>
            <wp:cNvGraphicFramePr/>
            <a:graphic xmlns:a="http://schemas.openxmlformats.org/drawingml/2006/main">
              <a:graphicData uri="http://schemas.openxmlformats.org/drawingml/2006/picture">
                <pic:pic xmlns:pic="http://schemas.openxmlformats.org/drawingml/2006/picture">
                  <pic:nvPicPr>
                    <pic:cNvPr id="2151" name="Picture 2151"/>
                    <pic:cNvPicPr/>
                  </pic:nvPicPr>
                  <pic:blipFill>
                    <a:blip r:embed="rId8"/>
                    <a:stretch>
                      <a:fillRect/>
                    </a:stretch>
                  </pic:blipFill>
                  <pic:spPr>
                    <a:xfrm>
                      <a:off x="0" y="0"/>
                      <a:ext cx="4572" cy="4572"/>
                    </a:xfrm>
                    <a:prstGeom prst="rect">
                      <a:avLst/>
                    </a:prstGeom>
                  </pic:spPr>
                </pic:pic>
              </a:graphicData>
            </a:graphic>
          </wp:inline>
        </w:drawing>
      </w:r>
      <w:r w:rsidRPr="008624AC">
        <w:rPr>
          <w:rFonts w:ascii="Times New Roman" w:hAnsi="Times New Roman" w:cs="Times New Roman"/>
        </w:rPr>
        <w:t xml:space="preserve">postupanja, UPC kontinuirano </w:t>
      </w:r>
      <w:r w:rsidR="00B9526A" w:rsidRPr="008624AC">
        <w:rPr>
          <w:rFonts w:ascii="Times New Roman" w:hAnsi="Times New Roman" w:cs="Times New Roman"/>
        </w:rPr>
        <w:t xml:space="preserve">   </w:t>
      </w:r>
      <w:r w:rsidRPr="008624AC">
        <w:rPr>
          <w:rFonts w:ascii="Times New Roman" w:hAnsi="Times New Roman" w:cs="Times New Roman"/>
        </w:rPr>
        <w:t xml:space="preserve">prati svrstavanje roba zemalja EU (mišljenja, odluke, bazu obavezujućih informacija o svrstavanj roba-EBTI i dr.).Pretragom kroz bazu EBTI, Odsjek je uočio da članice EU pavlaku za kuvanje svrstavaju u Glavu 04 kao mliječni proizvod. Stav članica EU se promijenio u pogledu svrstavanja ovog proizvoda iz razloga što smatraju da dodaci (npr. modifikovani skrob, karagenan i sl.), ukoliko su dodati u malim količinama </w:t>
      </w:r>
      <w:r w:rsidR="00AA3B63">
        <w:rPr>
          <w:rFonts w:ascii="Times New Roman" w:hAnsi="Times New Roman" w:cs="Times New Roman"/>
        </w:rPr>
        <w:t>ne mijenjaju karakter proizvoda</w:t>
      </w:r>
      <w:r w:rsidRPr="008624AC">
        <w:rPr>
          <w:rFonts w:ascii="Times New Roman" w:hAnsi="Times New Roman" w:cs="Times New Roman"/>
        </w:rPr>
        <w:t>Imajući u vidu navedeno, Odsjek donosi novo mišljenje o svrstavanju, kojim je predmetni proizvod svrstan u Glavu 4 CT i isto vam u prilogu akta dostavljamo.</w:t>
      </w:r>
    </w:p>
    <w:p w:rsidR="009C6941" w:rsidRPr="008624AC" w:rsidRDefault="00AE1934" w:rsidP="00AA3B63">
      <w:pPr>
        <w:spacing w:after="36" w:line="216" w:lineRule="auto"/>
        <w:jc w:val="both"/>
        <w:rPr>
          <w:rFonts w:ascii="Times New Roman" w:hAnsi="Times New Roman" w:cs="Times New Roman"/>
        </w:rPr>
      </w:pPr>
      <w:r w:rsidRPr="008624AC">
        <w:rPr>
          <w:rFonts w:ascii="Times New Roman" w:hAnsi="Times New Roman" w:cs="Times New Roman"/>
        </w:rPr>
        <w:lastRenderedPageBreak/>
        <w:t>Radi jedinstvenog svrstavanja proizvoda po Carinskoj tarifi, Odsjek za carinsku tarifu i TARICG donosi mišljenje o svrstavanju"pavlake za kuvanje"</w:t>
      </w:r>
      <w:r w:rsidRPr="008624AC">
        <w:rPr>
          <w:rFonts w:ascii="Times New Roman" w:hAnsi="Times New Roman" w:cs="Times New Roman"/>
          <w:noProof/>
          <w:lang w:val="en-US" w:eastAsia="en-US"/>
        </w:rPr>
        <w:drawing>
          <wp:inline distT="0" distB="0" distL="0" distR="0">
            <wp:extent cx="22860" cy="68580"/>
            <wp:effectExtent l="0" t="0" r="0" b="0"/>
            <wp:docPr id="12986" name="Picture 12986"/>
            <wp:cNvGraphicFramePr/>
            <a:graphic xmlns:a="http://schemas.openxmlformats.org/drawingml/2006/main">
              <a:graphicData uri="http://schemas.openxmlformats.org/drawingml/2006/picture">
                <pic:pic xmlns:pic="http://schemas.openxmlformats.org/drawingml/2006/picture">
                  <pic:nvPicPr>
                    <pic:cNvPr id="12986" name="Picture 12986"/>
                    <pic:cNvPicPr/>
                  </pic:nvPicPr>
                  <pic:blipFill>
                    <a:blip r:embed="rId9"/>
                    <a:stretch>
                      <a:fillRect/>
                    </a:stretch>
                  </pic:blipFill>
                  <pic:spPr>
                    <a:xfrm>
                      <a:off x="0" y="0"/>
                      <a:ext cx="22860" cy="68580"/>
                    </a:xfrm>
                    <a:prstGeom prst="rect">
                      <a:avLst/>
                    </a:prstGeom>
                  </pic:spPr>
                </pic:pic>
              </a:graphicData>
            </a:graphic>
          </wp:inline>
        </w:drawing>
      </w:r>
    </w:p>
    <w:tbl>
      <w:tblPr>
        <w:tblStyle w:val="TableGrid"/>
        <w:tblW w:w="10243" w:type="dxa"/>
        <w:tblInd w:w="7" w:type="dxa"/>
        <w:tblCellMar>
          <w:top w:w="41" w:type="dxa"/>
          <w:left w:w="105" w:type="dxa"/>
          <w:right w:w="113" w:type="dxa"/>
        </w:tblCellMar>
        <w:tblLook w:val="04A0" w:firstRow="1" w:lastRow="0" w:firstColumn="1" w:lastColumn="0" w:noHBand="0" w:noVBand="1"/>
      </w:tblPr>
      <w:tblGrid>
        <w:gridCol w:w="4664"/>
        <w:gridCol w:w="1245"/>
        <w:gridCol w:w="4334"/>
      </w:tblGrid>
      <w:tr w:rsidR="009C6941" w:rsidRPr="008624AC" w:rsidTr="00AA3B63">
        <w:trPr>
          <w:trHeight w:val="291"/>
        </w:trPr>
        <w:tc>
          <w:tcPr>
            <w:tcW w:w="4765" w:type="dxa"/>
            <w:tcBorders>
              <w:top w:val="single" w:sz="2" w:space="0" w:color="000000"/>
              <w:left w:val="single" w:sz="2" w:space="0" w:color="000000"/>
              <w:bottom w:val="single" w:sz="2" w:space="0" w:color="000000"/>
              <w:right w:val="single" w:sz="2" w:space="0" w:color="000000"/>
            </w:tcBorders>
          </w:tcPr>
          <w:p w:rsidR="009C6941" w:rsidRPr="008624AC" w:rsidRDefault="00310038">
            <w:pPr>
              <w:ind w:right="5"/>
              <w:jc w:val="center"/>
              <w:rPr>
                <w:rFonts w:ascii="Times New Roman" w:hAnsi="Times New Roman" w:cs="Times New Roman"/>
              </w:rPr>
            </w:pPr>
            <w:r w:rsidRPr="008624AC">
              <w:rPr>
                <w:rFonts w:ascii="Times New Roman" w:hAnsi="Times New Roman" w:cs="Times New Roman"/>
              </w:rPr>
              <w:t>O</w:t>
            </w:r>
            <w:r w:rsidR="00AE1934" w:rsidRPr="008624AC">
              <w:rPr>
                <w:rFonts w:ascii="Times New Roman" w:hAnsi="Times New Roman" w:cs="Times New Roman"/>
              </w:rPr>
              <w:t>pis robe</w:t>
            </w:r>
          </w:p>
        </w:tc>
        <w:tc>
          <w:tcPr>
            <w:tcW w:w="1037" w:type="dxa"/>
            <w:tcBorders>
              <w:top w:val="single" w:sz="2" w:space="0" w:color="000000"/>
              <w:left w:val="single" w:sz="2" w:space="0" w:color="000000"/>
              <w:bottom w:val="single" w:sz="2" w:space="0" w:color="000000"/>
              <w:right w:val="single" w:sz="2" w:space="0" w:color="000000"/>
            </w:tcBorders>
            <w:vAlign w:val="center"/>
          </w:tcPr>
          <w:p w:rsidR="009C6941" w:rsidRPr="008624AC" w:rsidRDefault="00AE1934">
            <w:pPr>
              <w:jc w:val="center"/>
              <w:rPr>
                <w:rFonts w:ascii="Times New Roman" w:hAnsi="Times New Roman" w:cs="Times New Roman"/>
              </w:rPr>
            </w:pPr>
            <w:r w:rsidRPr="008624AC">
              <w:rPr>
                <w:rFonts w:ascii="Times New Roman" w:hAnsi="Times New Roman" w:cs="Times New Roman"/>
              </w:rPr>
              <w:t>Svrstavanje proizvoda tarifna oznaka CT</w:t>
            </w:r>
          </w:p>
        </w:tc>
        <w:tc>
          <w:tcPr>
            <w:tcW w:w="4441" w:type="dxa"/>
            <w:tcBorders>
              <w:top w:val="single" w:sz="2" w:space="0" w:color="000000"/>
              <w:left w:val="single" w:sz="2" w:space="0" w:color="000000"/>
              <w:bottom w:val="single" w:sz="2" w:space="0" w:color="000000"/>
              <w:right w:val="single" w:sz="2" w:space="0" w:color="000000"/>
            </w:tcBorders>
          </w:tcPr>
          <w:p w:rsidR="009C6941" w:rsidRPr="008624AC" w:rsidRDefault="00AE1934">
            <w:pPr>
              <w:ind w:left="29"/>
              <w:jc w:val="center"/>
              <w:rPr>
                <w:rFonts w:ascii="Times New Roman" w:hAnsi="Times New Roman" w:cs="Times New Roman"/>
              </w:rPr>
            </w:pPr>
            <w:r w:rsidRPr="008624AC">
              <w:rPr>
                <w:rFonts w:ascii="Times New Roman" w:hAnsi="Times New Roman" w:cs="Times New Roman"/>
              </w:rPr>
              <w:t>Pravni osnov</w:t>
            </w:r>
          </w:p>
        </w:tc>
      </w:tr>
      <w:tr w:rsidR="009C6941" w:rsidRPr="008624AC" w:rsidTr="00AA3B63">
        <w:trPr>
          <w:trHeight w:val="3885"/>
        </w:trPr>
        <w:tc>
          <w:tcPr>
            <w:tcW w:w="4765" w:type="dxa"/>
            <w:tcBorders>
              <w:top w:val="single" w:sz="2" w:space="0" w:color="000000"/>
              <w:left w:val="single" w:sz="2" w:space="0" w:color="000000"/>
              <w:bottom w:val="single" w:sz="2" w:space="0" w:color="000000"/>
              <w:right w:val="single" w:sz="2" w:space="0" w:color="000000"/>
            </w:tcBorders>
          </w:tcPr>
          <w:p w:rsidR="009C6941" w:rsidRPr="008624AC" w:rsidRDefault="00AE1934">
            <w:pPr>
              <w:spacing w:after="269" w:line="248" w:lineRule="auto"/>
              <w:ind w:left="10"/>
              <w:jc w:val="both"/>
              <w:rPr>
                <w:rFonts w:ascii="Times New Roman" w:hAnsi="Times New Roman" w:cs="Times New Roman"/>
                <w:sz w:val="20"/>
                <w:szCs w:val="20"/>
              </w:rPr>
            </w:pPr>
            <w:r w:rsidRPr="008624AC">
              <w:rPr>
                <w:rFonts w:ascii="Times New Roman" w:hAnsi="Times New Roman" w:cs="Times New Roman"/>
                <w:sz w:val="20"/>
                <w:szCs w:val="20"/>
              </w:rPr>
              <w:t>Proizvod „pavlaka za kuvanje" je u obliku homogene, kremaste tečnosti, blijedo žute boje.</w:t>
            </w:r>
          </w:p>
          <w:p w:rsidR="009C6941" w:rsidRPr="008624AC" w:rsidRDefault="00AE1934">
            <w:pPr>
              <w:ind w:left="10"/>
              <w:rPr>
                <w:rFonts w:ascii="Times New Roman" w:hAnsi="Times New Roman" w:cs="Times New Roman"/>
                <w:sz w:val="20"/>
                <w:szCs w:val="20"/>
              </w:rPr>
            </w:pPr>
            <w:r w:rsidRPr="008624AC">
              <w:rPr>
                <w:rFonts w:ascii="Times New Roman" w:hAnsi="Times New Roman" w:cs="Times New Roman"/>
                <w:sz w:val="20"/>
                <w:szCs w:val="20"/>
              </w:rPr>
              <w:t>Proizvod je sledećeg sastava:</w:t>
            </w:r>
          </w:p>
          <w:p w:rsidR="009C6941" w:rsidRPr="008624AC" w:rsidRDefault="00AE1934">
            <w:pPr>
              <w:numPr>
                <w:ilvl w:val="0"/>
                <w:numId w:val="1"/>
              </w:numPr>
              <w:spacing w:after="8" w:line="232" w:lineRule="auto"/>
              <w:ind w:hanging="360"/>
              <w:rPr>
                <w:rFonts w:ascii="Times New Roman" w:hAnsi="Times New Roman" w:cs="Times New Roman"/>
                <w:sz w:val="20"/>
                <w:szCs w:val="20"/>
              </w:rPr>
            </w:pPr>
            <w:r w:rsidRPr="008624AC">
              <w:rPr>
                <w:rFonts w:ascii="Times New Roman" w:hAnsi="Times New Roman" w:cs="Times New Roman"/>
                <w:sz w:val="20"/>
                <w:szCs w:val="20"/>
              </w:rPr>
              <w:t>mlijeko 99%, sa 20% mliječne masnoće Ostale komponente do 1%:</w:t>
            </w:r>
          </w:p>
          <w:p w:rsidR="009C6941" w:rsidRPr="008624AC" w:rsidRDefault="00AE1934">
            <w:pPr>
              <w:numPr>
                <w:ilvl w:val="0"/>
                <w:numId w:val="1"/>
              </w:numPr>
              <w:ind w:hanging="360"/>
              <w:rPr>
                <w:rFonts w:ascii="Times New Roman" w:hAnsi="Times New Roman" w:cs="Times New Roman"/>
                <w:sz w:val="20"/>
                <w:szCs w:val="20"/>
              </w:rPr>
            </w:pPr>
            <w:r w:rsidRPr="008624AC">
              <w:rPr>
                <w:rFonts w:ascii="Times New Roman" w:hAnsi="Times New Roman" w:cs="Times New Roman"/>
                <w:sz w:val="20"/>
                <w:szCs w:val="20"/>
              </w:rPr>
              <w:t>modifikovani Skrob</w:t>
            </w:r>
          </w:p>
          <w:p w:rsidR="009C6941" w:rsidRPr="008624AC" w:rsidRDefault="00AE1934">
            <w:pPr>
              <w:numPr>
                <w:ilvl w:val="0"/>
                <w:numId w:val="1"/>
              </w:numPr>
              <w:ind w:hanging="360"/>
              <w:rPr>
                <w:rFonts w:ascii="Times New Roman" w:hAnsi="Times New Roman" w:cs="Times New Roman"/>
                <w:sz w:val="20"/>
                <w:szCs w:val="20"/>
              </w:rPr>
            </w:pPr>
            <w:r w:rsidRPr="008624AC">
              <w:rPr>
                <w:rFonts w:ascii="Times New Roman" w:hAnsi="Times New Roman" w:cs="Times New Roman"/>
                <w:sz w:val="20"/>
                <w:szCs w:val="20"/>
              </w:rPr>
              <w:t>emulgatori E472e</w:t>
            </w:r>
          </w:p>
          <w:p w:rsidR="009C6941" w:rsidRPr="008624AC" w:rsidRDefault="00AE1934">
            <w:pPr>
              <w:numPr>
                <w:ilvl w:val="0"/>
                <w:numId w:val="1"/>
              </w:numPr>
              <w:ind w:hanging="360"/>
              <w:rPr>
                <w:rFonts w:ascii="Times New Roman" w:hAnsi="Times New Roman" w:cs="Times New Roman"/>
                <w:sz w:val="20"/>
                <w:szCs w:val="20"/>
              </w:rPr>
            </w:pPr>
            <w:r w:rsidRPr="008624AC">
              <w:rPr>
                <w:rFonts w:ascii="Times New Roman" w:hAnsi="Times New Roman" w:cs="Times New Roman"/>
                <w:sz w:val="20"/>
                <w:szCs w:val="20"/>
              </w:rPr>
              <w:t>zgušnjivač E415</w:t>
            </w:r>
          </w:p>
          <w:p w:rsidR="009C6941" w:rsidRPr="008624AC" w:rsidRDefault="00AE1934">
            <w:pPr>
              <w:numPr>
                <w:ilvl w:val="0"/>
                <w:numId w:val="1"/>
              </w:numPr>
              <w:spacing w:after="277" w:line="254" w:lineRule="auto"/>
              <w:ind w:hanging="360"/>
              <w:rPr>
                <w:rFonts w:ascii="Times New Roman" w:hAnsi="Times New Roman" w:cs="Times New Roman"/>
                <w:sz w:val="20"/>
                <w:szCs w:val="20"/>
              </w:rPr>
            </w:pPr>
            <w:r w:rsidRPr="008624AC">
              <w:rPr>
                <w:rFonts w:ascii="Times New Roman" w:hAnsi="Times New Roman" w:cs="Times New Roman"/>
                <w:sz w:val="20"/>
                <w:szCs w:val="20"/>
              </w:rPr>
              <w:t>karagenan regulator kiselosti E339</w:t>
            </w:r>
          </w:p>
          <w:p w:rsidR="009C6941" w:rsidRPr="008624AC" w:rsidRDefault="00AE1934" w:rsidP="00AA3B63">
            <w:pPr>
              <w:spacing w:after="285"/>
              <w:ind w:left="363" w:firstLine="7"/>
              <w:rPr>
                <w:rFonts w:ascii="Times New Roman" w:hAnsi="Times New Roman" w:cs="Times New Roman"/>
                <w:sz w:val="20"/>
                <w:szCs w:val="20"/>
              </w:rPr>
            </w:pPr>
            <w:r w:rsidRPr="008624AC">
              <w:rPr>
                <w:rFonts w:ascii="Times New Roman" w:hAnsi="Times New Roman" w:cs="Times New Roman"/>
                <w:sz w:val="20"/>
                <w:szCs w:val="20"/>
              </w:rPr>
              <w:t>Pripremljena je za prodaju na malo, upakovana u tetrapak ambalaži od 200g</w:t>
            </w:r>
            <w:r w:rsidR="00AA3B63">
              <w:rPr>
                <w:rFonts w:ascii="Times New Roman" w:hAnsi="Times New Roman" w:cs="Times New Roman"/>
                <w:sz w:val="20"/>
                <w:szCs w:val="20"/>
              </w:rPr>
              <w:t xml:space="preserve">.                                                          </w:t>
            </w:r>
            <w:r w:rsidRPr="008624AC">
              <w:rPr>
                <w:rFonts w:ascii="Times New Roman" w:hAnsi="Times New Roman" w:cs="Times New Roman"/>
                <w:sz w:val="20"/>
                <w:szCs w:val="20"/>
              </w:rPr>
              <w:t>Koristi se za pripremu različitih jela, i prije upotrebe potrebno je protresti proizvod.</w:t>
            </w:r>
          </w:p>
        </w:tc>
        <w:tc>
          <w:tcPr>
            <w:tcW w:w="1037" w:type="dxa"/>
            <w:tcBorders>
              <w:top w:val="single" w:sz="2" w:space="0" w:color="000000"/>
              <w:left w:val="single" w:sz="2" w:space="0" w:color="000000"/>
              <w:bottom w:val="single" w:sz="2" w:space="0" w:color="000000"/>
              <w:right w:val="single" w:sz="2" w:space="0" w:color="000000"/>
            </w:tcBorders>
          </w:tcPr>
          <w:p w:rsidR="009C6941" w:rsidRPr="008624AC" w:rsidRDefault="00AE1934">
            <w:pPr>
              <w:ind w:right="7"/>
              <w:jc w:val="center"/>
              <w:rPr>
                <w:rFonts w:ascii="Times New Roman" w:hAnsi="Times New Roman" w:cs="Times New Roman"/>
                <w:sz w:val="20"/>
                <w:szCs w:val="20"/>
              </w:rPr>
            </w:pPr>
            <w:r w:rsidRPr="008624AC">
              <w:rPr>
                <w:rFonts w:ascii="Times New Roman" w:hAnsi="Times New Roman" w:cs="Times New Roman"/>
                <w:sz w:val="20"/>
                <w:szCs w:val="20"/>
              </w:rPr>
              <w:t>0401 50 11</w:t>
            </w:r>
          </w:p>
        </w:tc>
        <w:tc>
          <w:tcPr>
            <w:tcW w:w="4441" w:type="dxa"/>
            <w:tcBorders>
              <w:top w:val="single" w:sz="2" w:space="0" w:color="000000"/>
              <w:left w:val="single" w:sz="2" w:space="0" w:color="000000"/>
              <w:bottom w:val="single" w:sz="2" w:space="0" w:color="000000"/>
              <w:right w:val="single" w:sz="2" w:space="0" w:color="000000"/>
            </w:tcBorders>
            <w:vAlign w:val="center"/>
          </w:tcPr>
          <w:p w:rsidR="009C6941" w:rsidRPr="008624AC" w:rsidRDefault="00AE1934">
            <w:pPr>
              <w:spacing w:after="150" w:line="216" w:lineRule="auto"/>
              <w:ind w:right="7"/>
              <w:jc w:val="both"/>
              <w:rPr>
                <w:rFonts w:ascii="Times New Roman" w:hAnsi="Times New Roman" w:cs="Times New Roman"/>
                <w:sz w:val="20"/>
                <w:szCs w:val="20"/>
              </w:rPr>
            </w:pPr>
            <w:r w:rsidRPr="008624AC">
              <w:rPr>
                <w:rFonts w:ascii="Times New Roman" w:hAnsi="Times New Roman" w:cs="Times New Roman"/>
                <w:sz w:val="20"/>
                <w:szCs w:val="20"/>
              </w:rPr>
              <w:t>Svrstavanje je izvršeno na osnovu opštih pravila 1 i 6 za primjenu CT, naimenovanja tarifnog broja 0401, podbroja 0401 50 i oznake 0401 50 11 shodno Uredbi o carinskoj tarifi za 2023. godinu.</w:t>
            </w:r>
          </w:p>
          <w:p w:rsidR="009C6941" w:rsidRPr="008624AC" w:rsidRDefault="00AE1934">
            <w:pPr>
              <w:spacing w:after="135" w:line="217" w:lineRule="auto"/>
              <w:ind w:right="7" w:firstLine="7"/>
              <w:jc w:val="both"/>
              <w:rPr>
                <w:rFonts w:ascii="Times New Roman" w:hAnsi="Times New Roman" w:cs="Times New Roman"/>
                <w:sz w:val="20"/>
                <w:szCs w:val="20"/>
              </w:rPr>
            </w:pPr>
            <w:r w:rsidRPr="008624AC">
              <w:rPr>
                <w:rFonts w:ascii="Times New Roman" w:hAnsi="Times New Roman" w:cs="Times New Roman"/>
                <w:sz w:val="20"/>
                <w:szCs w:val="20"/>
              </w:rPr>
              <w:t>Predmetni proizvod je dobijen od kravljeg mlijeka. Osim mlijeka proizvodu su dodati sastojci koji nijesu prirodni sastojci mlijeka u količini od 1% i u ovom iznosu oni ne mogu bitnije promijeniti karakter mliječnog proizvoda, tako da ovaj proizvod ostaje svrstan u Glavi 04.</w:t>
            </w:r>
          </w:p>
          <w:p w:rsidR="009C6941" w:rsidRPr="008624AC" w:rsidRDefault="00AE1934">
            <w:pPr>
              <w:spacing w:after="188" w:line="216" w:lineRule="auto"/>
              <w:ind w:firstLine="7"/>
              <w:jc w:val="both"/>
              <w:rPr>
                <w:rFonts w:ascii="Times New Roman" w:hAnsi="Times New Roman" w:cs="Times New Roman"/>
                <w:sz w:val="20"/>
                <w:szCs w:val="20"/>
              </w:rPr>
            </w:pPr>
            <w:r w:rsidRPr="008624AC">
              <w:rPr>
                <w:rFonts w:ascii="Times New Roman" w:hAnsi="Times New Roman" w:cs="Times New Roman"/>
                <w:sz w:val="20"/>
                <w:szCs w:val="20"/>
              </w:rPr>
              <w:t>Uzimajući u obzir da proizvodu nije dodat šećer isključuje se iz tarifnog broja 0402 i karakteristika isti se svrstava u tarifnu oznaku 0401 koja obuhvata nekoncentovane pavlake i bez dodatog šećera.</w:t>
            </w:r>
          </w:p>
          <w:p w:rsidR="009C6941" w:rsidRPr="008624AC" w:rsidRDefault="00AE1934">
            <w:pPr>
              <w:ind w:left="7" w:right="7"/>
              <w:jc w:val="both"/>
              <w:rPr>
                <w:rFonts w:ascii="Times New Roman" w:hAnsi="Times New Roman" w:cs="Times New Roman"/>
                <w:sz w:val="20"/>
                <w:szCs w:val="20"/>
              </w:rPr>
            </w:pPr>
            <w:r w:rsidRPr="008624AC">
              <w:rPr>
                <w:rFonts w:ascii="Times New Roman" w:hAnsi="Times New Roman" w:cs="Times New Roman"/>
                <w:sz w:val="20"/>
                <w:szCs w:val="20"/>
              </w:rPr>
              <w:t>Kako je sadržaj mliječne masti 20% svrstava se u podbroj 0401 50 odnosno tarifnu oznaku 0401 50 11 koja se odnosi na neto-zapreminu ambalaže ne preko 2L.</w:t>
            </w:r>
          </w:p>
        </w:tc>
      </w:tr>
    </w:tbl>
    <w:p w:rsidR="009C6941" w:rsidRPr="008624AC" w:rsidRDefault="00AE1934">
      <w:pPr>
        <w:spacing w:after="162" w:line="216" w:lineRule="auto"/>
        <w:ind w:left="10" w:hanging="3"/>
        <w:jc w:val="both"/>
        <w:rPr>
          <w:rFonts w:ascii="Times New Roman" w:hAnsi="Times New Roman" w:cs="Times New Roman"/>
        </w:rPr>
      </w:pPr>
      <w:r w:rsidRPr="008624AC">
        <w:rPr>
          <w:rFonts w:ascii="Times New Roman" w:hAnsi="Times New Roman" w:cs="Times New Roman"/>
        </w:rPr>
        <w:t>Napomena: Prilikom svrstavanja predmetnog proizvoda korišćen je Komentar HS, koji predstavlja prateću publikaciju uz CT i omogućava detaljnije i preciznije tumačenje sadržaja tarifnih brojeva, određenih pojmova i definicija korišćenih u CT. IJ Komentaru za Glavu 04 koji se odnosi na Opšte odredbe navedeno je, da proizvodi mogu sadržati pored sastojaka prirodnog mlijeka (npr. mlijeko obogaćeno vitaminima ili mineralnim solima), male količine stabilizatora koji služe za održavanje prirodne konzistencije proizvoda tokom transporta u tečnom stanju (dinatrijum fosfat, trinatrijum citrat i kalcijum hlorid, na primer) kao i veoma male količine antioksidanata ili vitamina koji se inače ne nalaze u proizvodu. Neki od ovih proizvoda mogu takođe da sadrže male količine hemikalija (npr. natrijum bikarbonat) neophodnih za njihovu preradu; proizvodi u obliku praha ili granula mogu sadržati agense protiv zgrušavanja (na primer, fosfolipide, amorfni silicijum dioksid).</w:t>
      </w:r>
    </w:p>
    <w:p w:rsidR="009C6941" w:rsidRPr="008624AC" w:rsidRDefault="00AE1934">
      <w:pPr>
        <w:spacing w:after="535" w:line="216" w:lineRule="auto"/>
        <w:ind w:left="10" w:hanging="3"/>
        <w:jc w:val="both"/>
        <w:rPr>
          <w:rFonts w:ascii="Times New Roman" w:hAnsi="Times New Roman" w:cs="Times New Roman"/>
        </w:rPr>
      </w:pPr>
      <w:r w:rsidRPr="008624AC">
        <w:rPr>
          <w:rFonts w:ascii="Times New Roman" w:hAnsi="Times New Roman" w:cs="Times New Roman"/>
        </w:rPr>
        <w:t>Takođe navedeno je da tarifni broj 0401 obuhvata mlijeko i pavlaku, koji su pasterizovani, sterilizovani ili na drugi način konzervisani, homogenizovani ili peptonizovani ili ne; ali isključuje mleko i pavlaku koji su koncentrovani ili koji sadrže dodat šećer ili druge zaslađivače (tarifni broj 04.02).</w:t>
      </w:r>
    </w:p>
    <w:p w:rsidR="009C6941" w:rsidRPr="008624AC" w:rsidRDefault="00BF5C48" w:rsidP="00C2301E">
      <w:pPr>
        <w:rPr>
          <w:rFonts w:ascii="Times New Roman" w:hAnsi="Times New Roman" w:cs="Times New Roman"/>
        </w:rPr>
      </w:pPr>
      <w:r w:rsidRPr="008624AC">
        <w:rPr>
          <w:rFonts w:ascii="Times New Roman" w:hAnsi="Times New Roman" w:cs="Times New Roman"/>
          <w:lang w:val="en-US"/>
        </w:rPr>
        <w:t>(</w:t>
      </w:r>
      <w:r w:rsidR="000D715B">
        <w:rPr>
          <w:rFonts w:ascii="Times New Roman" w:hAnsi="Times New Roman" w:cs="Times New Roman"/>
        </w:rPr>
        <w:t>Akt U</w:t>
      </w:r>
      <w:r w:rsidRPr="008624AC">
        <w:rPr>
          <w:rFonts w:ascii="Times New Roman" w:hAnsi="Times New Roman" w:cs="Times New Roman"/>
        </w:rPr>
        <w:t>prave carina b</w:t>
      </w:r>
      <w:r w:rsidR="000D715B">
        <w:rPr>
          <w:rFonts w:ascii="Times New Roman" w:hAnsi="Times New Roman" w:cs="Times New Roman"/>
        </w:rPr>
        <w:t xml:space="preserve">roj </w:t>
      </w:r>
      <w:r w:rsidR="00AE091D" w:rsidRPr="008624AC">
        <w:rPr>
          <w:rFonts w:ascii="Times New Roman" w:hAnsi="Times New Roman" w:cs="Times New Roman"/>
        </w:rPr>
        <w:t xml:space="preserve">I/1- 2653/1-23 </w:t>
      </w:r>
      <w:r w:rsidR="000D715B">
        <w:rPr>
          <w:rFonts w:ascii="Times New Roman" w:eastAsiaTheme="minorEastAsia" w:hAnsi="Times New Roman" w:cs="Times New Roman"/>
          <w:color w:val="auto"/>
          <w:lang w:val="en-US"/>
        </w:rPr>
        <w:t xml:space="preserve">od </w:t>
      </w:r>
      <w:bookmarkStart w:id="0" w:name="_GoBack"/>
      <w:bookmarkEnd w:id="0"/>
      <w:r w:rsidR="00C2301E" w:rsidRPr="008624AC">
        <w:rPr>
          <w:rFonts w:ascii="Times New Roman" w:eastAsiaTheme="minorEastAsia" w:hAnsi="Times New Roman" w:cs="Times New Roman"/>
          <w:color w:val="auto"/>
          <w:lang w:val="en-US"/>
        </w:rPr>
        <w:t>16 02.2023.godine</w:t>
      </w:r>
      <w:r w:rsidRPr="008624AC">
        <w:rPr>
          <w:rFonts w:ascii="Times New Roman" w:eastAsiaTheme="minorEastAsia" w:hAnsi="Times New Roman" w:cs="Times New Roman"/>
          <w:color w:val="auto"/>
          <w:lang w:val="en-US"/>
        </w:rPr>
        <w:t>)</w:t>
      </w:r>
    </w:p>
    <w:sectPr w:rsidR="009C6941" w:rsidRPr="008624AC" w:rsidSect="008624AC">
      <w:type w:val="continuous"/>
      <w:pgSz w:w="11902" w:h="16862"/>
      <w:pgMar w:top="0" w:right="662" w:bottom="281" w:left="97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3C6" w:rsidRDefault="006963C6" w:rsidP="00B9526A">
      <w:pPr>
        <w:spacing w:after="0" w:line="240" w:lineRule="auto"/>
      </w:pPr>
      <w:r>
        <w:separator/>
      </w:r>
    </w:p>
  </w:endnote>
  <w:endnote w:type="continuationSeparator" w:id="0">
    <w:p w:rsidR="006963C6" w:rsidRDefault="006963C6" w:rsidP="00B9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3C6" w:rsidRDefault="006963C6" w:rsidP="00B9526A">
      <w:pPr>
        <w:spacing w:after="0" w:line="240" w:lineRule="auto"/>
      </w:pPr>
      <w:r>
        <w:separator/>
      </w:r>
    </w:p>
  </w:footnote>
  <w:footnote w:type="continuationSeparator" w:id="0">
    <w:p w:rsidR="006963C6" w:rsidRDefault="006963C6" w:rsidP="00B95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54B7"/>
    <w:multiLevelType w:val="hybridMultilevel"/>
    <w:tmpl w:val="4F722740"/>
    <w:lvl w:ilvl="0" w:tplc="06CC2230">
      <w:start w:val="1"/>
      <w:numFmt w:val="bullet"/>
      <w:lvlText w:val="•"/>
      <w:lvlJc w:val="left"/>
      <w:pPr>
        <w:ind w:left="7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EE259CA">
      <w:start w:val="1"/>
      <w:numFmt w:val="bullet"/>
      <w:lvlText w:val="o"/>
      <w:lvlJc w:val="left"/>
      <w:pPr>
        <w:ind w:left="15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5527826">
      <w:start w:val="1"/>
      <w:numFmt w:val="bullet"/>
      <w:lvlText w:val="▪"/>
      <w:lvlJc w:val="left"/>
      <w:pPr>
        <w:ind w:left="22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23E3E66">
      <w:start w:val="1"/>
      <w:numFmt w:val="bullet"/>
      <w:lvlText w:val="•"/>
      <w:lvlJc w:val="left"/>
      <w:pPr>
        <w:ind w:left="29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51CBE48">
      <w:start w:val="1"/>
      <w:numFmt w:val="bullet"/>
      <w:lvlText w:val="o"/>
      <w:lvlJc w:val="left"/>
      <w:pPr>
        <w:ind w:left="37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E326C4C">
      <w:start w:val="1"/>
      <w:numFmt w:val="bullet"/>
      <w:lvlText w:val="▪"/>
      <w:lvlJc w:val="left"/>
      <w:pPr>
        <w:ind w:left="44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79E4696">
      <w:start w:val="1"/>
      <w:numFmt w:val="bullet"/>
      <w:lvlText w:val="•"/>
      <w:lvlJc w:val="left"/>
      <w:pPr>
        <w:ind w:left="5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C9C8A74">
      <w:start w:val="1"/>
      <w:numFmt w:val="bullet"/>
      <w:lvlText w:val="o"/>
      <w:lvlJc w:val="left"/>
      <w:pPr>
        <w:ind w:left="5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60E53DE">
      <w:start w:val="1"/>
      <w:numFmt w:val="bullet"/>
      <w:lvlText w:val="▪"/>
      <w:lvlJc w:val="left"/>
      <w:pPr>
        <w:ind w:left="6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41"/>
    <w:rsid w:val="000D715B"/>
    <w:rsid w:val="002962AB"/>
    <w:rsid w:val="00310038"/>
    <w:rsid w:val="006164C9"/>
    <w:rsid w:val="006963C6"/>
    <w:rsid w:val="007A584D"/>
    <w:rsid w:val="007A5F33"/>
    <w:rsid w:val="008624AC"/>
    <w:rsid w:val="009803F8"/>
    <w:rsid w:val="00994A6E"/>
    <w:rsid w:val="009B3A31"/>
    <w:rsid w:val="009B3CF4"/>
    <w:rsid w:val="009C6941"/>
    <w:rsid w:val="00AA3B63"/>
    <w:rsid w:val="00AE091D"/>
    <w:rsid w:val="00AE1934"/>
    <w:rsid w:val="00B9526A"/>
    <w:rsid w:val="00BF5C48"/>
    <w:rsid w:val="00C14439"/>
    <w:rsid w:val="00C2301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8D11A"/>
  <w15:docId w15:val="{2DEE2DC6-26CD-4A12-B18F-6677DE5D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9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26A"/>
    <w:rPr>
      <w:rFonts w:ascii="Calibri" w:eastAsia="Calibri" w:hAnsi="Calibri" w:cs="Calibri"/>
      <w:color w:val="000000"/>
    </w:rPr>
  </w:style>
  <w:style w:type="paragraph" w:styleId="Footer">
    <w:name w:val="footer"/>
    <w:basedOn w:val="Normal"/>
    <w:link w:val="FooterChar"/>
    <w:uiPriority w:val="99"/>
    <w:unhideWhenUsed/>
    <w:rsid w:val="00B9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26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C2FB9-7523-48E7-8BDB-18006455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Borovinić</dc:creator>
  <cp:keywords/>
  <cp:lastModifiedBy>Dženana Tuzović</cp:lastModifiedBy>
  <cp:revision>20</cp:revision>
  <dcterms:created xsi:type="dcterms:W3CDTF">2025-10-09T11:44:00Z</dcterms:created>
  <dcterms:modified xsi:type="dcterms:W3CDTF">2025-10-13T06:52:00Z</dcterms:modified>
</cp:coreProperties>
</file>