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715429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  <w:lang w:val="hr-BA"/>
        </w:rPr>
      </w:pPr>
      <w:r w:rsidRPr="00715429">
        <w:rPr>
          <w:rFonts w:ascii="Cambria" w:hAnsi="Cambria" w:cs="Cambria"/>
          <w:noProof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CRNA GORA</w:t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MINISTARSTVO FINANSIJA</w:t>
      </w:r>
    </w:p>
    <w:p w:rsidR="0082570B" w:rsidRPr="00715429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Direktorat</w:t>
      </w:r>
      <w:r w:rsidR="0082570B" w:rsidRPr="00715429">
        <w:rPr>
          <w:b/>
          <w:bCs/>
          <w:noProof/>
          <w:sz w:val="28"/>
          <w:szCs w:val="28"/>
          <w:lang w:val="hr-BA"/>
        </w:rPr>
        <w:t xml:space="preserve"> za ekonomsku politiku i razvoj</w:t>
      </w:r>
    </w:p>
    <w:p w:rsidR="0082570B" w:rsidRPr="00715429" w:rsidRDefault="0082570B" w:rsidP="00D61692">
      <w:pPr>
        <w:rPr>
          <w:rFonts w:cs="Calibri"/>
          <w:noProof/>
          <w:lang w:val="hr-BA"/>
        </w:rPr>
      </w:pPr>
    </w:p>
    <w:p w:rsidR="0082570B" w:rsidRPr="00715429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  <w:lang w:val="hr-BA"/>
        </w:rPr>
      </w:pPr>
      <w:r w:rsidRPr="00715429">
        <w:rPr>
          <w:rFonts w:cs="Calibri"/>
          <w:b/>
          <w:bCs/>
          <w:iCs/>
          <w:noProof/>
          <w:sz w:val="52"/>
          <w:szCs w:val="52"/>
          <w:lang w:val="hr-BA"/>
        </w:rPr>
        <w:t>MJESEČNI MAKROEKONOMSKI INDIKATORI</w:t>
      </w:r>
    </w:p>
    <w:p w:rsidR="0082570B" w:rsidRPr="00715429" w:rsidRDefault="00391CC7" w:rsidP="0002564B">
      <w:pPr>
        <w:spacing w:line="240" w:lineRule="auto"/>
        <w:jc w:val="center"/>
        <w:outlineLvl w:val="0"/>
        <w:rPr>
          <w:rFonts w:cs="Calibri"/>
          <w:b/>
          <w:bCs/>
          <w:noProof/>
          <w:sz w:val="32"/>
          <w:szCs w:val="32"/>
          <w:lang w:val="hr-BA"/>
        </w:rPr>
      </w:pPr>
      <w:r>
        <w:rPr>
          <w:rFonts w:cs="Calibri"/>
          <w:b/>
          <w:bCs/>
          <w:noProof/>
          <w:sz w:val="32"/>
          <w:szCs w:val="32"/>
          <w:lang w:val="hr-BA"/>
        </w:rPr>
        <w:t>Mart</w:t>
      </w:r>
      <w:r w:rsidR="007D0106" w:rsidRPr="00715429">
        <w:rPr>
          <w:rFonts w:cs="Calibri"/>
          <w:b/>
          <w:bCs/>
          <w:noProof/>
          <w:sz w:val="32"/>
          <w:szCs w:val="32"/>
          <w:lang w:val="hr-BA"/>
        </w:rPr>
        <w:t xml:space="preserve"> </w:t>
      </w:r>
      <w:r w:rsidR="006D2B20" w:rsidRPr="00715429">
        <w:rPr>
          <w:rFonts w:cs="Calibri"/>
          <w:b/>
          <w:bCs/>
          <w:noProof/>
          <w:sz w:val="32"/>
          <w:szCs w:val="32"/>
          <w:lang w:val="hr-BA"/>
        </w:rPr>
        <w:t>2014</w:t>
      </w:r>
      <w:r w:rsidR="0082570B" w:rsidRPr="00715429">
        <w:rPr>
          <w:rFonts w:cs="Calibri"/>
          <w:b/>
          <w:bCs/>
          <w:noProof/>
          <w:sz w:val="32"/>
          <w:szCs w:val="32"/>
          <w:lang w:val="hr-BA"/>
        </w:rPr>
        <w:t>.</w:t>
      </w:r>
    </w:p>
    <w:p w:rsidR="0082570B" w:rsidRPr="00715429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</w:p>
    <w:p w:rsidR="0082570B" w:rsidRPr="00715429" w:rsidRDefault="00A423C3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  <w:r w:rsidRPr="00715429"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2516065</wp:posOffset>
            </wp:positionH>
            <wp:positionV relativeFrom="paragraph">
              <wp:posOffset>38051</wp:posOffset>
            </wp:positionV>
            <wp:extent cx="5474384" cy="5022166"/>
            <wp:effectExtent l="19050" t="0" r="0" b="0"/>
            <wp:wrapNone/>
            <wp:docPr id="7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84" cy="50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0B" w:rsidRPr="00715429" w:rsidRDefault="00CF1DF9" w:rsidP="00D20CDA">
      <w:pPr>
        <w:spacing w:after="0" w:line="240" w:lineRule="auto"/>
        <w:rPr>
          <w:rFonts w:cs="Calibri"/>
          <w:bCs/>
          <w:noProof/>
          <w:sz w:val="28"/>
          <w:szCs w:val="28"/>
          <w:lang w:val="hr-BA"/>
        </w:rPr>
      </w:pPr>
      <w:r w:rsidRPr="00CF1DF9">
        <w:rPr>
          <w:noProof/>
          <w:lang w:val="hr-B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1pt;margin-top:363pt;width:234.35pt;height:338pt;rotation:-360;z-index:-251658240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9C5011" w:rsidRDefault="009C5011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9C5011" w:rsidRDefault="009C5011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9C5011" w:rsidRPr="001021CB" w:rsidRDefault="001021CB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</w:rPr>
                  </w:pPr>
                  <w:r w:rsidRPr="001021CB">
                    <w:rPr>
                      <w:rFonts w:asciiTheme="minorHAnsi" w:hAnsiTheme="minorHAnsi"/>
                      <w:b/>
                      <w:szCs w:val="20"/>
                    </w:rPr>
                    <w:t>Industrijska proizvodnja u februaru bilježi rast od 5,7%</w:t>
                  </w:r>
                </w:p>
                <w:p w:rsidR="009C5011" w:rsidRPr="001021CB" w:rsidRDefault="009C5011" w:rsidP="00D800B5">
                  <w:pPr>
                    <w:pStyle w:val="NoSpacing"/>
                    <w:ind w:left="567"/>
                    <w:rPr>
                      <w:b/>
                      <w:szCs w:val="20"/>
                    </w:rPr>
                  </w:pPr>
                </w:p>
                <w:p w:rsidR="009C5011" w:rsidRPr="001021CB" w:rsidRDefault="001021CB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</w:rPr>
                  </w:pPr>
                  <w:r w:rsidRPr="001021CB">
                    <w:rPr>
                      <w:rFonts w:asciiTheme="minorHAnsi" w:hAnsiTheme="minorHAnsi"/>
                      <w:b/>
                      <w:szCs w:val="20"/>
                    </w:rPr>
                    <w:t>Harmonizovani indeks potrošačkih cijena (HICP) u februaru 2014. pokazuje nultu stopa godišnje inflacije</w:t>
                  </w:r>
                </w:p>
                <w:p w:rsidR="001021CB" w:rsidRPr="001021CB" w:rsidRDefault="001021CB" w:rsidP="001021CB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</w:rPr>
                  </w:pPr>
                </w:p>
                <w:p w:rsidR="001021CB" w:rsidRPr="001021CB" w:rsidRDefault="001021CB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</w:rPr>
                  </w:pPr>
                  <w:r w:rsidRPr="001021CB">
                    <w:rPr>
                      <w:b/>
                      <w:bCs/>
                      <w:szCs w:val="18"/>
                      <w:lang w:val="sr-Latn-CS"/>
                    </w:rPr>
                    <w:t>Izvorni prihodi budžeta Crne Gore u februaru 2014. godine iznosili su 81,38 mil. € i  veći su za 7,5% u odnosu na februar 2013. godine</w:t>
                  </w:r>
                </w:p>
                <w:p w:rsidR="009C5011" w:rsidRPr="001021CB" w:rsidRDefault="009C5011" w:rsidP="00D800B5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</w:rPr>
                  </w:pPr>
                </w:p>
                <w:p w:rsidR="009C5011" w:rsidRPr="001021CB" w:rsidRDefault="001021CB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1021CB">
                    <w:rPr>
                      <w:rFonts w:asciiTheme="minorHAnsi" w:hAnsiTheme="minorHAnsi"/>
                      <w:b/>
                      <w:szCs w:val="20"/>
                    </w:rPr>
                    <w:t>Krediti na godišnjem nivou zabilježili pad od 3,7%.</w:t>
                  </w:r>
                </w:p>
                <w:p w:rsidR="001021CB" w:rsidRPr="001021CB" w:rsidRDefault="001021CB" w:rsidP="001021CB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</w:rPr>
                  </w:pPr>
                </w:p>
                <w:p w:rsidR="009C5011" w:rsidRPr="001021CB" w:rsidRDefault="001021CB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</w:rPr>
                  </w:pPr>
                  <w:r w:rsidRPr="001021CB">
                    <w:rPr>
                      <w:rFonts w:cstheme="minorHAnsi"/>
                      <w:b/>
                      <w:szCs w:val="20"/>
                    </w:rPr>
                    <w:t>Spoljnotrgovinski deficit</w:t>
                  </w:r>
                  <w:r w:rsidR="005A054F">
                    <w:rPr>
                      <w:rFonts w:cstheme="minorHAnsi"/>
                      <w:b/>
                      <w:szCs w:val="20"/>
                    </w:rPr>
                    <w:t xml:space="preserve"> </w:t>
                  </w:r>
                  <w:r w:rsidRPr="001021CB">
                    <w:rPr>
                      <w:rFonts w:cstheme="minorHAnsi"/>
                      <w:b/>
                      <w:szCs w:val="20"/>
                    </w:rPr>
                    <w:t>manji  8,6% . Pad izvoza i uvoza za 24,4 i 12,7%,</w:t>
                  </w:r>
                </w:p>
                <w:p w:rsidR="009C5011" w:rsidRPr="00D800B5" w:rsidRDefault="009C5011" w:rsidP="00D800B5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</w:rPr>
                  </w:pPr>
                </w:p>
              </w:txbxContent>
            </v:textbox>
            <w10:wrap type="tight" anchorx="margin" anchory="margin"/>
          </v:shape>
        </w:pict>
      </w:r>
    </w:p>
    <w:p w:rsidR="0082570B" w:rsidRPr="00715429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  <w:lang w:val="hr-BA"/>
        </w:rPr>
      </w:pPr>
    </w:p>
    <w:p w:rsidR="0082570B" w:rsidRPr="00715429" w:rsidRDefault="0082570B" w:rsidP="00D61692">
      <w:pPr>
        <w:pStyle w:val="NoSpacing"/>
        <w:rPr>
          <w:bCs/>
          <w:iCs/>
          <w:noProof/>
          <w:sz w:val="26"/>
          <w:szCs w:val="26"/>
          <w:lang w:val="hr-BA"/>
        </w:rPr>
      </w:pPr>
    </w:p>
    <w:p w:rsidR="0082570B" w:rsidRPr="00715429" w:rsidRDefault="0082570B" w:rsidP="00694445">
      <w:pPr>
        <w:pStyle w:val="NoSpacing"/>
        <w:rPr>
          <w:bCs/>
          <w:noProof/>
          <w:sz w:val="28"/>
          <w:szCs w:val="20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  <w:r w:rsidRPr="00715429">
        <w:rPr>
          <w:b/>
          <w:bCs/>
          <w:noProof/>
          <w:color w:val="000000"/>
          <w:sz w:val="16"/>
          <w:szCs w:val="16"/>
          <w:lang w:val="hr-BA"/>
        </w:rPr>
        <w:t xml:space="preserve">Autori priloga: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Radovan Živković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 Radojka Martinović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, Olja Tomanović, </w:t>
      </w:r>
      <w:r w:rsidR="00074D6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Stanko Jeknić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C646AC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EB54F9">
        <w:rPr>
          <w:bCs/>
          <w:noProof/>
          <w:color w:val="000000"/>
          <w:sz w:val="16"/>
          <w:szCs w:val="16"/>
          <w:lang w:val="hr-BA"/>
        </w:rPr>
        <w:t>Vesna Obradović</w:t>
      </w:r>
      <w:r w:rsidR="004B5F63" w:rsidRPr="00715429">
        <w:rPr>
          <w:bCs/>
          <w:noProof/>
          <w:color w:val="000000"/>
          <w:sz w:val="16"/>
          <w:szCs w:val="16"/>
          <w:lang w:val="hr-BA"/>
        </w:rPr>
        <w:t>, Marija Novosel</w:t>
      </w:r>
      <w:r w:rsidR="00A423C3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 xml:space="preserve"> Zdenka</w:t>
      </w:r>
      <w:r w:rsidR="00F03604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Dabović</w:t>
      </w:r>
      <w:r w:rsidR="00A67F78" w:rsidRPr="00715429">
        <w:rPr>
          <w:bCs/>
          <w:noProof/>
          <w:color w:val="000000"/>
          <w:sz w:val="16"/>
          <w:szCs w:val="16"/>
          <w:lang w:val="hr-BA"/>
        </w:rPr>
        <w:t xml:space="preserve">, Milanka Jovanović </w:t>
      </w: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noProof/>
          <w:lang w:val="hr-BA"/>
        </w:rPr>
      </w:pPr>
    </w:p>
    <w:tbl>
      <w:tblPr>
        <w:tblpPr w:leftFromText="180" w:rightFromText="180" w:vertAnchor="text" w:tblpX="108" w:tblpY="1"/>
        <w:tblOverlap w:val="never"/>
        <w:tblW w:w="10710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/>
      </w:tblPr>
      <w:tblGrid>
        <w:gridCol w:w="6946"/>
        <w:gridCol w:w="3652"/>
        <w:gridCol w:w="112"/>
      </w:tblGrid>
      <w:tr w:rsidR="0082570B" w:rsidRPr="00715429" w:rsidTr="00431253">
        <w:trPr>
          <w:gridAfter w:val="1"/>
          <w:wAfter w:w="112" w:type="dxa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5065E6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</w:pPr>
            <w:r w:rsidRPr="00715429"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  <w:t>Međunarodno okruženje</w:t>
            </w:r>
          </w:p>
        </w:tc>
        <w:tc>
          <w:tcPr>
            <w:tcW w:w="3652" w:type="dxa"/>
            <w:vMerge w:val="restart"/>
            <w:tcBorders>
              <w:bottom w:val="nil"/>
            </w:tcBorders>
            <w:vAlign w:val="center"/>
          </w:tcPr>
          <w:p w:rsidR="0082570B" w:rsidRPr="00715429" w:rsidRDefault="00052732" w:rsidP="001D21BD">
            <w:pPr>
              <w:spacing w:after="0" w:line="240" w:lineRule="auto"/>
              <w:jc w:val="center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  <w:r w:rsidRPr="00052732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89150" cy="1968500"/>
                  <wp:effectExtent l="0" t="0" r="0" b="0"/>
                  <wp:docPr id="9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2570B" w:rsidRPr="00715429" w:rsidTr="00431253">
        <w:trPr>
          <w:gridAfter w:val="1"/>
          <w:wAfter w:w="112" w:type="dxa"/>
          <w:trHeight w:hRule="exact" w:val="3226"/>
        </w:trPr>
        <w:tc>
          <w:tcPr>
            <w:tcW w:w="6946" w:type="dxa"/>
            <w:tcBorders>
              <w:top w:val="single" w:sz="4" w:space="0" w:color="auto"/>
            </w:tcBorders>
          </w:tcPr>
          <w:p w:rsidR="00052732" w:rsidRPr="00294F39" w:rsidRDefault="00052732" w:rsidP="00052732">
            <w:pPr>
              <w:spacing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  <w:lang w:val="sl-SI"/>
              </w:rPr>
            </w:pPr>
            <w:r w:rsidRPr="00294F39">
              <w:rPr>
                <w:rFonts w:cs="Calibri"/>
                <w:b/>
                <w:bCs/>
                <w:sz w:val="20"/>
                <w:szCs w:val="20"/>
                <w:lang w:val="sl-SI"/>
              </w:rPr>
              <w:t>Analiza konkurentnosti na osnovu REER-a (realni efekt</w:t>
            </w:r>
            <w:r w:rsidR="001672AB">
              <w:rPr>
                <w:rFonts w:cs="Calibri"/>
                <w:b/>
                <w:bCs/>
                <w:sz w:val="20"/>
                <w:szCs w:val="20"/>
                <w:lang w:val="sl-SI"/>
              </w:rPr>
              <w:t xml:space="preserve">ivni kurs) pokazuje slabljenje </w:t>
            </w:r>
            <w:r w:rsidRPr="00294F39">
              <w:rPr>
                <w:rFonts w:cs="Calibri"/>
                <w:b/>
                <w:bCs/>
                <w:sz w:val="20"/>
                <w:szCs w:val="20"/>
                <w:lang w:val="sl-SI"/>
              </w:rPr>
              <w:t>konkurentske pozicije Crne Gore kroz jačanje realnog kursa eura</w:t>
            </w:r>
            <w:r w:rsidRPr="00294F39">
              <w:rPr>
                <w:rFonts w:cs="Calibri"/>
                <w:bCs/>
                <w:sz w:val="20"/>
                <w:szCs w:val="20"/>
                <w:lang w:val="sl-SI"/>
              </w:rPr>
              <w:t>. Analiza mjesečnog REER je urađena na osnovu pondera za 25 zemalja s kojima Crna Gora ima spoljnotrgovinsku razmjenu i koje obuhvataju 93,9% spoljnotrgovinske razmjene i predstavlja realnu vrijednost korpe valuta zemalja s kojima Crna Gora obavlja spoljnotrgovinsku razmjenu. Model koristi ponderisani geometrijski prosjek za računanje nominalnog efektivnog kursa pondera za CPI (inflaciju). Rast efektivnog realnog kursa znači skuplji izvoz i jeftiniji uvoz roba i usluga. Model rasta</w:t>
            </w:r>
            <w:r w:rsidR="00707E96">
              <w:rPr>
                <w:rFonts w:cs="Calibri"/>
                <w:bCs/>
                <w:sz w:val="20"/>
                <w:szCs w:val="20"/>
                <w:lang w:val="sl-SI"/>
              </w:rPr>
              <w:t xml:space="preserve"> ekonomske aktivnosti oslonjen </w:t>
            </w:r>
            <w:r w:rsidRPr="00294F39">
              <w:rPr>
                <w:rFonts w:cs="Calibri"/>
                <w:bCs/>
                <w:sz w:val="20"/>
                <w:szCs w:val="20"/>
                <w:lang w:val="sl-SI"/>
              </w:rPr>
              <w:t>je</w:t>
            </w:r>
            <w:r w:rsidR="00042CE6">
              <w:rPr>
                <w:rFonts w:cs="Calibri"/>
                <w:bCs/>
                <w:sz w:val="20"/>
                <w:szCs w:val="20"/>
                <w:lang w:val="sl-SI"/>
              </w:rPr>
              <w:t xml:space="preserve"> </w:t>
            </w:r>
            <w:r w:rsidRPr="00294F39">
              <w:rPr>
                <w:rFonts w:cs="Calibri"/>
                <w:bCs/>
                <w:sz w:val="20"/>
                <w:szCs w:val="20"/>
                <w:lang w:val="sl-SI"/>
              </w:rPr>
              <w:t xml:space="preserve">na uvozne komponente, rast izvoznog sektora povlači rast uvoza proizvoda. Jači efektivni kurs znači da npr. naša turistička ponuda postaje manje atraktivna u odnosu na konkurenciju. U isto vrijeme uvoz proizvoda postaje jeftiniji, pa je realno da bi smanjenje troškova trebalo da se odrazi na niže cijene turističke ponude. </w:t>
            </w:r>
          </w:p>
          <w:p w:rsidR="00F61509" w:rsidRPr="00715429" w:rsidRDefault="00F61509" w:rsidP="004C206D">
            <w:pPr>
              <w:spacing w:line="240" w:lineRule="auto"/>
              <w:jc w:val="both"/>
              <w:rPr>
                <w:sz w:val="20"/>
                <w:lang w:val="hr-BA"/>
              </w:rPr>
            </w:pPr>
          </w:p>
          <w:p w:rsidR="00754D46" w:rsidRPr="00715429" w:rsidRDefault="00754D46" w:rsidP="001D21BD">
            <w:pPr>
              <w:shd w:val="clear" w:color="auto" w:fill="FFFFFF"/>
              <w:spacing w:line="240" w:lineRule="auto"/>
              <w:jc w:val="both"/>
              <w:textAlignment w:val="top"/>
              <w:rPr>
                <w:noProof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  <w:vAlign w:val="center"/>
          </w:tcPr>
          <w:p w:rsidR="0082570B" w:rsidRPr="00715429" w:rsidRDefault="0082570B" w:rsidP="001D21BD">
            <w:pPr>
              <w:spacing w:after="0" w:line="240" w:lineRule="auto"/>
              <w:ind w:left="34" w:hanging="34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</w:p>
        </w:tc>
      </w:tr>
      <w:tr w:rsidR="0082570B" w:rsidRPr="00715429" w:rsidTr="00431253">
        <w:trPr>
          <w:gridAfter w:val="1"/>
          <w:wAfter w:w="11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8A31C0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  <w:noProof/>
                <w:lang w:val="hr-BA"/>
              </w:rPr>
            </w:pPr>
            <w:r w:rsidRPr="00715429">
              <w:rPr>
                <w:rStyle w:val="CaptionChar"/>
                <w:noProof/>
                <w:lang w:val="hr-BA"/>
              </w:rPr>
              <w:t>Realni sektor</w:t>
            </w:r>
          </w:p>
        </w:tc>
        <w:tc>
          <w:tcPr>
            <w:tcW w:w="3652" w:type="dxa"/>
            <w:vMerge w:val="restart"/>
            <w:vAlign w:val="center"/>
          </w:tcPr>
          <w:p w:rsidR="0082570B" w:rsidRPr="00715429" w:rsidRDefault="004F31D0" w:rsidP="001D21BD">
            <w:pPr>
              <w:spacing w:after="0" w:line="240" w:lineRule="auto"/>
              <w:ind w:left="-250"/>
              <w:jc w:val="center"/>
              <w:rPr>
                <w:noProof/>
                <w:lang w:val="hr-BA"/>
              </w:rPr>
            </w:pPr>
            <w:r w:rsidRPr="004F31D0">
              <w:rPr>
                <w:noProof/>
              </w:rPr>
              <w:drawing>
                <wp:inline distT="0" distB="0" distL="0" distR="0">
                  <wp:extent cx="2160000" cy="1800000"/>
                  <wp:effectExtent l="0" t="0" r="0" b="0"/>
                  <wp:docPr id="6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D0106" w:rsidRPr="00715429" w:rsidTr="00AB356D">
        <w:trPr>
          <w:gridAfter w:val="1"/>
          <w:wAfter w:w="112" w:type="dxa"/>
          <w:trHeight w:hRule="exact" w:val="3572"/>
        </w:trPr>
        <w:tc>
          <w:tcPr>
            <w:tcW w:w="6946" w:type="dxa"/>
            <w:tcBorders>
              <w:top w:val="single" w:sz="4" w:space="0" w:color="auto"/>
            </w:tcBorders>
          </w:tcPr>
          <w:p w:rsidR="004F31D0" w:rsidRDefault="004F31D0" w:rsidP="004F31D0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E5483">
              <w:rPr>
                <w:b/>
                <w:sz w:val="20"/>
                <w:szCs w:val="20"/>
              </w:rPr>
              <w:t xml:space="preserve">Dostupni pokazatelji aktivnosti realnog sektora u </w:t>
            </w:r>
            <w:r>
              <w:rPr>
                <w:b/>
                <w:sz w:val="20"/>
                <w:szCs w:val="20"/>
              </w:rPr>
              <w:t>februaru 2014. godine</w:t>
            </w:r>
            <w:r w:rsidRPr="008E5483">
              <w:rPr>
                <w:b/>
                <w:sz w:val="20"/>
                <w:szCs w:val="20"/>
              </w:rPr>
              <w:t xml:space="preserve"> pokazuju rast u većini oblasti</w:t>
            </w:r>
            <w:r w:rsidRPr="005903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Promet u trgovini na malo bilježi </w:t>
            </w:r>
            <w:r w:rsidR="00C025D3">
              <w:rPr>
                <w:sz w:val="20"/>
                <w:szCs w:val="20"/>
              </w:rPr>
              <w:t>niži</w:t>
            </w:r>
            <w:r>
              <w:rPr>
                <w:sz w:val="20"/>
                <w:szCs w:val="20"/>
              </w:rPr>
              <w:t xml:space="preserve"> rast u odnosu na prethodnu godinu (visoka osnova u 2013. godini usljed reklasifikacije trgovačkog lanca iz veleprodaje u maloprodaju). Godišnji rast u maloprodaji u februaru 2014. godine (tekuće cijene) iznosio je 4,9%, dok je za period januar-februar zabilježen rast prometa od 1,4%. Industrijska proizvodnja u februaru bilježi rast od 5,7%, dok je rast od početka godine iznosio 6,5%. Godišnji rast industrijske proizvodnje (5,7%) </w:t>
            </w:r>
            <w:r w:rsidRPr="00590315">
              <w:rPr>
                <w:sz w:val="20"/>
                <w:szCs w:val="20"/>
              </w:rPr>
              <w:t xml:space="preserve">dominantno </w:t>
            </w:r>
            <w:r>
              <w:rPr>
                <w:sz w:val="20"/>
                <w:szCs w:val="20"/>
              </w:rPr>
              <w:t>je opredijeljen</w:t>
            </w:r>
            <w:r w:rsidRPr="00590315">
              <w:rPr>
                <w:sz w:val="20"/>
                <w:szCs w:val="20"/>
              </w:rPr>
              <w:t xml:space="preserve"> rastom </w:t>
            </w:r>
            <w:r>
              <w:rPr>
                <w:sz w:val="20"/>
                <w:szCs w:val="20"/>
              </w:rPr>
              <w:t xml:space="preserve">u sektoru “prerađivačka industrija“ </w:t>
            </w:r>
            <w:r w:rsidRPr="00590315">
              <w:rPr>
                <w:sz w:val="20"/>
                <w:szCs w:val="20"/>
              </w:rPr>
              <w:t xml:space="preserve">(29,6%, usljed povećane proizvodnje hrane, pića i farmaceutskih proizvoda), dok je proizvodnja </w:t>
            </w:r>
            <w:r>
              <w:rPr>
                <w:sz w:val="20"/>
                <w:szCs w:val="20"/>
              </w:rPr>
              <w:t xml:space="preserve">u sektoru „snabdijevanje el.energijom, gasom i parom“ </w:t>
            </w:r>
            <w:r w:rsidRPr="00590315">
              <w:rPr>
                <w:sz w:val="20"/>
                <w:szCs w:val="20"/>
              </w:rPr>
              <w:t>zabilježila pad od 9,4%</w:t>
            </w:r>
            <w:r>
              <w:rPr>
                <w:sz w:val="20"/>
                <w:szCs w:val="20"/>
              </w:rPr>
              <w:t xml:space="preserve"> </w:t>
            </w:r>
            <w:r w:rsidRPr="00590315">
              <w:rPr>
                <w:sz w:val="20"/>
                <w:szCs w:val="20"/>
              </w:rPr>
              <w:t>( visoka osnova iz prethodne godine</w:t>
            </w:r>
            <w:r>
              <w:rPr>
                <w:sz w:val="20"/>
                <w:szCs w:val="20"/>
              </w:rPr>
              <w:t>). Turistički promet u februaru bilježi rast dolazaka (6,1%) i noćenja (2,7%) turista u odnosu na februar 2013. godine. Od ukupnog broja noćenja najviše je ostvareno u Herceg Novom (25,9%), Tivtu (17,4%), Budvi (15,0%) i Kolašinu (12,5%).</w:t>
            </w:r>
          </w:p>
          <w:p w:rsidR="00220B59" w:rsidRPr="00715429" w:rsidRDefault="00220B59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hr-BA"/>
              </w:rPr>
            </w:pPr>
          </w:p>
          <w:p w:rsidR="007D0106" w:rsidRPr="00715429" w:rsidRDefault="007D0106" w:rsidP="001D21BD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  <w:lang w:val="hr-BA"/>
              </w:rPr>
            </w:pPr>
          </w:p>
          <w:p w:rsidR="00B355D6" w:rsidRPr="00715429" w:rsidRDefault="00B355D6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vAlign w:val="center"/>
          </w:tcPr>
          <w:p w:rsidR="007D0106" w:rsidRPr="00715429" w:rsidRDefault="007D0106" w:rsidP="001D21BD">
            <w:pPr>
              <w:spacing w:after="119" w:line="240" w:lineRule="auto"/>
              <w:jc w:val="center"/>
              <w:rPr>
                <w:noProof/>
                <w:lang w:val="hr-BA"/>
              </w:rPr>
            </w:pPr>
          </w:p>
        </w:tc>
      </w:tr>
      <w:tr w:rsidR="007D0106" w:rsidRPr="00715429" w:rsidTr="00431253">
        <w:trPr>
          <w:gridAfter w:val="1"/>
          <w:wAfter w:w="11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7D0106" w:rsidRPr="00715429" w:rsidRDefault="008A31C0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Cijene</w:t>
            </w:r>
          </w:p>
        </w:tc>
        <w:tc>
          <w:tcPr>
            <w:tcW w:w="3652" w:type="dxa"/>
            <w:vMerge w:val="restart"/>
            <w:vAlign w:val="center"/>
          </w:tcPr>
          <w:p w:rsidR="007D0106" w:rsidRPr="00715429" w:rsidRDefault="00E0598B" w:rsidP="001D21BD">
            <w:pPr>
              <w:spacing w:after="0" w:line="240" w:lineRule="auto"/>
              <w:ind w:left="-250"/>
              <w:jc w:val="center"/>
              <w:rPr>
                <w:b/>
                <w:noProof/>
                <w:sz w:val="20"/>
                <w:szCs w:val="20"/>
                <w:lang w:val="hr-BA"/>
              </w:rPr>
            </w:pPr>
            <w:r w:rsidRPr="00E0598B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242704" cy="1723159"/>
                  <wp:effectExtent l="0" t="0" r="0" b="0"/>
                  <wp:docPr id="5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D0106" w:rsidRPr="00715429" w:rsidTr="00AB356D">
        <w:trPr>
          <w:gridAfter w:val="1"/>
          <w:wAfter w:w="112" w:type="dxa"/>
          <w:trHeight w:hRule="exact" w:val="3572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E0598B" w:rsidRPr="00CF4446" w:rsidRDefault="00E0598B" w:rsidP="00E0598B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4446">
              <w:rPr>
                <w:rFonts w:asciiTheme="minorHAnsi" w:hAnsiTheme="minorHAnsi"/>
                <w:b/>
                <w:sz w:val="20"/>
                <w:szCs w:val="20"/>
              </w:rPr>
              <w:t xml:space="preserve">Harmonizovani indeks potrošačkih cijena (HICP) pokazuje da je u februaru 2014. godine zabilježena nulta stopa godišnje inflacije i mjesečna inflacija od 0,1%. 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>Najviše pozitivne godišnje stope rasta zabilježene su u grupama „alkoholna pića i duvan“(6,9%) usljed rasta cijena duvana od 10,2%, „ hoteli i restorani“(2,2%) usljed rasta cijena usluga smještaja od 6,1% i „zdravlje“(1,9%) usljed rasta cijena farmaceutskih proizvoda od 3,2%, dok su najviše negativne stope rasta zabilježene u grupama „komunikacije“(-4,3%) usljed p</w:t>
            </w:r>
            <w:r w:rsidR="00707E96">
              <w:rPr>
                <w:rFonts w:asciiTheme="minorHAnsi" w:hAnsiTheme="minorHAnsi"/>
                <w:sz w:val="20"/>
                <w:szCs w:val="20"/>
              </w:rPr>
              <w:t>ada cijena telefonske opreme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i usluga od 4,3%, „odjeća i obuća“(-2,2%) usljed pada cijena odjeće od 6,6% i u grupi „rekreacija i kultura“(-2,4%) usljed pada cijena novina i knjiga od 3,5% i cijena rekreacionih i kulturnih usluga od 4,5%. Indeks potrošačkih cijena (CPI) pokazuje da su cijene u februaru niže u odnosu na isti mjesec prethodne godine za 0,6%, dok su u odnosu na prethodni mjesec ostale na istom nivou. Cijene proizvođača industrij</w:t>
            </w:r>
            <w:r w:rsidR="00431253">
              <w:rPr>
                <w:rFonts w:asciiTheme="minorHAnsi" w:hAnsiTheme="minorHAnsi"/>
                <w:sz w:val="20"/>
                <w:szCs w:val="20"/>
              </w:rPr>
              <w:t>skih proizvoda u februaru 2014.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niže su u odnosu na isti mjesec prethodne godine za 1,2%, dok su u odnosu na januar tekuće godine zabilježile rast od 0,3%. </w:t>
            </w:r>
          </w:p>
          <w:p w:rsidR="00E0598B" w:rsidRPr="00CF4446" w:rsidRDefault="00E0598B" w:rsidP="00E0598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24730" w:rsidRPr="00715429" w:rsidRDefault="00124730" w:rsidP="00E0598B">
            <w:pPr>
              <w:spacing w:line="240" w:lineRule="auto"/>
              <w:jc w:val="both"/>
              <w:rPr>
                <w:rFonts w:asciiTheme="minorHAnsi" w:hAnsiTheme="minorHAnsi" w:cs="Arial-ItalicMT"/>
                <w:b/>
                <w:iCs/>
                <w:sz w:val="20"/>
                <w:szCs w:val="20"/>
                <w:lang w:val="hr-BA"/>
              </w:rPr>
            </w:pPr>
          </w:p>
          <w:p w:rsidR="00B355D6" w:rsidRPr="00715429" w:rsidRDefault="00B355D6" w:rsidP="00E0598B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715429" w:rsidRDefault="007D0106" w:rsidP="001D21BD">
            <w:pPr>
              <w:pStyle w:val="NoSpacing"/>
              <w:jc w:val="both"/>
              <w:rPr>
                <w:noProof/>
                <w:sz w:val="20"/>
                <w:szCs w:val="20"/>
                <w:lang w:val="hr-BA"/>
              </w:rPr>
            </w:pPr>
          </w:p>
        </w:tc>
      </w:tr>
      <w:tr w:rsidR="00422784" w:rsidRPr="00715429" w:rsidTr="00431253">
        <w:trPr>
          <w:gridAfter w:val="1"/>
          <w:wAfter w:w="112" w:type="dxa"/>
          <w:trHeight w:hRule="exact" w:val="3515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E34692" w:rsidRPr="00E34692" w:rsidRDefault="002A1639" w:rsidP="00E34692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E3469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Zaposlenost i zarade</w:t>
            </w:r>
          </w:p>
          <w:p w:rsidR="00F8107E" w:rsidRPr="00E34692" w:rsidRDefault="00F8107E" w:rsidP="00E34692">
            <w:pPr>
              <w:pStyle w:val="ListParagraph"/>
              <w:pBdr>
                <w:top w:val="single" w:sz="4" w:space="1" w:color="auto"/>
              </w:pBdr>
              <w:spacing w:after="0" w:line="240" w:lineRule="auto"/>
              <w:ind w:left="0"/>
              <w:jc w:val="both"/>
              <w:rPr>
                <w:sz w:val="20"/>
                <w:szCs w:val="20"/>
                <w:lang w:val="sr-Latn-CS"/>
              </w:rPr>
            </w:pPr>
            <w:r w:rsidRPr="00E34692">
              <w:rPr>
                <w:b/>
                <w:sz w:val="20"/>
                <w:szCs w:val="20"/>
                <w:lang w:val="sr-Latn-CS"/>
              </w:rPr>
              <w:t>Kretanja na tržištu rada pokazuju povećanje zaposlenosti, a</w:t>
            </w:r>
            <w:r w:rsidR="00E34692" w:rsidRPr="00E34692">
              <w:rPr>
                <w:b/>
                <w:sz w:val="20"/>
                <w:szCs w:val="20"/>
                <w:lang w:val="sr-Latn-CS"/>
              </w:rPr>
              <w:t>li</w:t>
            </w:r>
            <w:r w:rsidRPr="00E34692">
              <w:rPr>
                <w:b/>
                <w:sz w:val="20"/>
                <w:szCs w:val="20"/>
                <w:lang w:val="sr-Latn-CS"/>
              </w:rPr>
              <w:t xml:space="preserve"> i povećanja nezaposlenosti</w:t>
            </w:r>
            <w:r w:rsidRPr="00E34692">
              <w:rPr>
                <w:sz w:val="20"/>
                <w:szCs w:val="20"/>
                <w:lang w:val="sr-Latn-CS"/>
              </w:rPr>
              <w:t>. Broj zaposlenih u februaru 2014. je iznosio 168</w:t>
            </w:r>
            <w:r w:rsidR="00E34692" w:rsidRPr="00E34692">
              <w:rPr>
                <w:sz w:val="20"/>
                <w:szCs w:val="20"/>
                <w:lang w:val="sr-Latn-CS"/>
              </w:rPr>
              <w:t>.</w:t>
            </w:r>
            <w:r w:rsidRPr="00E34692">
              <w:rPr>
                <w:sz w:val="20"/>
                <w:szCs w:val="20"/>
                <w:lang w:val="sr-Latn-CS"/>
              </w:rPr>
              <w:t>805,</w:t>
            </w:r>
            <w:r w:rsidR="00E34692">
              <w:rPr>
                <w:sz w:val="20"/>
                <w:szCs w:val="20"/>
                <w:lang w:val="sr-Latn-CS"/>
              </w:rPr>
              <w:t xml:space="preserve"> </w:t>
            </w:r>
            <w:r w:rsidR="00AD2C28">
              <w:rPr>
                <w:sz w:val="20"/>
                <w:szCs w:val="20"/>
                <w:lang w:val="sr-Latn-CS"/>
              </w:rPr>
              <w:t>a povećan je 0,9% godišnje,</w:t>
            </w:r>
            <w:r w:rsidRPr="00E34692">
              <w:rPr>
                <w:sz w:val="20"/>
                <w:szCs w:val="20"/>
                <w:lang w:val="sr-Latn-CS"/>
              </w:rPr>
              <w:t xml:space="preserve"> 0,7% mjesečno i za period 0,5%. Broj nezaposlenih u februaru 2014. je iznosio 34</w:t>
            </w:r>
            <w:r w:rsidR="00E34692">
              <w:rPr>
                <w:sz w:val="20"/>
                <w:szCs w:val="20"/>
                <w:lang w:val="sr-Latn-CS"/>
              </w:rPr>
              <w:t>.</w:t>
            </w:r>
            <w:r w:rsidRPr="00E34692">
              <w:rPr>
                <w:sz w:val="20"/>
                <w:szCs w:val="20"/>
                <w:lang w:val="sr-Latn-CS"/>
              </w:rPr>
              <w:t xml:space="preserve">664, </w:t>
            </w:r>
            <w:r w:rsidR="00E34692">
              <w:rPr>
                <w:sz w:val="20"/>
                <w:szCs w:val="20"/>
                <w:lang w:val="sr-Latn-CS"/>
              </w:rPr>
              <w:t xml:space="preserve">i </w:t>
            </w:r>
            <w:r w:rsidRPr="00E34692">
              <w:rPr>
                <w:sz w:val="20"/>
                <w:szCs w:val="20"/>
                <w:lang w:val="sr-Latn-CS"/>
              </w:rPr>
              <w:t>smanjen je za 0,4%</w:t>
            </w:r>
            <w:r w:rsidR="00E34692">
              <w:rPr>
                <w:sz w:val="20"/>
                <w:szCs w:val="20"/>
                <w:lang w:val="sr-Latn-CS"/>
              </w:rPr>
              <w:t xml:space="preserve"> u odnosu na januar</w:t>
            </w:r>
            <w:r w:rsidRPr="00E34692">
              <w:rPr>
                <w:sz w:val="20"/>
                <w:szCs w:val="20"/>
                <w:lang w:val="sr-Latn-CS"/>
              </w:rPr>
              <w:t xml:space="preserve">, dok je za period povećan 7,6%. Stopa nezaposlenosti je povećana sa 14,1% u 2013. na 14,9% u 2014. Broj lica koja prvi put traže zaposlenje je u februaru 2014. povećan 14,0% u odnosu na februar 2013. (prirast 2358). </w:t>
            </w:r>
            <w:r w:rsidR="00E34692">
              <w:rPr>
                <w:sz w:val="20"/>
                <w:szCs w:val="20"/>
                <w:lang w:val="sr-Latn-CS"/>
              </w:rPr>
              <w:t>U</w:t>
            </w:r>
            <w:r w:rsidRPr="00E34692">
              <w:rPr>
                <w:sz w:val="20"/>
                <w:szCs w:val="20"/>
                <w:lang w:val="sr-Latn-CS"/>
              </w:rPr>
              <w:t xml:space="preserve"> febru</w:t>
            </w:r>
            <w:r w:rsidR="0092378E">
              <w:rPr>
                <w:sz w:val="20"/>
                <w:szCs w:val="20"/>
                <w:lang w:val="sr-Latn-CS"/>
              </w:rPr>
              <w:t>a</w:t>
            </w:r>
            <w:r w:rsidRPr="00E34692">
              <w:rPr>
                <w:sz w:val="20"/>
                <w:szCs w:val="20"/>
                <w:lang w:val="sr-Latn-CS"/>
              </w:rPr>
              <w:t xml:space="preserve">ru 2014. </w:t>
            </w:r>
            <w:r w:rsidR="00E34692">
              <w:rPr>
                <w:sz w:val="20"/>
                <w:szCs w:val="20"/>
                <w:lang w:val="sr-Latn-CS"/>
              </w:rPr>
              <w:t xml:space="preserve">je oglašeno </w:t>
            </w:r>
            <w:r w:rsidRPr="00E34692">
              <w:rPr>
                <w:sz w:val="20"/>
                <w:szCs w:val="20"/>
                <w:lang w:val="sr-Latn-CS"/>
              </w:rPr>
              <w:t xml:space="preserve"> 1051</w:t>
            </w:r>
            <w:r w:rsidR="00E34692">
              <w:rPr>
                <w:sz w:val="20"/>
                <w:szCs w:val="20"/>
                <w:lang w:val="sr-Latn-CS"/>
              </w:rPr>
              <w:t xml:space="preserve"> radnih mjesta</w:t>
            </w:r>
            <w:r w:rsidR="00680A78">
              <w:rPr>
                <w:sz w:val="20"/>
                <w:szCs w:val="20"/>
                <w:lang w:val="sr-Latn-CS"/>
              </w:rPr>
              <w:t xml:space="preserve"> ili 80,3% </w:t>
            </w:r>
            <w:r w:rsidR="00E53719">
              <w:rPr>
                <w:sz w:val="20"/>
                <w:szCs w:val="20"/>
                <w:lang w:val="sr-Latn-CS"/>
              </w:rPr>
              <w:t>više nego u februaru 2013</w:t>
            </w:r>
            <w:r w:rsidR="00AD2C28">
              <w:rPr>
                <w:sz w:val="20"/>
                <w:szCs w:val="20"/>
                <w:lang w:val="sr-Latn-CS"/>
              </w:rPr>
              <w:t>.</w:t>
            </w:r>
            <w:r w:rsidR="00E34692">
              <w:rPr>
                <w:sz w:val="20"/>
                <w:szCs w:val="20"/>
                <w:lang w:val="sr-Latn-CS"/>
              </w:rPr>
              <w:t xml:space="preserve"> i </w:t>
            </w:r>
            <w:r w:rsidRPr="00E34692">
              <w:rPr>
                <w:sz w:val="20"/>
                <w:szCs w:val="20"/>
                <w:lang w:val="sr-Latn-CS"/>
              </w:rPr>
              <w:t>izdato 1</w:t>
            </w:r>
            <w:r w:rsidR="00AD2C28">
              <w:rPr>
                <w:sz w:val="20"/>
                <w:szCs w:val="20"/>
                <w:lang w:val="sr-Latn-CS"/>
              </w:rPr>
              <w:t>.</w:t>
            </w:r>
            <w:r w:rsidRPr="00E34692">
              <w:rPr>
                <w:sz w:val="20"/>
                <w:szCs w:val="20"/>
                <w:lang w:val="sr-Latn-CS"/>
              </w:rPr>
              <w:t>939 radnih dozvola strancima ili 36,9% više. Prosječna neto zarada u februaru 2014. je iznosila 729€,</w:t>
            </w:r>
            <w:r w:rsidR="00AD2C28">
              <w:rPr>
                <w:sz w:val="20"/>
                <w:szCs w:val="20"/>
                <w:lang w:val="sr-Latn-CS"/>
              </w:rPr>
              <w:t xml:space="preserve"> što je rast od 0,4% u odnosu na prethodni mjesec, dok je za period</w:t>
            </w:r>
            <w:r w:rsidRPr="00E34692">
              <w:rPr>
                <w:sz w:val="20"/>
                <w:szCs w:val="20"/>
                <w:lang w:val="sr-Latn-CS"/>
              </w:rPr>
              <w:t xml:space="preserve">  januar-februar 2014</w:t>
            </w:r>
            <w:r w:rsidR="00AD2C28">
              <w:rPr>
                <w:sz w:val="20"/>
                <w:szCs w:val="20"/>
                <w:lang w:val="sr-Latn-CS"/>
              </w:rPr>
              <w:t>/2013</w:t>
            </w:r>
            <w:r w:rsidR="00E34692">
              <w:rPr>
                <w:sz w:val="20"/>
                <w:szCs w:val="20"/>
                <w:lang w:val="sr-Latn-CS"/>
              </w:rPr>
              <w:t xml:space="preserve"> </w:t>
            </w:r>
            <w:r w:rsidR="00AD2C28">
              <w:rPr>
                <w:sz w:val="20"/>
                <w:szCs w:val="20"/>
                <w:lang w:val="sr-Latn-CS"/>
              </w:rPr>
              <w:t xml:space="preserve">smanjena </w:t>
            </w:r>
            <w:r w:rsidRPr="00E34692">
              <w:rPr>
                <w:sz w:val="20"/>
                <w:szCs w:val="20"/>
                <w:lang w:val="sr-Latn-CS"/>
              </w:rPr>
              <w:t>za 0,7%</w:t>
            </w:r>
            <w:r w:rsidR="00AD2C28">
              <w:rPr>
                <w:sz w:val="20"/>
                <w:szCs w:val="20"/>
                <w:lang w:val="sr-Latn-CS"/>
              </w:rPr>
              <w:t>.</w:t>
            </w:r>
            <w:r w:rsidRPr="00E34692">
              <w:rPr>
                <w:sz w:val="20"/>
                <w:szCs w:val="20"/>
                <w:lang w:val="sr-Latn-CS"/>
              </w:rPr>
              <w:t xml:space="preserve"> Neto zarada je iznosila 480€ i u istom periodu je smanjena za 1,8%, a u odnosu na prethodni mjesec je povećana 0,4%.</w:t>
            </w:r>
            <w:r w:rsidR="00E34692">
              <w:rPr>
                <w:sz w:val="20"/>
                <w:szCs w:val="20"/>
                <w:lang w:val="sr-Latn-CS"/>
              </w:rPr>
              <w:t xml:space="preserve"> </w:t>
            </w:r>
            <w:r w:rsidRPr="00E34692">
              <w:rPr>
                <w:sz w:val="20"/>
                <w:szCs w:val="20"/>
                <w:lang w:val="sr-Latn-CS"/>
              </w:rPr>
              <w:t xml:space="preserve"> Realne neto zarade su povećane 0,4% u februaru 2014. u odnosu na januar 2013.</w:t>
            </w:r>
          </w:p>
          <w:p w:rsidR="00F8107E" w:rsidRPr="00E34692" w:rsidRDefault="00F8107E" w:rsidP="00E34692">
            <w:pPr>
              <w:spacing w:after="0" w:line="240" w:lineRule="auto"/>
              <w:jc w:val="both"/>
              <w:rPr>
                <w:rFonts w:eastAsia="PMingLiU" w:cs="Calibri"/>
                <w:sz w:val="20"/>
                <w:szCs w:val="20"/>
                <w:lang w:val="sr-Latn-CS" w:eastAsia="zh-TW"/>
              </w:rPr>
            </w:pPr>
          </w:p>
          <w:p w:rsidR="00422784" w:rsidRPr="00E34692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422784" w:rsidRPr="00E34692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422784" w:rsidRPr="00E34692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3652" w:type="dxa"/>
            <w:tcBorders>
              <w:bottom w:val="thinThickSmallGap" w:sz="18" w:space="0" w:color="auto"/>
            </w:tcBorders>
            <w:vAlign w:val="center"/>
          </w:tcPr>
          <w:p w:rsidR="00422784" w:rsidRPr="00715429" w:rsidRDefault="003E719B" w:rsidP="001D21BD">
            <w:pPr>
              <w:pStyle w:val="NoSpacing"/>
              <w:jc w:val="center"/>
              <w:rPr>
                <w:noProof/>
                <w:sz w:val="20"/>
                <w:szCs w:val="20"/>
                <w:lang w:val="hr-BA"/>
              </w:rPr>
            </w:pPr>
            <w:r w:rsidRPr="003E719B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88000" cy="2016000"/>
                  <wp:effectExtent l="0" t="0" r="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10452C" w:rsidRPr="00715429" w:rsidTr="00DD0300">
        <w:trPr>
          <w:trHeight w:hRule="exact" w:val="4044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0452C" w:rsidRPr="00715429" w:rsidRDefault="0010452C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lastRenderedPageBreak/>
              <w:t>Javne finansije</w:t>
            </w:r>
          </w:p>
          <w:p w:rsidR="006C6303" w:rsidRPr="001C0237" w:rsidRDefault="006C6303" w:rsidP="006C6303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1C0237">
              <w:rPr>
                <w:b/>
                <w:bCs/>
                <w:sz w:val="20"/>
                <w:szCs w:val="18"/>
                <w:lang w:val="sr-Latn-CS"/>
              </w:rPr>
              <w:t>Izvorni prihodi budžeta Crne Gore u februaru 2014. godine iznosili su 81,38 mil. € i  veći su za 7,5% u odnosu na februar 2013. godine, kao i u odnosu na plan za 2%.</w:t>
            </w:r>
            <w:r w:rsidRPr="001C0237">
              <w:rPr>
                <w:sz w:val="20"/>
                <w:szCs w:val="18"/>
                <w:lang w:val="sr-Latn-CS"/>
              </w:rPr>
              <w:t>  Naplata PDV-a u februaru 2014.g.  iznosila  je 31,16mil.€  i veća  je u odnosu  na plan za 10,5% i 25,9% u odnosu na februar 2013.</w:t>
            </w:r>
            <w:r w:rsidR="00CF1DF9">
              <w:rPr>
                <w:sz w:val="20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65pt;margin-top:.45pt;width:343.15pt;height:0;z-index:251660288;mso-position-horizontal-relative:text;mso-position-vertical-relative:text" o:connectortype="straight" strokeweight=".5pt"/>
              </w:pict>
            </w:r>
            <w:r w:rsidRPr="001C0237">
              <w:rPr>
                <w:sz w:val="20"/>
                <w:szCs w:val="18"/>
                <w:lang w:val="sr-Latn-CS"/>
              </w:rPr>
              <w:t xml:space="preserve"> godine što je rezultat borbe protiv sive ekonomije i porasta više stope PDV-a na 19%. </w:t>
            </w:r>
            <w:r w:rsidRPr="001C0237">
              <w:rPr>
                <w:sz w:val="20"/>
                <w:szCs w:val="18"/>
              </w:rPr>
              <w:t>Prihodi po osnovu naplate  poreza i doprinosa na zarade  za period januar-februar 2014.g. veći su za 14% u odnosu na isti period prošle godine.</w:t>
            </w:r>
          </w:p>
          <w:p w:rsidR="006C6303" w:rsidRPr="001C0237" w:rsidRDefault="006C6303" w:rsidP="006C6303">
            <w:pPr>
              <w:spacing w:after="0" w:line="240" w:lineRule="auto"/>
              <w:jc w:val="both"/>
              <w:rPr>
                <w:sz w:val="20"/>
                <w:szCs w:val="18"/>
                <w:lang w:val="sr-Latn-CS"/>
              </w:rPr>
            </w:pPr>
            <w:r w:rsidRPr="001C0237">
              <w:rPr>
                <w:b/>
                <w:bCs/>
                <w:sz w:val="20"/>
                <w:szCs w:val="18"/>
                <w:lang w:val="sr-Latn-CS"/>
              </w:rPr>
              <w:t>Izdaci budžeta</w:t>
            </w:r>
            <w:r w:rsidRPr="001C0237">
              <w:rPr>
                <w:sz w:val="20"/>
                <w:szCs w:val="18"/>
                <w:lang w:val="sr-Latn-CS"/>
              </w:rPr>
              <w:t xml:space="preserve">  u februaru 2014. g. iznosili su  88,97 mil.€ i niži  su u odnosu na isti mjesec 2013. godine  za  6 %,  kao i  u odnosu na plan za  20 % što je rezultat preduzetih mjera štednje. </w:t>
            </w:r>
          </w:p>
          <w:p w:rsidR="006C6303" w:rsidRPr="001C0237" w:rsidRDefault="006C6303" w:rsidP="006C6303">
            <w:pPr>
              <w:spacing w:after="0" w:line="240" w:lineRule="auto"/>
              <w:jc w:val="both"/>
              <w:rPr>
                <w:sz w:val="20"/>
                <w:szCs w:val="18"/>
                <w:lang w:val="sr-Latn-CS"/>
              </w:rPr>
            </w:pPr>
            <w:r w:rsidRPr="001C0237">
              <w:rPr>
                <w:b/>
                <w:bCs/>
                <w:sz w:val="20"/>
                <w:szCs w:val="18"/>
                <w:lang w:val="sr-Latn-CS"/>
              </w:rPr>
              <w:t>Deficit budžeta</w:t>
            </w:r>
            <w:r w:rsidRPr="001C0237">
              <w:rPr>
                <w:sz w:val="20"/>
                <w:szCs w:val="18"/>
                <w:lang w:val="sr-Latn-CS"/>
              </w:rPr>
              <w:t xml:space="preserve"> u februaru 2014. godine iznosio je 7,59 mil.€ i manji je  za 76 % u odnosu na plan i 60 % u odnosu na februar 2013.g. </w:t>
            </w:r>
          </w:p>
          <w:p w:rsidR="006C6303" w:rsidRPr="001C0237" w:rsidRDefault="006C6303" w:rsidP="006C6303">
            <w:pPr>
              <w:spacing w:after="0" w:line="240" w:lineRule="auto"/>
              <w:jc w:val="both"/>
              <w:rPr>
                <w:sz w:val="20"/>
                <w:szCs w:val="18"/>
                <w:lang w:val="sr-Latn-CS"/>
              </w:rPr>
            </w:pPr>
            <w:r w:rsidRPr="001C0237">
              <w:rPr>
                <w:b/>
                <w:bCs/>
                <w:sz w:val="20"/>
                <w:szCs w:val="18"/>
              </w:rPr>
              <w:t>Državni dug</w:t>
            </w:r>
            <w:r w:rsidRPr="001C0237">
              <w:rPr>
                <w:sz w:val="20"/>
                <w:szCs w:val="18"/>
              </w:rPr>
              <w:t xml:space="preserve"> na kraju </w:t>
            </w:r>
            <w:r w:rsidR="0092378E">
              <w:rPr>
                <w:sz w:val="20"/>
                <w:szCs w:val="18"/>
              </w:rPr>
              <w:t xml:space="preserve">januara 2014. godine iznosio je </w:t>
            </w:r>
            <w:r w:rsidRPr="001C0237">
              <w:rPr>
                <w:sz w:val="20"/>
                <w:szCs w:val="18"/>
              </w:rPr>
              <w:t>1.950,1mil.€ ili 55,46% procijenjenog BDP-a i smanjen je za  3,7 p.p. u odnosu na januar 2013.g.. Unutrašnji dug iznosio je 517,6 mil.€, a dug prema nerezidentima 1.432,5 mil.€.</w:t>
            </w:r>
          </w:p>
          <w:p w:rsidR="0010452C" w:rsidRPr="00715429" w:rsidRDefault="0010452C" w:rsidP="00391CC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10452C" w:rsidRPr="00715429" w:rsidRDefault="00DA1A1F" w:rsidP="00812862">
            <w:pPr>
              <w:rPr>
                <w:noProof/>
                <w:sz w:val="17"/>
                <w:szCs w:val="17"/>
                <w:lang w:val="hr-BA" w:eastAsia="sr-Latn-CS"/>
              </w:rPr>
            </w:pPr>
            <w:r w:rsidRPr="00DA1A1F">
              <w:rPr>
                <w:noProof/>
                <w:sz w:val="17"/>
                <w:szCs w:val="17"/>
              </w:rPr>
              <w:drawing>
                <wp:inline distT="0" distB="0" distL="0" distR="0">
                  <wp:extent cx="2298700" cy="2298700"/>
                  <wp:effectExtent l="19050" t="0" r="25400" b="635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B721D" w:rsidRPr="00715429" w:rsidTr="00E527EE">
        <w:trPr>
          <w:trHeight w:hRule="exact" w:val="4395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DB721D" w:rsidRPr="00715429" w:rsidRDefault="00DB721D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Monetarni sektor</w:t>
            </w:r>
          </w:p>
          <w:p w:rsidR="00DB721D" w:rsidRPr="00715429" w:rsidRDefault="00E527EE" w:rsidP="009C501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  <w:r>
              <w:rPr>
                <w:b/>
                <w:noProof/>
                <w:sz w:val="20"/>
                <w:szCs w:val="20"/>
              </w:rPr>
              <w:t>Pozitivna tendencija kretanja ukupnih depozita i kapitala nastavljena je u februaru ove godine, dok je kreditna aktivnost smanjena na godišnjem nivou.</w:t>
            </w:r>
            <w:r>
              <w:rPr>
                <w:noProof/>
                <w:sz w:val="20"/>
                <w:szCs w:val="20"/>
              </w:rPr>
              <w:t xml:space="preserve"> U strukturi pasive,dominantno učešće imaju </w:t>
            </w:r>
            <w:r w:rsidRPr="0013216B">
              <w:rPr>
                <w:b/>
                <w:noProof/>
                <w:sz w:val="20"/>
                <w:szCs w:val="20"/>
              </w:rPr>
              <w:t>depoziti</w:t>
            </w:r>
            <w:r>
              <w:rPr>
                <w:noProof/>
                <w:sz w:val="20"/>
                <w:szCs w:val="20"/>
              </w:rPr>
              <w:t xml:space="preserve"> od 70,7%, koji iznose 2.101,7 mil.€, što predstavlja povećanje od 0,2 % na mjesečnom i 5,6% na godišnjem nivou.</w:t>
            </w:r>
            <w:r w:rsidR="001C0237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Pri tome,na depozite stanovništva se odnosilo 1.236,4 mil.€ ili 58,8%, dok su depoziti privrede sa iznosom od 549,6 mil.€ činili 26,1% ukupnih depozita. Ukupno odobreni</w:t>
            </w:r>
            <w:r w:rsidRPr="003C543D">
              <w:rPr>
                <w:noProof/>
                <w:sz w:val="20"/>
                <w:szCs w:val="20"/>
              </w:rPr>
              <w:t xml:space="preserve"> </w:t>
            </w:r>
            <w:r w:rsidRPr="002C1969">
              <w:rPr>
                <w:b/>
                <w:noProof/>
                <w:sz w:val="20"/>
                <w:szCs w:val="20"/>
              </w:rPr>
              <w:t>krediti</w:t>
            </w:r>
            <w:r w:rsidRPr="003C543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i</w:t>
            </w:r>
            <w:r w:rsidRPr="003C543D">
              <w:rPr>
                <w:noProof/>
                <w:sz w:val="20"/>
                <w:szCs w:val="20"/>
              </w:rPr>
              <w:t xml:space="preserve"> ostala potraživanja su krajem</w:t>
            </w:r>
            <w:r>
              <w:rPr>
                <w:noProof/>
                <w:sz w:val="20"/>
                <w:szCs w:val="20"/>
              </w:rPr>
              <w:t xml:space="preserve"> februara iznosili 2.415,0 mil.€ i  povećani su za 0,3</w:t>
            </w:r>
            <w:r w:rsidRPr="003C543D">
              <w:rPr>
                <w:noProof/>
                <w:sz w:val="20"/>
                <w:szCs w:val="20"/>
              </w:rPr>
              <w:t>%</w:t>
            </w:r>
            <w:r>
              <w:rPr>
                <w:noProof/>
                <w:sz w:val="20"/>
                <w:szCs w:val="20"/>
              </w:rPr>
              <w:t xml:space="preserve"> u odnosu na prethodni mjesec, dok su na godišnjem nivou zabilježili pad od 3,7%. Banke su tokom prva dva mjeseca odobrile 105,9 mil.€ novih plasmana, što je za 9,0%</w:t>
            </w:r>
            <w:r w:rsidRPr="003C543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više u odnosu na isti period prethodne godine Nasuprot zadovoljavajućoj likvidnosti bankarskog sistema pogoršava se nelikvidnost realnog sektora.Tako su u februaru ove godine bila u blokadi 13340 izvršna dužnika,</w:t>
            </w:r>
            <w:r w:rsidRPr="003C543D">
              <w:rPr>
                <w:noProof/>
                <w:sz w:val="20"/>
                <w:szCs w:val="20"/>
              </w:rPr>
              <w:t xml:space="preserve"> što u odnosu na stanje iz prethodnog mjeseca predstavlja povećanje od </w:t>
            </w:r>
            <w:r>
              <w:rPr>
                <w:noProof/>
                <w:sz w:val="20"/>
                <w:szCs w:val="20"/>
              </w:rPr>
              <w:t xml:space="preserve"> 1,44</w:t>
            </w:r>
            <w:r w:rsidRPr="003C543D">
              <w:rPr>
                <w:noProof/>
                <w:sz w:val="20"/>
                <w:szCs w:val="20"/>
              </w:rPr>
              <w:t>%</w:t>
            </w:r>
            <w:r>
              <w:rPr>
                <w:noProof/>
                <w:sz w:val="20"/>
                <w:szCs w:val="20"/>
              </w:rPr>
              <w:t xml:space="preserve">. Pri tome, </w:t>
            </w:r>
            <w:r w:rsidRPr="003C543D">
              <w:rPr>
                <w:noProof/>
                <w:sz w:val="20"/>
                <w:szCs w:val="20"/>
              </w:rPr>
              <w:t xml:space="preserve">ukupan iznos duga, po osnovu koga je izvršeno blokiranje računa, je iznosio </w:t>
            </w:r>
            <w:r>
              <w:rPr>
                <w:noProof/>
                <w:sz w:val="20"/>
                <w:szCs w:val="20"/>
              </w:rPr>
              <w:t xml:space="preserve"> 462,8</w:t>
            </w:r>
            <w:r w:rsidRPr="003C543D">
              <w:rPr>
                <w:noProof/>
                <w:sz w:val="20"/>
                <w:szCs w:val="20"/>
              </w:rPr>
              <w:t xml:space="preserve"> mil.€ i povećan je za </w:t>
            </w:r>
            <w:r>
              <w:rPr>
                <w:noProof/>
                <w:sz w:val="20"/>
                <w:szCs w:val="20"/>
              </w:rPr>
              <w:t>3,30</w:t>
            </w:r>
            <w:r w:rsidRPr="003C543D">
              <w:rPr>
                <w:noProof/>
                <w:sz w:val="20"/>
                <w:szCs w:val="20"/>
              </w:rPr>
              <w:t>%</w:t>
            </w:r>
            <w:r>
              <w:rPr>
                <w:noProof/>
                <w:sz w:val="20"/>
                <w:szCs w:val="20"/>
              </w:rPr>
              <w:t xml:space="preserve"> u odnosu na prethodni mjesec i </w:t>
            </w:r>
            <w:r w:rsidRPr="003C543D">
              <w:rPr>
                <w:noProof/>
                <w:sz w:val="20"/>
                <w:szCs w:val="20"/>
              </w:rPr>
              <w:t>4,1%  na godišnjem nivou.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B721D" w:rsidRPr="00715429" w:rsidRDefault="00E527EE" w:rsidP="001D21BD">
            <w:pPr>
              <w:jc w:val="center"/>
              <w:rPr>
                <w:noProof/>
                <w:sz w:val="17"/>
                <w:szCs w:val="17"/>
                <w:lang w:val="hr-BA" w:eastAsia="sr-Latn-CS"/>
              </w:rPr>
            </w:pPr>
            <w:r w:rsidRPr="00E527EE">
              <w:rPr>
                <w:noProof/>
                <w:sz w:val="17"/>
                <w:szCs w:val="17"/>
              </w:rPr>
              <w:drawing>
                <wp:inline distT="0" distB="0" distL="0" distR="0">
                  <wp:extent cx="2371725" cy="2219325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436FB4" w:rsidRPr="00715429" w:rsidTr="001C0237">
        <w:trPr>
          <w:trHeight w:hRule="exact" w:val="5532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D21BD" w:rsidRPr="003B2B30" w:rsidRDefault="001D21BD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3B2B30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Spoljnotrgovinska razmjena i investicije</w:t>
            </w:r>
          </w:p>
          <w:p w:rsidR="00C94C39" w:rsidRDefault="00C94C39" w:rsidP="00C94C3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D3B9A">
              <w:rPr>
                <w:rFonts w:cstheme="minorHAnsi"/>
                <w:b/>
                <w:sz w:val="20"/>
                <w:szCs w:val="20"/>
              </w:rPr>
              <w:t>Robna razmjena  za prva dva mjeseca 2014. godine  iznosila je 240,</w:t>
            </w:r>
            <w:r w:rsidR="006C1458">
              <w:rPr>
                <w:rFonts w:cstheme="minorHAnsi"/>
                <w:b/>
                <w:sz w:val="20"/>
                <w:szCs w:val="20"/>
              </w:rPr>
              <w:t xml:space="preserve">4 mil.€, što je za 15,2% manje </w:t>
            </w:r>
            <w:r w:rsidRPr="005D3B9A">
              <w:rPr>
                <w:rFonts w:cstheme="minorHAnsi"/>
                <w:b/>
                <w:sz w:val="20"/>
                <w:szCs w:val="20"/>
              </w:rPr>
              <w:t>u odnosu na isti period 2013.</w:t>
            </w:r>
            <w:r w:rsidRPr="003B2B30">
              <w:rPr>
                <w:rFonts w:cstheme="minorHAnsi"/>
                <w:sz w:val="20"/>
                <w:szCs w:val="20"/>
              </w:rPr>
              <w:t xml:space="preserve">  Spoljnotrgovinski deficit je smanjen za 8,6% i iznosio je 150,8mil.€, usljed pada izvoza i uvoza za 24,4 i 12,7%, respektivno. Izraženo vrijednosno izvezeno je 44,8 mil.€, a uvezeno 195,6mil.€. Pokrivenost uvoza izvozom je iznosila 22,9% i bila za 3,5 p.p manja. Negativan  uticaj na kretanje izvoza imao je izvoz električne energije i aluminijuma koji je smanjen</w:t>
            </w:r>
            <w:r w:rsidR="007F4571">
              <w:rPr>
                <w:rFonts w:cstheme="minorHAnsi"/>
                <w:sz w:val="20"/>
                <w:szCs w:val="20"/>
              </w:rPr>
              <w:t xml:space="preserve"> za 30,0 i 39,0%, </w:t>
            </w:r>
            <w:r w:rsidR="006C1458">
              <w:rPr>
                <w:rFonts w:cstheme="minorHAnsi"/>
                <w:sz w:val="20"/>
                <w:szCs w:val="20"/>
              </w:rPr>
              <w:t xml:space="preserve">resprektivno. </w:t>
            </w:r>
            <w:r w:rsidRPr="003B2B30">
              <w:rPr>
                <w:rFonts w:cstheme="minorHAnsi"/>
                <w:sz w:val="20"/>
                <w:szCs w:val="20"/>
              </w:rPr>
              <w:t>Na</w:t>
            </w:r>
            <w:r w:rsidRPr="003B2B3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6C1458">
              <w:rPr>
                <w:rFonts w:cstheme="minorHAnsi"/>
                <w:sz w:val="20"/>
                <w:szCs w:val="20"/>
              </w:rPr>
              <w:t xml:space="preserve">smanjenje </w:t>
            </w:r>
            <w:r w:rsidRPr="003B2B30">
              <w:rPr>
                <w:rFonts w:cstheme="minorHAnsi"/>
                <w:sz w:val="20"/>
                <w:szCs w:val="20"/>
              </w:rPr>
              <w:t xml:space="preserve">vrijednosti uvoza </w:t>
            </w:r>
            <w:r>
              <w:rPr>
                <w:rFonts w:cstheme="minorHAnsi"/>
                <w:sz w:val="20"/>
                <w:szCs w:val="20"/>
              </w:rPr>
              <w:t xml:space="preserve">dominantno je </w:t>
            </w:r>
            <w:r w:rsidRPr="003B2B30">
              <w:rPr>
                <w:rFonts w:cstheme="minorHAnsi"/>
                <w:sz w:val="20"/>
                <w:szCs w:val="20"/>
              </w:rPr>
              <w:t xml:space="preserve">uticao pad uvoza mašina i transportnih sredstava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3B2B30">
              <w:rPr>
                <w:rFonts w:cstheme="minorHAnsi"/>
                <w:sz w:val="20"/>
                <w:szCs w:val="20"/>
              </w:rPr>
              <w:t>36,0%</w:t>
            </w:r>
            <w:r>
              <w:rPr>
                <w:rFonts w:cstheme="minorHAnsi"/>
                <w:sz w:val="20"/>
                <w:szCs w:val="20"/>
              </w:rPr>
              <w:t xml:space="preserve"> (visoka osnova iz prethodne godine zbog nabavke morskih plovila u vrijednosti od 21</w:t>
            </w:r>
            <w:r w:rsidR="00DD6AB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 mil.€ u januaru 2013.).</w:t>
            </w:r>
            <w:r w:rsidRPr="003B2B30">
              <w:rPr>
                <w:rFonts w:cstheme="minorHAnsi"/>
                <w:sz w:val="20"/>
                <w:szCs w:val="20"/>
              </w:rPr>
              <w:t xml:space="preserve"> Posmatrano po grupacijama zemalja, na zemlje CEFTA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2B30">
              <w:rPr>
                <w:rFonts w:cstheme="minorHAnsi"/>
                <w:sz w:val="20"/>
                <w:szCs w:val="20"/>
              </w:rPr>
              <w:t>se odnosi 46,7% ukupnog izvoza i 40,0%  ukupnog uvoza.</w:t>
            </w:r>
          </w:p>
          <w:p w:rsidR="00436FB4" w:rsidRPr="003B2B30" w:rsidRDefault="00C94C39" w:rsidP="00C94C3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D24B08">
              <w:rPr>
                <w:b/>
                <w:bCs/>
                <w:sz w:val="20"/>
                <w:szCs w:val="20"/>
                <w:lang w:val="hr-BA"/>
              </w:rPr>
              <w:t xml:space="preserve">Neto priliv SDI u januaru 2014. godini iznosio je 17,0 mil.€, što je 2,5 puta više u odnosu na januar 2013.(6,6mil.€). </w:t>
            </w:r>
            <w:r w:rsidRPr="00D24B08">
              <w:rPr>
                <w:bCs/>
                <w:sz w:val="20"/>
                <w:szCs w:val="20"/>
                <w:lang w:val="hr-BA"/>
              </w:rPr>
              <w:t>Ukupan priliv SDI iznosio je 31,0 mil.€, što je  82,4% više u odnosu na januar prošle godine.</w:t>
            </w:r>
            <w:r w:rsidRPr="00D24B08">
              <w:rPr>
                <w:b/>
                <w:bCs/>
                <w:sz w:val="20"/>
                <w:szCs w:val="20"/>
                <w:lang w:val="hr-BA"/>
              </w:rPr>
              <w:t xml:space="preserve"> </w:t>
            </w:r>
            <w:r w:rsidRPr="00D24B08">
              <w:rPr>
                <w:bCs/>
                <w:sz w:val="20"/>
                <w:szCs w:val="20"/>
                <w:lang w:val="hr-BA"/>
              </w:rPr>
              <w:t>U strukturi</w:t>
            </w:r>
            <w:r w:rsidRPr="00D24B08">
              <w:rPr>
                <w:b/>
                <w:bCs/>
                <w:sz w:val="20"/>
                <w:szCs w:val="20"/>
                <w:lang w:val="hr-BA"/>
              </w:rPr>
              <w:t xml:space="preserve"> </w:t>
            </w:r>
            <w:r w:rsidRPr="00D24B08">
              <w:rPr>
                <w:bCs/>
                <w:sz w:val="20"/>
                <w:szCs w:val="20"/>
                <w:lang w:val="hr-BA"/>
              </w:rPr>
              <w:t>ukupnog priliva,</w:t>
            </w:r>
            <w:r w:rsidRPr="00D24B08">
              <w:rPr>
                <w:sz w:val="20"/>
                <w:szCs w:val="20"/>
                <w:lang w:val="hr-BA"/>
              </w:rPr>
              <w:t xml:space="preserve"> vlasnička ulaganja učestvuju sa  49,2% ( investicije u preduzeća i banke 15,3% ili 216,7% više  i  investicije u nekretnine 34,0% ili 8,2% više), interkompanijski dug 49,2%( 274,3% više) i ostalo 1,6% (50,4% manje). Ukupan odliv SDI iznosio je 14,0 mil.€, što je za 43,6% više nego</w:t>
            </w:r>
            <w:r>
              <w:rPr>
                <w:lang w:val="hr-BA"/>
              </w:rPr>
              <w:t xml:space="preserve"> </w:t>
            </w:r>
            <w:r w:rsidRPr="00831DFB">
              <w:rPr>
                <w:sz w:val="20"/>
                <w:szCs w:val="20"/>
                <w:lang w:val="hr-BA"/>
              </w:rPr>
              <w:t>u januaru 2013.(9,7 mil.€).</w:t>
            </w:r>
            <w:r>
              <w:rPr>
                <w:lang w:val="hr-BA"/>
              </w:rPr>
              <w:t xml:space="preserve"> </w:t>
            </w:r>
            <w:r w:rsidRPr="00D24B08">
              <w:rPr>
                <w:sz w:val="20"/>
                <w:szCs w:val="20"/>
                <w:lang w:val="hr-BA"/>
              </w:rPr>
              <w:t>U strukturi odliva najveći dio se odnosio na  povlačenje sredstava nerezidenata 98,5%, dok su ulaganja rezidenata u inostranstvo 1,5 %.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436FB4" w:rsidRPr="00715429" w:rsidRDefault="00E474C1" w:rsidP="001D21BD">
            <w:pPr>
              <w:jc w:val="center"/>
              <w:rPr>
                <w:noProof/>
                <w:sz w:val="17"/>
                <w:szCs w:val="17"/>
                <w:lang w:val="hr-BA"/>
              </w:rPr>
            </w:pPr>
            <w:r w:rsidRPr="00E474C1">
              <w:rPr>
                <w:noProof/>
                <w:sz w:val="17"/>
                <w:szCs w:val="17"/>
              </w:rPr>
              <w:drawing>
                <wp:inline distT="0" distB="0" distL="0" distR="0">
                  <wp:extent cx="2407227" cy="1916819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2570B" w:rsidRPr="00715429" w:rsidRDefault="0082570B" w:rsidP="00D51C00">
      <w:pPr>
        <w:rPr>
          <w:noProof/>
          <w:lang w:val="hr-BA"/>
        </w:rPr>
        <w:sectPr w:rsidR="0082570B" w:rsidRPr="00715429" w:rsidSect="009C5011">
          <w:pgSz w:w="11907" w:h="16839" w:code="9"/>
          <w:pgMar w:top="720" w:right="720" w:bottom="709" w:left="720" w:header="720" w:footer="720" w:gutter="0"/>
          <w:cols w:space="720"/>
          <w:rtlGutter/>
          <w:docGrid w:linePitch="360"/>
        </w:sectPr>
      </w:pPr>
    </w:p>
    <w:p w:rsidR="002A1639" w:rsidRPr="00715429" w:rsidRDefault="0082570B" w:rsidP="00332574">
      <w:pPr>
        <w:jc w:val="center"/>
        <w:outlineLvl w:val="0"/>
        <w:rPr>
          <w:noProof/>
          <w:sz w:val="17"/>
          <w:szCs w:val="16"/>
          <w:lang w:val="hr-BA"/>
        </w:rPr>
      </w:pPr>
      <w:r w:rsidRPr="00715429">
        <w:rPr>
          <w:noProof/>
          <w:sz w:val="17"/>
          <w:szCs w:val="16"/>
          <w:lang w:val="hr-BA"/>
        </w:rPr>
        <w:lastRenderedPageBreak/>
        <w:t xml:space="preserve">Tabela 1: </w:t>
      </w:r>
      <w:r w:rsidRPr="00715429">
        <w:rPr>
          <w:b/>
          <w:bCs/>
          <w:noProof/>
          <w:sz w:val="17"/>
          <w:szCs w:val="16"/>
          <w:lang w:val="hr-BA"/>
        </w:rPr>
        <w:t>MAKROEKONOMSKI INDIKATORI</w:t>
      </w:r>
      <w:r w:rsidRPr="00715429">
        <w:rPr>
          <w:noProof/>
          <w:sz w:val="17"/>
          <w:szCs w:val="16"/>
          <w:lang w:val="hr-BA"/>
        </w:rPr>
        <w:t xml:space="preserve"> – </w:t>
      </w:r>
      <w:r w:rsidR="00725E16">
        <w:rPr>
          <w:noProof/>
          <w:sz w:val="17"/>
          <w:szCs w:val="16"/>
          <w:lang w:val="hr-BA"/>
        </w:rPr>
        <w:t xml:space="preserve">februar </w:t>
      </w:r>
      <w:r w:rsidRPr="00715429">
        <w:rPr>
          <w:noProof/>
          <w:sz w:val="17"/>
          <w:szCs w:val="16"/>
          <w:lang w:val="hr-BA"/>
        </w:rPr>
        <w:t>201</w:t>
      </w:r>
      <w:r w:rsidR="00B355D6" w:rsidRPr="00715429">
        <w:rPr>
          <w:noProof/>
          <w:sz w:val="17"/>
          <w:szCs w:val="16"/>
          <w:lang w:val="hr-BA"/>
        </w:rPr>
        <w:t>4</w:t>
      </w:r>
      <w:r w:rsidRPr="00715429">
        <w:rPr>
          <w:noProof/>
          <w:sz w:val="17"/>
          <w:szCs w:val="16"/>
          <w:lang w:val="hr-BA"/>
        </w:rPr>
        <w:t>.</w:t>
      </w:r>
      <w:bookmarkStart w:id="0" w:name="_GoBack"/>
      <w:bookmarkEnd w:id="0"/>
    </w:p>
    <w:p w:rsidR="0082570B" w:rsidRPr="00715429" w:rsidRDefault="0082570B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784DAE" w:rsidRPr="00715429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332574" w:rsidRPr="00715429" w:rsidRDefault="00332574" w:rsidP="00332574">
      <w:pPr>
        <w:spacing w:after="0" w:line="240" w:lineRule="auto"/>
        <w:outlineLvl w:val="0"/>
        <w:rPr>
          <w:b/>
          <w:i/>
          <w:noProof/>
          <w:sz w:val="16"/>
          <w:szCs w:val="16"/>
          <w:lang w:val="hr-BA"/>
        </w:rPr>
      </w:pPr>
      <w:r w:rsidRPr="00715429">
        <w:rPr>
          <w:b/>
          <w:i/>
          <w:noProof/>
          <w:sz w:val="16"/>
          <w:szCs w:val="16"/>
          <w:lang w:val="hr-BA"/>
        </w:rPr>
        <w:t>Izvor: MONSTAT, Centralna Banka, Zavod za zapošljavanje Crne Gore</w:t>
      </w:r>
    </w:p>
    <w:p w:rsidR="00332574" w:rsidRPr="00715429" w:rsidRDefault="00332574" w:rsidP="00332574">
      <w:pPr>
        <w:spacing w:after="0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Svi indikatori su prikazani kao godišnje stope rasta (stopa promjene indikatora u posmatranom mjesecu u odnosu na isti mjesec prethodne godine u %) ukoliko nije drugačije naznačeno u nazivu</w:t>
      </w:r>
    </w:p>
    <w:p w:rsidR="00332574" w:rsidRDefault="00332574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M-n-M označava mjesečnu promjenu (stopa promjene indikatora u posmatranom mjesecu u odnosu na prethodni mjesec u %)</w:t>
      </w:r>
      <w:r w:rsidR="00B012FF">
        <w:rPr>
          <w:i/>
          <w:iCs/>
          <w:noProof/>
          <w:sz w:val="12"/>
          <w:szCs w:val="12"/>
          <w:lang w:val="hr-BA"/>
        </w:rPr>
        <w:t xml:space="preserve"> *Podaci za </w:t>
      </w:r>
      <w:r w:rsidR="002D0814" w:rsidRPr="00715429">
        <w:rPr>
          <w:i/>
          <w:iCs/>
          <w:noProof/>
          <w:sz w:val="12"/>
          <w:szCs w:val="12"/>
          <w:lang w:val="hr-BA"/>
        </w:rPr>
        <w:t xml:space="preserve">SDI se odnose na </w:t>
      </w:r>
      <w:r w:rsidR="00842C5E">
        <w:rPr>
          <w:i/>
          <w:iCs/>
          <w:noProof/>
          <w:sz w:val="12"/>
          <w:szCs w:val="12"/>
          <w:lang w:val="hr-BA"/>
        </w:rPr>
        <w:t>januar 2014</w:t>
      </w:r>
    </w:p>
    <w:p w:rsidR="003E719B" w:rsidRDefault="003E719B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tbl>
      <w:tblPr>
        <w:tblW w:w="16220" w:type="dxa"/>
        <w:tblCellMar>
          <w:left w:w="0" w:type="dxa"/>
          <w:right w:w="0" w:type="dxa"/>
        </w:tblCellMar>
        <w:tblLook w:val="04A0"/>
      </w:tblPr>
      <w:tblGrid>
        <w:gridCol w:w="468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40"/>
        <w:gridCol w:w="860"/>
        <w:gridCol w:w="680"/>
        <w:gridCol w:w="720"/>
        <w:gridCol w:w="680"/>
        <w:gridCol w:w="680"/>
        <w:gridCol w:w="800"/>
        <w:gridCol w:w="900"/>
      </w:tblGrid>
      <w:tr w:rsidR="00842C5E" w:rsidRPr="00842C5E" w:rsidTr="00842C5E">
        <w:trPr>
          <w:divId w:val="1870558896"/>
          <w:trHeight w:val="5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M-n-M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feb 2014 / feb 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jan-feb 2014/jan-feb 2013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6,5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29,6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2,3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1,4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-0,5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0,1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167.370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167.379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167.738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170.302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174.369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179.861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178.815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176.588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169.044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169.044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167.607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167.173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167.616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168.805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31.890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32.648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32.986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32.624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31.363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30.337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30.947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33.271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33.271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34.680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34.514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34.804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34.664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7,6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7,6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21,5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19,3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17,8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89,3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-0,7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-1,7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2.507,6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2.505,8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2.538,3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2.415,0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457,1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455,7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465,3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492,9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441,3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447,0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441,9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438,6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438,6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428,3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423,2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425,6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nekvalitetnih kredita u ukupnim kreditima (u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1.969,8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1.990,1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1.999,3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1.951,5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1.974,4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2.009,7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2.075,0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2.144,3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2.104,3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2.104,3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2.084,9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2.098,6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2.096,7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1.013,2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1.019,0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1.026,5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1.029,1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1.027,9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990,5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970,2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947,6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951,1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951,1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955,2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948,4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942,6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-6,6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857,4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861,1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865,8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872,5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875,1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507,8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518,7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525,4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489,8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509,8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539,3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576,2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572,8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572,8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553,9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554,8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554,0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1.150,4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1.158,7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1.165,1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1.162,4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1.164,7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1.192,9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1.221,0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1.237,7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1.235,1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1.236,4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-24,4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138,8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152,3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161,4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130,7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148,9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-12,7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-82,2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-82,7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-108,9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-125,5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-139,9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-140,8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-136,5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-136,9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-136,9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-99,5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-114,3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-60,5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-90,4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49,5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-8,5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38,8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-19,8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55,5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n.d.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341,6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30,7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116,8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107,7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105,9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111,5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-3,8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2.037,6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2.053,6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1.911,3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1.861,0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1.832,6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1.814,5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1.769,6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1.816,2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1.814,6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1.814,6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1.748,0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1.739,8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1.740,8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1.695,2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-16,0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-0,03</w:t>
            </w:r>
          </w:p>
        </w:tc>
      </w:tr>
      <w:tr w:rsidR="00842C5E" w:rsidRPr="00842C5E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842C5E" w:rsidRPr="00842C5E" w:rsidRDefault="00842C5E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42C5E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</w:tr>
    </w:tbl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42C5E" w:rsidRDefault="00842C5E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D800B5" w:rsidRPr="00715429" w:rsidRDefault="00D800B5" w:rsidP="00A30E95">
      <w:pPr>
        <w:pStyle w:val="ListParagraph"/>
        <w:spacing w:after="0" w:line="240" w:lineRule="auto"/>
        <w:ind w:left="502"/>
        <w:rPr>
          <w:i/>
          <w:iCs/>
          <w:noProof/>
          <w:sz w:val="16"/>
          <w:szCs w:val="16"/>
          <w:lang w:val="hr-BA"/>
        </w:rPr>
      </w:pPr>
    </w:p>
    <w:p w:rsidR="00CD707C" w:rsidRPr="00715429" w:rsidRDefault="00A30E95" w:rsidP="00784DAE">
      <w:pPr>
        <w:spacing w:after="0" w:line="240" w:lineRule="auto"/>
        <w:ind w:firstLine="142"/>
        <w:jc w:val="center"/>
        <w:rPr>
          <w:noProof/>
          <w:sz w:val="17"/>
          <w:szCs w:val="16"/>
          <w:lang w:val="hr-BA"/>
        </w:rPr>
      </w:pPr>
      <w:r w:rsidRPr="00715429">
        <w:rPr>
          <w:noProof/>
          <w:sz w:val="17"/>
          <w:szCs w:val="16"/>
          <w:lang w:val="hr-BA"/>
        </w:rPr>
        <w:t>T</w:t>
      </w:r>
      <w:r w:rsidR="00784DAE" w:rsidRPr="00715429">
        <w:rPr>
          <w:noProof/>
          <w:sz w:val="17"/>
          <w:szCs w:val="16"/>
          <w:lang w:val="hr-BA"/>
        </w:rPr>
        <w:t xml:space="preserve">abela 2: </w:t>
      </w:r>
      <w:r w:rsidR="00784DAE" w:rsidRPr="00715429">
        <w:rPr>
          <w:b/>
          <w:bCs/>
          <w:noProof/>
          <w:sz w:val="17"/>
          <w:szCs w:val="16"/>
          <w:lang w:val="hr-BA"/>
        </w:rPr>
        <w:t>BUDŽET CRNE GORE</w:t>
      </w:r>
      <w:r w:rsidR="00784DAE" w:rsidRPr="00715429">
        <w:rPr>
          <w:noProof/>
          <w:sz w:val="17"/>
          <w:szCs w:val="16"/>
          <w:lang w:val="hr-BA"/>
        </w:rPr>
        <w:t xml:space="preserve"> –</w:t>
      </w:r>
      <w:r w:rsidR="00725E16">
        <w:rPr>
          <w:noProof/>
          <w:sz w:val="17"/>
          <w:szCs w:val="16"/>
          <w:lang w:val="hr-BA"/>
        </w:rPr>
        <w:t>Februar</w:t>
      </w:r>
      <w:r w:rsidR="009C5011">
        <w:rPr>
          <w:noProof/>
          <w:sz w:val="17"/>
          <w:szCs w:val="16"/>
          <w:lang w:val="hr-BA"/>
        </w:rPr>
        <w:t xml:space="preserve"> 2014</w:t>
      </w:r>
    </w:p>
    <w:tbl>
      <w:tblPr>
        <w:tblW w:w="0" w:type="auto"/>
        <w:tblLook w:val="04A0"/>
      </w:tblPr>
      <w:tblGrid>
        <w:gridCol w:w="2414"/>
        <w:gridCol w:w="662"/>
        <w:gridCol w:w="662"/>
        <w:gridCol w:w="662"/>
        <w:gridCol w:w="663"/>
        <w:gridCol w:w="662"/>
        <w:gridCol w:w="662"/>
        <w:gridCol w:w="663"/>
        <w:gridCol w:w="743"/>
        <w:gridCol w:w="743"/>
        <w:gridCol w:w="743"/>
        <w:gridCol w:w="743"/>
        <w:gridCol w:w="743"/>
        <w:gridCol w:w="744"/>
        <w:gridCol w:w="582"/>
        <w:gridCol w:w="725"/>
        <w:gridCol w:w="1091"/>
        <w:gridCol w:w="1275"/>
        <w:gridCol w:w="1193"/>
      </w:tblGrid>
      <w:tr w:rsidR="00912260" w:rsidRPr="00912260" w:rsidTr="0091226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plan 2014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Analitika-februar</w:t>
            </w:r>
          </w:p>
        </w:tc>
      </w:tr>
      <w:tr w:rsidR="00912260" w:rsidRPr="00912260" w:rsidTr="009122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i/>
                <w:iCs/>
                <w:sz w:val="16"/>
                <w:szCs w:val="16"/>
              </w:rPr>
              <w:t>BUDŽET CRNE GORE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XII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feb 2014/feb 2013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jan-feb 2014/jan-feb 2013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feb 2014/feb 2014 plan (%)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IZVORNI PRIHODI, od čega: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54,76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125,05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117,28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70,63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81,38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16,55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2,03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Porezi i doprinosi na  zarade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54,03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75,77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-0,61</w:t>
            </w:r>
          </w:p>
        </w:tc>
      </w:tr>
      <w:tr w:rsidR="00912260" w:rsidRPr="00912260" w:rsidTr="009122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Porez na dobit pravnih 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-17,05</w:t>
            </w:r>
          </w:p>
        </w:tc>
      </w:tr>
      <w:tr w:rsidR="00912260" w:rsidRPr="00912260" w:rsidTr="009122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Porez na dodatu vrijednost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33,51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40,19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10,51</w:t>
            </w:r>
          </w:p>
        </w:tc>
      </w:tr>
      <w:tr w:rsidR="00912260" w:rsidRPr="00912260" w:rsidTr="009122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Akcize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13,08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-16,14</w:t>
            </w:r>
          </w:p>
        </w:tc>
      </w:tr>
      <w:tr w:rsidR="00912260" w:rsidRPr="00912260" w:rsidTr="009122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Porez na medj trgovinu i transak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-7,13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IZDACI BUDŽETA, od čega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80,79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103,84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95,54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100,17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160,33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141,28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98,49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94,33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111,47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-20,18</w:t>
            </w:r>
          </w:p>
        </w:tc>
      </w:tr>
      <w:tr w:rsidR="00912260" w:rsidRPr="00912260" w:rsidTr="0091226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Bruto zarade i doprinosi na teret posl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30,66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30,67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28,82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-0,42</w:t>
            </w:r>
          </w:p>
        </w:tc>
      </w:tr>
      <w:tr w:rsidR="00912260" w:rsidRPr="00912260" w:rsidTr="009122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Rashodi za materijal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6,48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-31,41</w:t>
            </w:r>
          </w:p>
        </w:tc>
      </w:tr>
      <w:tr w:rsidR="00912260" w:rsidRPr="00912260" w:rsidTr="009122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Kamate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-36,98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-81,83</w:t>
            </w:r>
          </w:p>
        </w:tc>
      </w:tr>
      <w:tr w:rsidR="00912260" w:rsidRPr="00912260" w:rsidTr="009122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Transferi za socijalnu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39,83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41,43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-0,23</w:t>
            </w:r>
          </w:p>
        </w:tc>
      </w:tr>
      <w:tr w:rsidR="00912260" w:rsidRPr="00912260" w:rsidTr="0091226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Transferi instit, pojed i NVO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-56,43</w:t>
            </w:r>
          </w:p>
        </w:tc>
      </w:tr>
      <w:tr w:rsidR="00912260" w:rsidRPr="00912260" w:rsidTr="009122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Kapitalni izdaci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22,14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-88,52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Suficit / Deficit budžeta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-26,03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-18,96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-15,54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-15,89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-1,54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-38,31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-16,22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-2,66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-2,71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-23,70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-31,70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-30,47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-76,07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Primarni deficit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-25,48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-13,40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-32,57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-14,12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-1,96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-62,33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-34,71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-74,69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Otplata dugova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24,39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17,57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-51,15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-65,59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sz w:val="16"/>
                <w:szCs w:val="16"/>
              </w:rPr>
              <w:t>Državni dug (stanje duga)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1732,7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1755,7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1764,2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1760,9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1810,4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1846,50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1886,30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1873,15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1950,10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912260" w:rsidRPr="00912260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Domaći dug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396,7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442,8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471,70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440,13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517,60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912260" w:rsidRPr="00912260" w:rsidTr="0091226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sz w:val="16"/>
                <w:szCs w:val="16"/>
              </w:rPr>
              <w:t>Inostrani dug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1332,6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1336,0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1335,4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1332,5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1331,1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1318,2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1367,6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1411,10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1365,60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1360,30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1445,90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color w:val="000000"/>
                <w:sz w:val="16"/>
                <w:szCs w:val="16"/>
              </w:rPr>
              <w:t>1433,02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1432,50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2260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912260" w:rsidRDefault="00912260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12260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</w:tbl>
    <w:p w:rsidR="00CD707C" w:rsidRPr="00715429" w:rsidRDefault="00CD707C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332574" w:rsidRPr="00715429" w:rsidRDefault="00332574" w:rsidP="00332574">
      <w:pPr>
        <w:outlineLvl w:val="0"/>
        <w:rPr>
          <w:b/>
          <w:i/>
          <w:noProof/>
          <w:sz w:val="16"/>
          <w:szCs w:val="16"/>
          <w:lang w:val="hr-BA"/>
        </w:rPr>
      </w:pPr>
      <w:r w:rsidRPr="00715429">
        <w:rPr>
          <w:b/>
          <w:i/>
          <w:noProof/>
          <w:sz w:val="16"/>
          <w:szCs w:val="16"/>
          <w:lang w:val="hr-BA"/>
        </w:rPr>
        <w:t>Izvor: Ministarstvo finansija Crne Gore</w:t>
      </w:r>
    </w:p>
    <w:p w:rsidR="00A30E95" w:rsidRPr="00715429" w:rsidRDefault="00A30E95" w:rsidP="00332574">
      <w:pPr>
        <w:outlineLvl w:val="0"/>
        <w:rPr>
          <w:b/>
          <w:i/>
          <w:noProof/>
          <w:sz w:val="16"/>
          <w:szCs w:val="16"/>
          <w:lang w:val="hr-BA"/>
        </w:rPr>
      </w:pPr>
    </w:p>
    <w:p w:rsidR="0082570B" w:rsidRPr="00715429" w:rsidRDefault="0082570B" w:rsidP="005025EC">
      <w:pPr>
        <w:ind w:left="-142"/>
        <w:jc w:val="both"/>
        <w:rPr>
          <w:noProof/>
          <w:sz w:val="14"/>
          <w:szCs w:val="14"/>
          <w:lang w:val="hr-BA"/>
        </w:rPr>
      </w:pPr>
    </w:p>
    <w:sectPr w:rsidR="0082570B" w:rsidRPr="00715429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A4" w:rsidRDefault="00A975A4" w:rsidP="00965FCD">
      <w:pPr>
        <w:spacing w:after="0" w:line="240" w:lineRule="auto"/>
      </w:pPr>
      <w:r>
        <w:separator/>
      </w:r>
    </w:p>
  </w:endnote>
  <w:endnote w:type="continuationSeparator" w:id="1">
    <w:p w:rsidR="00A975A4" w:rsidRDefault="00A975A4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A4" w:rsidRDefault="00A975A4" w:rsidP="00965FCD">
      <w:pPr>
        <w:spacing w:after="0" w:line="240" w:lineRule="auto"/>
      </w:pPr>
      <w:r>
        <w:separator/>
      </w:r>
    </w:p>
  </w:footnote>
  <w:footnote w:type="continuationSeparator" w:id="1">
    <w:p w:rsidR="00A975A4" w:rsidRDefault="00A975A4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19"/>
  </w:num>
  <w:num w:numId="11">
    <w:abstractNumId w:val="1"/>
  </w:num>
  <w:num w:numId="12">
    <w:abstractNumId w:val="18"/>
  </w:num>
  <w:num w:numId="13">
    <w:abstractNumId w:val="16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3"/>
  </w:num>
  <w:num w:numId="19">
    <w:abstractNumId w:val="6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4594"/>
  </w:hdrShapeDefaults>
  <w:footnotePr>
    <w:footnote w:id="0"/>
    <w:footnote w:id="1"/>
  </w:footnotePr>
  <w:endnotePr>
    <w:endnote w:id="0"/>
    <w:endnote w:id="1"/>
  </w:endnotePr>
  <w:compat/>
  <w:rsids>
    <w:rsidRoot w:val="00D61692"/>
    <w:rsid w:val="000000CB"/>
    <w:rsid w:val="000009E1"/>
    <w:rsid w:val="000010A3"/>
    <w:rsid w:val="00003D78"/>
    <w:rsid w:val="00004B56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24B4"/>
    <w:rsid w:val="00022789"/>
    <w:rsid w:val="0002327A"/>
    <w:rsid w:val="00024DC9"/>
    <w:rsid w:val="0002564B"/>
    <w:rsid w:val="00025AC0"/>
    <w:rsid w:val="000263A4"/>
    <w:rsid w:val="000300F0"/>
    <w:rsid w:val="000314E5"/>
    <w:rsid w:val="00031722"/>
    <w:rsid w:val="00031FAD"/>
    <w:rsid w:val="00032524"/>
    <w:rsid w:val="000341DE"/>
    <w:rsid w:val="00034923"/>
    <w:rsid w:val="0003497A"/>
    <w:rsid w:val="00034D42"/>
    <w:rsid w:val="00034F07"/>
    <w:rsid w:val="0003544A"/>
    <w:rsid w:val="000369E1"/>
    <w:rsid w:val="00037B58"/>
    <w:rsid w:val="0004205C"/>
    <w:rsid w:val="000421A3"/>
    <w:rsid w:val="00042CE6"/>
    <w:rsid w:val="00043DED"/>
    <w:rsid w:val="000449CD"/>
    <w:rsid w:val="00044CB0"/>
    <w:rsid w:val="00045654"/>
    <w:rsid w:val="00045D59"/>
    <w:rsid w:val="00046C9E"/>
    <w:rsid w:val="00050EAB"/>
    <w:rsid w:val="00052732"/>
    <w:rsid w:val="00052DC4"/>
    <w:rsid w:val="00054068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5F3"/>
    <w:rsid w:val="00067726"/>
    <w:rsid w:val="00067FD6"/>
    <w:rsid w:val="00070965"/>
    <w:rsid w:val="000734AF"/>
    <w:rsid w:val="00073786"/>
    <w:rsid w:val="00074378"/>
    <w:rsid w:val="000746C7"/>
    <w:rsid w:val="000747AC"/>
    <w:rsid w:val="00074C3E"/>
    <w:rsid w:val="00074D69"/>
    <w:rsid w:val="0007530C"/>
    <w:rsid w:val="0007555E"/>
    <w:rsid w:val="000771F2"/>
    <w:rsid w:val="00080AEE"/>
    <w:rsid w:val="000812E2"/>
    <w:rsid w:val="0008138F"/>
    <w:rsid w:val="00082D87"/>
    <w:rsid w:val="00083320"/>
    <w:rsid w:val="00085B67"/>
    <w:rsid w:val="00090FDD"/>
    <w:rsid w:val="00091154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527"/>
    <w:rsid w:val="00097E38"/>
    <w:rsid w:val="000A1159"/>
    <w:rsid w:val="000A14DA"/>
    <w:rsid w:val="000A2350"/>
    <w:rsid w:val="000A2F52"/>
    <w:rsid w:val="000A33CB"/>
    <w:rsid w:val="000A43CE"/>
    <w:rsid w:val="000A47FF"/>
    <w:rsid w:val="000A4E37"/>
    <w:rsid w:val="000A787A"/>
    <w:rsid w:val="000B19D0"/>
    <w:rsid w:val="000B1DD7"/>
    <w:rsid w:val="000B45AB"/>
    <w:rsid w:val="000B48EE"/>
    <w:rsid w:val="000B502D"/>
    <w:rsid w:val="000B54A3"/>
    <w:rsid w:val="000B5DD4"/>
    <w:rsid w:val="000B6252"/>
    <w:rsid w:val="000B67B1"/>
    <w:rsid w:val="000B69BF"/>
    <w:rsid w:val="000B788B"/>
    <w:rsid w:val="000B7AE2"/>
    <w:rsid w:val="000C06C5"/>
    <w:rsid w:val="000C0B0A"/>
    <w:rsid w:val="000C108E"/>
    <w:rsid w:val="000C1965"/>
    <w:rsid w:val="000C36DB"/>
    <w:rsid w:val="000C5764"/>
    <w:rsid w:val="000C65A2"/>
    <w:rsid w:val="000C6818"/>
    <w:rsid w:val="000C72DD"/>
    <w:rsid w:val="000D0368"/>
    <w:rsid w:val="000D0374"/>
    <w:rsid w:val="000D09EB"/>
    <w:rsid w:val="000D52CF"/>
    <w:rsid w:val="000D588E"/>
    <w:rsid w:val="000D5D48"/>
    <w:rsid w:val="000D5ED7"/>
    <w:rsid w:val="000D6CD4"/>
    <w:rsid w:val="000D6DF1"/>
    <w:rsid w:val="000D765B"/>
    <w:rsid w:val="000E13EB"/>
    <w:rsid w:val="000E2251"/>
    <w:rsid w:val="000E2351"/>
    <w:rsid w:val="000E3987"/>
    <w:rsid w:val="000E40CC"/>
    <w:rsid w:val="000E6096"/>
    <w:rsid w:val="000E77A4"/>
    <w:rsid w:val="000E7E9D"/>
    <w:rsid w:val="000F1186"/>
    <w:rsid w:val="000F1AA9"/>
    <w:rsid w:val="000F4D73"/>
    <w:rsid w:val="000F5B09"/>
    <w:rsid w:val="000F6577"/>
    <w:rsid w:val="000F6C6B"/>
    <w:rsid w:val="000F756E"/>
    <w:rsid w:val="000F7DDF"/>
    <w:rsid w:val="00100371"/>
    <w:rsid w:val="001021CB"/>
    <w:rsid w:val="001030CC"/>
    <w:rsid w:val="0010339D"/>
    <w:rsid w:val="00103CA9"/>
    <w:rsid w:val="0010452C"/>
    <w:rsid w:val="00106446"/>
    <w:rsid w:val="0010656B"/>
    <w:rsid w:val="00107128"/>
    <w:rsid w:val="00107647"/>
    <w:rsid w:val="00107A07"/>
    <w:rsid w:val="00112853"/>
    <w:rsid w:val="00112E23"/>
    <w:rsid w:val="00114109"/>
    <w:rsid w:val="00114378"/>
    <w:rsid w:val="00115519"/>
    <w:rsid w:val="00115C83"/>
    <w:rsid w:val="00116365"/>
    <w:rsid w:val="001164A1"/>
    <w:rsid w:val="00116A8F"/>
    <w:rsid w:val="00117AB0"/>
    <w:rsid w:val="00120A3A"/>
    <w:rsid w:val="00123CBD"/>
    <w:rsid w:val="00124730"/>
    <w:rsid w:val="001251D5"/>
    <w:rsid w:val="001276C7"/>
    <w:rsid w:val="00127B5A"/>
    <w:rsid w:val="00131185"/>
    <w:rsid w:val="001326B7"/>
    <w:rsid w:val="00134816"/>
    <w:rsid w:val="00134A21"/>
    <w:rsid w:val="00134C6C"/>
    <w:rsid w:val="00136E70"/>
    <w:rsid w:val="00141FDD"/>
    <w:rsid w:val="00143FCB"/>
    <w:rsid w:val="00144C86"/>
    <w:rsid w:val="00144EE5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5F1"/>
    <w:rsid w:val="00157601"/>
    <w:rsid w:val="001577A1"/>
    <w:rsid w:val="00160183"/>
    <w:rsid w:val="001610BD"/>
    <w:rsid w:val="001613FC"/>
    <w:rsid w:val="001627A3"/>
    <w:rsid w:val="00163041"/>
    <w:rsid w:val="00163A7B"/>
    <w:rsid w:val="001644C7"/>
    <w:rsid w:val="001646BA"/>
    <w:rsid w:val="00165DE6"/>
    <w:rsid w:val="001672AB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4C2"/>
    <w:rsid w:val="0018289E"/>
    <w:rsid w:val="0018592D"/>
    <w:rsid w:val="0018626E"/>
    <w:rsid w:val="0018666E"/>
    <w:rsid w:val="00186BEF"/>
    <w:rsid w:val="00186F09"/>
    <w:rsid w:val="0018794A"/>
    <w:rsid w:val="00187C66"/>
    <w:rsid w:val="00190285"/>
    <w:rsid w:val="00191F90"/>
    <w:rsid w:val="00192506"/>
    <w:rsid w:val="00192F1E"/>
    <w:rsid w:val="00193785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7AD0"/>
    <w:rsid w:val="001B7D00"/>
    <w:rsid w:val="001C0237"/>
    <w:rsid w:val="001C0AB4"/>
    <w:rsid w:val="001C1490"/>
    <w:rsid w:val="001C1928"/>
    <w:rsid w:val="001C1F7E"/>
    <w:rsid w:val="001C22CB"/>
    <w:rsid w:val="001C23DD"/>
    <w:rsid w:val="001C264C"/>
    <w:rsid w:val="001C2751"/>
    <w:rsid w:val="001C51EC"/>
    <w:rsid w:val="001C5CE9"/>
    <w:rsid w:val="001C6698"/>
    <w:rsid w:val="001C6750"/>
    <w:rsid w:val="001C70BA"/>
    <w:rsid w:val="001D0226"/>
    <w:rsid w:val="001D0A32"/>
    <w:rsid w:val="001D21BD"/>
    <w:rsid w:val="001D37FD"/>
    <w:rsid w:val="001D4E81"/>
    <w:rsid w:val="001E2403"/>
    <w:rsid w:val="001E29C8"/>
    <w:rsid w:val="001E29D1"/>
    <w:rsid w:val="001E2BC7"/>
    <w:rsid w:val="001E33FE"/>
    <w:rsid w:val="001E4EAE"/>
    <w:rsid w:val="001E5BE3"/>
    <w:rsid w:val="001E5E69"/>
    <w:rsid w:val="001F1378"/>
    <w:rsid w:val="001F19CC"/>
    <w:rsid w:val="001F27F8"/>
    <w:rsid w:val="001F2B57"/>
    <w:rsid w:val="001F3E69"/>
    <w:rsid w:val="001F4C02"/>
    <w:rsid w:val="001F69DD"/>
    <w:rsid w:val="001F7445"/>
    <w:rsid w:val="001F7C33"/>
    <w:rsid w:val="001F7C4B"/>
    <w:rsid w:val="002000E5"/>
    <w:rsid w:val="00200A3F"/>
    <w:rsid w:val="0020246C"/>
    <w:rsid w:val="00203447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5A2"/>
    <w:rsid w:val="0021614C"/>
    <w:rsid w:val="00220834"/>
    <w:rsid w:val="00220B59"/>
    <w:rsid w:val="002210E9"/>
    <w:rsid w:val="00222175"/>
    <w:rsid w:val="00223E45"/>
    <w:rsid w:val="00224AD0"/>
    <w:rsid w:val="002251C3"/>
    <w:rsid w:val="00225534"/>
    <w:rsid w:val="00225F74"/>
    <w:rsid w:val="002263B3"/>
    <w:rsid w:val="0022695C"/>
    <w:rsid w:val="00227682"/>
    <w:rsid w:val="00227D75"/>
    <w:rsid w:val="00230DE8"/>
    <w:rsid w:val="00230FA2"/>
    <w:rsid w:val="00231268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688"/>
    <w:rsid w:val="00260976"/>
    <w:rsid w:val="00260EF0"/>
    <w:rsid w:val="002611D1"/>
    <w:rsid w:val="0026489F"/>
    <w:rsid w:val="00265023"/>
    <w:rsid w:val="002650CF"/>
    <w:rsid w:val="00265406"/>
    <w:rsid w:val="00265A3D"/>
    <w:rsid w:val="002662BE"/>
    <w:rsid w:val="002668AA"/>
    <w:rsid w:val="00270FD9"/>
    <w:rsid w:val="002717A8"/>
    <w:rsid w:val="002723A7"/>
    <w:rsid w:val="002723D9"/>
    <w:rsid w:val="00274EBC"/>
    <w:rsid w:val="00275609"/>
    <w:rsid w:val="00280105"/>
    <w:rsid w:val="00282488"/>
    <w:rsid w:val="00282DBE"/>
    <w:rsid w:val="00283704"/>
    <w:rsid w:val="00287A18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DC4"/>
    <w:rsid w:val="002A235B"/>
    <w:rsid w:val="002A2CED"/>
    <w:rsid w:val="002A4910"/>
    <w:rsid w:val="002A5C73"/>
    <w:rsid w:val="002A68B8"/>
    <w:rsid w:val="002B10AE"/>
    <w:rsid w:val="002B318C"/>
    <w:rsid w:val="002B552A"/>
    <w:rsid w:val="002B74C5"/>
    <w:rsid w:val="002C1A52"/>
    <w:rsid w:val="002C1FBF"/>
    <w:rsid w:val="002C25C6"/>
    <w:rsid w:val="002C47B8"/>
    <w:rsid w:val="002C4A81"/>
    <w:rsid w:val="002C6888"/>
    <w:rsid w:val="002C78FB"/>
    <w:rsid w:val="002D0814"/>
    <w:rsid w:val="002D0F81"/>
    <w:rsid w:val="002D170B"/>
    <w:rsid w:val="002D175D"/>
    <w:rsid w:val="002D2E80"/>
    <w:rsid w:val="002D3B0F"/>
    <w:rsid w:val="002D4073"/>
    <w:rsid w:val="002D447A"/>
    <w:rsid w:val="002D5865"/>
    <w:rsid w:val="002D77A7"/>
    <w:rsid w:val="002D7BA6"/>
    <w:rsid w:val="002E294A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6AB2"/>
    <w:rsid w:val="002F7C7C"/>
    <w:rsid w:val="003004B8"/>
    <w:rsid w:val="003022A7"/>
    <w:rsid w:val="00303D85"/>
    <w:rsid w:val="00307512"/>
    <w:rsid w:val="00307F4D"/>
    <w:rsid w:val="0031098B"/>
    <w:rsid w:val="00311A9D"/>
    <w:rsid w:val="00312994"/>
    <w:rsid w:val="00313CA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6A"/>
    <w:rsid w:val="0033283B"/>
    <w:rsid w:val="00333C49"/>
    <w:rsid w:val="00336033"/>
    <w:rsid w:val="00337648"/>
    <w:rsid w:val="00340752"/>
    <w:rsid w:val="003409C9"/>
    <w:rsid w:val="00341583"/>
    <w:rsid w:val="00341F7C"/>
    <w:rsid w:val="00344581"/>
    <w:rsid w:val="00344DF2"/>
    <w:rsid w:val="003454A9"/>
    <w:rsid w:val="0034655C"/>
    <w:rsid w:val="00346FFA"/>
    <w:rsid w:val="00350CFE"/>
    <w:rsid w:val="0035139C"/>
    <w:rsid w:val="003524FD"/>
    <w:rsid w:val="003568F4"/>
    <w:rsid w:val="00357182"/>
    <w:rsid w:val="00357B8D"/>
    <w:rsid w:val="00357E66"/>
    <w:rsid w:val="00360100"/>
    <w:rsid w:val="00360197"/>
    <w:rsid w:val="003625F1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1900"/>
    <w:rsid w:val="0038259A"/>
    <w:rsid w:val="00382F01"/>
    <w:rsid w:val="00384DC2"/>
    <w:rsid w:val="00387C29"/>
    <w:rsid w:val="00387DAD"/>
    <w:rsid w:val="00390732"/>
    <w:rsid w:val="00391CC7"/>
    <w:rsid w:val="0039257B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5C77"/>
    <w:rsid w:val="003A5EB6"/>
    <w:rsid w:val="003A785D"/>
    <w:rsid w:val="003A7A69"/>
    <w:rsid w:val="003B04DA"/>
    <w:rsid w:val="003B0E7A"/>
    <w:rsid w:val="003B15C8"/>
    <w:rsid w:val="003B1992"/>
    <w:rsid w:val="003B1A29"/>
    <w:rsid w:val="003B1C22"/>
    <w:rsid w:val="003B1D25"/>
    <w:rsid w:val="003B2900"/>
    <w:rsid w:val="003B2B30"/>
    <w:rsid w:val="003B2CAA"/>
    <w:rsid w:val="003B30D8"/>
    <w:rsid w:val="003B3299"/>
    <w:rsid w:val="003B436A"/>
    <w:rsid w:val="003B48D5"/>
    <w:rsid w:val="003B4F8C"/>
    <w:rsid w:val="003B62EC"/>
    <w:rsid w:val="003B6749"/>
    <w:rsid w:val="003B6844"/>
    <w:rsid w:val="003B75FC"/>
    <w:rsid w:val="003B7F5E"/>
    <w:rsid w:val="003C14C9"/>
    <w:rsid w:val="003C15EF"/>
    <w:rsid w:val="003C1D23"/>
    <w:rsid w:val="003C4817"/>
    <w:rsid w:val="003C5E7B"/>
    <w:rsid w:val="003C6A22"/>
    <w:rsid w:val="003C79AC"/>
    <w:rsid w:val="003D1EDB"/>
    <w:rsid w:val="003D4359"/>
    <w:rsid w:val="003D4739"/>
    <w:rsid w:val="003D56FD"/>
    <w:rsid w:val="003D75A1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19B"/>
    <w:rsid w:val="003E757E"/>
    <w:rsid w:val="003F0052"/>
    <w:rsid w:val="003F0CAE"/>
    <w:rsid w:val="003F0EA8"/>
    <w:rsid w:val="003F5183"/>
    <w:rsid w:val="003F56BD"/>
    <w:rsid w:val="003F5A35"/>
    <w:rsid w:val="003F7085"/>
    <w:rsid w:val="00400C11"/>
    <w:rsid w:val="004010A8"/>
    <w:rsid w:val="00401DED"/>
    <w:rsid w:val="00402680"/>
    <w:rsid w:val="00404546"/>
    <w:rsid w:val="00406097"/>
    <w:rsid w:val="00406C7B"/>
    <w:rsid w:val="00407182"/>
    <w:rsid w:val="004078E5"/>
    <w:rsid w:val="00407FE4"/>
    <w:rsid w:val="00412F68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784"/>
    <w:rsid w:val="00423EE9"/>
    <w:rsid w:val="00425EC2"/>
    <w:rsid w:val="00427696"/>
    <w:rsid w:val="00427FB8"/>
    <w:rsid w:val="00431253"/>
    <w:rsid w:val="00435D37"/>
    <w:rsid w:val="00436469"/>
    <w:rsid w:val="00436FB4"/>
    <w:rsid w:val="004379FA"/>
    <w:rsid w:val="00442E20"/>
    <w:rsid w:val="0044465C"/>
    <w:rsid w:val="0044550D"/>
    <w:rsid w:val="004471B9"/>
    <w:rsid w:val="00447221"/>
    <w:rsid w:val="004509F6"/>
    <w:rsid w:val="00453CE3"/>
    <w:rsid w:val="00454093"/>
    <w:rsid w:val="00454C7D"/>
    <w:rsid w:val="00455227"/>
    <w:rsid w:val="004574D9"/>
    <w:rsid w:val="0045758B"/>
    <w:rsid w:val="00461324"/>
    <w:rsid w:val="0046148B"/>
    <w:rsid w:val="00461657"/>
    <w:rsid w:val="00461995"/>
    <w:rsid w:val="004634E4"/>
    <w:rsid w:val="004639A5"/>
    <w:rsid w:val="004655E7"/>
    <w:rsid w:val="00466A02"/>
    <w:rsid w:val="00466E96"/>
    <w:rsid w:val="00466F15"/>
    <w:rsid w:val="004725CB"/>
    <w:rsid w:val="0047278D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699B"/>
    <w:rsid w:val="00487296"/>
    <w:rsid w:val="0049070F"/>
    <w:rsid w:val="004932C1"/>
    <w:rsid w:val="00493B63"/>
    <w:rsid w:val="004940E0"/>
    <w:rsid w:val="00496861"/>
    <w:rsid w:val="004A1113"/>
    <w:rsid w:val="004A2665"/>
    <w:rsid w:val="004A3449"/>
    <w:rsid w:val="004A350C"/>
    <w:rsid w:val="004A382B"/>
    <w:rsid w:val="004A3894"/>
    <w:rsid w:val="004A38D1"/>
    <w:rsid w:val="004A3B47"/>
    <w:rsid w:val="004A55B1"/>
    <w:rsid w:val="004A56BE"/>
    <w:rsid w:val="004A5717"/>
    <w:rsid w:val="004A61E8"/>
    <w:rsid w:val="004A62DA"/>
    <w:rsid w:val="004B1C2A"/>
    <w:rsid w:val="004B1ECF"/>
    <w:rsid w:val="004B378C"/>
    <w:rsid w:val="004B41B2"/>
    <w:rsid w:val="004B5F63"/>
    <w:rsid w:val="004B7800"/>
    <w:rsid w:val="004B7883"/>
    <w:rsid w:val="004B7C4B"/>
    <w:rsid w:val="004C0135"/>
    <w:rsid w:val="004C0541"/>
    <w:rsid w:val="004C16F3"/>
    <w:rsid w:val="004C206D"/>
    <w:rsid w:val="004C373F"/>
    <w:rsid w:val="004C3C31"/>
    <w:rsid w:val="004C659C"/>
    <w:rsid w:val="004D49A0"/>
    <w:rsid w:val="004D4E0F"/>
    <w:rsid w:val="004D7775"/>
    <w:rsid w:val="004E02D3"/>
    <w:rsid w:val="004E28B9"/>
    <w:rsid w:val="004E4063"/>
    <w:rsid w:val="004E475F"/>
    <w:rsid w:val="004E6169"/>
    <w:rsid w:val="004E6C21"/>
    <w:rsid w:val="004E7676"/>
    <w:rsid w:val="004F17AF"/>
    <w:rsid w:val="004F2797"/>
    <w:rsid w:val="004F288B"/>
    <w:rsid w:val="004F31D0"/>
    <w:rsid w:val="004F3817"/>
    <w:rsid w:val="004F4CFC"/>
    <w:rsid w:val="004F50B8"/>
    <w:rsid w:val="004F62C2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1201B"/>
    <w:rsid w:val="0051345D"/>
    <w:rsid w:val="00516264"/>
    <w:rsid w:val="00516511"/>
    <w:rsid w:val="00517175"/>
    <w:rsid w:val="00521DE6"/>
    <w:rsid w:val="005221F4"/>
    <w:rsid w:val="00522282"/>
    <w:rsid w:val="00524587"/>
    <w:rsid w:val="0052511E"/>
    <w:rsid w:val="0052531F"/>
    <w:rsid w:val="005253D1"/>
    <w:rsid w:val="005264EC"/>
    <w:rsid w:val="00530AE6"/>
    <w:rsid w:val="00532B88"/>
    <w:rsid w:val="005331B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68F5"/>
    <w:rsid w:val="00546967"/>
    <w:rsid w:val="00547212"/>
    <w:rsid w:val="005479C8"/>
    <w:rsid w:val="00547B34"/>
    <w:rsid w:val="005523CF"/>
    <w:rsid w:val="0055364A"/>
    <w:rsid w:val="00553E61"/>
    <w:rsid w:val="0055409D"/>
    <w:rsid w:val="00555066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0859"/>
    <w:rsid w:val="00581749"/>
    <w:rsid w:val="005818A8"/>
    <w:rsid w:val="005829D9"/>
    <w:rsid w:val="00583591"/>
    <w:rsid w:val="005838F0"/>
    <w:rsid w:val="005852DA"/>
    <w:rsid w:val="005858DC"/>
    <w:rsid w:val="00585B6B"/>
    <w:rsid w:val="00585F7B"/>
    <w:rsid w:val="0058776D"/>
    <w:rsid w:val="00590ABD"/>
    <w:rsid w:val="00590B7B"/>
    <w:rsid w:val="005916D5"/>
    <w:rsid w:val="00592DF3"/>
    <w:rsid w:val="00593B25"/>
    <w:rsid w:val="00595DA2"/>
    <w:rsid w:val="00596079"/>
    <w:rsid w:val="005966E6"/>
    <w:rsid w:val="005A054F"/>
    <w:rsid w:val="005A13E6"/>
    <w:rsid w:val="005A1C61"/>
    <w:rsid w:val="005A4AB8"/>
    <w:rsid w:val="005A5064"/>
    <w:rsid w:val="005A5229"/>
    <w:rsid w:val="005B0DB1"/>
    <w:rsid w:val="005B18F4"/>
    <w:rsid w:val="005B25F8"/>
    <w:rsid w:val="005B2BF5"/>
    <w:rsid w:val="005B5CB7"/>
    <w:rsid w:val="005B5F21"/>
    <w:rsid w:val="005B7040"/>
    <w:rsid w:val="005C19AB"/>
    <w:rsid w:val="005C363C"/>
    <w:rsid w:val="005C3915"/>
    <w:rsid w:val="005C3D3E"/>
    <w:rsid w:val="005C4CBE"/>
    <w:rsid w:val="005C4DBD"/>
    <w:rsid w:val="005C4E87"/>
    <w:rsid w:val="005C5F38"/>
    <w:rsid w:val="005D07D1"/>
    <w:rsid w:val="005D0E14"/>
    <w:rsid w:val="005D4BC4"/>
    <w:rsid w:val="005D5D14"/>
    <w:rsid w:val="005D6EEB"/>
    <w:rsid w:val="005D751B"/>
    <w:rsid w:val="005E0358"/>
    <w:rsid w:val="005E038B"/>
    <w:rsid w:val="005E150E"/>
    <w:rsid w:val="005E2852"/>
    <w:rsid w:val="005E2B06"/>
    <w:rsid w:val="005E35C9"/>
    <w:rsid w:val="005E4CD1"/>
    <w:rsid w:val="005E5941"/>
    <w:rsid w:val="005E6D35"/>
    <w:rsid w:val="005F13D5"/>
    <w:rsid w:val="005F50EA"/>
    <w:rsid w:val="005F568D"/>
    <w:rsid w:val="006006C6"/>
    <w:rsid w:val="006050EA"/>
    <w:rsid w:val="006070E0"/>
    <w:rsid w:val="006071F2"/>
    <w:rsid w:val="00607217"/>
    <w:rsid w:val="00607500"/>
    <w:rsid w:val="00607541"/>
    <w:rsid w:val="0061084D"/>
    <w:rsid w:val="00610DDD"/>
    <w:rsid w:val="006127E9"/>
    <w:rsid w:val="00612A53"/>
    <w:rsid w:val="00612A74"/>
    <w:rsid w:val="00612F5E"/>
    <w:rsid w:val="00613676"/>
    <w:rsid w:val="006139C9"/>
    <w:rsid w:val="006142D5"/>
    <w:rsid w:val="006152FB"/>
    <w:rsid w:val="0061569F"/>
    <w:rsid w:val="00616B6E"/>
    <w:rsid w:val="00617CA0"/>
    <w:rsid w:val="00620FA4"/>
    <w:rsid w:val="00621B53"/>
    <w:rsid w:val="0062271A"/>
    <w:rsid w:val="00622F10"/>
    <w:rsid w:val="00622FAC"/>
    <w:rsid w:val="00623BC4"/>
    <w:rsid w:val="00624C12"/>
    <w:rsid w:val="006304FD"/>
    <w:rsid w:val="00632692"/>
    <w:rsid w:val="00634B74"/>
    <w:rsid w:val="006357BA"/>
    <w:rsid w:val="0063610A"/>
    <w:rsid w:val="00642A13"/>
    <w:rsid w:val="00642F40"/>
    <w:rsid w:val="006435D8"/>
    <w:rsid w:val="00645ED4"/>
    <w:rsid w:val="00647463"/>
    <w:rsid w:val="00647B12"/>
    <w:rsid w:val="006509EE"/>
    <w:rsid w:val="00651027"/>
    <w:rsid w:val="0065108A"/>
    <w:rsid w:val="006534C5"/>
    <w:rsid w:val="00653CF3"/>
    <w:rsid w:val="00654A8A"/>
    <w:rsid w:val="0065518C"/>
    <w:rsid w:val="0065775B"/>
    <w:rsid w:val="00657F58"/>
    <w:rsid w:val="00661339"/>
    <w:rsid w:val="00661C7E"/>
    <w:rsid w:val="00663690"/>
    <w:rsid w:val="00664DEB"/>
    <w:rsid w:val="00666EFC"/>
    <w:rsid w:val="0066756D"/>
    <w:rsid w:val="00670373"/>
    <w:rsid w:val="006705D4"/>
    <w:rsid w:val="00670C5E"/>
    <w:rsid w:val="00670C6E"/>
    <w:rsid w:val="00671844"/>
    <w:rsid w:val="00671961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C8B"/>
    <w:rsid w:val="0067730D"/>
    <w:rsid w:val="006807FE"/>
    <w:rsid w:val="00680A78"/>
    <w:rsid w:val="00681351"/>
    <w:rsid w:val="00681A9E"/>
    <w:rsid w:val="00682718"/>
    <w:rsid w:val="00684818"/>
    <w:rsid w:val="00684902"/>
    <w:rsid w:val="00685393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66E3"/>
    <w:rsid w:val="006971AF"/>
    <w:rsid w:val="00697A91"/>
    <w:rsid w:val="006A0B4A"/>
    <w:rsid w:val="006A144B"/>
    <w:rsid w:val="006A1C8D"/>
    <w:rsid w:val="006A290B"/>
    <w:rsid w:val="006A478E"/>
    <w:rsid w:val="006A4801"/>
    <w:rsid w:val="006A5DE6"/>
    <w:rsid w:val="006A6C58"/>
    <w:rsid w:val="006B159D"/>
    <w:rsid w:val="006B22E5"/>
    <w:rsid w:val="006B2866"/>
    <w:rsid w:val="006B3579"/>
    <w:rsid w:val="006B4777"/>
    <w:rsid w:val="006B5211"/>
    <w:rsid w:val="006B5863"/>
    <w:rsid w:val="006B729D"/>
    <w:rsid w:val="006B7725"/>
    <w:rsid w:val="006C1458"/>
    <w:rsid w:val="006C15C6"/>
    <w:rsid w:val="006C1C26"/>
    <w:rsid w:val="006C27EC"/>
    <w:rsid w:val="006C28CF"/>
    <w:rsid w:val="006C2906"/>
    <w:rsid w:val="006C2EF6"/>
    <w:rsid w:val="006C3C84"/>
    <w:rsid w:val="006C5096"/>
    <w:rsid w:val="006C5F17"/>
    <w:rsid w:val="006C6303"/>
    <w:rsid w:val="006C6B7E"/>
    <w:rsid w:val="006C6BF9"/>
    <w:rsid w:val="006C6C06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74DB"/>
    <w:rsid w:val="006E11AC"/>
    <w:rsid w:val="006E4746"/>
    <w:rsid w:val="006E4B91"/>
    <w:rsid w:val="006E6751"/>
    <w:rsid w:val="006E7282"/>
    <w:rsid w:val="006F0752"/>
    <w:rsid w:val="006F1525"/>
    <w:rsid w:val="006F1AFE"/>
    <w:rsid w:val="006F2861"/>
    <w:rsid w:val="006F4309"/>
    <w:rsid w:val="006F4C84"/>
    <w:rsid w:val="006F5E1B"/>
    <w:rsid w:val="006F6B2B"/>
    <w:rsid w:val="006F6D5E"/>
    <w:rsid w:val="006F7123"/>
    <w:rsid w:val="006F7C03"/>
    <w:rsid w:val="00701093"/>
    <w:rsid w:val="007027D1"/>
    <w:rsid w:val="00703B0B"/>
    <w:rsid w:val="00705089"/>
    <w:rsid w:val="007055C9"/>
    <w:rsid w:val="007067B2"/>
    <w:rsid w:val="00706A33"/>
    <w:rsid w:val="00706CF0"/>
    <w:rsid w:val="00707E96"/>
    <w:rsid w:val="00710BC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34B4"/>
    <w:rsid w:val="00725D07"/>
    <w:rsid w:val="00725E16"/>
    <w:rsid w:val="00727967"/>
    <w:rsid w:val="00727BED"/>
    <w:rsid w:val="007307C9"/>
    <w:rsid w:val="007319C8"/>
    <w:rsid w:val="007326D7"/>
    <w:rsid w:val="00733BCB"/>
    <w:rsid w:val="0073431B"/>
    <w:rsid w:val="00734688"/>
    <w:rsid w:val="00734729"/>
    <w:rsid w:val="00736E76"/>
    <w:rsid w:val="0073706D"/>
    <w:rsid w:val="00737DB4"/>
    <w:rsid w:val="007406F2"/>
    <w:rsid w:val="00742C04"/>
    <w:rsid w:val="00743684"/>
    <w:rsid w:val="007452A1"/>
    <w:rsid w:val="00745BCE"/>
    <w:rsid w:val="00746132"/>
    <w:rsid w:val="007469F9"/>
    <w:rsid w:val="00747828"/>
    <w:rsid w:val="007515DA"/>
    <w:rsid w:val="007534AA"/>
    <w:rsid w:val="00753C0A"/>
    <w:rsid w:val="00753E85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79F4"/>
    <w:rsid w:val="00757A6C"/>
    <w:rsid w:val="0076100C"/>
    <w:rsid w:val="00761287"/>
    <w:rsid w:val="0076182F"/>
    <w:rsid w:val="007618B8"/>
    <w:rsid w:val="00762622"/>
    <w:rsid w:val="0076413B"/>
    <w:rsid w:val="007652FD"/>
    <w:rsid w:val="0076645A"/>
    <w:rsid w:val="007675AF"/>
    <w:rsid w:val="00771538"/>
    <w:rsid w:val="00771D94"/>
    <w:rsid w:val="007722BC"/>
    <w:rsid w:val="00772A01"/>
    <w:rsid w:val="00772F45"/>
    <w:rsid w:val="00773C65"/>
    <w:rsid w:val="00775529"/>
    <w:rsid w:val="00776A67"/>
    <w:rsid w:val="00776DE5"/>
    <w:rsid w:val="00777134"/>
    <w:rsid w:val="00781377"/>
    <w:rsid w:val="00781FAF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E88"/>
    <w:rsid w:val="00791DC2"/>
    <w:rsid w:val="00793F4D"/>
    <w:rsid w:val="007941BB"/>
    <w:rsid w:val="00794B8C"/>
    <w:rsid w:val="00796ED1"/>
    <w:rsid w:val="007978AC"/>
    <w:rsid w:val="00797B66"/>
    <w:rsid w:val="00797BA2"/>
    <w:rsid w:val="007A0816"/>
    <w:rsid w:val="007A1882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A7E1A"/>
    <w:rsid w:val="007B0888"/>
    <w:rsid w:val="007B0B93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D6AA1"/>
    <w:rsid w:val="007E0203"/>
    <w:rsid w:val="007E056C"/>
    <w:rsid w:val="007E0761"/>
    <w:rsid w:val="007E081D"/>
    <w:rsid w:val="007E1AB8"/>
    <w:rsid w:val="007E293C"/>
    <w:rsid w:val="007E36EB"/>
    <w:rsid w:val="007E5CC1"/>
    <w:rsid w:val="007E7DDD"/>
    <w:rsid w:val="007F182C"/>
    <w:rsid w:val="007F33E9"/>
    <w:rsid w:val="007F388B"/>
    <w:rsid w:val="007F4571"/>
    <w:rsid w:val="007F4D55"/>
    <w:rsid w:val="007F61AF"/>
    <w:rsid w:val="007F775F"/>
    <w:rsid w:val="007F7F34"/>
    <w:rsid w:val="0080031F"/>
    <w:rsid w:val="00801411"/>
    <w:rsid w:val="00801DB8"/>
    <w:rsid w:val="0080291E"/>
    <w:rsid w:val="00802B7F"/>
    <w:rsid w:val="00804F0B"/>
    <w:rsid w:val="00805844"/>
    <w:rsid w:val="00805F78"/>
    <w:rsid w:val="00806B4B"/>
    <w:rsid w:val="00810837"/>
    <w:rsid w:val="00810CDD"/>
    <w:rsid w:val="00811332"/>
    <w:rsid w:val="0081184B"/>
    <w:rsid w:val="00811943"/>
    <w:rsid w:val="00811DF5"/>
    <w:rsid w:val="00812862"/>
    <w:rsid w:val="00812E0B"/>
    <w:rsid w:val="00813346"/>
    <w:rsid w:val="00813F13"/>
    <w:rsid w:val="00815A2F"/>
    <w:rsid w:val="00817A6A"/>
    <w:rsid w:val="0082070B"/>
    <w:rsid w:val="0082084A"/>
    <w:rsid w:val="00822F67"/>
    <w:rsid w:val="008251C2"/>
    <w:rsid w:val="0082570B"/>
    <w:rsid w:val="0082721B"/>
    <w:rsid w:val="008312F3"/>
    <w:rsid w:val="008343BA"/>
    <w:rsid w:val="0083553F"/>
    <w:rsid w:val="008355A8"/>
    <w:rsid w:val="00836A00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680E"/>
    <w:rsid w:val="00847B5B"/>
    <w:rsid w:val="00847EBF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3019"/>
    <w:rsid w:val="00864891"/>
    <w:rsid w:val="00864D7E"/>
    <w:rsid w:val="008654E2"/>
    <w:rsid w:val="008656F4"/>
    <w:rsid w:val="00866008"/>
    <w:rsid w:val="00870795"/>
    <w:rsid w:val="00871ED5"/>
    <w:rsid w:val="008722E4"/>
    <w:rsid w:val="00873808"/>
    <w:rsid w:val="00873FD5"/>
    <w:rsid w:val="00874F31"/>
    <w:rsid w:val="0087527E"/>
    <w:rsid w:val="00875C4F"/>
    <w:rsid w:val="008770B1"/>
    <w:rsid w:val="00877642"/>
    <w:rsid w:val="00877FE9"/>
    <w:rsid w:val="00880646"/>
    <w:rsid w:val="00882650"/>
    <w:rsid w:val="00883754"/>
    <w:rsid w:val="008842AB"/>
    <w:rsid w:val="008844C7"/>
    <w:rsid w:val="008855BC"/>
    <w:rsid w:val="00886302"/>
    <w:rsid w:val="00886930"/>
    <w:rsid w:val="0089243B"/>
    <w:rsid w:val="00892AFB"/>
    <w:rsid w:val="0089368B"/>
    <w:rsid w:val="00893A0A"/>
    <w:rsid w:val="0089702D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85E"/>
    <w:rsid w:val="008B2B3C"/>
    <w:rsid w:val="008B4A2E"/>
    <w:rsid w:val="008B58DE"/>
    <w:rsid w:val="008B599F"/>
    <w:rsid w:val="008B6202"/>
    <w:rsid w:val="008B665D"/>
    <w:rsid w:val="008B6D0D"/>
    <w:rsid w:val="008C01EB"/>
    <w:rsid w:val="008C15C8"/>
    <w:rsid w:val="008C215C"/>
    <w:rsid w:val="008C2299"/>
    <w:rsid w:val="008C34B7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A5D"/>
    <w:rsid w:val="008D6E96"/>
    <w:rsid w:val="008D6F6A"/>
    <w:rsid w:val="008D6F78"/>
    <w:rsid w:val="008D76BE"/>
    <w:rsid w:val="008E0886"/>
    <w:rsid w:val="008E0E90"/>
    <w:rsid w:val="008E10D6"/>
    <w:rsid w:val="008E27E6"/>
    <w:rsid w:val="008E2B58"/>
    <w:rsid w:val="008E3805"/>
    <w:rsid w:val="008E3D20"/>
    <w:rsid w:val="008E4582"/>
    <w:rsid w:val="008E462B"/>
    <w:rsid w:val="008E5EDA"/>
    <w:rsid w:val="008E636B"/>
    <w:rsid w:val="008E6D00"/>
    <w:rsid w:val="008E7183"/>
    <w:rsid w:val="008E77D5"/>
    <w:rsid w:val="008F0415"/>
    <w:rsid w:val="008F0BE5"/>
    <w:rsid w:val="008F195C"/>
    <w:rsid w:val="008F34CB"/>
    <w:rsid w:val="008F3986"/>
    <w:rsid w:val="008F4F59"/>
    <w:rsid w:val="008F6653"/>
    <w:rsid w:val="008F71E6"/>
    <w:rsid w:val="008F7755"/>
    <w:rsid w:val="009008A2"/>
    <w:rsid w:val="00900F62"/>
    <w:rsid w:val="0090210D"/>
    <w:rsid w:val="00902289"/>
    <w:rsid w:val="009022BB"/>
    <w:rsid w:val="009045B3"/>
    <w:rsid w:val="0090493D"/>
    <w:rsid w:val="00904C72"/>
    <w:rsid w:val="00904F52"/>
    <w:rsid w:val="00905430"/>
    <w:rsid w:val="00905BF5"/>
    <w:rsid w:val="00905F6A"/>
    <w:rsid w:val="00907FE0"/>
    <w:rsid w:val="00910CBD"/>
    <w:rsid w:val="0091144B"/>
    <w:rsid w:val="00912260"/>
    <w:rsid w:val="009126D6"/>
    <w:rsid w:val="00915576"/>
    <w:rsid w:val="00915B6A"/>
    <w:rsid w:val="0091631F"/>
    <w:rsid w:val="00916A0F"/>
    <w:rsid w:val="00920528"/>
    <w:rsid w:val="00922BF8"/>
    <w:rsid w:val="0092368D"/>
    <w:rsid w:val="0092378E"/>
    <w:rsid w:val="0092403C"/>
    <w:rsid w:val="0092474C"/>
    <w:rsid w:val="00925448"/>
    <w:rsid w:val="00925536"/>
    <w:rsid w:val="00925FF2"/>
    <w:rsid w:val="009271A2"/>
    <w:rsid w:val="009329C9"/>
    <w:rsid w:val="00933305"/>
    <w:rsid w:val="0093378D"/>
    <w:rsid w:val="0093484E"/>
    <w:rsid w:val="00935A48"/>
    <w:rsid w:val="00937C0F"/>
    <w:rsid w:val="009404CE"/>
    <w:rsid w:val="00940D56"/>
    <w:rsid w:val="00941C71"/>
    <w:rsid w:val="00941E99"/>
    <w:rsid w:val="0094299F"/>
    <w:rsid w:val="00942C49"/>
    <w:rsid w:val="009472A1"/>
    <w:rsid w:val="00947B02"/>
    <w:rsid w:val="00947E4E"/>
    <w:rsid w:val="009508FA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325"/>
    <w:rsid w:val="009611F6"/>
    <w:rsid w:val="00961D65"/>
    <w:rsid w:val="00962341"/>
    <w:rsid w:val="00962426"/>
    <w:rsid w:val="009636C3"/>
    <w:rsid w:val="009637F1"/>
    <w:rsid w:val="009647DB"/>
    <w:rsid w:val="00965B35"/>
    <w:rsid w:val="00965E55"/>
    <w:rsid w:val="00965FCD"/>
    <w:rsid w:val="009667E4"/>
    <w:rsid w:val="00966CC3"/>
    <w:rsid w:val="009674E4"/>
    <w:rsid w:val="00967750"/>
    <w:rsid w:val="009707F3"/>
    <w:rsid w:val="00970817"/>
    <w:rsid w:val="00972F5D"/>
    <w:rsid w:val="00973022"/>
    <w:rsid w:val="0097377E"/>
    <w:rsid w:val="00974320"/>
    <w:rsid w:val="00974AD2"/>
    <w:rsid w:val="00974F42"/>
    <w:rsid w:val="00975511"/>
    <w:rsid w:val="0098296F"/>
    <w:rsid w:val="00982E62"/>
    <w:rsid w:val="009836D7"/>
    <w:rsid w:val="0098562F"/>
    <w:rsid w:val="00985C9B"/>
    <w:rsid w:val="009860B5"/>
    <w:rsid w:val="00992B90"/>
    <w:rsid w:val="00993E5A"/>
    <w:rsid w:val="00994D96"/>
    <w:rsid w:val="009960CD"/>
    <w:rsid w:val="009A0736"/>
    <w:rsid w:val="009A1376"/>
    <w:rsid w:val="009A24E1"/>
    <w:rsid w:val="009A2EA5"/>
    <w:rsid w:val="009A4C61"/>
    <w:rsid w:val="009A63D0"/>
    <w:rsid w:val="009A6D2F"/>
    <w:rsid w:val="009A74A7"/>
    <w:rsid w:val="009A792A"/>
    <w:rsid w:val="009B1B81"/>
    <w:rsid w:val="009B1C0A"/>
    <w:rsid w:val="009B320B"/>
    <w:rsid w:val="009B5779"/>
    <w:rsid w:val="009B65AF"/>
    <w:rsid w:val="009B6603"/>
    <w:rsid w:val="009B6985"/>
    <w:rsid w:val="009C0493"/>
    <w:rsid w:val="009C162D"/>
    <w:rsid w:val="009C1D43"/>
    <w:rsid w:val="009C406B"/>
    <w:rsid w:val="009C42D7"/>
    <w:rsid w:val="009C4EAF"/>
    <w:rsid w:val="009C5011"/>
    <w:rsid w:val="009C5462"/>
    <w:rsid w:val="009C62C0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36CD"/>
    <w:rsid w:val="009E510B"/>
    <w:rsid w:val="009E58AC"/>
    <w:rsid w:val="009E5D48"/>
    <w:rsid w:val="009E70C1"/>
    <w:rsid w:val="009E7177"/>
    <w:rsid w:val="009F0EB0"/>
    <w:rsid w:val="009F1090"/>
    <w:rsid w:val="009F18E0"/>
    <w:rsid w:val="009F2C2B"/>
    <w:rsid w:val="009F3035"/>
    <w:rsid w:val="009F3089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6E10"/>
    <w:rsid w:val="00A07539"/>
    <w:rsid w:val="00A10CF5"/>
    <w:rsid w:val="00A119B4"/>
    <w:rsid w:val="00A119F1"/>
    <w:rsid w:val="00A11CDE"/>
    <w:rsid w:val="00A11E17"/>
    <w:rsid w:val="00A14996"/>
    <w:rsid w:val="00A16685"/>
    <w:rsid w:val="00A16C9B"/>
    <w:rsid w:val="00A17447"/>
    <w:rsid w:val="00A20571"/>
    <w:rsid w:val="00A2097F"/>
    <w:rsid w:val="00A209F6"/>
    <w:rsid w:val="00A20D1B"/>
    <w:rsid w:val="00A22776"/>
    <w:rsid w:val="00A22911"/>
    <w:rsid w:val="00A233F2"/>
    <w:rsid w:val="00A2480A"/>
    <w:rsid w:val="00A2559B"/>
    <w:rsid w:val="00A25D5F"/>
    <w:rsid w:val="00A30660"/>
    <w:rsid w:val="00A30E95"/>
    <w:rsid w:val="00A3121D"/>
    <w:rsid w:val="00A324F2"/>
    <w:rsid w:val="00A33860"/>
    <w:rsid w:val="00A34E49"/>
    <w:rsid w:val="00A34E9D"/>
    <w:rsid w:val="00A35C10"/>
    <w:rsid w:val="00A360C2"/>
    <w:rsid w:val="00A36F39"/>
    <w:rsid w:val="00A37526"/>
    <w:rsid w:val="00A4133A"/>
    <w:rsid w:val="00A419CE"/>
    <w:rsid w:val="00A423C3"/>
    <w:rsid w:val="00A429F2"/>
    <w:rsid w:val="00A4482B"/>
    <w:rsid w:val="00A44F75"/>
    <w:rsid w:val="00A451E5"/>
    <w:rsid w:val="00A45934"/>
    <w:rsid w:val="00A45F99"/>
    <w:rsid w:val="00A468B1"/>
    <w:rsid w:val="00A4692E"/>
    <w:rsid w:val="00A46C9C"/>
    <w:rsid w:val="00A46DEF"/>
    <w:rsid w:val="00A52BC0"/>
    <w:rsid w:val="00A55764"/>
    <w:rsid w:val="00A55823"/>
    <w:rsid w:val="00A559ED"/>
    <w:rsid w:val="00A55AB0"/>
    <w:rsid w:val="00A5642C"/>
    <w:rsid w:val="00A56F16"/>
    <w:rsid w:val="00A57868"/>
    <w:rsid w:val="00A57CDB"/>
    <w:rsid w:val="00A6220E"/>
    <w:rsid w:val="00A62711"/>
    <w:rsid w:val="00A63167"/>
    <w:rsid w:val="00A66994"/>
    <w:rsid w:val="00A66BEC"/>
    <w:rsid w:val="00A67103"/>
    <w:rsid w:val="00A67F78"/>
    <w:rsid w:val="00A719D1"/>
    <w:rsid w:val="00A73828"/>
    <w:rsid w:val="00A74590"/>
    <w:rsid w:val="00A75004"/>
    <w:rsid w:val="00A76BD3"/>
    <w:rsid w:val="00A80523"/>
    <w:rsid w:val="00A8105B"/>
    <w:rsid w:val="00A8196A"/>
    <w:rsid w:val="00A81A72"/>
    <w:rsid w:val="00A84EF6"/>
    <w:rsid w:val="00A85320"/>
    <w:rsid w:val="00A85322"/>
    <w:rsid w:val="00A862EE"/>
    <w:rsid w:val="00A86AE2"/>
    <w:rsid w:val="00A919D2"/>
    <w:rsid w:val="00A92C88"/>
    <w:rsid w:val="00A93193"/>
    <w:rsid w:val="00A94105"/>
    <w:rsid w:val="00A9414F"/>
    <w:rsid w:val="00A94444"/>
    <w:rsid w:val="00A944B7"/>
    <w:rsid w:val="00A965E6"/>
    <w:rsid w:val="00A96B95"/>
    <w:rsid w:val="00A975A4"/>
    <w:rsid w:val="00AA1568"/>
    <w:rsid w:val="00AA4229"/>
    <w:rsid w:val="00AA4C9B"/>
    <w:rsid w:val="00AA53FC"/>
    <w:rsid w:val="00AA57C2"/>
    <w:rsid w:val="00AA6372"/>
    <w:rsid w:val="00AB08DE"/>
    <w:rsid w:val="00AB1AAD"/>
    <w:rsid w:val="00AB356D"/>
    <w:rsid w:val="00AB3700"/>
    <w:rsid w:val="00AB47EB"/>
    <w:rsid w:val="00AB4C24"/>
    <w:rsid w:val="00AB4C79"/>
    <w:rsid w:val="00AB517A"/>
    <w:rsid w:val="00AB7198"/>
    <w:rsid w:val="00AC2EF2"/>
    <w:rsid w:val="00AC33D0"/>
    <w:rsid w:val="00AC41A8"/>
    <w:rsid w:val="00AC4D78"/>
    <w:rsid w:val="00AC4E44"/>
    <w:rsid w:val="00AC7CE7"/>
    <w:rsid w:val="00AD02E0"/>
    <w:rsid w:val="00AD0474"/>
    <w:rsid w:val="00AD0892"/>
    <w:rsid w:val="00AD0FC1"/>
    <w:rsid w:val="00AD1B16"/>
    <w:rsid w:val="00AD1CF2"/>
    <w:rsid w:val="00AD2C28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E1A52"/>
    <w:rsid w:val="00AE2C4C"/>
    <w:rsid w:val="00AE2FC9"/>
    <w:rsid w:val="00AE3B29"/>
    <w:rsid w:val="00AE3EC8"/>
    <w:rsid w:val="00AE46D2"/>
    <w:rsid w:val="00AF16EF"/>
    <w:rsid w:val="00AF2A35"/>
    <w:rsid w:val="00AF39C0"/>
    <w:rsid w:val="00AF3F13"/>
    <w:rsid w:val="00AF62DF"/>
    <w:rsid w:val="00AF6471"/>
    <w:rsid w:val="00AF71DC"/>
    <w:rsid w:val="00B012FF"/>
    <w:rsid w:val="00B022B2"/>
    <w:rsid w:val="00B02D66"/>
    <w:rsid w:val="00B039A4"/>
    <w:rsid w:val="00B0449D"/>
    <w:rsid w:val="00B063C0"/>
    <w:rsid w:val="00B10371"/>
    <w:rsid w:val="00B12463"/>
    <w:rsid w:val="00B12E31"/>
    <w:rsid w:val="00B12FFF"/>
    <w:rsid w:val="00B13932"/>
    <w:rsid w:val="00B1410C"/>
    <w:rsid w:val="00B144B8"/>
    <w:rsid w:val="00B14CA8"/>
    <w:rsid w:val="00B15B7B"/>
    <w:rsid w:val="00B215A7"/>
    <w:rsid w:val="00B21B23"/>
    <w:rsid w:val="00B22227"/>
    <w:rsid w:val="00B2229B"/>
    <w:rsid w:val="00B2262C"/>
    <w:rsid w:val="00B2447D"/>
    <w:rsid w:val="00B2654F"/>
    <w:rsid w:val="00B27D61"/>
    <w:rsid w:val="00B30BC0"/>
    <w:rsid w:val="00B355D6"/>
    <w:rsid w:val="00B36D48"/>
    <w:rsid w:val="00B40133"/>
    <w:rsid w:val="00B41E7A"/>
    <w:rsid w:val="00B42AAB"/>
    <w:rsid w:val="00B434CF"/>
    <w:rsid w:val="00B46ABF"/>
    <w:rsid w:val="00B47CAB"/>
    <w:rsid w:val="00B50021"/>
    <w:rsid w:val="00B50CF4"/>
    <w:rsid w:val="00B5154B"/>
    <w:rsid w:val="00B52271"/>
    <w:rsid w:val="00B53433"/>
    <w:rsid w:val="00B57358"/>
    <w:rsid w:val="00B57E89"/>
    <w:rsid w:val="00B600D9"/>
    <w:rsid w:val="00B603E6"/>
    <w:rsid w:val="00B62D9E"/>
    <w:rsid w:val="00B6394D"/>
    <w:rsid w:val="00B63FBA"/>
    <w:rsid w:val="00B6519A"/>
    <w:rsid w:val="00B663B8"/>
    <w:rsid w:val="00B669C4"/>
    <w:rsid w:val="00B71665"/>
    <w:rsid w:val="00B71C0B"/>
    <w:rsid w:val="00B72332"/>
    <w:rsid w:val="00B72446"/>
    <w:rsid w:val="00B74947"/>
    <w:rsid w:val="00B7591E"/>
    <w:rsid w:val="00B75991"/>
    <w:rsid w:val="00B76838"/>
    <w:rsid w:val="00B77D13"/>
    <w:rsid w:val="00B801BF"/>
    <w:rsid w:val="00B81BD0"/>
    <w:rsid w:val="00B82794"/>
    <w:rsid w:val="00B82B9C"/>
    <w:rsid w:val="00B82F96"/>
    <w:rsid w:val="00B84CCB"/>
    <w:rsid w:val="00B862AF"/>
    <w:rsid w:val="00B86637"/>
    <w:rsid w:val="00B87E79"/>
    <w:rsid w:val="00B90D97"/>
    <w:rsid w:val="00B91241"/>
    <w:rsid w:val="00B92746"/>
    <w:rsid w:val="00B92D47"/>
    <w:rsid w:val="00BA06C1"/>
    <w:rsid w:val="00BA0B65"/>
    <w:rsid w:val="00BA1E04"/>
    <w:rsid w:val="00BA1F78"/>
    <w:rsid w:val="00BA54D0"/>
    <w:rsid w:val="00BA6C18"/>
    <w:rsid w:val="00BA6F69"/>
    <w:rsid w:val="00BA6FEF"/>
    <w:rsid w:val="00BB24C2"/>
    <w:rsid w:val="00BB30FF"/>
    <w:rsid w:val="00BB360B"/>
    <w:rsid w:val="00BB40F6"/>
    <w:rsid w:val="00BB573E"/>
    <w:rsid w:val="00BB5FE7"/>
    <w:rsid w:val="00BB60B2"/>
    <w:rsid w:val="00BB68A6"/>
    <w:rsid w:val="00BB785F"/>
    <w:rsid w:val="00BB7878"/>
    <w:rsid w:val="00BB7D3F"/>
    <w:rsid w:val="00BB7F73"/>
    <w:rsid w:val="00BC05DD"/>
    <w:rsid w:val="00BC1BBF"/>
    <w:rsid w:val="00BC2E39"/>
    <w:rsid w:val="00BC4BB9"/>
    <w:rsid w:val="00BC5779"/>
    <w:rsid w:val="00BC6076"/>
    <w:rsid w:val="00BC6E86"/>
    <w:rsid w:val="00BC73F7"/>
    <w:rsid w:val="00BC76FE"/>
    <w:rsid w:val="00BD0C9A"/>
    <w:rsid w:val="00BD18F0"/>
    <w:rsid w:val="00BD30D2"/>
    <w:rsid w:val="00BE1624"/>
    <w:rsid w:val="00BE20AC"/>
    <w:rsid w:val="00BE2E1E"/>
    <w:rsid w:val="00BE3C50"/>
    <w:rsid w:val="00BE3FF4"/>
    <w:rsid w:val="00BE47BD"/>
    <w:rsid w:val="00BE5B52"/>
    <w:rsid w:val="00BE6311"/>
    <w:rsid w:val="00BE6E6D"/>
    <w:rsid w:val="00BF0ACC"/>
    <w:rsid w:val="00BF0C5D"/>
    <w:rsid w:val="00BF1440"/>
    <w:rsid w:val="00BF1786"/>
    <w:rsid w:val="00BF1A0B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25D3"/>
    <w:rsid w:val="00C07170"/>
    <w:rsid w:val="00C077DA"/>
    <w:rsid w:val="00C0788A"/>
    <w:rsid w:val="00C07EBB"/>
    <w:rsid w:val="00C11266"/>
    <w:rsid w:val="00C123A0"/>
    <w:rsid w:val="00C131FA"/>
    <w:rsid w:val="00C13F58"/>
    <w:rsid w:val="00C14571"/>
    <w:rsid w:val="00C1491F"/>
    <w:rsid w:val="00C157D1"/>
    <w:rsid w:val="00C20050"/>
    <w:rsid w:val="00C20BFE"/>
    <w:rsid w:val="00C20E5A"/>
    <w:rsid w:val="00C22E55"/>
    <w:rsid w:val="00C23729"/>
    <w:rsid w:val="00C25367"/>
    <w:rsid w:val="00C26844"/>
    <w:rsid w:val="00C2734A"/>
    <w:rsid w:val="00C309B8"/>
    <w:rsid w:val="00C31D0E"/>
    <w:rsid w:val="00C321B7"/>
    <w:rsid w:val="00C32DED"/>
    <w:rsid w:val="00C34184"/>
    <w:rsid w:val="00C34787"/>
    <w:rsid w:val="00C34AC1"/>
    <w:rsid w:val="00C35CAA"/>
    <w:rsid w:val="00C37756"/>
    <w:rsid w:val="00C37B69"/>
    <w:rsid w:val="00C40651"/>
    <w:rsid w:val="00C40CFD"/>
    <w:rsid w:val="00C41BAB"/>
    <w:rsid w:val="00C41D78"/>
    <w:rsid w:val="00C42122"/>
    <w:rsid w:val="00C427B1"/>
    <w:rsid w:val="00C42838"/>
    <w:rsid w:val="00C43371"/>
    <w:rsid w:val="00C45B6B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49E0"/>
    <w:rsid w:val="00C565D2"/>
    <w:rsid w:val="00C56A3A"/>
    <w:rsid w:val="00C576EA"/>
    <w:rsid w:val="00C57CD2"/>
    <w:rsid w:val="00C603DE"/>
    <w:rsid w:val="00C6164F"/>
    <w:rsid w:val="00C62171"/>
    <w:rsid w:val="00C6348A"/>
    <w:rsid w:val="00C63916"/>
    <w:rsid w:val="00C63FC1"/>
    <w:rsid w:val="00C6406C"/>
    <w:rsid w:val="00C64636"/>
    <w:rsid w:val="00C646AC"/>
    <w:rsid w:val="00C652CE"/>
    <w:rsid w:val="00C6630B"/>
    <w:rsid w:val="00C663B6"/>
    <w:rsid w:val="00C701AF"/>
    <w:rsid w:val="00C7054F"/>
    <w:rsid w:val="00C70D2D"/>
    <w:rsid w:val="00C72651"/>
    <w:rsid w:val="00C72C89"/>
    <w:rsid w:val="00C73B10"/>
    <w:rsid w:val="00C74B05"/>
    <w:rsid w:val="00C75F0D"/>
    <w:rsid w:val="00C75F73"/>
    <w:rsid w:val="00C80520"/>
    <w:rsid w:val="00C80EF3"/>
    <w:rsid w:val="00C81007"/>
    <w:rsid w:val="00C83BDD"/>
    <w:rsid w:val="00C84A12"/>
    <w:rsid w:val="00C85EA2"/>
    <w:rsid w:val="00C86D66"/>
    <w:rsid w:val="00C87E02"/>
    <w:rsid w:val="00C90367"/>
    <w:rsid w:val="00C907BB"/>
    <w:rsid w:val="00C909BF"/>
    <w:rsid w:val="00C9152B"/>
    <w:rsid w:val="00C9246F"/>
    <w:rsid w:val="00C9290A"/>
    <w:rsid w:val="00C93D87"/>
    <w:rsid w:val="00C93DA1"/>
    <w:rsid w:val="00C94C39"/>
    <w:rsid w:val="00C9626E"/>
    <w:rsid w:val="00C97975"/>
    <w:rsid w:val="00CA211C"/>
    <w:rsid w:val="00CA2C46"/>
    <w:rsid w:val="00CA2DC5"/>
    <w:rsid w:val="00CA44ED"/>
    <w:rsid w:val="00CA6E7C"/>
    <w:rsid w:val="00CA7C68"/>
    <w:rsid w:val="00CA7C77"/>
    <w:rsid w:val="00CB0013"/>
    <w:rsid w:val="00CB04AC"/>
    <w:rsid w:val="00CB0D35"/>
    <w:rsid w:val="00CB2C84"/>
    <w:rsid w:val="00CB311F"/>
    <w:rsid w:val="00CB407D"/>
    <w:rsid w:val="00CB4560"/>
    <w:rsid w:val="00CB47DE"/>
    <w:rsid w:val="00CB7966"/>
    <w:rsid w:val="00CC16C7"/>
    <w:rsid w:val="00CC199B"/>
    <w:rsid w:val="00CC2AAE"/>
    <w:rsid w:val="00CC53C4"/>
    <w:rsid w:val="00CC577F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518B"/>
    <w:rsid w:val="00CE69B5"/>
    <w:rsid w:val="00CE6CFC"/>
    <w:rsid w:val="00CE7444"/>
    <w:rsid w:val="00CF0291"/>
    <w:rsid w:val="00CF0D75"/>
    <w:rsid w:val="00CF162C"/>
    <w:rsid w:val="00CF1DF9"/>
    <w:rsid w:val="00CF4E1E"/>
    <w:rsid w:val="00CF586D"/>
    <w:rsid w:val="00CF5FA3"/>
    <w:rsid w:val="00D004D6"/>
    <w:rsid w:val="00D00D24"/>
    <w:rsid w:val="00D0131E"/>
    <w:rsid w:val="00D01C27"/>
    <w:rsid w:val="00D02C61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99"/>
    <w:rsid w:val="00D222E7"/>
    <w:rsid w:val="00D2271A"/>
    <w:rsid w:val="00D253F6"/>
    <w:rsid w:val="00D26B12"/>
    <w:rsid w:val="00D26EB8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5983"/>
    <w:rsid w:val="00D3631D"/>
    <w:rsid w:val="00D36486"/>
    <w:rsid w:val="00D4058D"/>
    <w:rsid w:val="00D40A23"/>
    <w:rsid w:val="00D44ED9"/>
    <w:rsid w:val="00D45256"/>
    <w:rsid w:val="00D47D6A"/>
    <w:rsid w:val="00D501DA"/>
    <w:rsid w:val="00D506A3"/>
    <w:rsid w:val="00D50FD4"/>
    <w:rsid w:val="00D51C00"/>
    <w:rsid w:val="00D51E0A"/>
    <w:rsid w:val="00D527AF"/>
    <w:rsid w:val="00D52AB9"/>
    <w:rsid w:val="00D5378F"/>
    <w:rsid w:val="00D542E5"/>
    <w:rsid w:val="00D55775"/>
    <w:rsid w:val="00D564C8"/>
    <w:rsid w:val="00D5714E"/>
    <w:rsid w:val="00D57413"/>
    <w:rsid w:val="00D60D35"/>
    <w:rsid w:val="00D61692"/>
    <w:rsid w:val="00D61837"/>
    <w:rsid w:val="00D64F6E"/>
    <w:rsid w:val="00D64FD3"/>
    <w:rsid w:val="00D66F3C"/>
    <w:rsid w:val="00D67D95"/>
    <w:rsid w:val="00D710FD"/>
    <w:rsid w:val="00D71690"/>
    <w:rsid w:val="00D719A0"/>
    <w:rsid w:val="00D733AC"/>
    <w:rsid w:val="00D73AA8"/>
    <w:rsid w:val="00D75F50"/>
    <w:rsid w:val="00D76A94"/>
    <w:rsid w:val="00D7718A"/>
    <w:rsid w:val="00D77F3E"/>
    <w:rsid w:val="00D800B5"/>
    <w:rsid w:val="00D803C1"/>
    <w:rsid w:val="00D834E8"/>
    <w:rsid w:val="00D848EE"/>
    <w:rsid w:val="00D85C94"/>
    <w:rsid w:val="00D85F1E"/>
    <w:rsid w:val="00D8651E"/>
    <w:rsid w:val="00D90D26"/>
    <w:rsid w:val="00D91904"/>
    <w:rsid w:val="00D92C91"/>
    <w:rsid w:val="00D94466"/>
    <w:rsid w:val="00D96B77"/>
    <w:rsid w:val="00D96CD3"/>
    <w:rsid w:val="00DA1A1F"/>
    <w:rsid w:val="00DA2655"/>
    <w:rsid w:val="00DA2F0A"/>
    <w:rsid w:val="00DA35C2"/>
    <w:rsid w:val="00DA372E"/>
    <w:rsid w:val="00DA3BC4"/>
    <w:rsid w:val="00DA6330"/>
    <w:rsid w:val="00DB0D61"/>
    <w:rsid w:val="00DB2EE2"/>
    <w:rsid w:val="00DB3E5E"/>
    <w:rsid w:val="00DB4A28"/>
    <w:rsid w:val="00DB51B0"/>
    <w:rsid w:val="00DB55E7"/>
    <w:rsid w:val="00DB561E"/>
    <w:rsid w:val="00DB67E3"/>
    <w:rsid w:val="00DB6B8F"/>
    <w:rsid w:val="00DB6DB6"/>
    <w:rsid w:val="00DB721D"/>
    <w:rsid w:val="00DB7C5D"/>
    <w:rsid w:val="00DC006E"/>
    <w:rsid w:val="00DC0241"/>
    <w:rsid w:val="00DC1184"/>
    <w:rsid w:val="00DC19DD"/>
    <w:rsid w:val="00DC3690"/>
    <w:rsid w:val="00DC47F3"/>
    <w:rsid w:val="00DC48C0"/>
    <w:rsid w:val="00DC4AD1"/>
    <w:rsid w:val="00DC6634"/>
    <w:rsid w:val="00DC7E28"/>
    <w:rsid w:val="00DD0300"/>
    <w:rsid w:val="00DD230D"/>
    <w:rsid w:val="00DD2925"/>
    <w:rsid w:val="00DD2C83"/>
    <w:rsid w:val="00DD351E"/>
    <w:rsid w:val="00DD5A8F"/>
    <w:rsid w:val="00DD6AB8"/>
    <w:rsid w:val="00DD6B2D"/>
    <w:rsid w:val="00DD756A"/>
    <w:rsid w:val="00DD75DD"/>
    <w:rsid w:val="00DE0595"/>
    <w:rsid w:val="00DE1A7C"/>
    <w:rsid w:val="00DE2A1F"/>
    <w:rsid w:val="00DE2C31"/>
    <w:rsid w:val="00DE4794"/>
    <w:rsid w:val="00DE47FC"/>
    <w:rsid w:val="00DE495F"/>
    <w:rsid w:val="00DE63E8"/>
    <w:rsid w:val="00DE7609"/>
    <w:rsid w:val="00DF1C86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98B"/>
    <w:rsid w:val="00E05C49"/>
    <w:rsid w:val="00E06855"/>
    <w:rsid w:val="00E0706D"/>
    <w:rsid w:val="00E074E4"/>
    <w:rsid w:val="00E07C08"/>
    <w:rsid w:val="00E139E6"/>
    <w:rsid w:val="00E143F2"/>
    <w:rsid w:val="00E14901"/>
    <w:rsid w:val="00E157D0"/>
    <w:rsid w:val="00E16763"/>
    <w:rsid w:val="00E20800"/>
    <w:rsid w:val="00E2133B"/>
    <w:rsid w:val="00E22571"/>
    <w:rsid w:val="00E2307A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4692"/>
    <w:rsid w:val="00E34A15"/>
    <w:rsid w:val="00E35767"/>
    <w:rsid w:val="00E35972"/>
    <w:rsid w:val="00E35BCC"/>
    <w:rsid w:val="00E36E18"/>
    <w:rsid w:val="00E37149"/>
    <w:rsid w:val="00E37A47"/>
    <w:rsid w:val="00E40915"/>
    <w:rsid w:val="00E41355"/>
    <w:rsid w:val="00E42290"/>
    <w:rsid w:val="00E43D7A"/>
    <w:rsid w:val="00E44BCC"/>
    <w:rsid w:val="00E453FC"/>
    <w:rsid w:val="00E456CD"/>
    <w:rsid w:val="00E4745C"/>
    <w:rsid w:val="00E474C1"/>
    <w:rsid w:val="00E50BCF"/>
    <w:rsid w:val="00E51282"/>
    <w:rsid w:val="00E523EF"/>
    <w:rsid w:val="00E527EE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4AA5"/>
    <w:rsid w:val="00E64E93"/>
    <w:rsid w:val="00E660EE"/>
    <w:rsid w:val="00E72541"/>
    <w:rsid w:val="00E72808"/>
    <w:rsid w:val="00E72F93"/>
    <w:rsid w:val="00E734B7"/>
    <w:rsid w:val="00E73E27"/>
    <w:rsid w:val="00E75796"/>
    <w:rsid w:val="00E8093F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7BA7"/>
    <w:rsid w:val="00E9031B"/>
    <w:rsid w:val="00E90B13"/>
    <w:rsid w:val="00E9108B"/>
    <w:rsid w:val="00E91311"/>
    <w:rsid w:val="00E91ED3"/>
    <w:rsid w:val="00E92380"/>
    <w:rsid w:val="00E95A95"/>
    <w:rsid w:val="00EA0BE5"/>
    <w:rsid w:val="00EA2FB5"/>
    <w:rsid w:val="00EA43D5"/>
    <w:rsid w:val="00EA5738"/>
    <w:rsid w:val="00EA60A7"/>
    <w:rsid w:val="00EB250E"/>
    <w:rsid w:val="00EB32D7"/>
    <w:rsid w:val="00EB3658"/>
    <w:rsid w:val="00EB39B5"/>
    <w:rsid w:val="00EB39E1"/>
    <w:rsid w:val="00EB405A"/>
    <w:rsid w:val="00EB54F9"/>
    <w:rsid w:val="00EB568C"/>
    <w:rsid w:val="00EB6068"/>
    <w:rsid w:val="00EB64B9"/>
    <w:rsid w:val="00EB7CD3"/>
    <w:rsid w:val="00EC0C1D"/>
    <w:rsid w:val="00EC0D33"/>
    <w:rsid w:val="00EC1003"/>
    <w:rsid w:val="00EC3691"/>
    <w:rsid w:val="00EC3B14"/>
    <w:rsid w:val="00EC4680"/>
    <w:rsid w:val="00EC6854"/>
    <w:rsid w:val="00EC70BD"/>
    <w:rsid w:val="00ED05BC"/>
    <w:rsid w:val="00ED0E4C"/>
    <w:rsid w:val="00ED21BB"/>
    <w:rsid w:val="00ED2422"/>
    <w:rsid w:val="00ED2988"/>
    <w:rsid w:val="00ED3980"/>
    <w:rsid w:val="00ED3FE9"/>
    <w:rsid w:val="00ED4AD3"/>
    <w:rsid w:val="00ED4E43"/>
    <w:rsid w:val="00ED66A9"/>
    <w:rsid w:val="00EE0167"/>
    <w:rsid w:val="00EE0860"/>
    <w:rsid w:val="00EE096D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EA4"/>
    <w:rsid w:val="00EF668F"/>
    <w:rsid w:val="00EF6766"/>
    <w:rsid w:val="00EF6D1A"/>
    <w:rsid w:val="00EF737D"/>
    <w:rsid w:val="00F00B04"/>
    <w:rsid w:val="00F01200"/>
    <w:rsid w:val="00F02C33"/>
    <w:rsid w:val="00F032DD"/>
    <w:rsid w:val="00F03604"/>
    <w:rsid w:val="00F03B06"/>
    <w:rsid w:val="00F03CCF"/>
    <w:rsid w:val="00F04386"/>
    <w:rsid w:val="00F048C2"/>
    <w:rsid w:val="00F04AF5"/>
    <w:rsid w:val="00F053FC"/>
    <w:rsid w:val="00F064DC"/>
    <w:rsid w:val="00F076BD"/>
    <w:rsid w:val="00F10750"/>
    <w:rsid w:val="00F10EBC"/>
    <w:rsid w:val="00F1178A"/>
    <w:rsid w:val="00F11F0D"/>
    <w:rsid w:val="00F1270D"/>
    <w:rsid w:val="00F13EE1"/>
    <w:rsid w:val="00F176FB"/>
    <w:rsid w:val="00F17E2E"/>
    <w:rsid w:val="00F20B19"/>
    <w:rsid w:val="00F21847"/>
    <w:rsid w:val="00F21D60"/>
    <w:rsid w:val="00F22301"/>
    <w:rsid w:val="00F231BA"/>
    <w:rsid w:val="00F2366D"/>
    <w:rsid w:val="00F24232"/>
    <w:rsid w:val="00F24992"/>
    <w:rsid w:val="00F2525E"/>
    <w:rsid w:val="00F26EE8"/>
    <w:rsid w:val="00F27924"/>
    <w:rsid w:val="00F3219F"/>
    <w:rsid w:val="00F32946"/>
    <w:rsid w:val="00F32E78"/>
    <w:rsid w:val="00F34299"/>
    <w:rsid w:val="00F36375"/>
    <w:rsid w:val="00F37E59"/>
    <w:rsid w:val="00F37F75"/>
    <w:rsid w:val="00F40003"/>
    <w:rsid w:val="00F409E5"/>
    <w:rsid w:val="00F4195C"/>
    <w:rsid w:val="00F41ABF"/>
    <w:rsid w:val="00F43051"/>
    <w:rsid w:val="00F44108"/>
    <w:rsid w:val="00F500C1"/>
    <w:rsid w:val="00F52271"/>
    <w:rsid w:val="00F52987"/>
    <w:rsid w:val="00F54342"/>
    <w:rsid w:val="00F54BF8"/>
    <w:rsid w:val="00F550CB"/>
    <w:rsid w:val="00F5720E"/>
    <w:rsid w:val="00F5737B"/>
    <w:rsid w:val="00F61509"/>
    <w:rsid w:val="00F619FF"/>
    <w:rsid w:val="00F6365F"/>
    <w:rsid w:val="00F65299"/>
    <w:rsid w:val="00F653CD"/>
    <w:rsid w:val="00F65D2D"/>
    <w:rsid w:val="00F6620F"/>
    <w:rsid w:val="00F664A5"/>
    <w:rsid w:val="00F6696A"/>
    <w:rsid w:val="00F67252"/>
    <w:rsid w:val="00F67463"/>
    <w:rsid w:val="00F70CC9"/>
    <w:rsid w:val="00F72EE3"/>
    <w:rsid w:val="00F737D1"/>
    <w:rsid w:val="00F73FC6"/>
    <w:rsid w:val="00F74097"/>
    <w:rsid w:val="00F743B0"/>
    <w:rsid w:val="00F80192"/>
    <w:rsid w:val="00F8107E"/>
    <w:rsid w:val="00F81AF7"/>
    <w:rsid w:val="00F81F17"/>
    <w:rsid w:val="00F8300B"/>
    <w:rsid w:val="00F838C5"/>
    <w:rsid w:val="00F8680A"/>
    <w:rsid w:val="00F911BE"/>
    <w:rsid w:val="00F9185B"/>
    <w:rsid w:val="00F92862"/>
    <w:rsid w:val="00F92BD8"/>
    <w:rsid w:val="00F92EB4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33D1"/>
    <w:rsid w:val="00FB495F"/>
    <w:rsid w:val="00FB54D1"/>
    <w:rsid w:val="00FB55B2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6B2"/>
    <w:rsid w:val="00FD0AB9"/>
    <w:rsid w:val="00FD2C51"/>
    <w:rsid w:val="00FD41E4"/>
    <w:rsid w:val="00FD4282"/>
    <w:rsid w:val="00FD6D73"/>
    <w:rsid w:val="00FE0243"/>
    <w:rsid w:val="00FE097A"/>
    <w:rsid w:val="00FE138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0188"/>
    <w:rsid w:val="00FF13A2"/>
    <w:rsid w:val="00FF1463"/>
    <w:rsid w:val="00FF390E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45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b/>
      <w:bCs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adovan.zivkovic\Dropbox\Radovan\Svi%20radni%20folderi\PEP%202014\Radni%20fajlovi\REER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adovan.zivkovic\Dropbox\MINISTARSTVO%20FINANSIJA%20(1)\SEP\02_MMI\MMI%202014\MMI_2014_03\mmi-2014_0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4\MMI_2014_03\mmi-2014_0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arija.novosel\Desktop\Podaci%20za%20MF%20-%20DECEMBAR%202013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4%20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50"/>
            </a:pPr>
            <a:r>
              <a:rPr lang="en-US" sz="900"/>
              <a:t>Realni efektivni kurs</a:t>
            </a:r>
            <a:r>
              <a:rPr lang="x-none" sz="900"/>
              <a:t> eura</a:t>
            </a:r>
            <a:r>
              <a:rPr lang="x-none" sz="900" baseline="0"/>
              <a:t> u</a:t>
            </a:r>
          </a:p>
          <a:p>
            <a:pPr>
              <a:defRPr lang="sr-Latn-CS" sz="1050"/>
            </a:pPr>
            <a:r>
              <a:rPr lang="x-none" sz="900" baseline="0"/>
              <a:t> Crnoj Gori</a:t>
            </a:r>
            <a:r>
              <a:rPr lang="x-none" sz="900"/>
              <a:t> </a:t>
            </a:r>
            <a:endParaRPr lang="en-US" sz="900"/>
          </a:p>
        </c:rich>
      </c:tx>
      <c:layout>
        <c:manualLayout>
          <c:xMode val="edge"/>
          <c:yMode val="edge"/>
          <c:x val="0.25796791187739482"/>
          <c:y val="4.7663966820552524E-2"/>
        </c:manualLayout>
      </c:layout>
      <c:overlay val="1"/>
    </c:title>
    <c:plotArea>
      <c:layout>
        <c:manualLayout>
          <c:layoutTarget val="inner"/>
          <c:xMode val="edge"/>
          <c:yMode val="edge"/>
          <c:x val="0.14926660313047202"/>
          <c:y val="6.4705882352941724E-2"/>
          <c:w val="0.77990006644111143"/>
          <c:h val="0.71434321445113846"/>
        </c:manualLayout>
      </c:layout>
      <c:areaChart>
        <c:grouping val="standard"/>
        <c:ser>
          <c:idx val="0"/>
          <c:order val="0"/>
          <c:spPr>
            <a:ln w="38100" cap="sq" cmpd="dbl">
              <a:solidFill>
                <a:schemeClr val="bg2"/>
              </a:solidFill>
            </a:ln>
          </c:spPr>
          <c:cat>
            <c:numRef>
              <c:f>NEERM!$D$1:$BA$1</c:f>
              <c:numCache>
                <c:formatCode>mmm/yy</c:formatCode>
                <c:ptCount val="5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</c:numCache>
            </c:numRef>
          </c:cat>
          <c:val>
            <c:numRef>
              <c:f>NEERM!$D$33:$BA$33</c:f>
              <c:numCache>
                <c:formatCode>0.00</c:formatCode>
                <c:ptCount val="50"/>
                <c:pt idx="0">
                  <c:v>100.43943920460866</c:v>
                </c:pt>
                <c:pt idx="1">
                  <c:v>99.859965029638403</c:v>
                </c:pt>
                <c:pt idx="2">
                  <c:v>99.974981021477433</c:v>
                </c:pt>
                <c:pt idx="3">
                  <c:v>99.016291319328175</c:v>
                </c:pt>
                <c:pt idx="4">
                  <c:v>98.787380959824418</c:v>
                </c:pt>
                <c:pt idx="5">
                  <c:v>99.297369530025932</c:v>
                </c:pt>
                <c:pt idx="6">
                  <c:v>100.55739094946415</c:v>
                </c:pt>
                <c:pt idx="7">
                  <c:v>99.506042006055125</c:v>
                </c:pt>
                <c:pt idx="8">
                  <c:v>99.869183169588979</c:v>
                </c:pt>
                <c:pt idx="9">
                  <c:v>100.89775284024851</c:v>
                </c:pt>
                <c:pt idx="10">
                  <c:v>101.26741798379422</c:v>
                </c:pt>
                <c:pt idx="11">
                  <c:v>100.52678598594522</c:v>
                </c:pt>
                <c:pt idx="12">
                  <c:v>100.58306250510003</c:v>
                </c:pt>
                <c:pt idx="13">
                  <c:v>101.3401518661957</c:v>
                </c:pt>
                <c:pt idx="14">
                  <c:v>102.92820361528292</c:v>
                </c:pt>
                <c:pt idx="15">
                  <c:v>102.58815457773139</c:v>
                </c:pt>
                <c:pt idx="16">
                  <c:v>101.62273930841658</c:v>
                </c:pt>
                <c:pt idx="17">
                  <c:v>102.00769671648337</c:v>
                </c:pt>
                <c:pt idx="18">
                  <c:v>102.5432532518372</c:v>
                </c:pt>
                <c:pt idx="19">
                  <c:v>103.52227025613622</c:v>
                </c:pt>
                <c:pt idx="20">
                  <c:v>102.57452594090192</c:v>
                </c:pt>
                <c:pt idx="21">
                  <c:v>102.48112321947369</c:v>
                </c:pt>
                <c:pt idx="22">
                  <c:v>102.91813309095407</c:v>
                </c:pt>
                <c:pt idx="23">
                  <c:v>102.88283476605596</c:v>
                </c:pt>
                <c:pt idx="24">
                  <c:v>103.17460912392878</c:v>
                </c:pt>
                <c:pt idx="25">
                  <c:v>105.50795354190574</c:v>
                </c:pt>
                <c:pt idx="26">
                  <c:v>104.91484781696431</c:v>
                </c:pt>
                <c:pt idx="27">
                  <c:v>105.38009689300245</c:v>
                </c:pt>
                <c:pt idx="28">
                  <c:v>106.28371060074622</c:v>
                </c:pt>
                <c:pt idx="29">
                  <c:v>107.36027997312468</c:v>
                </c:pt>
                <c:pt idx="30">
                  <c:v>107.72460927470622</c:v>
                </c:pt>
                <c:pt idx="31">
                  <c:v>107.26903233959567</c:v>
                </c:pt>
                <c:pt idx="32">
                  <c:v>107.67049839675404</c:v>
                </c:pt>
                <c:pt idx="33">
                  <c:v>107.86337049611578</c:v>
                </c:pt>
                <c:pt idx="34">
                  <c:v>107.88944487015573</c:v>
                </c:pt>
                <c:pt idx="35">
                  <c:v>108.26836533984206</c:v>
                </c:pt>
                <c:pt idx="36">
                  <c:v>107.58079537072014</c:v>
                </c:pt>
                <c:pt idx="37">
                  <c:v>106.76769222174192</c:v>
                </c:pt>
                <c:pt idx="38">
                  <c:v>107.06087584406615</c:v>
                </c:pt>
                <c:pt idx="39">
                  <c:v>107.2661790814859</c:v>
                </c:pt>
                <c:pt idx="40">
                  <c:v>106.84717380637947</c:v>
                </c:pt>
                <c:pt idx="41">
                  <c:v>106.87494158191259</c:v>
                </c:pt>
                <c:pt idx="42">
                  <c:v>107.42523680811719</c:v>
                </c:pt>
                <c:pt idx="43">
                  <c:v>107.56788670412823</c:v>
                </c:pt>
                <c:pt idx="44">
                  <c:v>107.64361722944346</c:v>
                </c:pt>
                <c:pt idx="45">
                  <c:v>106.70230131331982</c:v>
                </c:pt>
                <c:pt idx="46">
                  <c:v>106.50002138438792</c:v>
                </c:pt>
                <c:pt idx="47">
                  <c:v>107.02681899705028</c:v>
                </c:pt>
                <c:pt idx="48">
                  <c:v>106.57026701342589</c:v>
                </c:pt>
                <c:pt idx="49">
                  <c:v>106.68133858239206</c:v>
                </c:pt>
              </c:numCache>
            </c:numRef>
          </c:val>
        </c:ser>
        <c:axId val="66413312"/>
        <c:axId val="66414848"/>
      </c:areaChart>
      <c:dateAx>
        <c:axId val="66413312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66414848"/>
        <c:crosses val="autoZero"/>
        <c:auto val="1"/>
        <c:lblOffset val="100"/>
      </c:dateAx>
      <c:valAx>
        <c:axId val="66414848"/>
        <c:scaling>
          <c:orientation val="minMax"/>
          <c:max val="110"/>
          <c:min val="98"/>
        </c:scaling>
        <c:axPos val="l"/>
        <c:majorGridlines/>
        <c:numFmt formatCode="0.0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66413312"/>
        <c:crosses val="autoZero"/>
        <c:crossBetween val="midCat"/>
      </c:valAx>
      <c:spPr>
        <a:gradFill flip="none" rotWithShape="1">
          <a:gsLst>
            <a:gs pos="57000">
              <a:sysClr val="window" lastClr="FFFFFF">
                <a:alpha val="18000"/>
              </a:sysClr>
            </a:gs>
            <a:gs pos="67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path path="circle">
            <a:fillToRect l="100000" t="100000"/>
          </a:path>
          <a:tileRect r="-100000" b="-100000"/>
        </a:gradFill>
      </c:spPr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sr-Latn-CS" sz="800"/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'Makroekonomski indikatori'!$C$17</c:f>
              <c:strCache>
                <c:ptCount val="1"/>
                <c:pt idx="0">
                  <c:v>Promet u maloprodaji (stopa rasta)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'Makroekonomski indikatori'!$AC$28:$AP$28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2014</c:v>
                </c:pt>
                <c:pt idx="12">
                  <c:v>II</c:v>
                </c:pt>
              </c:strCache>
            </c:strRef>
          </c:cat>
          <c:val>
            <c:numRef>
              <c:f>'Makroekonomski indikatori'!$AC$17:$AP$17</c:f>
              <c:numCache>
                <c:formatCode>0.0</c:formatCode>
                <c:ptCount val="13"/>
                <c:pt idx="0">
                  <c:v>8.2000000000000011</c:v>
                </c:pt>
                <c:pt idx="1">
                  <c:v>6.6</c:v>
                </c:pt>
                <c:pt idx="2">
                  <c:v>7.8</c:v>
                </c:pt>
                <c:pt idx="3">
                  <c:v>8.6</c:v>
                </c:pt>
                <c:pt idx="4">
                  <c:v>10.3</c:v>
                </c:pt>
                <c:pt idx="5">
                  <c:v>11.5</c:v>
                </c:pt>
                <c:pt idx="6">
                  <c:v>14.4</c:v>
                </c:pt>
                <c:pt idx="7">
                  <c:v>11.5</c:v>
                </c:pt>
                <c:pt idx="8">
                  <c:v>16</c:v>
                </c:pt>
                <c:pt idx="9">
                  <c:v>12.8</c:v>
                </c:pt>
                <c:pt idx="10">
                  <c:v>14.2</c:v>
                </c:pt>
                <c:pt idx="11" formatCode="General">
                  <c:v>-1.9000000000000001</c:v>
                </c:pt>
                <c:pt idx="12" formatCode="General">
                  <c:v>4.9000000000000004</c:v>
                </c:pt>
              </c:numCache>
            </c:numRef>
          </c:val>
          <c:smooth val="1"/>
        </c:ser>
        <c:marker val="1"/>
        <c:axId val="66438656"/>
        <c:axId val="66440192"/>
      </c:lineChart>
      <c:catAx>
        <c:axId val="66438656"/>
        <c:scaling>
          <c:orientation val="minMax"/>
        </c:scaling>
        <c:axPos val="b"/>
        <c:tickLblPos val="low"/>
        <c:txPr>
          <a:bodyPr/>
          <a:lstStyle/>
          <a:p>
            <a:pPr>
              <a:defRPr lang="sr-Latn-CS" sz="600"/>
            </a:pPr>
            <a:endParaRPr lang="en-US"/>
          </a:p>
        </c:txPr>
        <c:crossAx val="66440192"/>
        <c:crosses val="autoZero"/>
        <c:auto val="1"/>
        <c:lblAlgn val="ctr"/>
        <c:lblOffset val="100"/>
        <c:tickLblSkip val="2"/>
      </c:catAx>
      <c:valAx>
        <c:axId val="66440192"/>
        <c:scaling>
          <c:orientation val="minMax"/>
          <c:max val="18"/>
          <c:min val="-4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664386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800"/>
            </a:pPr>
            <a:r>
              <a:rPr lang="en-US" sz="800"/>
              <a:t>HICP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'Makroekonomski indikatori'!$C$21</c:f>
              <c:strCache>
                <c:ptCount val="1"/>
                <c:pt idx="0">
                  <c:v>Harmonizovani indeks potrošačkih cijena (stopa rasta)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txPr>
              <a:bodyPr/>
              <a:lstStyle/>
              <a:p>
                <a:pPr>
                  <a:defRPr lang="sr-Latn-CS" sz="600"/>
                </a:pPr>
                <a:endParaRPr lang="en-US"/>
              </a:p>
            </c:txPr>
            <c:showVal val="1"/>
          </c:dLbls>
          <c:cat>
            <c:strRef>
              <c:f>'Makroekonomski indikatori'!$AC$28:$AP$28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2014</c:v>
                </c:pt>
                <c:pt idx="12">
                  <c:v>II</c:v>
                </c:pt>
              </c:strCache>
            </c:strRef>
          </c:cat>
          <c:val>
            <c:numRef>
              <c:f>'Makroekonomski indikatori'!$AC$21:$AP$21</c:f>
              <c:numCache>
                <c:formatCode>#,##0.0</c:formatCode>
                <c:ptCount val="13"/>
                <c:pt idx="0">
                  <c:v>3.1</c:v>
                </c:pt>
                <c:pt idx="1">
                  <c:v>3</c:v>
                </c:pt>
                <c:pt idx="2">
                  <c:v>2.4</c:v>
                </c:pt>
                <c:pt idx="3">
                  <c:v>2.1</c:v>
                </c:pt>
                <c:pt idx="4">
                  <c:v>1.5</c:v>
                </c:pt>
                <c:pt idx="5">
                  <c:v>2.2000000000000002</c:v>
                </c:pt>
                <c:pt idx="6">
                  <c:v>1.7</c:v>
                </c:pt>
                <c:pt idx="7">
                  <c:v>1.5</c:v>
                </c:pt>
                <c:pt idx="8">
                  <c:v>0.30000000000000032</c:v>
                </c:pt>
                <c:pt idx="9">
                  <c:v>0</c:v>
                </c:pt>
                <c:pt idx="10">
                  <c:v>0.4</c:v>
                </c:pt>
                <c:pt idx="11" formatCode="General">
                  <c:v>0.1</c:v>
                </c:pt>
                <c:pt idx="12" formatCode="0.0">
                  <c:v>0</c:v>
                </c:pt>
              </c:numCache>
            </c:numRef>
          </c:val>
        </c:ser>
        <c:gapWidth val="46"/>
        <c:axId val="66480768"/>
        <c:axId val="66494848"/>
      </c:barChart>
      <c:catAx>
        <c:axId val="664807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66494848"/>
        <c:crosses val="autoZero"/>
        <c:auto val="1"/>
        <c:lblAlgn val="ctr"/>
        <c:lblOffset val="100"/>
      </c:catAx>
      <c:valAx>
        <c:axId val="66494848"/>
        <c:scaling>
          <c:orientation val="minMax"/>
        </c:scaling>
        <c:axPos val="l"/>
        <c:numFmt formatCode="#,##0.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664807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indikatori'!$AB$9:$AO$9</c:f>
              <c:strCache>
                <c:ptCount val="14"/>
                <c:pt idx="0">
                  <c:v>2013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2014</c:v>
                </c:pt>
                <c:pt idx="13">
                  <c:v>II</c:v>
                </c:pt>
              </c:strCache>
            </c:strRef>
          </c:cat>
          <c:val>
            <c:numRef>
              <c:f>'Makroekonomski indikatori'!$AB$21:$AO$21</c:f>
              <c:numCache>
                <c:formatCode>#,##0</c:formatCode>
                <c:ptCount val="14"/>
                <c:pt idx="0">
                  <c:v>167370</c:v>
                </c:pt>
                <c:pt idx="1">
                  <c:v>167379</c:v>
                </c:pt>
                <c:pt idx="2">
                  <c:v>167738</c:v>
                </c:pt>
                <c:pt idx="3">
                  <c:v>170302</c:v>
                </c:pt>
                <c:pt idx="4">
                  <c:v>174369</c:v>
                </c:pt>
                <c:pt idx="5">
                  <c:v>179861</c:v>
                </c:pt>
                <c:pt idx="6">
                  <c:v>178815</c:v>
                </c:pt>
                <c:pt idx="7">
                  <c:v>176588</c:v>
                </c:pt>
                <c:pt idx="8">
                  <c:v>169044</c:v>
                </c:pt>
                <c:pt idx="9">
                  <c:v>169044</c:v>
                </c:pt>
                <c:pt idx="10">
                  <c:v>167607</c:v>
                </c:pt>
                <c:pt idx="11">
                  <c:v>167173</c:v>
                </c:pt>
                <c:pt idx="12">
                  <c:v>167616</c:v>
                </c:pt>
                <c:pt idx="13">
                  <c:v>168805</c:v>
                </c:pt>
              </c:numCache>
            </c:numRef>
          </c:val>
        </c:ser>
        <c:marker val="1"/>
        <c:axId val="82089472"/>
        <c:axId val="82091008"/>
      </c:lineChart>
      <c:lineChart>
        <c:grouping val="standard"/>
        <c:ser>
          <c:idx val="1"/>
          <c:order val="1"/>
          <c:marker>
            <c:symbol val="none"/>
          </c:marker>
          <c:val>
            <c:numRef>
              <c:f>'Makroekonomski indikatori'!$AB$22:$AO$22</c:f>
              <c:numCache>
                <c:formatCode>#,##0</c:formatCode>
                <c:ptCount val="14"/>
                <c:pt idx="0">
                  <c:v>31890</c:v>
                </c:pt>
                <c:pt idx="1">
                  <c:v>32648</c:v>
                </c:pt>
                <c:pt idx="2">
                  <c:v>32986</c:v>
                </c:pt>
                <c:pt idx="3">
                  <c:v>32624</c:v>
                </c:pt>
                <c:pt idx="4">
                  <c:v>31363</c:v>
                </c:pt>
                <c:pt idx="5">
                  <c:v>30337</c:v>
                </c:pt>
                <c:pt idx="6">
                  <c:v>30102</c:v>
                </c:pt>
                <c:pt idx="7">
                  <c:v>30947</c:v>
                </c:pt>
                <c:pt idx="8">
                  <c:v>33271</c:v>
                </c:pt>
                <c:pt idx="9">
                  <c:v>33271</c:v>
                </c:pt>
                <c:pt idx="10">
                  <c:v>34680</c:v>
                </c:pt>
                <c:pt idx="11">
                  <c:v>34514</c:v>
                </c:pt>
                <c:pt idx="12">
                  <c:v>34804</c:v>
                </c:pt>
                <c:pt idx="13">
                  <c:v>34664</c:v>
                </c:pt>
              </c:numCache>
            </c:numRef>
          </c:val>
        </c:ser>
        <c:marker val="1"/>
        <c:axId val="82111488"/>
        <c:axId val="82109568"/>
      </c:lineChart>
      <c:catAx>
        <c:axId val="82089472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82091008"/>
        <c:crosses val="autoZero"/>
        <c:auto val="1"/>
        <c:lblAlgn val="ctr"/>
        <c:lblOffset val="100"/>
      </c:catAx>
      <c:valAx>
        <c:axId val="82091008"/>
        <c:scaling>
          <c:orientation val="minMax"/>
          <c:min val="164000"/>
        </c:scaling>
        <c:axPos val="l"/>
        <c:majorGridlines>
          <c:spPr>
            <a:ln>
              <a:prstDash val="sysDot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82089472"/>
        <c:crosses val="autoZero"/>
        <c:crossBetween val="between"/>
        <c:dispUnits>
          <c:builtInUnit val="thousands"/>
        </c:dispUnits>
      </c:valAx>
      <c:valAx>
        <c:axId val="82109568"/>
        <c:scaling>
          <c:orientation val="maxMin"/>
          <c:max val="35000"/>
          <c:min val="27000"/>
        </c:scaling>
        <c:axPos val="r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82111488"/>
        <c:crosses val="max"/>
        <c:crossBetween val="between"/>
        <c:dispUnits>
          <c:builtInUnit val="thousands"/>
        </c:dispUnits>
      </c:valAx>
      <c:catAx>
        <c:axId val="82111488"/>
        <c:scaling>
          <c:orientation val="minMax"/>
        </c:scaling>
        <c:delete val="1"/>
        <c:axPos val="t"/>
        <c:tickLblPos val="none"/>
        <c:crossAx val="8210956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8629019028871391"/>
          <c:y val="4.1424756844533513E-2"/>
          <c:w val="0.64460499846745201"/>
          <c:h val="0.71317252062958636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indikatori'!$BA$30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cat>
            <c:strRef>
              <c:f>'Fiskalni indikatori'!$BZ$6:$CJ$6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'Fiskalni indikatori'!$BZ$20:$CM$20</c:f>
              <c:numCache>
                <c:formatCode>0.00,,</c:formatCode>
                <c:ptCount val="14"/>
                <c:pt idx="0">
                  <c:v>-26030734.600000054</c:v>
                </c:pt>
                <c:pt idx="1">
                  <c:v>-18960347.565214217</c:v>
                </c:pt>
                <c:pt idx="2">
                  <c:v>-15539514.20428363</c:v>
                </c:pt>
                <c:pt idx="3">
                  <c:v>-15891365.313259348</c:v>
                </c:pt>
                <c:pt idx="4">
                  <c:v>-1544398.8301670922</c:v>
                </c:pt>
                <c:pt idx="5">
                  <c:v>-607686.93338963401</c:v>
                </c:pt>
                <c:pt idx="6">
                  <c:v>-38312345.495714545</c:v>
                </c:pt>
                <c:pt idx="7">
                  <c:v>-16221972.00090231</c:v>
                </c:pt>
                <c:pt idx="8">
                  <c:v>-2657604.3090550057</c:v>
                </c:pt>
                <c:pt idx="9">
                  <c:v>17862496.387521476</c:v>
                </c:pt>
                <c:pt idx="10">
                  <c:v>-2710356.1671831482</c:v>
                </c:pt>
                <c:pt idx="11">
                  <c:v>-7703230.0812701583</c:v>
                </c:pt>
                <c:pt idx="12">
                  <c:v>-23695362.289999992</c:v>
                </c:pt>
                <c:pt idx="13">
                  <c:v>-7588170.5796951205</c:v>
                </c:pt>
              </c:numCache>
            </c:numRef>
          </c:val>
        </c:ser>
        <c:axId val="82200064"/>
        <c:axId val="82198528"/>
      </c:barChart>
      <c:lineChart>
        <c:grouping val="standard"/>
        <c:ser>
          <c:idx val="0"/>
          <c:order val="0"/>
          <c:tx>
            <c:strRef>
              <c:f>'Fiskalni indikatori'!$BA$28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cat>
            <c:strRef>
              <c:f>'Fiskalni indikatori'!$V$5:$AT$5</c:f>
              <c:strCache>
                <c:ptCount val="1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</c:strCache>
            </c:strRef>
          </c:cat>
          <c:val>
            <c:numRef>
              <c:f>'Fiskalni indikatori'!$BZ$7:$CM$7</c:f>
              <c:numCache>
                <c:formatCode>0.00,,</c:formatCode>
                <c:ptCount val="14"/>
                <c:pt idx="0">
                  <c:v>54756357.980000004</c:v>
                </c:pt>
                <c:pt idx="1">
                  <c:v>75675730.060000002</c:v>
                </c:pt>
                <c:pt idx="2">
                  <c:v>88296245.580000013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  <c:pt idx="10">
                  <c:v>95781753.159999892</c:v>
                </c:pt>
                <c:pt idx="11">
                  <c:v>142429369.22999999</c:v>
                </c:pt>
                <c:pt idx="12">
                  <c:v>70632268.589999989</c:v>
                </c:pt>
                <c:pt idx="13">
                  <c:v>81381758.450000033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indikatori'!$BA$29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indikatori'!$V$5:$AT$5</c:f>
              <c:strCache>
                <c:ptCount val="1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</c:strCache>
            </c:strRef>
          </c:cat>
          <c:val>
            <c:numRef>
              <c:f>'Fiskalni indikatori'!$BZ$13:$CM$13</c:f>
              <c:numCache>
                <c:formatCode>0.00,,</c:formatCode>
                <c:ptCount val="14"/>
                <c:pt idx="0">
                  <c:v>80787092.580000043</c:v>
                </c:pt>
                <c:pt idx="1">
                  <c:v>94636077.625213578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95542228.43016763</c:v>
                </c:pt>
                <c:pt idx="5">
                  <c:v>100169319.59339011</c:v>
                </c:pt>
                <c:pt idx="6">
                  <c:v>160333676.54571453</c:v>
                </c:pt>
                <c:pt idx="7">
                  <c:v>141275399.6509023</c:v>
                </c:pt>
                <c:pt idx="8">
                  <c:v>118999622.08905503</c:v>
                </c:pt>
                <c:pt idx="9">
                  <c:v>99421131.212479249</c:v>
                </c:pt>
                <c:pt idx="10">
                  <c:v>98492109.327183142</c:v>
                </c:pt>
                <c:pt idx="11">
                  <c:v>150132599.31127</c:v>
                </c:pt>
                <c:pt idx="12">
                  <c:v>94327630.879999891</c:v>
                </c:pt>
                <c:pt idx="13">
                  <c:v>88969929.029695153</c:v>
                </c:pt>
              </c:numCache>
            </c:numRef>
          </c:val>
          <c:smooth val="1"/>
        </c:ser>
        <c:marker val="1"/>
        <c:axId val="82191104"/>
        <c:axId val="82192640"/>
      </c:lineChart>
      <c:dateAx>
        <c:axId val="82191104"/>
        <c:scaling>
          <c:orientation val="minMax"/>
        </c:scaling>
        <c:axPos val="b"/>
        <c:numFmt formatCode="#,##0.00" sourceLinked="0"/>
        <c:tickLblPos val="nextTo"/>
        <c:txPr>
          <a:bodyPr/>
          <a:lstStyle/>
          <a:p>
            <a:pPr>
              <a:defRPr lang="sr-Latn-CS" sz="620" baseline="0"/>
            </a:pPr>
            <a:endParaRPr lang="en-US"/>
          </a:p>
        </c:txPr>
        <c:crossAx val="82192640"/>
        <c:crosses val="autoZero"/>
        <c:lblOffset val="100"/>
        <c:baseTimeUnit val="days"/>
      </c:dateAx>
      <c:valAx>
        <c:axId val="82192640"/>
        <c:scaling>
          <c:orientation val="minMax"/>
        </c:scaling>
        <c:axPos val="l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82191104"/>
        <c:crosses val="autoZero"/>
        <c:crossBetween val="between"/>
      </c:valAx>
      <c:valAx>
        <c:axId val="82198528"/>
        <c:scaling>
          <c:orientation val="minMax"/>
          <c:max val="130000000"/>
          <c:min val="-5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82200064"/>
        <c:crosses val="max"/>
        <c:crossBetween val="between"/>
        <c:majorUnit val="20000000"/>
      </c:valAx>
      <c:catAx>
        <c:axId val="82200064"/>
        <c:scaling>
          <c:orientation val="minMax"/>
        </c:scaling>
        <c:delete val="1"/>
        <c:axPos val="b"/>
        <c:numFmt formatCode="General" sourceLinked="1"/>
        <c:tickLblPos val="none"/>
        <c:crossAx val="82198528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</c:chart>
  <c:spPr>
    <a:ln w="6350">
      <a:prstDash val="sysDot"/>
    </a:ln>
  </c:spPr>
  <c:txPr>
    <a:bodyPr/>
    <a:lstStyle/>
    <a:p>
      <a:pPr>
        <a:defRPr sz="700" baseline="0"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315489642184558"/>
          <c:y val="0.26116666666666682"/>
          <c:w val="0.63512429378531265"/>
          <c:h val="0.57557546296296258"/>
        </c:manualLayout>
      </c:layout>
      <c:barChart>
        <c:barDir val="col"/>
        <c:grouping val="clustered"/>
        <c:ser>
          <c:idx val="0"/>
          <c:order val="0"/>
          <c:tx>
            <c:v>Iznos duga po osnovu blokade</c:v>
          </c:tx>
          <c:cat>
            <c:strRef>
              <c:f>'Platni promet u zemlji'!$AP$4:$BB$4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'Platni promet u zemlji'!$AP$6:$BB$6</c:f>
              <c:numCache>
                <c:formatCode>#,##0</c:formatCode>
                <c:ptCount val="13"/>
                <c:pt idx="0">
                  <c:v>414268.36754999997</c:v>
                </c:pt>
                <c:pt idx="1">
                  <c:v>425917.57672999986</c:v>
                </c:pt>
                <c:pt idx="2">
                  <c:v>430703.99425000022</c:v>
                </c:pt>
                <c:pt idx="3">
                  <c:v>439179.09438000264</c:v>
                </c:pt>
                <c:pt idx="4">
                  <c:v>432691.55081999995</c:v>
                </c:pt>
                <c:pt idx="5">
                  <c:v>436792.39875999989</c:v>
                </c:pt>
                <c:pt idx="6">
                  <c:v>438222.09702000004</c:v>
                </c:pt>
                <c:pt idx="7">
                  <c:v>420967.03003999998</c:v>
                </c:pt>
                <c:pt idx="8">
                  <c:v>432905.14107999986</c:v>
                </c:pt>
                <c:pt idx="9">
                  <c:v>425874.68141000002</c:v>
                </c:pt>
                <c:pt idx="10">
                  <c:v>437020.59684999997</c:v>
                </c:pt>
                <c:pt idx="11">
                  <c:v>448017</c:v>
                </c:pt>
                <c:pt idx="12">
                  <c:v>462825</c:v>
                </c:pt>
              </c:numCache>
            </c:numRef>
          </c:val>
        </c:ser>
        <c:gapWidth val="75"/>
        <c:axId val="82213504"/>
        <c:axId val="82219392"/>
      </c:barChart>
      <c:lineChart>
        <c:grouping val="standard"/>
        <c:ser>
          <c:idx val="1"/>
          <c:order val="1"/>
          <c:tx>
            <c:v>Broj blokiranih pravnih lica</c:v>
          </c:tx>
          <c:marker>
            <c:symbol val="none"/>
          </c:marker>
          <c:cat>
            <c:strRef>
              <c:f>'Platni promet u zemlji'!$AP$4:$BB$4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'Platni promet u zemlji'!$AP$5:$BB$5</c:f>
              <c:numCache>
                <c:formatCode>#,##0</c:formatCode>
                <c:ptCount val="13"/>
                <c:pt idx="0">
                  <c:v>12393</c:v>
                </c:pt>
                <c:pt idx="1">
                  <c:v>12459</c:v>
                </c:pt>
                <c:pt idx="2">
                  <c:v>12482</c:v>
                </c:pt>
                <c:pt idx="3">
                  <c:v>12516</c:v>
                </c:pt>
                <c:pt idx="4">
                  <c:v>12480</c:v>
                </c:pt>
                <c:pt idx="5">
                  <c:v>12491</c:v>
                </c:pt>
                <c:pt idx="6">
                  <c:v>12594</c:v>
                </c:pt>
                <c:pt idx="7">
                  <c:v>12449</c:v>
                </c:pt>
                <c:pt idx="8">
                  <c:v>12561</c:v>
                </c:pt>
                <c:pt idx="9">
                  <c:v>12761</c:v>
                </c:pt>
                <c:pt idx="10">
                  <c:v>12981</c:v>
                </c:pt>
                <c:pt idx="11">
                  <c:v>13150</c:v>
                </c:pt>
                <c:pt idx="12">
                  <c:v>13340</c:v>
                </c:pt>
              </c:numCache>
            </c:numRef>
          </c:val>
        </c:ser>
        <c:marker val="1"/>
        <c:axId val="82221696"/>
        <c:axId val="82231680"/>
      </c:lineChart>
      <c:catAx>
        <c:axId val="822135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82219392"/>
        <c:crosses val="autoZero"/>
        <c:auto val="1"/>
        <c:lblAlgn val="ctr"/>
        <c:lblOffset val="100"/>
        <c:tickLblSkip val="2"/>
        <c:tickMarkSkip val="2"/>
      </c:catAx>
      <c:valAx>
        <c:axId val="82219392"/>
        <c:scaling>
          <c:orientation val="minMax"/>
          <c:min val="400000"/>
        </c:scaling>
        <c:axPos val="l"/>
        <c:title>
          <c:tx>
            <c:rich>
              <a:bodyPr rot="-5400000" vert="horz"/>
              <a:lstStyle/>
              <a:p>
                <a:pPr>
                  <a:defRPr lang="en-US" sz="700" b="1"/>
                </a:pPr>
                <a:r>
                  <a:rPr lang="en-US" sz="700" b="1"/>
                  <a:t>u mil.</a:t>
                </a:r>
              </a:p>
            </c:rich>
          </c:tx>
        </c:title>
        <c:numFmt formatCode="#,##0" sourceLinked="1"/>
        <c:majorTickMark val="none"/>
        <c:tickLblPos val="nextTo"/>
        <c:spPr>
          <a:ln w="9525">
            <a:noFill/>
          </a:ln>
        </c:spPr>
        <c:txPr>
          <a:bodyPr anchor="b" anchorCtr="1"/>
          <a:lstStyle/>
          <a:p>
            <a:pPr>
              <a:defRPr lang="en-US" sz="700"/>
            </a:pPr>
            <a:endParaRPr lang="en-US"/>
          </a:p>
        </c:txPr>
        <c:crossAx val="82213504"/>
        <c:crosses val="autoZero"/>
        <c:crossBetween val="between"/>
        <c:dispUnits>
          <c:builtInUnit val="thousands"/>
        </c:dispUnits>
      </c:valAx>
      <c:catAx>
        <c:axId val="82221696"/>
        <c:scaling>
          <c:orientation val="minMax"/>
        </c:scaling>
        <c:delete val="1"/>
        <c:axPos val="b"/>
        <c:tickLblPos val="none"/>
        <c:crossAx val="82231680"/>
        <c:crosses val="autoZero"/>
        <c:auto val="1"/>
        <c:lblAlgn val="ctr"/>
        <c:lblOffset val="100"/>
      </c:catAx>
      <c:valAx>
        <c:axId val="82231680"/>
        <c:scaling>
          <c:orientation val="minMax"/>
        </c:scaling>
        <c:axPos val="r"/>
        <c:numFmt formatCode="#,##0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82221696"/>
        <c:crosses val="max"/>
        <c:crossBetween val="between"/>
      </c:valAx>
    </c:plotArea>
    <c:legend>
      <c:legendPos val="t"/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600"/>
            </a:pPr>
            <a:r>
              <a:rPr lang="x-none" sz="600"/>
              <a:t>Spoljnotrgovinski bilans i strane direktne investicije</a:t>
            </a:r>
            <a:endParaRPr lang="en-US" sz="600"/>
          </a:p>
        </c:rich>
      </c:tx>
      <c:layout>
        <c:manualLayout>
          <c:xMode val="edge"/>
          <c:yMode val="edge"/>
          <c:x val="0.1294866071428572"/>
          <c:y val="7.4711328976040823E-3"/>
        </c:manualLayout>
      </c:layout>
      <c:overlay val="1"/>
    </c:title>
    <c:plotArea>
      <c:layout>
        <c:manualLayout>
          <c:layoutTarget val="inner"/>
          <c:xMode val="edge"/>
          <c:yMode val="edge"/>
          <c:x val="0.13648556522814018"/>
          <c:y val="0.2324099775297872"/>
          <c:w val="0.74772956018074765"/>
          <c:h val="0.60640646537888065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indikatori'!$C$47</c:f>
              <c:strCache>
                <c:ptCount val="1"/>
                <c:pt idx="0">
                  <c:v>Spoljnotrgovinski bilans (u mil €)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'Makroekonomski indikatori'!$AB$60:$AO$60</c:f>
              <c:strCache>
                <c:ptCount val="14"/>
                <c:pt idx="0">
                  <c:v>2013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2014</c:v>
                </c:pt>
                <c:pt idx="13">
                  <c:v>II</c:v>
                </c:pt>
              </c:strCache>
            </c:strRef>
          </c:cat>
          <c:val>
            <c:numRef>
              <c:f>'Makroekonomski indikatori'!$AB$47:$AO$47</c:f>
              <c:numCache>
                <c:formatCode>#,##0.0,,</c:formatCode>
                <c:ptCount val="14"/>
                <c:pt idx="0">
                  <c:v>-82238000</c:v>
                </c:pt>
                <c:pt idx="1">
                  <c:v>-82676000</c:v>
                </c:pt>
                <c:pt idx="2">
                  <c:v>-108861000</c:v>
                </c:pt>
                <c:pt idx="3">
                  <c:v>-125467000</c:v>
                </c:pt>
                <c:pt idx="4">
                  <c:v>-112907000</c:v>
                </c:pt>
                <c:pt idx="5">
                  <c:v>-139888000</c:v>
                </c:pt>
                <c:pt idx="6">
                  <c:v>-140813000</c:v>
                </c:pt>
                <c:pt idx="7">
                  <c:v>-136504000</c:v>
                </c:pt>
                <c:pt idx="8">
                  <c:v>-117596000</c:v>
                </c:pt>
                <c:pt idx="9">
                  <c:v>-136853000</c:v>
                </c:pt>
                <c:pt idx="10">
                  <c:v>-99542000</c:v>
                </c:pt>
                <c:pt idx="11">
                  <c:v>-114334000</c:v>
                </c:pt>
                <c:pt idx="12">
                  <c:v>-60461000</c:v>
                </c:pt>
                <c:pt idx="13">
                  <c:v>-90362000</c:v>
                </c:pt>
              </c:numCache>
            </c:numRef>
          </c:val>
        </c:ser>
        <c:gapWidth val="75"/>
        <c:axId val="82646528"/>
        <c:axId val="82648064"/>
      </c:barChart>
      <c:lineChart>
        <c:grouping val="standard"/>
        <c:ser>
          <c:idx val="1"/>
          <c:order val="1"/>
          <c:tx>
            <c:strRef>
              <c:f>'Makroekonomski indikatori'!$C$48</c:f>
              <c:strCache>
                <c:ptCount val="1"/>
                <c:pt idx="0">
                  <c:v>Strane direktne investicije (mil.€)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'Makroekonomski indikatori'!$K$60:$W$60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2012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indikatori'!$AB$48:$AN$48</c:f>
              <c:numCache>
                <c:formatCode>0.0,,</c:formatCode>
                <c:ptCount val="13"/>
                <c:pt idx="0">
                  <c:v>6560302.5300000012</c:v>
                </c:pt>
                <c:pt idx="1">
                  <c:v>19478189.93</c:v>
                </c:pt>
                <c:pt idx="2">
                  <c:v>39496029.809999995</c:v>
                </c:pt>
                <c:pt idx="3">
                  <c:v>17076705.57</c:v>
                </c:pt>
                <c:pt idx="4">
                  <c:v>33726992.320000008</c:v>
                </c:pt>
                <c:pt idx="5">
                  <c:v>38820915.670000002</c:v>
                </c:pt>
                <c:pt idx="6">
                  <c:v>32480649.380000003</c:v>
                </c:pt>
                <c:pt idx="7">
                  <c:v>30711085.860000007</c:v>
                </c:pt>
                <c:pt idx="8">
                  <c:v>57267705.660000011</c:v>
                </c:pt>
                <c:pt idx="9">
                  <c:v>-19761662.039999999</c:v>
                </c:pt>
                <c:pt idx="10">
                  <c:v>12560000</c:v>
                </c:pt>
                <c:pt idx="11">
                  <c:v>55461668.130000003</c:v>
                </c:pt>
                <c:pt idx="12">
                  <c:v>17014486.699999999</c:v>
                </c:pt>
              </c:numCache>
            </c:numRef>
          </c:val>
          <c:smooth val="1"/>
        </c:ser>
        <c:marker val="1"/>
        <c:axId val="83572992"/>
        <c:axId val="83571456"/>
      </c:lineChart>
      <c:catAx>
        <c:axId val="826465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en-US" sz="600">
                <a:solidFill>
                  <a:schemeClr val="tx1"/>
                </a:solidFill>
              </a:defRPr>
            </a:pPr>
            <a:endParaRPr lang="en-US"/>
          </a:p>
        </c:txPr>
        <c:crossAx val="82648064"/>
        <c:crosses val="autoZero"/>
        <c:auto val="1"/>
        <c:lblAlgn val="ctr"/>
        <c:lblOffset val="100"/>
        <c:tickLblSkip val="2"/>
        <c:tickMarkSkip val="2"/>
      </c:catAx>
      <c:valAx>
        <c:axId val="82648064"/>
        <c:scaling>
          <c:orientation val="minMax"/>
          <c:max val="160000000"/>
        </c:scaling>
        <c:axPos val="l"/>
        <c:numFmt formatCode="#,##0.0,," sourceLinked="1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82646528"/>
        <c:crosses val="autoZero"/>
        <c:crossBetween val="between"/>
      </c:valAx>
      <c:valAx>
        <c:axId val="83571456"/>
        <c:scaling>
          <c:orientation val="minMax"/>
        </c:scaling>
        <c:axPos val="r"/>
        <c:numFmt formatCode="0.0,," sourceLinked="1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83572992"/>
        <c:crosses val="max"/>
        <c:crossBetween val="between"/>
      </c:valAx>
      <c:catAx>
        <c:axId val="83572992"/>
        <c:scaling>
          <c:orientation val="minMax"/>
        </c:scaling>
        <c:delete val="1"/>
        <c:axPos val="b"/>
        <c:tickLblPos val="none"/>
        <c:crossAx val="8357145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4203870903818355"/>
          <c:y val="0.13532034745985785"/>
          <c:w val="0.66177232142860065"/>
          <c:h val="0.18495656751777112"/>
        </c:manualLayout>
      </c:layout>
      <c:txPr>
        <a:bodyPr/>
        <a:lstStyle/>
        <a:p>
          <a:pPr>
            <a:defRPr lang="en-US" sz="600"/>
          </a:pPr>
          <a:endParaRPr lang="en-US"/>
        </a:p>
      </c:txPr>
    </c:legend>
    <c:plotVisOnly val="1"/>
    <c:dispBlanksAs val="gap"/>
  </c:chart>
  <c:spPr>
    <a:solidFill>
      <a:schemeClr val="bg1"/>
    </a:solidFill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0.21844</cdr:x>
      <cdr:y>0.33605</cdr:y>
    </cdr:from>
    <cdr:to>
      <cdr:x>0.5653</cdr:x>
      <cdr:y>0.40504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6096" y="736362"/>
          <a:ext cx="724258" cy="151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 b="1"/>
            <a:t>2010=100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0.23372</cdr:x>
      <cdr:y>0.05832</cdr:y>
    </cdr:from>
    <cdr:to>
      <cdr:x>0.43372</cdr:x>
      <cdr:y>0.1303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7999" y="117579"/>
          <a:ext cx="417600" cy="145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800"/>
            <a:t>broj</a:t>
          </a:r>
          <a:r>
            <a:rPr lang="sr-Latn-CS" sz="800" baseline="0"/>
            <a:t> zaposlenih</a:t>
          </a:r>
          <a:endParaRPr lang="sr-Latn-CS" sz="800"/>
        </a:p>
      </cdr:txBody>
    </cdr:sp>
  </cdr:relSizeAnchor>
  <cdr:relSizeAnchor xmlns:cdr="http://schemas.openxmlformats.org/drawingml/2006/chartDrawing">
    <cdr:from>
      <cdr:x>0.3075</cdr:x>
      <cdr:y>0.70696</cdr:y>
    </cdr:from>
    <cdr:to>
      <cdr:x>0.7603</cdr:x>
      <cdr:y>0.78395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42056" y="1425223"/>
          <a:ext cx="945445" cy="1552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nezaposlenih</a:t>
          </a:r>
          <a:endParaRPr lang="sr-Latn-CS" sz="7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0.02691</cdr:x>
      <cdr:y>0.08155</cdr:y>
    </cdr:from>
    <cdr:to>
      <cdr:x>0.18835</cdr:x>
      <cdr:y>0.21459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180977"/>
          <a:ext cx="342900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F14D6-5D04-4FBD-B2B2-2B353F8C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milanka.jovanovic</cp:lastModifiedBy>
  <cp:revision>76</cp:revision>
  <cp:lastPrinted>2014-01-16T09:51:00Z</cp:lastPrinted>
  <dcterms:created xsi:type="dcterms:W3CDTF">2014-03-07T12:21:00Z</dcterms:created>
  <dcterms:modified xsi:type="dcterms:W3CDTF">2014-04-15T08:39:00Z</dcterms:modified>
</cp:coreProperties>
</file>