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5660E" w:rsidRDefault="00CD77AE">
      <w:pPr>
        <w:jc w:val="center"/>
        <w:rPr>
          <w:rFonts w:ascii="Arial" w:eastAsia="Arial" w:hAnsi="Arial" w:cs="Arial"/>
          <w:b/>
          <w:bCs/>
          <w:sz w:val="24"/>
          <w:szCs w:val="24"/>
        </w:rPr>
      </w:pPr>
      <w:r>
        <w:rPr>
          <w:rFonts w:ascii="Arial" w:eastAsia="Arial" w:hAnsi="Arial" w:cs="Arial"/>
          <w:b/>
          <w:bCs/>
          <w:sz w:val="24"/>
          <w:szCs w:val="24"/>
        </w:rPr>
        <w:t>Notice of Invitation for Early Market Engagement Webinar</w:t>
      </w:r>
    </w:p>
    <w:p w14:paraId="00000002" w14:textId="77777777" w:rsidR="00A5660E" w:rsidRDefault="00CD77AE">
      <w:pPr>
        <w:spacing w:after="0"/>
        <w:ind w:left="2700" w:hanging="2700"/>
        <w:rPr>
          <w:rFonts w:ascii="Arial" w:eastAsia="Arial" w:hAnsi="Arial" w:cs="Arial"/>
        </w:rPr>
      </w:pPr>
      <w:r>
        <w:rPr>
          <w:rFonts w:ascii="Arial" w:eastAsia="Arial" w:hAnsi="Arial" w:cs="Arial"/>
        </w:rPr>
        <w:t xml:space="preserve">Client: </w:t>
      </w:r>
      <w:r>
        <w:rPr>
          <w:rFonts w:ascii="Arial" w:eastAsia="Arial" w:hAnsi="Arial" w:cs="Arial"/>
        </w:rPr>
        <w:tab/>
        <w:t>“Monteput” doo Podgorica</w:t>
      </w:r>
    </w:p>
    <w:p w14:paraId="00000003" w14:textId="32D88A28" w:rsidR="00A5660E" w:rsidRDefault="00CD77AE">
      <w:pPr>
        <w:spacing w:after="0"/>
        <w:ind w:left="2700"/>
        <w:rPr>
          <w:rFonts w:ascii="Arial" w:eastAsia="Arial" w:hAnsi="Arial" w:cs="Arial"/>
        </w:rPr>
      </w:pPr>
      <w:r>
        <w:rPr>
          <w:rFonts w:ascii="Arial" w:eastAsia="Arial" w:hAnsi="Arial" w:cs="Arial"/>
        </w:rPr>
        <w:t xml:space="preserve">Country: </w:t>
      </w:r>
      <w:r>
        <w:rPr>
          <w:rFonts w:ascii="Arial" w:eastAsia="Arial" w:hAnsi="Arial" w:cs="Arial"/>
        </w:rPr>
        <w:tab/>
        <w:t>Montenegro</w:t>
      </w:r>
    </w:p>
    <w:p w14:paraId="00000004" w14:textId="77777777" w:rsidR="00A5660E" w:rsidRDefault="00CD77AE">
      <w:pPr>
        <w:spacing w:after="0"/>
        <w:ind w:left="2700" w:hanging="2700"/>
        <w:rPr>
          <w:rFonts w:ascii="Arial" w:eastAsia="Arial" w:hAnsi="Arial" w:cs="Arial"/>
        </w:rPr>
      </w:pPr>
      <w:r>
        <w:rPr>
          <w:rFonts w:ascii="Arial" w:eastAsia="Arial" w:hAnsi="Arial" w:cs="Arial"/>
        </w:rPr>
        <w:t xml:space="preserve">Project name: </w:t>
      </w:r>
      <w:r>
        <w:rPr>
          <w:rFonts w:ascii="Arial" w:eastAsia="Arial" w:hAnsi="Arial" w:cs="Arial"/>
        </w:rPr>
        <w:tab/>
        <w:t>TEN-T Route 4, BBH, Smokovac-Tolosi Section (Podgorica Bypass)</w:t>
      </w:r>
    </w:p>
    <w:p w14:paraId="00000005" w14:textId="73E56483" w:rsidR="00A5660E" w:rsidRDefault="00CD77AE">
      <w:pPr>
        <w:spacing w:after="0"/>
        <w:ind w:left="2700" w:hanging="2700"/>
        <w:rPr>
          <w:rFonts w:ascii="Arial" w:eastAsia="Arial" w:hAnsi="Arial" w:cs="Arial"/>
        </w:rPr>
      </w:pPr>
      <w:r>
        <w:rPr>
          <w:rFonts w:ascii="Arial" w:eastAsia="Arial" w:hAnsi="Arial" w:cs="Arial"/>
        </w:rPr>
        <w:t>EBRD Project ID</w:t>
      </w:r>
      <w:r w:rsidR="00FD42D7">
        <w:rPr>
          <w:rFonts w:ascii="Arial" w:eastAsia="Arial" w:hAnsi="Arial" w:cs="Arial"/>
        </w:rPr>
        <w:t>:</w:t>
      </w:r>
      <w:r>
        <w:rPr>
          <w:rFonts w:ascii="Arial" w:eastAsia="Arial" w:hAnsi="Arial" w:cs="Arial"/>
        </w:rPr>
        <w:tab/>
        <w:t>57399</w:t>
      </w:r>
    </w:p>
    <w:p w14:paraId="00000006" w14:textId="77777777" w:rsidR="00A5660E" w:rsidRDefault="00CD77AE">
      <w:pPr>
        <w:spacing w:after="0"/>
        <w:ind w:left="2700" w:hanging="2700"/>
        <w:rPr>
          <w:rFonts w:ascii="Arial" w:eastAsia="Arial" w:hAnsi="Arial" w:cs="Arial"/>
        </w:rPr>
      </w:pPr>
      <w:r>
        <w:rPr>
          <w:rFonts w:ascii="Arial" w:eastAsia="Arial" w:hAnsi="Arial" w:cs="Arial"/>
        </w:rPr>
        <w:t xml:space="preserve">Procurement Process: </w:t>
      </w:r>
      <w:r>
        <w:rPr>
          <w:rFonts w:ascii="Arial" w:eastAsia="Arial" w:hAnsi="Arial" w:cs="Arial"/>
        </w:rPr>
        <w:tab/>
        <w:t>Design and Construction of the extension of the Orient/Est-Med Corridor: Road Route 4 - Bar-Boljare Highway - Section Smokovac - Tolosi (Podgorica Bypass)</w:t>
      </w:r>
    </w:p>
    <w:p w14:paraId="00000007" w14:textId="77777777" w:rsidR="00A5660E" w:rsidRDefault="00CD77AE">
      <w:pPr>
        <w:spacing w:after="0"/>
        <w:ind w:left="2700" w:hanging="2700"/>
        <w:rPr>
          <w:rFonts w:ascii="Arial" w:eastAsia="Arial" w:hAnsi="Arial" w:cs="Arial"/>
        </w:rPr>
      </w:pPr>
      <w:r>
        <w:rPr>
          <w:rFonts w:ascii="Arial" w:eastAsia="Arial" w:hAnsi="Arial" w:cs="Arial"/>
        </w:rPr>
        <w:tab/>
      </w:r>
    </w:p>
    <w:p w14:paraId="00000008" w14:textId="397E1A2F" w:rsidR="00A5660E" w:rsidRDefault="00CD77AE">
      <w:pPr>
        <w:spacing w:after="0"/>
        <w:rPr>
          <w:rFonts w:ascii="Arial" w:eastAsia="Arial" w:hAnsi="Arial" w:cs="Arial"/>
        </w:rPr>
      </w:pPr>
      <w:r>
        <w:rPr>
          <w:rFonts w:ascii="Arial" w:eastAsia="Arial" w:hAnsi="Arial" w:cs="Arial"/>
        </w:rPr>
        <w:t xml:space="preserve">Date and Time of Event: </w:t>
      </w:r>
      <w:r w:rsidR="00FC1DCD" w:rsidRPr="00A27034">
        <w:rPr>
          <w:rFonts w:ascii="Arial" w:eastAsia="Arial" w:hAnsi="Arial" w:cs="Arial"/>
        </w:rPr>
        <w:t>10</w:t>
      </w:r>
      <w:r w:rsidRPr="00A27034">
        <w:rPr>
          <w:rFonts w:ascii="Arial" w:eastAsia="Arial" w:hAnsi="Arial" w:cs="Arial"/>
        </w:rPr>
        <w:t xml:space="preserve"> July, 2026 at </w:t>
      </w:r>
      <w:r w:rsidR="00FC1DCD" w:rsidRPr="00A27034">
        <w:rPr>
          <w:rFonts w:ascii="Arial" w:eastAsia="Arial" w:hAnsi="Arial" w:cs="Arial"/>
        </w:rPr>
        <w:t>12</w:t>
      </w:r>
      <w:r w:rsidRPr="00A27034">
        <w:rPr>
          <w:rFonts w:ascii="Arial" w:eastAsia="Arial" w:hAnsi="Arial" w:cs="Arial"/>
        </w:rPr>
        <w:t>:00</w:t>
      </w:r>
      <w:r>
        <w:rPr>
          <w:rFonts w:ascii="Arial" w:eastAsia="Arial" w:hAnsi="Arial" w:cs="Arial"/>
        </w:rPr>
        <w:t xml:space="preserve"> Podgorica (CET) time.</w:t>
      </w:r>
    </w:p>
    <w:p w14:paraId="00000009" w14:textId="77777777" w:rsidR="00A5660E" w:rsidRPr="00274556" w:rsidRDefault="00CD77AE">
      <w:pPr>
        <w:spacing w:before="200"/>
        <w:rPr>
          <w:rFonts w:ascii="Arial" w:eastAsia="Arial" w:hAnsi="Arial" w:cs="Arial"/>
          <w:color w:val="1F1F1F"/>
          <w:highlight w:val="white"/>
          <w:lang w:val="en-GB"/>
        </w:rPr>
      </w:pPr>
      <w:r>
        <w:rPr>
          <w:rFonts w:ascii="Arial" w:eastAsia="Arial" w:hAnsi="Arial" w:cs="Arial"/>
          <w:color w:val="1F1F1F"/>
          <w:highlight w:val="white"/>
        </w:rPr>
        <w:t>Dear Stakeholders,</w:t>
      </w:r>
    </w:p>
    <w:p w14:paraId="0000000A" w14:textId="3185E1F9" w:rsidR="00A5660E" w:rsidRDefault="00CD77AE">
      <w:pPr>
        <w:rPr>
          <w:rFonts w:ascii="Arial" w:eastAsia="Arial" w:hAnsi="Arial" w:cs="Arial"/>
          <w:color w:val="1F1F1F"/>
          <w:shd w:val="clear" w:color="auto" w:fill="F0F4F9"/>
        </w:rPr>
      </w:pPr>
      <w:r>
        <w:rPr>
          <w:rFonts w:ascii="Arial" w:eastAsia="Arial" w:hAnsi="Arial" w:cs="Arial"/>
          <w:color w:val="1F1F1F"/>
          <w:highlight w:val="white"/>
        </w:rPr>
        <w:t xml:space="preserve">We invite you to participate in an Early Market Engagement (EME) Webinar regarding the upcoming construction project for the </w:t>
      </w:r>
      <w:r>
        <w:rPr>
          <w:rFonts w:ascii="Arial" w:eastAsia="Arial" w:hAnsi="Arial" w:cs="Arial"/>
          <w:b/>
          <w:bCs/>
          <w:color w:val="1F1F1F"/>
          <w:highlight w:val="white"/>
        </w:rPr>
        <w:t xml:space="preserve">Smokovac </w:t>
      </w:r>
      <w:r w:rsidR="00BA3949">
        <w:rPr>
          <w:rFonts w:ascii="Arial" w:eastAsia="Arial" w:hAnsi="Arial" w:cs="Arial"/>
          <w:b/>
          <w:bCs/>
          <w:color w:val="1F1F1F"/>
          <w:highlight w:val="white"/>
        </w:rPr>
        <w:t>-</w:t>
      </w:r>
      <w:r>
        <w:rPr>
          <w:rFonts w:ascii="Arial" w:eastAsia="Arial" w:hAnsi="Arial" w:cs="Arial"/>
          <w:b/>
          <w:bCs/>
          <w:color w:val="1F1F1F"/>
          <w:highlight w:val="white"/>
        </w:rPr>
        <w:t xml:space="preserve"> Tološi Highway Section</w:t>
      </w:r>
      <w:r>
        <w:rPr>
          <w:rFonts w:ascii="Arial" w:eastAsia="Arial" w:hAnsi="Arial" w:cs="Arial"/>
          <w:color w:val="1F1F1F"/>
          <w:highlight w:val="white"/>
        </w:rPr>
        <w:t>, a critical 10.5 km extension of the Bar</w:t>
      </w:r>
      <w:r w:rsidR="00BA3949">
        <w:rPr>
          <w:rFonts w:ascii="Arial" w:eastAsia="Arial" w:hAnsi="Arial" w:cs="Arial"/>
          <w:color w:val="1F1F1F"/>
          <w:highlight w:val="white"/>
        </w:rPr>
        <w:t>-</w:t>
      </w:r>
      <w:r>
        <w:rPr>
          <w:rFonts w:ascii="Arial" w:eastAsia="Arial" w:hAnsi="Arial" w:cs="Arial"/>
          <w:color w:val="1F1F1F"/>
          <w:highlight w:val="white"/>
        </w:rPr>
        <w:t>Boljare Highway in Montenegro.</w:t>
      </w:r>
    </w:p>
    <w:p w14:paraId="0000000B" w14:textId="77777777" w:rsidR="00A5660E" w:rsidRDefault="00CD77AE">
      <w:pPr>
        <w:rPr>
          <w:rFonts w:ascii="Arial" w:eastAsia="Arial" w:hAnsi="Arial" w:cs="Arial"/>
          <w:color w:val="1F1F1F"/>
          <w:highlight w:val="white"/>
        </w:rPr>
      </w:pPr>
      <w:r>
        <w:rPr>
          <w:rFonts w:ascii="Arial" w:eastAsia="Arial" w:hAnsi="Arial" w:cs="Arial"/>
          <w:color w:val="1F1F1F"/>
          <w:highlight w:val="white"/>
        </w:rPr>
        <w:t>This webinar provides an opportunity for interested contractors, technical partners, and industry stakeholders to gain comprehensive insights into the project scope, procurement strategy and technical requirements before the formal tender process begins.</w:t>
      </w:r>
    </w:p>
    <w:p w14:paraId="0000000C" w14:textId="77777777" w:rsidR="00A5660E" w:rsidRDefault="00CD77AE">
      <w:pPr>
        <w:rPr>
          <w:rFonts w:ascii="Arial" w:eastAsia="Arial" w:hAnsi="Arial" w:cs="Arial"/>
          <w:color w:val="1F1F1F"/>
          <w:highlight w:val="white"/>
        </w:rPr>
      </w:pPr>
      <w:r>
        <w:rPr>
          <w:rFonts w:ascii="Arial" w:eastAsia="Arial" w:hAnsi="Arial" w:cs="Arial"/>
          <w:color w:val="1F1F1F"/>
          <w:highlight w:val="white"/>
        </w:rPr>
        <w:t xml:space="preserve">The main objectives of the EME are to:  </w:t>
      </w:r>
    </w:p>
    <w:p w14:paraId="0000000D" w14:textId="77777777" w:rsidR="00A5660E" w:rsidRDefault="00CD77AE">
      <w:pPr>
        <w:numPr>
          <w:ilvl w:val="0"/>
          <w:numId w:val="1"/>
        </w:numPr>
        <w:spacing w:after="0"/>
        <w:ind w:left="360"/>
        <w:rPr>
          <w:rFonts w:ascii="Arial" w:eastAsia="Arial" w:hAnsi="Arial" w:cs="Arial"/>
          <w:color w:val="1F1F1F"/>
          <w:highlight w:val="white"/>
        </w:rPr>
      </w:pPr>
      <w:r>
        <w:rPr>
          <w:rFonts w:ascii="Arial" w:eastAsia="Arial" w:hAnsi="Arial" w:cs="Arial"/>
          <w:color w:val="1F1F1F"/>
          <w:highlight w:val="white"/>
        </w:rPr>
        <w:t>assess market appetite, capacity, capabilities, and emerging trends;</w:t>
      </w:r>
    </w:p>
    <w:p w14:paraId="0000000E" w14:textId="77777777" w:rsidR="00A5660E" w:rsidRDefault="00CD77AE">
      <w:pPr>
        <w:numPr>
          <w:ilvl w:val="0"/>
          <w:numId w:val="1"/>
        </w:numPr>
        <w:spacing w:after="0"/>
        <w:ind w:left="360"/>
        <w:rPr>
          <w:rFonts w:ascii="Arial" w:eastAsia="Arial" w:hAnsi="Arial" w:cs="Arial"/>
          <w:color w:val="1F1F1F"/>
          <w:highlight w:val="white"/>
        </w:rPr>
      </w:pPr>
      <w:r>
        <w:rPr>
          <w:rFonts w:ascii="Arial" w:eastAsia="Arial" w:hAnsi="Arial" w:cs="Arial"/>
          <w:color w:val="1F1F1F"/>
          <w:highlight w:val="white"/>
        </w:rPr>
        <w:t>brief potential contractors/suppliers/consultants on the procurement and contracting process;</w:t>
      </w:r>
    </w:p>
    <w:p w14:paraId="0000000F" w14:textId="77777777" w:rsidR="00A5660E" w:rsidRDefault="00CD77AE">
      <w:pPr>
        <w:numPr>
          <w:ilvl w:val="0"/>
          <w:numId w:val="1"/>
        </w:numPr>
        <w:spacing w:after="0"/>
        <w:ind w:left="360"/>
        <w:rPr>
          <w:rFonts w:ascii="Arial" w:eastAsia="Arial" w:hAnsi="Arial" w:cs="Arial"/>
          <w:color w:val="1F1F1F"/>
          <w:highlight w:val="white"/>
        </w:rPr>
      </w:pPr>
      <w:r>
        <w:rPr>
          <w:rFonts w:ascii="Arial" w:eastAsia="Arial" w:hAnsi="Arial" w:cs="Arial"/>
          <w:color w:val="1F1F1F"/>
          <w:highlight w:val="white"/>
        </w:rPr>
        <w:t>Identify project risks, incentives, and opportunities;</w:t>
      </w:r>
    </w:p>
    <w:p w14:paraId="00000010" w14:textId="77777777" w:rsidR="00A5660E" w:rsidRDefault="00CD77AE">
      <w:pPr>
        <w:numPr>
          <w:ilvl w:val="0"/>
          <w:numId w:val="1"/>
        </w:numPr>
        <w:ind w:left="360"/>
        <w:rPr>
          <w:rFonts w:ascii="Arial" w:eastAsia="Arial" w:hAnsi="Arial" w:cs="Arial"/>
          <w:color w:val="1F1F1F"/>
          <w:highlight w:val="white"/>
        </w:rPr>
      </w:pPr>
      <w:r>
        <w:rPr>
          <w:rFonts w:ascii="Arial" w:eastAsia="Arial" w:hAnsi="Arial" w:cs="Arial"/>
          <w:color w:val="1F1F1F"/>
          <w:highlight w:val="white"/>
        </w:rPr>
        <w:t xml:space="preserve">gather insights on consultants, suppliers and contractors’ experience in implementing similar projects within the road construction sector. </w:t>
      </w:r>
    </w:p>
    <w:p w14:paraId="00000011" w14:textId="77777777" w:rsidR="00A5660E" w:rsidRDefault="00CD77AE">
      <w:pPr>
        <w:rPr>
          <w:rFonts w:ascii="Arial" w:eastAsia="Arial" w:hAnsi="Arial" w:cs="Arial"/>
          <w:b/>
          <w:bCs/>
          <w:color w:val="1F1F1F"/>
          <w:highlight w:val="white"/>
        </w:rPr>
      </w:pPr>
      <w:r>
        <w:rPr>
          <w:rFonts w:ascii="Arial" w:eastAsia="Arial" w:hAnsi="Arial" w:cs="Arial"/>
          <w:b/>
          <w:bCs/>
          <w:color w:val="1F1F1F"/>
          <w:highlight w:val="white"/>
        </w:rPr>
        <w:t>Project Overview</w:t>
      </w:r>
    </w:p>
    <w:p w14:paraId="00000012" w14:textId="2DF9308C" w:rsidR="00A5660E" w:rsidRDefault="00CD77AE">
      <w:pPr>
        <w:rPr>
          <w:rFonts w:ascii="Arial" w:eastAsia="Arial" w:hAnsi="Arial" w:cs="Arial"/>
        </w:rPr>
      </w:pPr>
      <w:r>
        <w:rPr>
          <w:rFonts w:ascii="Arial" w:eastAsia="Arial" w:hAnsi="Arial" w:cs="Arial"/>
          <w:color w:val="1F1F1F"/>
          <w:highlight w:val="white"/>
        </w:rPr>
        <w:t xml:space="preserve">The Smokovac </w:t>
      </w:r>
      <w:r w:rsidR="00EA23BA">
        <w:rPr>
          <w:rFonts w:ascii="Arial" w:eastAsia="Arial" w:hAnsi="Arial" w:cs="Arial"/>
          <w:color w:val="1F1F1F"/>
          <w:highlight w:val="white"/>
        </w:rPr>
        <w:t>-</w:t>
      </w:r>
      <w:r>
        <w:rPr>
          <w:rFonts w:ascii="Arial" w:eastAsia="Arial" w:hAnsi="Arial" w:cs="Arial"/>
          <w:color w:val="1F1F1F"/>
          <w:highlight w:val="white"/>
        </w:rPr>
        <w:t xml:space="preserve"> Tološi Section is a strategic infrastructure project designed to enhance transport capacity, increase traffic safety, and improve connectivity between Montenegro’s northern and central regions. The project will be executed on a Design &amp; Build basis, based upon FIDIC Yellow Book (1999) terms and conditions. The project funding is intended to be provided by the </w:t>
      </w:r>
      <w:r>
        <w:rPr>
          <w:rFonts w:ascii="Arial" w:eastAsia="Arial" w:hAnsi="Arial" w:cs="Arial"/>
        </w:rPr>
        <w:t xml:space="preserve">European Bank for Reconstruction and Development (EBRD), European Investment Bank (EIB) and the Government of Montenegro. Procurement will be undertaken in accordance with EBRD Procurement Policies and Rules (EBRD PP&amp;R) and apply an open multi-stage procurement procedure with prequalification. </w:t>
      </w:r>
    </w:p>
    <w:p w14:paraId="00000013" w14:textId="77777777" w:rsidR="00A5660E" w:rsidRDefault="00CD77AE">
      <w:pPr>
        <w:rPr>
          <w:rFonts w:ascii="Arial" w:eastAsia="Arial" w:hAnsi="Arial" w:cs="Arial"/>
          <w:b/>
          <w:bCs/>
          <w:color w:val="1F1F1F"/>
          <w:highlight w:val="white"/>
        </w:rPr>
      </w:pPr>
      <w:r>
        <w:rPr>
          <w:rFonts w:ascii="Arial" w:eastAsia="Arial" w:hAnsi="Arial" w:cs="Arial"/>
          <w:b/>
          <w:bCs/>
          <w:color w:val="1F1F1F"/>
          <w:highlight w:val="white"/>
        </w:rPr>
        <w:t>Key Discussion Topics</w:t>
      </w:r>
    </w:p>
    <w:p w14:paraId="00000014" w14:textId="0026EBBB" w:rsidR="00A5660E" w:rsidRDefault="00CD77AE">
      <w:pPr>
        <w:numPr>
          <w:ilvl w:val="0"/>
          <w:numId w:val="2"/>
        </w:numPr>
        <w:shd w:val="clear" w:color="auto" w:fill="FFFFFF"/>
        <w:spacing w:before="240" w:after="0"/>
        <w:ind w:left="360"/>
        <w:jc w:val="left"/>
      </w:pPr>
      <w:r>
        <w:rPr>
          <w:rFonts w:ascii="Arial" w:eastAsia="Arial" w:hAnsi="Arial" w:cs="Arial"/>
          <w:b/>
          <w:bCs/>
          <w:color w:val="1F1F1F"/>
        </w:rPr>
        <w:t>Project Scope:</w:t>
      </w:r>
      <w:r>
        <w:rPr>
          <w:rFonts w:ascii="Arial" w:eastAsia="Arial" w:hAnsi="Arial" w:cs="Arial"/>
          <w:color w:val="1F1F1F"/>
        </w:rPr>
        <w:t xml:space="preserve"> Implementation of the Main Design, construction of the 10.5 km highway section, and integration with the existing Smokovac - Mateševo interchange.</w:t>
      </w:r>
    </w:p>
    <w:p w14:paraId="00000015" w14:textId="77777777" w:rsidR="00A5660E" w:rsidRDefault="00CD77AE">
      <w:pPr>
        <w:numPr>
          <w:ilvl w:val="0"/>
          <w:numId w:val="2"/>
        </w:numPr>
        <w:shd w:val="clear" w:color="auto" w:fill="FFFFFF"/>
        <w:spacing w:after="0"/>
        <w:ind w:left="360"/>
        <w:jc w:val="left"/>
      </w:pPr>
      <w:r>
        <w:rPr>
          <w:rFonts w:ascii="Arial" w:eastAsia="Arial" w:hAnsi="Arial" w:cs="Arial"/>
          <w:b/>
          <w:bCs/>
          <w:color w:val="1F1F1F"/>
        </w:rPr>
        <w:t>Technical Requirements:</w:t>
      </w:r>
      <w:r>
        <w:rPr>
          <w:rFonts w:ascii="Arial" w:eastAsia="Arial" w:hAnsi="Arial" w:cs="Arial"/>
          <w:color w:val="1F1F1F"/>
        </w:rPr>
        <w:t xml:space="preserve"> Overview of key engineering challenges, including environmental protection, geotechnical considerations, and existing infrastructure coordination.</w:t>
      </w:r>
    </w:p>
    <w:p w14:paraId="00000016" w14:textId="77777777" w:rsidR="00A5660E" w:rsidRDefault="00CD77AE">
      <w:pPr>
        <w:numPr>
          <w:ilvl w:val="0"/>
          <w:numId w:val="2"/>
        </w:numPr>
        <w:shd w:val="clear" w:color="auto" w:fill="FFFFFF"/>
        <w:spacing w:after="240"/>
        <w:ind w:left="360"/>
        <w:jc w:val="left"/>
      </w:pPr>
      <w:r>
        <w:rPr>
          <w:rFonts w:ascii="Arial" w:eastAsia="Arial" w:hAnsi="Arial" w:cs="Arial"/>
          <w:b/>
          <w:bCs/>
          <w:color w:val="1F1F1F"/>
        </w:rPr>
        <w:lastRenderedPageBreak/>
        <w:t>Procurement Strategy:</w:t>
      </w:r>
      <w:r>
        <w:rPr>
          <w:rFonts w:ascii="Arial" w:eastAsia="Arial" w:hAnsi="Arial" w:cs="Arial"/>
          <w:color w:val="1F1F1F"/>
        </w:rPr>
        <w:t xml:space="preserve"> Insights into the Design &amp; Build delivery model and key milestones.</w:t>
      </w:r>
    </w:p>
    <w:p w14:paraId="00000017" w14:textId="77777777" w:rsidR="00A5660E" w:rsidRDefault="00CD77AE">
      <w:pPr>
        <w:shd w:val="clear" w:color="auto" w:fill="FFFFFF"/>
        <w:spacing w:before="240" w:after="240"/>
        <w:rPr>
          <w:rFonts w:ascii="Arial" w:eastAsia="Arial" w:hAnsi="Arial" w:cs="Arial"/>
          <w:color w:val="1F1F1F"/>
        </w:rPr>
      </w:pPr>
      <w:r>
        <w:rPr>
          <w:rFonts w:ascii="Arial" w:eastAsia="Arial" w:hAnsi="Arial" w:cs="Arial"/>
          <w:color w:val="1F1F1F"/>
        </w:rPr>
        <w:t>During the session, you will hear directly from Monteput doo Podgorica regarding the investment program status and upcoming pipeline. There will be an open Q&amp;A session for all attendees.</w:t>
      </w:r>
    </w:p>
    <w:p w14:paraId="00000018" w14:textId="77777777" w:rsidR="00A5660E" w:rsidRDefault="00CD77AE">
      <w:pPr>
        <w:rPr>
          <w:rFonts w:ascii="Arial" w:eastAsia="Arial" w:hAnsi="Arial" w:cs="Arial"/>
          <w:b/>
          <w:bCs/>
          <w:color w:val="1F1F1F"/>
          <w:highlight w:val="white"/>
        </w:rPr>
      </w:pPr>
      <w:r>
        <w:rPr>
          <w:rFonts w:ascii="Arial" w:eastAsia="Arial" w:hAnsi="Arial" w:cs="Arial"/>
          <w:b/>
          <w:bCs/>
          <w:color w:val="1F1F1F"/>
          <w:highlight w:val="white"/>
        </w:rPr>
        <w:t>Webinar Details</w:t>
      </w:r>
    </w:p>
    <w:p w14:paraId="00000019" w14:textId="51320799" w:rsidR="00A5660E" w:rsidRDefault="00CD77AE">
      <w:pPr>
        <w:numPr>
          <w:ilvl w:val="0"/>
          <w:numId w:val="3"/>
        </w:numPr>
        <w:shd w:val="clear" w:color="auto" w:fill="FFFFFF"/>
        <w:spacing w:before="240" w:after="0"/>
        <w:ind w:left="360"/>
        <w:jc w:val="left"/>
      </w:pPr>
      <w:r>
        <w:rPr>
          <w:rFonts w:ascii="Arial" w:eastAsia="Arial" w:hAnsi="Arial" w:cs="Arial"/>
          <w:b/>
          <w:bCs/>
          <w:color w:val="1F1F1F"/>
        </w:rPr>
        <w:t>Date:</w:t>
      </w:r>
      <w:r>
        <w:rPr>
          <w:rFonts w:ascii="Arial" w:eastAsia="Arial" w:hAnsi="Arial" w:cs="Arial"/>
          <w:color w:val="1F1F1F"/>
        </w:rPr>
        <w:t xml:space="preserve"> </w:t>
      </w:r>
      <w:r w:rsidR="001B51D2">
        <w:rPr>
          <w:rFonts w:ascii="Arial" w:eastAsia="Arial" w:hAnsi="Arial" w:cs="Arial"/>
          <w:color w:val="1F1F1F"/>
        </w:rPr>
        <w:t>10</w:t>
      </w:r>
      <w:r w:rsidR="003E3FA3">
        <w:rPr>
          <w:rFonts w:ascii="Arial" w:eastAsia="Arial" w:hAnsi="Arial" w:cs="Arial"/>
          <w:color w:val="1F1F1F"/>
        </w:rPr>
        <w:t xml:space="preserve"> July</w:t>
      </w:r>
      <w:r w:rsidR="001B51D2">
        <w:rPr>
          <w:rFonts w:ascii="Arial" w:eastAsia="Arial" w:hAnsi="Arial" w:cs="Arial"/>
          <w:color w:val="1F1F1F"/>
        </w:rPr>
        <w:t>, 2026</w:t>
      </w:r>
    </w:p>
    <w:p w14:paraId="0000001A" w14:textId="57A4A48B" w:rsidR="00A5660E" w:rsidRDefault="00CD77AE">
      <w:pPr>
        <w:numPr>
          <w:ilvl w:val="0"/>
          <w:numId w:val="3"/>
        </w:numPr>
        <w:shd w:val="clear" w:color="auto" w:fill="FFFFFF"/>
        <w:spacing w:after="0"/>
        <w:ind w:left="360"/>
        <w:jc w:val="left"/>
      </w:pPr>
      <w:r>
        <w:rPr>
          <w:rFonts w:ascii="Arial" w:eastAsia="Arial" w:hAnsi="Arial" w:cs="Arial"/>
          <w:b/>
          <w:bCs/>
          <w:color w:val="1F1F1F"/>
        </w:rPr>
        <w:t>Time:</w:t>
      </w:r>
      <w:r>
        <w:rPr>
          <w:rFonts w:ascii="Arial" w:eastAsia="Arial" w:hAnsi="Arial" w:cs="Arial"/>
          <w:color w:val="1F1F1F"/>
        </w:rPr>
        <w:t xml:space="preserve"> </w:t>
      </w:r>
      <w:r w:rsidR="00A00062">
        <w:rPr>
          <w:rFonts w:ascii="Arial" w:eastAsia="Arial" w:hAnsi="Arial" w:cs="Arial"/>
          <w:color w:val="1F1F1F"/>
        </w:rPr>
        <w:t>12</w:t>
      </w:r>
      <w:r w:rsidR="00FC1DCD">
        <w:rPr>
          <w:rFonts w:ascii="Arial" w:eastAsia="Arial" w:hAnsi="Arial" w:cs="Arial"/>
          <w:color w:val="1F1F1F"/>
          <w:vertAlign w:val="superscript"/>
        </w:rPr>
        <w:t>00</w:t>
      </w:r>
      <w:r w:rsidR="00FC1DCD">
        <w:rPr>
          <w:rFonts w:ascii="Arial" w:eastAsia="Arial" w:hAnsi="Arial" w:cs="Arial"/>
          <w:color w:val="1F1F1F"/>
        </w:rPr>
        <w:t xml:space="preserve"> - 14</w:t>
      </w:r>
      <w:r w:rsidR="00FC1DCD">
        <w:rPr>
          <w:rFonts w:ascii="Arial" w:eastAsia="Arial" w:hAnsi="Arial" w:cs="Arial"/>
          <w:color w:val="1F1F1F"/>
          <w:vertAlign w:val="superscript"/>
        </w:rPr>
        <w:t>00</w:t>
      </w:r>
      <w:r w:rsidR="00FC1DCD">
        <w:rPr>
          <w:rFonts w:ascii="Arial" w:eastAsia="Arial" w:hAnsi="Arial" w:cs="Arial"/>
          <w:color w:val="1F1F1F"/>
        </w:rPr>
        <w:t xml:space="preserve"> (Montenegro time)</w:t>
      </w:r>
    </w:p>
    <w:p w14:paraId="0000001B" w14:textId="0B5B3059" w:rsidR="00A5660E" w:rsidRDefault="00CD77AE">
      <w:pPr>
        <w:numPr>
          <w:ilvl w:val="0"/>
          <w:numId w:val="3"/>
        </w:numPr>
        <w:shd w:val="clear" w:color="auto" w:fill="FFFFFF"/>
        <w:spacing w:after="240"/>
        <w:ind w:left="360"/>
        <w:jc w:val="left"/>
      </w:pPr>
      <w:r>
        <w:rPr>
          <w:rFonts w:ascii="Arial" w:eastAsia="Arial" w:hAnsi="Arial" w:cs="Arial"/>
          <w:b/>
          <w:bCs/>
          <w:color w:val="1F1F1F"/>
        </w:rPr>
        <w:t>Platform:</w:t>
      </w:r>
      <w:r>
        <w:rPr>
          <w:rFonts w:ascii="Arial" w:eastAsia="Arial" w:hAnsi="Arial" w:cs="Arial"/>
          <w:color w:val="1F1F1F"/>
        </w:rPr>
        <w:t xml:space="preserve"> </w:t>
      </w:r>
      <w:r w:rsidR="00D873D5">
        <w:rPr>
          <w:rFonts w:ascii="Arial" w:eastAsia="Arial" w:hAnsi="Arial" w:cs="Arial"/>
          <w:color w:val="1F1F1F"/>
        </w:rPr>
        <w:t>Zoom</w:t>
      </w:r>
    </w:p>
    <w:p w14:paraId="0000001C" w14:textId="77777777" w:rsidR="00A5660E" w:rsidRDefault="00CD77AE">
      <w:pPr>
        <w:rPr>
          <w:rFonts w:ascii="Arial" w:eastAsia="Arial" w:hAnsi="Arial" w:cs="Arial"/>
          <w:b/>
          <w:bCs/>
          <w:color w:val="1F1F1F"/>
          <w:highlight w:val="white"/>
        </w:rPr>
      </w:pPr>
      <w:r>
        <w:rPr>
          <w:rFonts w:ascii="Arial" w:eastAsia="Arial" w:hAnsi="Arial" w:cs="Arial"/>
          <w:b/>
          <w:bCs/>
          <w:color w:val="1F1F1F"/>
          <w:highlight w:val="white"/>
        </w:rPr>
        <w:t>Registration</w:t>
      </w:r>
    </w:p>
    <w:p w14:paraId="0000001D" w14:textId="68C3F665" w:rsidR="00A5660E" w:rsidRPr="00182F0C" w:rsidRDefault="00182F0C">
      <w:pPr>
        <w:rPr>
          <w:rFonts w:ascii="Arial" w:eastAsia="Arial" w:hAnsi="Arial" w:cs="Arial"/>
          <w:color w:val="1F1F1F"/>
          <w:highlight w:val="white"/>
        </w:rPr>
      </w:pPr>
      <w:r w:rsidRPr="00182F0C">
        <w:rPr>
          <w:rFonts w:ascii="Arial" w:eastAsia="Arial" w:hAnsi="Arial" w:cs="Arial"/>
          <w:color w:val="1F1F1F"/>
        </w:rPr>
        <w:t>Please complete your registration at the latest by 08 July</w:t>
      </w:r>
      <w:r>
        <w:rPr>
          <w:rFonts w:ascii="Arial" w:eastAsia="Arial" w:hAnsi="Arial" w:cs="Arial"/>
          <w:color w:val="1F1F1F"/>
        </w:rPr>
        <w:t xml:space="preserve"> </w:t>
      </w:r>
      <w:r w:rsidR="00CD77AE" w:rsidRPr="008F0D20">
        <w:rPr>
          <w:rFonts w:ascii="Arial" w:eastAsia="Arial" w:hAnsi="Arial" w:cs="Arial"/>
          <w:color w:val="1F1F1F"/>
        </w:rPr>
        <w:t xml:space="preserve">2026 </w:t>
      </w:r>
      <w:r w:rsidR="00CD77AE">
        <w:rPr>
          <w:rFonts w:ascii="Arial" w:eastAsia="Arial" w:hAnsi="Arial" w:cs="Arial"/>
          <w:color w:val="1F1F1F"/>
          <w:highlight w:val="white"/>
        </w:rPr>
        <w:t xml:space="preserve">via the following link: </w:t>
      </w:r>
      <w:hyperlink r:id="rId5" w:history="1">
        <w:r w:rsidR="00BD4BCB" w:rsidRPr="00605064">
          <w:rPr>
            <w:rStyle w:val="Hyperlink"/>
            <w:rFonts w:ascii="Arial" w:eastAsia="Arial" w:hAnsi="Arial" w:cs="Arial"/>
          </w:rPr>
          <w:t>https://forms.gle/qTocmPif5jqHCp2h8</w:t>
        </w:r>
      </w:hyperlink>
      <w:r w:rsidR="00BD4BCB">
        <w:rPr>
          <w:rFonts w:ascii="Arial" w:eastAsia="Arial" w:hAnsi="Arial" w:cs="Arial"/>
          <w:color w:val="1F1F1F"/>
        </w:rPr>
        <w:t xml:space="preserve"> .</w:t>
      </w:r>
    </w:p>
    <w:p w14:paraId="0000001E" w14:textId="08948550" w:rsidR="00A5660E" w:rsidRDefault="00CD77AE">
      <w:pPr>
        <w:rPr>
          <w:rFonts w:ascii="Arial" w:eastAsia="Arial" w:hAnsi="Arial" w:cs="Arial"/>
          <w:color w:val="1F1F1F"/>
          <w:highlight w:val="yellow"/>
        </w:rPr>
      </w:pPr>
      <w:r>
        <w:rPr>
          <w:rFonts w:ascii="Arial" w:eastAsia="Arial" w:hAnsi="Arial" w:cs="Arial"/>
          <w:color w:val="1F1F1F"/>
        </w:rPr>
        <w:t xml:space="preserve">Following registration, you will receive a confirmation email with the meeting link. The webinar will commence </w:t>
      </w:r>
      <w:r w:rsidRPr="003E3FA3">
        <w:rPr>
          <w:rFonts w:ascii="Arial" w:eastAsia="Arial" w:hAnsi="Arial" w:cs="Arial"/>
          <w:color w:val="1F1F1F"/>
        </w:rPr>
        <w:t xml:space="preserve">at </w:t>
      </w:r>
      <w:r w:rsidR="00C20F04" w:rsidRPr="003E3FA3">
        <w:rPr>
          <w:rFonts w:ascii="Arial" w:eastAsia="Arial" w:hAnsi="Arial" w:cs="Arial"/>
          <w:color w:val="1F1F1F"/>
        </w:rPr>
        <w:t>12</w:t>
      </w:r>
      <w:r w:rsidRPr="003E3FA3">
        <w:rPr>
          <w:rFonts w:ascii="Arial" w:eastAsia="Arial" w:hAnsi="Arial" w:cs="Arial"/>
          <w:color w:val="1F1F1F"/>
        </w:rPr>
        <w:t xml:space="preserve">:00 (CET) on </w:t>
      </w:r>
      <w:r w:rsidR="00C20F04" w:rsidRPr="003E3FA3">
        <w:rPr>
          <w:rFonts w:ascii="Arial" w:eastAsia="Arial" w:hAnsi="Arial" w:cs="Arial"/>
          <w:color w:val="1F1F1F"/>
        </w:rPr>
        <w:t>10</w:t>
      </w:r>
      <w:r w:rsidRPr="003E3FA3">
        <w:rPr>
          <w:rFonts w:ascii="Arial" w:eastAsia="Arial" w:hAnsi="Arial" w:cs="Arial"/>
          <w:color w:val="1F1F1F"/>
        </w:rPr>
        <w:t xml:space="preserve"> July 2026 and</w:t>
      </w:r>
      <w:r>
        <w:rPr>
          <w:rFonts w:ascii="Arial" w:eastAsia="Arial" w:hAnsi="Arial" w:cs="Arial"/>
          <w:color w:val="1F1F1F"/>
        </w:rPr>
        <w:t xml:space="preserve"> will be held </w:t>
      </w:r>
      <w:r w:rsidRPr="003E3FA3">
        <w:rPr>
          <w:rFonts w:ascii="Arial" w:eastAsia="Arial" w:hAnsi="Arial" w:cs="Arial"/>
          <w:color w:val="1F1F1F"/>
        </w:rPr>
        <w:t>in English</w:t>
      </w:r>
      <w:r w:rsidR="003E3FA3" w:rsidRPr="003E3FA3">
        <w:rPr>
          <w:rFonts w:ascii="Arial" w:eastAsia="Arial" w:hAnsi="Arial" w:cs="Arial"/>
          <w:color w:val="1F1F1F"/>
        </w:rPr>
        <w:t>.</w:t>
      </w:r>
    </w:p>
    <w:p w14:paraId="0000001F" w14:textId="77777777" w:rsidR="00A5660E" w:rsidRDefault="00CD77AE">
      <w:pPr>
        <w:rPr>
          <w:rFonts w:ascii="Arial" w:eastAsia="Arial" w:hAnsi="Arial" w:cs="Arial"/>
          <w:color w:val="1F1F1F"/>
          <w:shd w:val="clear" w:color="auto" w:fill="F0F4F9"/>
        </w:rPr>
      </w:pPr>
      <w:r>
        <w:rPr>
          <w:rFonts w:ascii="Arial" w:eastAsia="Arial" w:hAnsi="Arial" w:cs="Arial"/>
          <w:color w:val="1F1F1F"/>
          <w:highlight w:val="white"/>
        </w:rPr>
        <w:t>We look forward to your attendance and to discussing how this vital infrastructure project will contribute to the broader development of the Trans-European Motorways (TEM) network in Montenegro.</w:t>
      </w:r>
    </w:p>
    <w:p w14:paraId="00000020" w14:textId="77777777" w:rsidR="00A5660E" w:rsidRDefault="00A5660E">
      <w:pPr>
        <w:shd w:val="clear" w:color="auto" w:fill="FFFFFF"/>
        <w:rPr>
          <w:rFonts w:ascii="Arial" w:eastAsia="Arial" w:hAnsi="Arial" w:cs="Arial"/>
          <w:color w:val="1F1F1F"/>
        </w:rPr>
      </w:pPr>
    </w:p>
    <w:p w14:paraId="00000021" w14:textId="77777777" w:rsidR="00A5660E" w:rsidRDefault="00CD77AE">
      <w:pPr>
        <w:rPr>
          <w:rFonts w:ascii="Arial" w:eastAsia="Arial" w:hAnsi="Arial" w:cs="Arial"/>
          <w:color w:val="1F1F1F"/>
          <w:highlight w:val="white"/>
        </w:rPr>
      </w:pPr>
      <w:r>
        <w:rPr>
          <w:rFonts w:ascii="Arial" w:eastAsia="Arial" w:hAnsi="Arial" w:cs="Arial"/>
          <w:color w:val="1F1F1F"/>
          <w:highlight w:val="white"/>
        </w:rPr>
        <w:t>Sincerely,</w:t>
      </w:r>
    </w:p>
    <w:p w14:paraId="6D58D556" w14:textId="0693C08A" w:rsidR="00022E48" w:rsidRDefault="00022E48" w:rsidP="00DB0BFB">
      <w:pPr>
        <w:shd w:val="clear" w:color="auto" w:fill="FFFFFF"/>
        <w:tabs>
          <w:tab w:val="left" w:pos="2025"/>
        </w:tabs>
        <w:spacing w:after="0"/>
        <w:rPr>
          <w:rFonts w:ascii="Arial" w:eastAsia="Arial" w:hAnsi="Arial" w:cs="Arial"/>
          <w:color w:val="1F1F1F"/>
          <w:lang w:val="sr-Latn-ME"/>
        </w:rPr>
      </w:pPr>
      <w:r>
        <w:rPr>
          <w:rFonts w:ascii="Arial" w:eastAsia="Arial" w:hAnsi="Arial" w:cs="Arial"/>
          <w:color w:val="1F1F1F"/>
        </w:rPr>
        <w:t>Milica Bijelovi</w:t>
      </w:r>
      <w:r w:rsidR="00DB0BFB">
        <w:rPr>
          <w:rFonts w:ascii="Arial" w:eastAsia="Arial" w:hAnsi="Arial" w:cs="Arial"/>
          <w:color w:val="1F1F1F"/>
          <w:lang w:val="sr-Latn-ME"/>
        </w:rPr>
        <w:t>ć</w:t>
      </w:r>
    </w:p>
    <w:p w14:paraId="6B439A22" w14:textId="70576A55" w:rsidR="00DB0BFB" w:rsidRPr="00DB0BFB" w:rsidRDefault="00DB0BFB" w:rsidP="00DB0BFB">
      <w:pPr>
        <w:shd w:val="clear" w:color="auto" w:fill="FFFFFF"/>
        <w:tabs>
          <w:tab w:val="left" w:pos="2025"/>
        </w:tabs>
        <w:spacing w:after="0"/>
        <w:rPr>
          <w:rFonts w:ascii="Arial" w:eastAsia="Arial" w:hAnsi="Arial" w:cs="Arial"/>
          <w:color w:val="1F1F1F"/>
          <w:lang w:val="sr-Latn-ME"/>
        </w:rPr>
      </w:pPr>
      <w:r>
        <w:rPr>
          <w:rFonts w:ascii="Arial" w:eastAsia="Arial" w:hAnsi="Arial" w:cs="Arial"/>
          <w:color w:val="1F1F1F"/>
          <w:lang w:val="sr-Latn-ME"/>
        </w:rPr>
        <w:t>Head of Legal Affairs Department</w:t>
      </w:r>
    </w:p>
    <w:p w14:paraId="00000024" w14:textId="528C463A" w:rsidR="00A5660E" w:rsidRPr="00DB0BFB" w:rsidRDefault="00022E48" w:rsidP="00DB0BFB">
      <w:pPr>
        <w:shd w:val="clear" w:color="auto" w:fill="FFFFFF"/>
        <w:spacing w:after="0"/>
        <w:rPr>
          <w:rFonts w:ascii="Arial" w:eastAsia="Arial" w:hAnsi="Arial" w:cs="Arial"/>
          <w:color w:val="1F1F1F"/>
        </w:rPr>
      </w:pPr>
      <w:r w:rsidRPr="00022E48">
        <w:rPr>
          <w:rFonts w:ascii="Arial" w:eastAsia="Arial" w:hAnsi="Arial" w:cs="Arial"/>
          <w:color w:val="1F1F1F"/>
        </w:rPr>
        <w:t>“Monteput” doo Podgorica</w:t>
      </w:r>
    </w:p>
    <w:sectPr w:rsidR="00A5660E" w:rsidRPr="00DB0BF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3231953E-A78B-4C83-BC77-A2DB118E5645}"/>
    <w:embedBold r:id="rId2" w:fontKey="{3781F4B0-88E6-4C79-A780-212A14FEA71D}"/>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Bold r:id="rId3" w:fontKey="{E4E0DE37-8B40-4307-B46B-738C4413A800}"/>
  </w:font>
  <w:font w:name="Calibri">
    <w:panose1 w:val="020F0502020204030204"/>
    <w:charset w:val="00"/>
    <w:family w:val="swiss"/>
    <w:pitch w:val="variable"/>
    <w:sig w:usb0="E4002EFF" w:usb1="C200247B" w:usb2="00000009" w:usb3="00000000" w:csb0="000001FF" w:csb1="00000000"/>
    <w:embedRegular r:id="rId4" w:fontKey="{A73243B7-1C3B-4927-9924-138279988F8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99BA2628-4BFD-4184-838F-BA2E807413F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150F2"/>
    <w:multiLevelType w:val="multilevel"/>
    <w:tmpl w:val="2FF2D7E8"/>
    <w:lvl w:ilvl="0">
      <w:start w:val="1"/>
      <w:numFmt w:val="bullet"/>
      <w:lvlText w:val="●"/>
      <w:lvlJc w:val="left"/>
      <w:pPr>
        <w:ind w:left="720" w:hanging="360"/>
      </w:pPr>
      <w:rPr>
        <w:rFonts w:ascii="Roboto" w:eastAsia="Roboto" w:hAnsi="Roboto" w:cs="Roboto"/>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794272"/>
    <w:multiLevelType w:val="multilevel"/>
    <w:tmpl w:val="9AB0C712"/>
    <w:lvl w:ilvl="0">
      <w:start w:val="1"/>
      <w:numFmt w:val="bullet"/>
      <w:lvlText w:val="●"/>
      <w:lvlJc w:val="left"/>
      <w:pPr>
        <w:ind w:left="720" w:hanging="360"/>
      </w:pPr>
      <w:rPr>
        <w:rFonts w:ascii="Roboto" w:eastAsia="Roboto" w:hAnsi="Roboto" w:cs="Roboto"/>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8B21E3"/>
    <w:multiLevelType w:val="multilevel"/>
    <w:tmpl w:val="3042B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9315966">
    <w:abstractNumId w:val="2"/>
  </w:num>
  <w:num w:numId="2" w16cid:durableId="1445419181">
    <w:abstractNumId w:val="1"/>
  </w:num>
  <w:num w:numId="3" w16cid:durableId="97460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E"/>
    <w:rsid w:val="00022E48"/>
    <w:rsid w:val="00182F0C"/>
    <w:rsid w:val="001B51D2"/>
    <w:rsid w:val="00274556"/>
    <w:rsid w:val="002874CA"/>
    <w:rsid w:val="003E3FA3"/>
    <w:rsid w:val="00565AB7"/>
    <w:rsid w:val="00866D1E"/>
    <w:rsid w:val="008F0D20"/>
    <w:rsid w:val="009F06AA"/>
    <w:rsid w:val="00A00062"/>
    <w:rsid w:val="00A27034"/>
    <w:rsid w:val="00A5660E"/>
    <w:rsid w:val="00B32B87"/>
    <w:rsid w:val="00BA3949"/>
    <w:rsid w:val="00BD4BCB"/>
    <w:rsid w:val="00C20F04"/>
    <w:rsid w:val="00CD77AE"/>
    <w:rsid w:val="00D873D5"/>
    <w:rsid w:val="00DB0BFB"/>
    <w:rsid w:val="00E85C03"/>
    <w:rsid w:val="00EA23BA"/>
    <w:rsid w:val="00FC1DCD"/>
    <w:rsid w:val="00FD4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5ADD"/>
  <w15:docId w15:val="{ED9A7144-2292-4391-9EDD-8C96216F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2"/>
        <w:szCs w:val="22"/>
        <w:lang w:val="en"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line="240" w:lineRule="auto"/>
      <w:jc w:val="center"/>
      <w:outlineLvl w:val="0"/>
    </w:pPr>
    <w:rPr>
      <w:rFonts w:ascii="Montserrat" w:eastAsia="Montserrat" w:hAnsi="Montserrat" w:cs="Montserrat"/>
      <w:b/>
      <w:bCs/>
      <w:color w:val="2D8128"/>
      <w:sz w:val="40"/>
      <w:szCs w:val="40"/>
    </w:rPr>
  </w:style>
  <w:style w:type="paragraph" w:styleId="Heading2">
    <w:name w:val="heading 2"/>
    <w:basedOn w:val="Normal"/>
    <w:next w:val="Normal"/>
    <w:uiPriority w:val="9"/>
    <w:semiHidden/>
    <w:unhideWhenUsed/>
    <w:qFormat/>
    <w:pPr>
      <w:keepNext/>
      <w:spacing w:before="240" w:after="40" w:line="240" w:lineRule="auto"/>
      <w:jc w:val="center"/>
      <w:outlineLvl w:val="1"/>
    </w:pPr>
    <w:rPr>
      <w:rFonts w:ascii="Montserrat" w:eastAsia="Montserrat" w:hAnsi="Montserrat" w:cs="Montserrat"/>
      <w:b/>
      <w:bCs/>
      <w:color w:val="2D8128"/>
      <w:sz w:val="36"/>
      <w:szCs w:val="36"/>
    </w:rPr>
  </w:style>
  <w:style w:type="paragraph" w:styleId="Heading3">
    <w:name w:val="heading 3"/>
    <w:basedOn w:val="Normal"/>
    <w:next w:val="Normal"/>
    <w:uiPriority w:val="9"/>
    <w:semiHidden/>
    <w:unhideWhenUsed/>
    <w:qFormat/>
    <w:pPr>
      <w:keepNext/>
      <w:keepLines/>
      <w:spacing w:before="280" w:line="254" w:lineRule="auto"/>
      <w:ind w:right="-30"/>
      <w:outlineLvl w:val="2"/>
    </w:pPr>
    <w:rPr>
      <w:rFonts w:ascii="Montserrat" w:eastAsia="Montserrat" w:hAnsi="Montserrat" w:cs="Montserrat"/>
      <w:b/>
      <w:bCs/>
      <w:color w:val="3BA235"/>
      <w:sz w:val="32"/>
      <w:szCs w:val="32"/>
    </w:rPr>
  </w:style>
  <w:style w:type="paragraph" w:styleId="Heading4">
    <w:name w:val="heading 4"/>
    <w:basedOn w:val="Normal"/>
    <w:next w:val="Normal"/>
    <w:uiPriority w:val="9"/>
    <w:semiHidden/>
    <w:unhideWhenUsed/>
    <w:qFormat/>
    <w:pPr>
      <w:keepNext/>
      <w:keepLines/>
      <w:spacing w:after="240"/>
      <w:jc w:val="left"/>
      <w:outlineLvl w:val="3"/>
    </w:pPr>
    <w:rPr>
      <w:rFonts w:ascii="Montserrat" w:eastAsia="Montserrat" w:hAnsi="Montserrat" w:cs="Montserrat"/>
      <w:b/>
      <w:bCs/>
      <w:color w:val="439549"/>
      <w:sz w:val="28"/>
      <w:szCs w:val="28"/>
    </w:rPr>
  </w:style>
  <w:style w:type="paragraph" w:styleId="Heading5">
    <w:name w:val="heading 5"/>
    <w:basedOn w:val="Normal"/>
    <w:next w:val="Normal"/>
    <w:uiPriority w:val="9"/>
    <w:semiHidden/>
    <w:unhideWhenUsed/>
    <w:qFormat/>
    <w:pPr>
      <w:keepNext/>
      <w:keepLines/>
      <w:spacing w:after="240"/>
      <w:outlineLvl w:val="4"/>
    </w:pPr>
    <w:rPr>
      <w:b/>
      <w:bCs/>
      <w:color w:val="3F3F3F"/>
      <w:sz w:val="24"/>
      <w:szCs w:val="24"/>
    </w:rPr>
  </w:style>
  <w:style w:type="paragraph" w:styleId="Heading6">
    <w:name w:val="heading 6"/>
    <w:basedOn w:val="Normal"/>
    <w:next w:val="Normal"/>
    <w:uiPriority w:val="9"/>
    <w:semiHidden/>
    <w:unhideWhenUsed/>
    <w:qFormat/>
    <w:pPr>
      <w:keepNext/>
      <w:keepLines/>
      <w:spacing w:before="240" w:after="240"/>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pBdr>
        <w:top w:val="nil"/>
        <w:left w:val="nil"/>
        <w:bottom w:val="nil"/>
        <w:right w:val="nil"/>
        <w:between w:val="nil"/>
      </w:pBdr>
      <w:spacing w:after="160"/>
      <w:jc w:val="left"/>
    </w:pPr>
    <w:rPr>
      <w:rFonts w:ascii="Calibri" w:eastAsia="Calibri" w:hAnsi="Calibri" w:cs="Calibri"/>
      <w:color w:val="5A5A5A"/>
    </w:rPr>
  </w:style>
  <w:style w:type="character" w:styleId="Hyperlink">
    <w:name w:val="Hyperlink"/>
    <w:basedOn w:val="DefaultParagraphFont"/>
    <w:uiPriority w:val="99"/>
    <w:unhideWhenUsed/>
    <w:rsid w:val="00BD4BCB"/>
    <w:rPr>
      <w:color w:val="0000FF" w:themeColor="hyperlink"/>
      <w:u w:val="single"/>
    </w:rPr>
  </w:style>
  <w:style w:type="character" w:styleId="UnresolvedMention">
    <w:name w:val="Unresolved Mention"/>
    <w:basedOn w:val="DefaultParagraphFont"/>
    <w:uiPriority w:val="99"/>
    <w:semiHidden/>
    <w:unhideWhenUsed/>
    <w:rsid w:val="00BD4BCB"/>
    <w:rPr>
      <w:color w:val="605E5C"/>
      <w:shd w:val="clear" w:color="auto" w:fill="E1DFDD"/>
    </w:rPr>
  </w:style>
  <w:style w:type="character" w:styleId="FollowedHyperlink">
    <w:name w:val="FollowedHyperlink"/>
    <w:basedOn w:val="DefaultParagraphFont"/>
    <w:uiPriority w:val="99"/>
    <w:semiHidden/>
    <w:unhideWhenUsed/>
    <w:rsid w:val="00D873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qTocmPif5jqHCp2h8"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Bijelović</dc:creator>
  <cp:lastModifiedBy>Milica Bijelović</cp:lastModifiedBy>
  <cp:revision>46</cp:revision>
  <dcterms:created xsi:type="dcterms:W3CDTF">2026-06-25T08:14:00Z</dcterms:created>
  <dcterms:modified xsi:type="dcterms:W3CDTF">2026-06-26T09:28:00Z</dcterms:modified>
</cp:coreProperties>
</file>