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6B8E9" w14:textId="76FF71DB" w:rsidR="0043185D" w:rsidRDefault="0043185D" w:rsidP="0059443A">
      <w:pPr>
        <w:shd w:val="clear" w:color="auto" w:fill="FFFFFF"/>
        <w:jc w:val="both"/>
        <w:rPr>
          <w:rFonts w:asciiTheme="minorHAnsi" w:eastAsia="Times New Roman" w:hAnsiTheme="minorHAnsi" w:cstheme="minorHAnsi"/>
          <w:b/>
          <w:bCs/>
          <w:color w:val="000000"/>
          <w:lang w:val="sr-Latn-ME" w:eastAsia="en-GB"/>
        </w:rPr>
      </w:pPr>
      <w:bookmarkStart w:id="0" w:name="_Hlk156198262"/>
      <w:r>
        <w:rPr>
          <w:noProof/>
        </w:rPr>
        <w:drawing>
          <wp:anchor distT="0" distB="0" distL="114300" distR="114300" simplePos="0" relativeHeight="251663360" behindDoc="0" locked="0" layoutInCell="1" allowOverlap="1" wp14:anchorId="40BFC4D6" wp14:editId="6981A59C">
            <wp:simplePos x="0" y="0"/>
            <wp:positionH relativeFrom="page">
              <wp:align>left</wp:align>
            </wp:positionH>
            <wp:positionV relativeFrom="paragraph">
              <wp:posOffset>0</wp:posOffset>
            </wp:positionV>
            <wp:extent cx="7562850" cy="2268855"/>
            <wp:effectExtent l="0" t="0" r="0" b="0"/>
            <wp:wrapTopAndBottom/>
            <wp:docPr id="8" name="Drawing 0" descr="b3f1da9c0a0bf2ce8f96b9a56213c1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3f1da9c0a0bf2ce8f96b9a56213c18a.png"/>
                    <pic:cNvPicPr>
                      <a:picLocks noChangeAspect="1"/>
                    </pic:cNvPicPr>
                  </pic:nvPicPr>
                  <pic:blipFill>
                    <a:blip r:embed="rId7"/>
                    <a:stretch>
                      <a:fillRect/>
                    </a:stretch>
                  </pic:blipFill>
                  <pic:spPr>
                    <a:xfrm>
                      <a:off x="0" y="0"/>
                      <a:ext cx="7562850" cy="2268855"/>
                    </a:xfrm>
                    <a:prstGeom prst="rect">
                      <a:avLst/>
                    </a:prstGeom>
                    <a:effectLst>
                      <a:softEdge rad="127000"/>
                    </a:effectLst>
                  </pic:spPr>
                </pic:pic>
              </a:graphicData>
            </a:graphic>
          </wp:anchor>
        </w:drawing>
      </w:r>
    </w:p>
    <w:p w14:paraId="1B1CF336" w14:textId="3292FD75" w:rsidR="0043185D" w:rsidRDefault="0043185D" w:rsidP="0059443A">
      <w:pPr>
        <w:shd w:val="clear" w:color="auto" w:fill="FFFFFF"/>
        <w:jc w:val="both"/>
        <w:rPr>
          <w:rFonts w:asciiTheme="minorHAnsi" w:eastAsia="Times New Roman" w:hAnsiTheme="minorHAnsi" w:cstheme="minorHAnsi"/>
          <w:b/>
          <w:bCs/>
          <w:color w:val="000000"/>
          <w:lang w:val="sr-Latn-ME" w:eastAsia="en-GB"/>
        </w:rPr>
      </w:pPr>
    </w:p>
    <w:p w14:paraId="7FB0BF91" w14:textId="0CD0F177" w:rsidR="0043185D" w:rsidRDefault="0043185D" w:rsidP="0059443A">
      <w:pPr>
        <w:shd w:val="clear" w:color="auto" w:fill="FFFFFF"/>
        <w:jc w:val="both"/>
        <w:rPr>
          <w:rFonts w:asciiTheme="minorHAnsi" w:eastAsia="Times New Roman" w:hAnsiTheme="minorHAnsi" w:cstheme="minorHAnsi"/>
          <w:b/>
          <w:bCs/>
          <w:color w:val="000000"/>
          <w:lang w:val="sr-Latn-ME" w:eastAsia="en-GB"/>
        </w:rPr>
      </w:pPr>
      <w:r w:rsidRPr="005454F8">
        <w:rPr>
          <w:rFonts w:asciiTheme="minorHAnsi" w:hAnsiTheme="minorHAnsi" w:cstheme="minorHAnsi"/>
          <w:b/>
          <w:noProof/>
          <w:lang w:val="sr-Latn-ME"/>
        </w:rPr>
        <mc:AlternateContent>
          <mc:Choice Requires="wps">
            <w:drawing>
              <wp:anchor distT="45720" distB="45720" distL="114300" distR="114300" simplePos="0" relativeHeight="251665408" behindDoc="0" locked="0" layoutInCell="1" allowOverlap="1" wp14:anchorId="46CC15A2" wp14:editId="36108411">
                <wp:simplePos x="0" y="0"/>
                <wp:positionH relativeFrom="margin">
                  <wp:align>left</wp:align>
                </wp:positionH>
                <wp:positionV relativeFrom="paragraph">
                  <wp:posOffset>219075</wp:posOffset>
                </wp:positionV>
                <wp:extent cx="5943600" cy="457200"/>
                <wp:effectExtent l="0" t="0" r="1905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57200"/>
                        </a:xfrm>
                        <a:prstGeom prst="rect">
                          <a:avLst/>
                        </a:prstGeom>
                        <a:solidFill>
                          <a:schemeClr val="accent1">
                            <a:lumMod val="20000"/>
                            <a:lumOff val="80000"/>
                          </a:schemeClr>
                        </a:solidFill>
                        <a:ln w="9525">
                          <a:solidFill>
                            <a:srgbClr val="000000"/>
                          </a:solidFill>
                          <a:miter lim="800000"/>
                          <a:headEnd/>
                          <a:tailEnd/>
                        </a:ln>
                      </wps:spPr>
                      <wps:txbx>
                        <w:txbxContent>
                          <w:p w14:paraId="2724EC07" w14:textId="37969B0F" w:rsidR="0043185D" w:rsidRPr="00DB379F" w:rsidRDefault="0046232E" w:rsidP="0043185D">
                            <w:pPr>
                              <w:jc w:val="center"/>
                              <w:rPr>
                                <w:b/>
                                <w:lang w:val="sr-Latn-ME"/>
                              </w:rPr>
                            </w:pPr>
                            <w:r w:rsidRPr="0046232E">
                              <w:rPr>
                                <w:b/>
                                <w:lang w:val="sr-Latn-ME"/>
                              </w:rPr>
                              <w:t>Prihodi budžeta za jedanaest mjeseci 2024. godine veći u odnosu na prethodnu godinu i u odnosu na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CC15A2" id="_x0000_t202" coordsize="21600,21600" o:spt="202" path="m,l,21600r21600,l21600,xe">
                <v:stroke joinstyle="miter"/>
                <v:path gradientshapeok="t" o:connecttype="rect"/>
              </v:shapetype>
              <v:shape id="Text Box 2" o:spid="_x0000_s1026" type="#_x0000_t202" style="position:absolute;left:0;text-align:left;margin-left:0;margin-top:17.25pt;width:468pt;height:36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" fillcolor="#deeaf6 [660]">
                <v:textbox>
                  <w:txbxContent>
                    <w:p w14:paraId="2724EC07" w14:textId="37969B0F" w:rsidR="0043185D" w:rsidRPr="00DB379F" w:rsidRDefault="0046232E" w:rsidP="0043185D">
                      <w:pPr>
                        <w:jc w:val="center"/>
                        <w:rPr>
                          <w:b/>
                          <w:lang w:val="sr-Latn-ME"/>
                        </w:rPr>
                      </w:pPr>
                      <w:r w:rsidRPr="0046232E">
                        <w:rPr>
                          <w:b/>
                          <w:lang w:val="sr-Latn-ME"/>
                        </w:rPr>
                        <w:t>Prihodi budžeta za jedanaest mjeseci 2024. godine veći u odnosu na prethodnu godinu i u odnosu na plan</w:t>
                      </w:r>
                    </w:p>
                  </w:txbxContent>
                </v:textbox>
                <w10:wrap type="square" anchorx="margin"/>
              </v:shape>
            </w:pict>
          </mc:Fallback>
        </mc:AlternateContent>
      </w:r>
    </w:p>
    <w:p w14:paraId="18AE609B" w14:textId="54AFE9F7" w:rsidR="0043185D" w:rsidRDefault="0043185D" w:rsidP="0059443A">
      <w:pPr>
        <w:shd w:val="clear" w:color="auto" w:fill="FFFFFF"/>
        <w:jc w:val="both"/>
        <w:rPr>
          <w:rFonts w:asciiTheme="minorHAnsi" w:eastAsia="Times New Roman" w:hAnsiTheme="minorHAnsi" w:cstheme="minorHAnsi"/>
          <w:b/>
          <w:bCs/>
          <w:color w:val="000000"/>
          <w:lang w:val="sr-Latn-ME" w:eastAsia="en-GB"/>
        </w:rPr>
      </w:pPr>
    </w:p>
    <w:bookmarkEnd w:id="0"/>
    <w:p w14:paraId="4553D311" w14:textId="77777777" w:rsidR="0046232E" w:rsidRDefault="0046232E" w:rsidP="0046232E">
      <w:pPr>
        <w:shd w:val="clear" w:color="auto" w:fill="FFFFFF"/>
        <w:jc w:val="both"/>
        <w:rPr>
          <w:rFonts w:asciiTheme="minorHAnsi" w:eastAsia="Times New Roman" w:hAnsiTheme="minorHAnsi" w:cstheme="minorHAnsi"/>
          <w:b/>
          <w:bCs/>
          <w:color w:val="000000"/>
          <w:lang w:val="sr-Latn-ME" w:eastAsia="en-GB"/>
        </w:rPr>
      </w:pPr>
      <w:r w:rsidRPr="00E1262B">
        <w:rPr>
          <w:rFonts w:asciiTheme="minorHAnsi" w:eastAsia="Times New Roman" w:hAnsiTheme="minorHAnsi" w:cstheme="minorHAnsi"/>
          <w:b/>
          <w:bCs/>
          <w:color w:val="000000"/>
          <w:lang w:val="sr-Latn-ME" w:eastAsia="en-GB"/>
        </w:rPr>
        <w:t xml:space="preserve">Prihodi budžeta za </w:t>
      </w:r>
      <w:r>
        <w:rPr>
          <w:rFonts w:asciiTheme="minorHAnsi" w:eastAsia="Times New Roman" w:hAnsiTheme="minorHAnsi" w:cstheme="minorHAnsi"/>
          <w:b/>
          <w:bCs/>
          <w:color w:val="000000"/>
          <w:lang w:val="sr-Latn-ME" w:eastAsia="en-GB"/>
        </w:rPr>
        <w:t>jedanaest</w:t>
      </w:r>
      <w:r w:rsidRPr="00E1262B">
        <w:rPr>
          <w:rFonts w:asciiTheme="minorHAnsi" w:eastAsia="Times New Roman" w:hAnsiTheme="minorHAnsi" w:cstheme="minorHAnsi"/>
          <w:b/>
          <w:bCs/>
          <w:color w:val="000000"/>
          <w:lang w:val="sr-Latn-ME" w:eastAsia="en-GB"/>
        </w:rPr>
        <w:t xml:space="preserve"> mjeseci 2024. </w:t>
      </w:r>
      <w:bookmarkStart w:id="1" w:name="_Hlk171580505"/>
      <w:r w:rsidRPr="00E1262B">
        <w:rPr>
          <w:rFonts w:asciiTheme="minorHAnsi" w:eastAsia="Times New Roman" w:hAnsiTheme="minorHAnsi" w:cstheme="minorHAnsi"/>
          <w:b/>
          <w:bCs/>
          <w:color w:val="000000"/>
          <w:lang w:val="sr-Latn-ME" w:eastAsia="en-GB"/>
        </w:rPr>
        <w:t>godine iznosili su</w:t>
      </w:r>
      <w:r>
        <w:rPr>
          <w:rFonts w:asciiTheme="minorHAnsi" w:eastAsia="Times New Roman" w:hAnsiTheme="minorHAnsi" w:cstheme="minorHAnsi"/>
          <w:b/>
          <w:bCs/>
          <w:color w:val="000000"/>
          <w:lang w:val="sr-Latn-ME" w:eastAsia="en-GB"/>
        </w:rPr>
        <w:t xml:space="preserve"> 2,497.7 </w:t>
      </w:r>
      <w:r w:rsidRPr="00E1262B">
        <w:rPr>
          <w:rFonts w:asciiTheme="minorHAnsi" w:eastAsia="Times New Roman" w:hAnsiTheme="minorHAnsi" w:cstheme="minorHAnsi"/>
          <w:b/>
          <w:bCs/>
          <w:color w:val="000000"/>
          <w:lang w:val="sr-Latn-ME" w:eastAsia="en-GB"/>
        </w:rPr>
        <w:t>mil. €</w:t>
      </w:r>
      <w:r>
        <w:rPr>
          <w:rFonts w:asciiTheme="minorHAnsi" w:eastAsia="Times New Roman" w:hAnsiTheme="minorHAnsi" w:cstheme="minorHAnsi"/>
          <w:b/>
          <w:bCs/>
          <w:color w:val="000000"/>
          <w:lang w:val="sr-Latn-ME" w:eastAsia="en-GB"/>
        </w:rPr>
        <w:t xml:space="preserve"> ili 34,3% procijenjenog BDP-a (7,279.7 mil. €)</w:t>
      </w:r>
      <w:r w:rsidRPr="00E1262B">
        <w:rPr>
          <w:rFonts w:asciiTheme="minorHAnsi" w:eastAsia="Times New Roman" w:hAnsiTheme="minorHAnsi" w:cstheme="minorHAnsi"/>
          <w:b/>
          <w:bCs/>
          <w:color w:val="000000"/>
          <w:lang w:val="sr-Latn-ME" w:eastAsia="en-GB"/>
        </w:rPr>
        <w:t>, što je u odnosu na isti period prethodne godine veće za</w:t>
      </w:r>
      <w:r>
        <w:rPr>
          <w:rFonts w:asciiTheme="minorHAnsi" w:eastAsia="Times New Roman" w:hAnsiTheme="minorHAnsi" w:cstheme="minorHAnsi"/>
          <w:b/>
          <w:bCs/>
          <w:color w:val="000000"/>
          <w:lang w:val="sr-Latn-ME" w:eastAsia="en-GB"/>
        </w:rPr>
        <w:t xml:space="preserve"> 185,1 </w:t>
      </w:r>
      <w:r w:rsidRPr="00E1262B">
        <w:rPr>
          <w:rFonts w:asciiTheme="minorHAnsi" w:eastAsia="Times New Roman" w:hAnsiTheme="minorHAnsi" w:cstheme="minorHAnsi"/>
          <w:b/>
          <w:bCs/>
          <w:color w:val="000000"/>
          <w:lang w:val="sr-Latn-ME" w:eastAsia="en-GB"/>
        </w:rPr>
        <w:t xml:space="preserve">mil. € ili </w:t>
      </w:r>
      <w:r>
        <w:rPr>
          <w:rFonts w:asciiTheme="minorHAnsi" w:eastAsia="Times New Roman" w:hAnsiTheme="minorHAnsi" w:cstheme="minorHAnsi"/>
          <w:b/>
          <w:bCs/>
          <w:color w:val="000000"/>
          <w:lang w:val="sr-Latn-ME" w:eastAsia="en-GB"/>
        </w:rPr>
        <w:t>8</w:t>
      </w:r>
      <w:r w:rsidRPr="00E1262B">
        <w:rPr>
          <w:rFonts w:asciiTheme="minorHAnsi" w:eastAsia="Times New Roman" w:hAnsiTheme="minorHAnsi" w:cstheme="minorHAnsi"/>
          <w:b/>
          <w:bCs/>
          <w:color w:val="000000"/>
          <w:lang w:val="sr-Latn-ME" w:eastAsia="en-GB"/>
        </w:rPr>
        <w:t xml:space="preserve">%. </w:t>
      </w:r>
      <w:r>
        <w:rPr>
          <w:rFonts w:asciiTheme="minorHAnsi" w:eastAsia="Times New Roman" w:hAnsiTheme="minorHAnsi" w:cstheme="minorHAnsi"/>
          <w:b/>
          <w:bCs/>
          <w:color w:val="000000"/>
          <w:lang w:val="sr-Latn-ME" w:eastAsia="en-GB"/>
        </w:rPr>
        <w:t>U poređenju sa planom po rebalansu prihodi budžeta su veći za 7,6 mil. € ili 0,3%.</w:t>
      </w:r>
    </w:p>
    <w:p w14:paraId="3BD50D17" w14:textId="77777777" w:rsidR="0046232E" w:rsidRDefault="0046232E" w:rsidP="0046232E">
      <w:pPr>
        <w:shd w:val="clear" w:color="auto" w:fill="FFFFFF"/>
        <w:jc w:val="both"/>
        <w:rPr>
          <w:rFonts w:asciiTheme="minorHAnsi" w:eastAsia="Times New Roman" w:hAnsiTheme="minorHAnsi" w:cstheme="minorHAnsi"/>
          <w:b/>
          <w:bCs/>
          <w:color w:val="000000"/>
          <w:lang w:val="sr-Latn-ME" w:eastAsia="en-GB"/>
        </w:rPr>
      </w:pPr>
      <w:r w:rsidRPr="00E1262B">
        <w:rPr>
          <w:rFonts w:asciiTheme="minorHAnsi" w:hAnsiTheme="minorHAnsi" w:cstheme="minorHAnsi"/>
          <w:noProof/>
          <w:lang w:val="sr-Latn-ME"/>
        </w:rPr>
        <mc:AlternateContent>
          <mc:Choice Requires="wps">
            <w:drawing>
              <wp:anchor distT="0" distB="0" distL="114300" distR="114300" simplePos="0" relativeHeight="251667456" behindDoc="0" locked="0" layoutInCell="1" allowOverlap="1" wp14:anchorId="0A1576B8" wp14:editId="74781C60">
                <wp:simplePos x="0" y="0"/>
                <wp:positionH relativeFrom="margin">
                  <wp:align>left</wp:align>
                </wp:positionH>
                <wp:positionV relativeFrom="paragraph">
                  <wp:posOffset>65405</wp:posOffset>
                </wp:positionV>
                <wp:extent cx="5934075" cy="4953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5934075" cy="495300"/>
                        </a:xfrm>
                        <a:prstGeom prst="rect">
                          <a:avLst/>
                        </a:prstGeom>
                        <a:solidFill>
                          <a:srgbClr val="5B9BD5">
                            <a:lumMod val="20000"/>
                            <a:lumOff val="80000"/>
                          </a:srgbClr>
                        </a:solidFill>
                        <a:ln w="6350">
                          <a:solidFill>
                            <a:prstClr val="black"/>
                          </a:solidFill>
                        </a:ln>
                      </wps:spPr>
                      <wps:txbx>
                        <w:txbxContent>
                          <w:p w14:paraId="31131D32" w14:textId="77777777" w:rsidR="0046232E" w:rsidRPr="00753530" w:rsidRDefault="0046232E" w:rsidP="0046232E">
                            <w:pPr>
                              <w:rPr>
                                <w:b/>
                                <w:lang w:val="sr-Latn-ME"/>
                              </w:rPr>
                            </w:pPr>
                            <w:r w:rsidRPr="00753530">
                              <w:rPr>
                                <w:b/>
                                <w:lang w:val="sr-Latn-ME"/>
                              </w:rPr>
                              <w:t>Izuzimajući prihode jednokratnog karaktera, prihodi budžeta za jedanaest mjeseci 2024. godine u odnosu na posmatrani period 2023. godine veći su za</w:t>
                            </w:r>
                            <w:r>
                              <w:rPr>
                                <w:b/>
                                <w:lang w:val="sr-Latn-ME"/>
                              </w:rPr>
                              <w:t xml:space="preserve"> čak</w:t>
                            </w:r>
                            <w:r w:rsidRPr="00753530">
                              <w:rPr>
                                <w:b/>
                                <w:lang w:val="sr-Latn-ME"/>
                              </w:rPr>
                              <w:t xml:space="preserve"> 3</w:t>
                            </w:r>
                            <w:r>
                              <w:rPr>
                                <w:b/>
                                <w:lang w:val="sr-Latn-ME"/>
                              </w:rPr>
                              <w:t>31,8</w:t>
                            </w:r>
                            <w:r w:rsidRPr="00753530">
                              <w:rPr>
                                <w:b/>
                                <w:lang w:val="sr-Latn-ME"/>
                              </w:rPr>
                              <w:t xml:space="preserve"> mil. € ili 15,5%.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576B8" id="Text Box 1" o:spid="_x0000_s1027" type="#_x0000_t202" style="position:absolute;left:0;text-align:left;margin-left:0;margin-top:5.15pt;width:467.25pt;height:39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" fillcolor="#deebf7" strokeweight=".5pt">
                <v:textbox>
                  <w:txbxContent>
                    <w:p w14:paraId="31131D32" w14:textId="77777777" w:rsidR="0046232E" w:rsidRPr="00753530" w:rsidRDefault="0046232E" w:rsidP="0046232E">
                      <w:pPr>
                        <w:rPr>
                          <w:b/>
                          <w:lang w:val="sr-Latn-ME"/>
                        </w:rPr>
                      </w:pPr>
                      <w:r w:rsidRPr="00753530">
                        <w:rPr>
                          <w:b/>
                          <w:lang w:val="sr-Latn-ME"/>
                        </w:rPr>
                        <w:t>Izuzimajući prihode jednokratnog karaktera, prihodi budžeta za jedanaest mjeseci 2024. godine u odnosu na posmatrani period 2023. godine veći su za</w:t>
                      </w:r>
                      <w:r>
                        <w:rPr>
                          <w:b/>
                          <w:lang w:val="sr-Latn-ME"/>
                        </w:rPr>
                        <w:t xml:space="preserve"> čak</w:t>
                      </w:r>
                      <w:r w:rsidRPr="00753530">
                        <w:rPr>
                          <w:b/>
                          <w:lang w:val="sr-Latn-ME"/>
                        </w:rPr>
                        <w:t xml:space="preserve"> 3</w:t>
                      </w:r>
                      <w:r>
                        <w:rPr>
                          <w:b/>
                          <w:lang w:val="sr-Latn-ME"/>
                        </w:rPr>
                        <w:t>31,8</w:t>
                      </w:r>
                      <w:r w:rsidRPr="00753530">
                        <w:rPr>
                          <w:b/>
                          <w:lang w:val="sr-Latn-ME"/>
                        </w:rPr>
                        <w:t xml:space="preserve"> mil. € ili 15,5%.</w:t>
                      </w:r>
                    </w:p>
                  </w:txbxContent>
                </v:textbox>
                <w10:wrap anchorx="margin"/>
              </v:shape>
            </w:pict>
          </mc:Fallback>
        </mc:AlternateContent>
      </w:r>
    </w:p>
    <w:p w14:paraId="776403FE" w14:textId="77777777" w:rsidR="0046232E" w:rsidRDefault="0046232E" w:rsidP="0046232E">
      <w:pPr>
        <w:shd w:val="clear" w:color="auto" w:fill="FFFFFF"/>
        <w:jc w:val="both"/>
        <w:rPr>
          <w:rFonts w:asciiTheme="minorHAnsi" w:eastAsia="Times New Roman" w:hAnsiTheme="minorHAnsi" w:cstheme="minorHAnsi"/>
          <w:b/>
          <w:bCs/>
          <w:color w:val="000000"/>
          <w:lang w:val="sr-Latn-ME" w:eastAsia="en-GB"/>
        </w:rPr>
      </w:pPr>
    </w:p>
    <w:p w14:paraId="52FA22E8" w14:textId="77777777" w:rsidR="0046232E" w:rsidRDefault="0046232E" w:rsidP="0046232E">
      <w:pPr>
        <w:shd w:val="clear" w:color="auto" w:fill="FFFFFF"/>
        <w:jc w:val="both"/>
        <w:rPr>
          <w:rFonts w:asciiTheme="minorHAnsi" w:eastAsia="Times New Roman" w:hAnsiTheme="minorHAnsi" w:cstheme="minorHAnsi"/>
          <w:b/>
          <w:bCs/>
          <w:color w:val="000000"/>
          <w:lang w:val="sr-Latn-ME" w:eastAsia="en-GB"/>
        </w:rPr>
      </w:pPr>
    </w:p>
    <w:p w14:paraId="6119ED07" w14:textId="77777777" w:rsidR="0046232E" w:rsidRDefault="0046232E" w:rsidP="0046232E">
      <w:pPr>
        <w:shd w:val="clear" w:color="auto" w:fill="FFFFFF"/>
        <w:jc w:val="both"/>
        <w:rPr>
          <w:rFonts w:asciiTheme="minorHAnsi" w:eastAsia="Times New Roman" w:hAnsiTheme="minorHAnsi" w:cstheme="minorHAnsi"/>
          <w:b/>
          <w:bCs/>
          <w:color w:val="000000"/>
          <w:lang w:val="sr-Latn-ME" w:eastAsia="en-GB"/>
        </w:rPr>
      </w:pPr>
    </w:p>
    <w:p w14:paraId="3AA72213" w14:textId="77777777" w:rsidR="0046232E" w:rsidRDefault="0046232E" w:rsidP="0046232E">
      <w:pPr>
        <w:shd w:val="clear" w:color="auto" w:fill="FFFFFF"/>
        <w:jc w:val="both"/>
        <w:rPr>
          <w:rFonts w:asciiTheme="minorHAnsi" w:eastAsia="Times New Roman" w:hAnsiTheme="minorHAnsi" w:cstheme="minorHAnsi"/>
          <w:b/>
          <w:bCs/>
          <w:color w:val="000000"/>
          <w:lang w:val="sr-Latn-ME" w:eastAsia="en-GB"/>
        </w:rPr>
      </w:pPr>
      <w:r>
        <w:rPr>
          <w:rFonts w:asciiTheme="minorHAnsi" w:eastAsia="Times New Roman" w:hAnsiTheme="minorHAnsi" w:cstheme="minorHAnsi"/>
          <w:b/>
          <w:bCs/>
          <w:color w:val="000000"/>
          <w:lang w:val="sr-Latn-ME" w:eastAsia="en-GB"/>
        </w:rPr>
        <w:t>Za jedanaest mjeseci 2024. godine najznačajniji rast bilježe kategorije prihoda koji diretno zavise od ekonomske aktivnosti poput poreza na dobit pravnih lica, poreza na dohodak fizičkih lica, doprinosa, poreza na dodatu vrijednost i akciza.</w:t>
      </w:r>
    </w:p>
    <w:p w14:paraId="38D30865" w14:textId="77777777" w:rsidR="0046232E" w:rsidRDefault="0046232E" w:rsidP="0046232E">
      <w:pPr>
        <w:shd w:val="clear" w:color="auto" w:fill="FFFFFF"/>
        <w:jc w:val="both"/>
        <w:rPr>
          <w:rFonts w:asciiTheme="minorHAnsi" w:eastAsia="Times New Roman" w:hAnsiTheme="minorHAnsi" w:cstheme="minorHAnsi"/>
          <w:b/>
          <w:bCs/>
          <w:color w:val="000000"/>
          <w:lang w:val="sr-Latn-ME" w:eastAsia="en-GB"/>
        </w:rPr>
      </w:pPr>
      <w:r w:rsidRPr="007061D7">
        <w:rPr>
          <w:noProof/>
        </w:rPr>
        <w:t xml:space="preserve"> </w:t>
      </w:r>
      <w:r>
        <w:rPr>
          <w:noProof/>
        </w:rPr>
        <w:drawing>
          <wp:inline distT="0" distB="0" distL="0" distR="0" wp14:anchorId="3EE57D2B" wp14:editId="04FFC2DA">
            <wp:extent cx="5731510" cy="2697181"/>
            <wp:effectExtent l="0" t="0" r="2540" b="8255"/>
            <wp:docPr id="2" name="Chart 2">
              <a:extLst xmlns:a="http://schemas.openxmlformats.org/drawingml/2006/main">
                <a:ext uri="{FF2B5EF4-FFF2-40B4-BE49-F238E27FC236}">
                  <a16:creationId xmlns:a16="http://schemas.microsoft.com/office/drawing/2014/main" id="{98D0A0CE-877E-4AB3-A7DB-7E024CA5DA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2F5EE33" w14:textId="77777777" w:rsidR="0046232E" w:rsidRPr="00E1262B" w:rsidRDefault="0046232E" w:rsidP="0046232E">
      <w:pPr>
        <w:shd w:val="clear" w:color="auto" w:fill="FFFFFF"/>
        <w:jc w:val="both"/>
        <w:rPr>
          <w:rFonts w:asciiTheme="minorHAnsi" w:eastAsia="Times New Roman" w:hAnsiTheme="minorHAnsi" w:cstheme="minorHAnsi"/>
          <w:b/>
          <w:bCs/>
          <w:color w:val="000000"/>
          <w:lang w:val="sr-Latn-ME" w:eastAsia="en-GB"/>
        </w:rPr>
      </w:pPr>
    </w:p>
    <w:p w14:paraId="7FBFD664" w14:textId="77777777" w:rsidR="0046232E" w:rsidRDefault="0046232E" w:rsidP="0046232E">
      <w:pPr>
        <w:jc w:val="both"/>
        <w:rPr>
          <w:rFonts w:asciiTheme="minorHAnsi" w:hAnsiTheme="minorHAnsi" w:cstheme="minorHAnsi"/>
          <w:color w:val="000000"/>
          <w:lang w:val="sr-Latn-ME"/>
        </w:rPr>
      </w:pPr>
      <w:bookmarkStart w:id="2" w:name="_Hlk171580532"/>
      <w:bookmarkEnd w:id="1"/>
      <w:r>
        <w:rPr>
          <w:rFonts w:cstheme="minorHAnsi"/>
          <w:b/>
          <w:color w:val="000000"/>
          <w:lang w:val="sr-Latn-ME"/>
        </w:rPr>
        <w:t>P</w:t>
      </w:r>
      <w:r w:rsidRPr="004765B0">
        <w:rPr>
          <w:rFonts w:asciiTheme="minorHAnsi" w:hAnsiTheme="minorHAnsi" w:cstheme="minorHAnsi"/>
          <w:b/>
          <w:color w:val="000000"/>
          <w:lang w:val="sr-Latn-ME"/>
        </w:rPr>
        <w:t xml:space="preserve">orez na dobit pravnih </w:t>
      </w:r>
      <w:r w:rsidRPr="004765B0">
        <w:rPr>
          <w:rFonts w:asciiTheme="minorHAnsi" w:hAnsiTheme="minorHAnsi" w:cstheme="minorHAnsi"/>
          <w:color w:val="000000"/>
          <w:lang w:val="sr-Latn-ME"/>
        </w:rPr>
        <w:t>lica ostvaren</w:t>
      </w:r>
      <w:r>
        <w:rPr>
          <w:rFonts w:asciiTheme="minorHAnsi" w:hAnsiTheme="minorHAnsi" w:cstheme="minorHAnsi"/>
          <w:color w:val="000000"/>
          <w:lang w:val="sr-Latn-ME"/>
        </w:rPr>
        <w:t xml:space="preserve"> je</w:t>
      </w:r>
      <w:r w:rsidRPr="004765B0">
        <w:rPr>
          <w:rFonts w:asciiTheme="minorHAnsi" w:hAnsiTheme="minorHAnsi" w:cstheme="minorHAnsi"/>
          <w:color w:val="000000"/>
          <w:lang w:val="sr-Latn-ME"/>
        </w:rPr>
        <w:t xml:space="preserve"> u iznosu od 207,4 mil. €, što</w:t>
      </w:r>
      <w:r>
        <w:rPr>
          <w:rFonts w:asciiTheme="minorHAnsi" w:hAnsiTheme="minorHAnsi" w:cstheme="minorHAnsi"/>
          <w:color w:val="000000"/>
          <w:lang w:val="sr-Latn-ME"/>
        </w:rPr>
        <w:t xml:space="preserve"> predstavlja snažan rast u odnosu na posmatrani period 2023. godine, i to za</w:t>
      </w:r>
      <w:r w:rsidRPr="004765B0">
        <w:rPr>
          <w:rFonts w:cstheme="minorHAnsi"/>
          <w:color w:val="000000"/>
          <w:lang w:val="sr-Latn-ME"/>
        </w:rPr>
        <w:t xml:space="preserve"> 60,6 mil. € ili 41,3% </w:t>
      </w:r>
      <w:r w:rsidRPr="004765B0">
        <w:rPr>
          <w:rFonts w:asciiTheme="minorHAnsi" w:hAnsiTheme="minorHAnsi" w:cstheme="minorHAnsi"/>
          <w:color w:val="000000"/>
          <w:lang w:val="sr-Latn-ME"/>
        </w:rPr>
        <w:t>i 3,4 mil. € ili 1,7% v</w:t>
      </w:r>
      <w:r>
        <w:rPr>
          <w:rFonts w:asciiTheme="minorHAnsi" w:hAnsiTheme="minorHAnsi" w:cstheme="minorHAnsi"/>
          <w:color w:val="000000"/>
          <w:lang w:val="sr-Latn-ME"/>
        </w:rPr>
        <w:t>iše</w:t>
      </w:r>
      <w:r w:rsidRPr="004765B0">
        <w:rPr>
          <w:rFonts w:asciiTheme="minorHAnsi" w:hAnsiTheme="minorHAnsi" w:cstheme="minorHAnsi"/>
          <w:color w:val="000000"/>
          <w:lang w:val="sr-Latn-ME"/>
        </w:rPr>
        <w:t xml:space="preserve"> u odnosu na plan po rebalansu</w:t>
      </w:r>
      <w:r>
        <w:rPr>
          <w:rFonts w:asciiTheme="minorHAnsi" w:hAnsiTheme="minorHAnsi" w:cstheme="minorHAnsi"/>
          <w:color w:val="000000"/>
          <w:lang w:val="sr-Latn-ME"/>
        </w:rPr>
        <w:t>.</w:t>
      </w:r>
    </w:p>
    <w:p w14:paraId="7D90BF8C" w14:textId="77777777" w:rsidR="0046232E" w:rsidRPr="004765B0" w:rsidRDefault="0046232E" w:rsidP="0046232E">
      <w:pPr>
        <w:jc w:val="both"/>
        <w:rPr>
          <w:rFonts w:asciiTheme="minorHAnsi" w:hAnsiTheme="minorHAnsi" w:cstheme="minorHAnsi"/>
          <w:color w:val="000000"/>
          <w:lang w:val="sr-Latn-ME"/>
        </w:rPr>
      </w:pPr>
    </w:p>
    <w:p w14:paraId="35115C90" w14:textId="77777777" w:rsidR="0046232E" w:rsidRDefault="0046232E" w:rsidP="0046232E">
      <w:pPr>
        <w:shd w:val="clear" w:color="auto" w:fill="FFFFFF"/>
        <w:jc w:val="both"/>
        <w:rPr>
          <w:rFonts w:cstheme="minorHAnsi"/>
          <w:color w:val="000000"/>
          <w:lang w:val="sr-Latn-ME"/>
        </w:rPr>
      </w:pPr>
      <w:r w:rsidRPr="00950E54">
        <w:rPr>
          <w:rFonts w:cstheme="minorHAnsi"/>
          <w:color w:val="000000"/>
          <w:lang w:val="sr-Latn-ME"/>
        </w:rPr>
        <w:t>U istom periodu</w:t>
      </w:r>
      <w:r>
        <w:rPr>
          <w:rFonts w:cstheme="minorHAnsi"/>
          <w:b/>
          <w:color w:val="000000"/>
          <w:lang w:val="sr-Latn-ME"/>
        </w:rPr>
        <w:t xml:space="preserve"> </w:t>
      </w:r>
      <w:r w:rsidRPr="004765B0">
        <w:rPr>
          <w:rFonts w:cstheme="minorHAnsi"/>
          <w:b/>
          <w:color w:val="000000"/>
          <w:lang w:val="sr-Latn-ME"/>
        </w:rPr>
        <w:t>p</w:t>
      </w:r>
      <w:r w:rsidRPr="004765B0">
        <w:rPr>
          <w:rFonts w:asciiTheme="minorHAnsi" w:hAnsiTheme="minorHAnsi" w:cstheme="minorHAnsi"/>
          <w:b/>
          <w:color w:val="000000"/>
          <w:lang w:val="sr-Latn-ME"/>
        </w:rPr>
        <w:t>orez na dohodak fizičkih lica</w:t>
      </w:r>
      <w:r w:rsidRPr="004765B0">
        <w:rPr>
          <w:rFonts w:asciiTheme="minorHAnsi" w:hAnsiTheme="minorHAnsi" w:cstheme="minorHAnsi"/>
          <w:color w:val="000000"/>
          <w:lang w:val="sr-Latn-ME"/>
        </w:rPr>
        <w:t xml:space="preserve"> </w:t>
      </w:r>
      <w:r>
        <w:rPr>
          <w:rFonts w:asciiTheme="minorHAnsi" w:hAnsiTheme="minorHAnsi" w:cstheme="minorHAnsi"/>
          <w:color w:val="000000"/>
          <w:lang w:val="sr-Latn-ME"/>
        </w:rPr>
        <w:t>naplaćen je</w:t>
      </w:r>
      <w:r w:rsidRPr="004765B0">
        <w:rPr>
          <w:rFonts w:asciiTheme="minorHAnsi" w:hAnsiTheme="minorHAnsi" w:cstheme="minorHAnsi"/>
          <w:color w:val="000000"/>
          <w:lang w:val="sr-Latn-ME"/>
        </w:rPr>
        <w:t xml:space="preserve"> u iznosu od 75,0 mil. €, što je za</w:t>
      </w:r>
      <w:r w:rsidRPr="004765B0">
        <w:rPr>
          <w:rFonts w:cstheme="minorHAnsi"/>
          <w:color w:val="000000"/>
          <w:lang w:val="sr-Latn-ME"/>
        </w:rPr>
        <w:t xml:space="preserve"> 19,2 mil. € ili 34,5% veće u odnosu na posmatrani period 2023. godine i 1,3 </w:t>
      </w:r>
      <w:r w:rsidRPr="004765B0">
        <w:rPr>
          <w:rFonts w:asciiTheme="minorHAnsi" w:hAnsiTheme="minorHAnsi" w:cstheme="minorHAnsi"/>
          <w:color w:val="000000"/>
          <w:lang w:val="sr-Latn-ME"/>
        </w:rPr>
        <w:t>mil. € ili 1,8%</w:t>
      </w:r>
      <w:r w:rsidRPr="004765B0">
        <w:rPr>
          <w:rFonts w:cstheme="minorHAnsi"/>
          <w:color w:val="000000"/>
          <w:lang w:val="sr-Latn-ME"/>
        </w:rPr>
        <w:t xml:space="preserve"> veće u odnosu na plan po rebalansu</w:t>
      </w:r>
      <w:r>
        <w:rPr>
          <w:rFonts w:cstheme="minorHAnsi"/>
          <w:color w:val="000000"/>
          <w:lang w:val="sr-Latn-ME"/>
        </w:rPr>
        <w:t xml:space="preserve">. </w:t>
      </w:r>
    </w:p>
    <w:p w14:paraId="7618E025" w14:textId="77777777" w:rsidR="0046232E" w:rsidRPr="004765B0" w:rsidRDefault="0046232E" w:rsidP="0046232E">
      <w:pPr>
        <w:shd w:val="clear" w:color="auto" w:fill="FFFFFF"/>
        <w:jc w:val="both"/>
        <w:rPr>
          <w:rFonts w:eastAsia="Times New Roman" w:cstheme="minorHAnsi"/>
          <w:bCs/>
          <w:color w:val="000000"/>
          <w:lang w:val="sr-Latn-ME" w:eastAsia="en-GB"/>
        </w:rPr>
      </w:pPr>
    </w:p>
    <w:p w14:paraId="335BD17F" w14:textId="77777777" w:rsidR="0046232E" w:rsidRDefault="0046232E" w:rsidP="0046232E">
      <w:pPr>
        <w:shd w:val="clear" w:color="auto" w:fill="FFFFFF"/>
        <w:jc w:val="both"/>
        <w:rPr>
          <w:rFonts w:cstheme="minorHAnsi"/>
          <w:color w:val="000000"/>
          <w:lang w:val="sr-Latn-ME"/>
        </w:rPr>
      </w:pPr>
      <w:r w:rsidRPr="004765B0">
        <w:rPr>
          <w:rFonts w:cstheme="minorHAnsi"/>
          <w:color w:val="000000"/>
          <w:lang w:val="sr-Latn-ME"/>
        </w:rPr>
        <w:t>Prihodi budžeta</w:t>
      </w:r>
      <w:r>
        <w:rPr>
          <w:rFonts w:cstheme="minorHAnsi"/>
          <w:b/>
          <w:color w:val="000000"/>
          <w:lang w:val="sr-Latn-ME"/>
        </w:rPr>
        <w:t xml:space="preserve"> od d</w:t>
      </w:r>
      <w:r w:rsidRPr="004765B0">
        <w:rPr>
          <w:rFonts w:asciiTheme="minorHAnsi" w:hAnsiTheme="minorHAnsi" w:cstheme="minorHAnsi"/>
          <w:b/>
          <w:color w:val="000000"/>
          <w:lang w:val="sr-Latn-ME"/>
        </w:rPr>
        <w:t>oprinos</w:t>
      </w:r>
      <w:r>
        <w:rPr>
          <w:rFonts w:asciiTheme="minorHAnsi" w:hAnsiTheme="minorHAnsi" w:cstheme="minorHAnsi"/>
          <w:b/>
          <w:color w:val="000000"/>
          <w:lang w:val="sr-Latn-ME"/>
        </w:rPr>
        <w:t xml:space="preserve">a </w:t>
      </w:r>
      <w:r w:rsidRPr="004765B0">
        <w:rPr>
          <w:rFonts w:asciiTheme="minorHAnsi" w:hAnsiTheme="minorHAnsi" w:cstheme="minorHAnsi"/>
          <w:color w:val="000000"/>
          <w:lang w:val="sr-Latn-ME"/>
        </w:rPr>
        <w:t xml:space="preserve">su ostvareni u iznosu od 522,3 mil. € što je za 35,7 </w:t>
      </w:r>
      <w:r w:rsidRPr="004765B0">
        <w:rPr>
          <w:rFonts w:cstheme="minorHAnsi"/>
          <w:color w:val="000000"/>
          <w:lang w:val="sr-Latn-ME"/>
        </w:rPr>
        <w:t xml:space="preserve">mil. € ili 7,3% veće u odnosu na posmatrani period 2023. godine i 7,1 </w:t>
      </w:r>
      <w:r w:rsidRPr="004765B0">
        <w:rPr>
          <w:rFonts w:asciiTheme="minorHAnsi" w:hAnsiTheme="minorHAnsi" w:cstheme="minorHAnsi"/>
          <w:color w:val="000000"/>
          <w:lang w:val="sr-Latn-ME"/>
        </w:rPr>
        <w:t>mil. €, ili 1,4%</w:t>
      </w:r>
      <w:r w:rsidRPr="004765B0">
        <w:rPr>
          <w:rFonts w:cstheme="minorHAnsi"/>
          <w:color w:val="000000"/>
          <w:lang w:val="sr-Latn-ME"/>
        </w:rPr>
        <w:t xml:space="preserve"> veće u odnosu na plan po rebalansu</w:t>
      </w:r>
      <w:r>
        <w:rPr>
          <w:rFonts w:cstheme="minorHAnsi"/>
          <w:color w:val="000000"/>
          <w:lang w:val="sr-Latn-ME"/>
        </w:rPr>
        <w:t>.</w:t>
      </w:r>
    </w:p>
    <w:p w14:paraId="6480B7E5" w14:textId="77777777" w:rsidR="0046232E" w:rsidRPr="004765B0" w:rsidRDefault="0046232E" w:rsidP="0046232E">
      <w:pPr>
        <w:shd w:val="clear" w:color="auto" w:fill="FFFFFF"/>
        <w:jc w:val="both"/>
        <w:rPr>
          <w:rFonts w:eastAsia="Times New Roman" w:cstheme="minorHAnsi"/>
          <w:bCs/>
          <w:color w:val="000000"/>
          <w:lang w:val="sr-Latn-ME" w:eastAsia="en-GB"/>
        </w:rPr>
      </w:pPr>
    </w:p>
    <w:p w14:paraId="391BC653" w14:textId="77777777" w:rsidR="0046232E" w:rsidRPr="004765B0" w:rsidRDefault="0046232E" w:rsidP="0046232E">
      <w:pPr>
        <w:shd w:val="clear" w:color="auto" w:fill="FFFFFF"/>
        <w:jc w:val="both"/>
        <w:rPr>
          <w:rFonts w:asciiTheme="minorHAnsi" w:hAnsiTheme="minorHAnsi" w:cstheme="minorHAnsi"/>
          <w:lang w:val="sr-Latn-ME"/>
        </w:rPr>
      </w:pPr>
      <w:r>
        <w:rPr>
          <w:rFonts w:cstheme="minorHAnsi"/>
          <w:b/>
          <w:color w:val="000000"/>
          <w:lang w:val="sr-Latn-ME"/>
        </w:rPr>
        <w:t>P</w:t>
      </w:r>
      <w:r w:rsidRPr="004765B0">
        <w:rPr>
          <w:rFonts w:cstheme="minorHAnsi"/>
          <w:b/>
          <w:color w:val="000000"/>
          <w:lang w:val="sr-Latn-ME"/>
        </w:rPr>
        <w:t>orez na dodatu vrijednost</w:t>
      </w:r>
      <w:r w:rsidRPr="004765B0">
        <w:rPr>
          <w:rFonts w:cstheme="minorHAnsi"/>
          <w:color w:val="000000"/>
          <w:lang w:val="sr-Latn-ME"/>
        </w:rPr>
        <w:t xml:space="preserve"> ostvaren </w:t>
      </w:r>
      <w:r>
        <w:rPr>
          <w:rFonts w:cstheme="minorHAnsi"/>
          <w:color w:val="000000"/>
          <w:lang w:val="sr-Latn-ME"/>
        </w:rPr>
        <w:t xml:space="preserve">je </w:t>
      </w:r>
      <w:r w:rsidRPr="004765B0">
        <w:rPr>
          <w:rFonts w:cstheme="minorHAnsi"/>
          <w:color w:val="000000"/>
          <w:lang w:val="sr-Latn-ME"/>
        </w:rPr>
        <w:t xml:space="preserve">u iznosu od 1,111.0 mil. €, što je za </w:t>
      </w:r>
      <w:r>
        <w:rPr>
          <w:rFonts w:cstheme="minorHAnsi"/>
          <w:color w:val="000000"/>
          <w:lang w:val="sr-Latn-ME"/>
        </w:rPr>
        <w:t xml:space="preserve">čak </w:t>
      </w:r>
      <w:r w:rsidRPr="004765B0">
        <w:rPr>
          <w:rFonts w:cstheme="minorHAnsi"/>
          <w:color w:val="000000"/>
          <w:lang w:val="sr-Latn-ME"/>
        </w:rPr>
        <w:t>139,7 mil. € ili 14,4% veće u odnosu na posmatrani period 2023. godine i 10,0 mil. € ili 0,9% veće u odnosu na plan po rebalansu.</w:t>
      </w:r>
    </w:p>
    <w:p w14:paraId="79943AD6" w14:textId="77777777" w:rsidR="0046232E" w:rsidRDefault="0046232E" w:rsidP="0046232E">
      <w:pPr>
        <w:spacing w:line="259" w:lineRule="auto"/>
        <w:jc w:val="both"/>
        <w:rPr>
          <w:rFonts w:asciiTheme="minorHAnsi" w:hAnsiTheme="minorHAnsi" w:cstheme="minorHAnsi"/>
          <w:lang w:val="sr-Latn-ME"/>
        </w:rPr>
      </w:pPr>
    </w:p>
    <w:p w14:paraId="46A21808" w14:textId="77777777" w:rsidR="0046232E" w:rsidRDefault="0046232E" w:rsidP="0046232E">
      <w:pPr>
        <w:spacing w:line="259" w:lineRule="auto"/>
        <w:jc w:val="both"/>
        <w:rPr>
          <w:rFonts w:asciiTheme="minorHAnsi" w:hAnsiTheme="minorHAnsi" w:cstheme="minorHAnsi"/>
          <w:lang w:val="sr-Latn-ME"/>
        </w:rPr>
      </w:pPr>
      <w:r w:rsidRPr="002364F6">
        <w:rPr>
          <w:rFonts w:asciiTheme="minorHAnsi" w:hAnsiTheme="minorHAnsi" w:cstheme="minorHAnsi"/>
          <w:lang w:val="sr-Latn-ME"/>
        </w:rPr>
        <w:t>Povraćaj PDV-a u posmatranom periodu iznosio je</w:t>
      </w:r>
      <w:r>
        <w:rPr>
          <w:rFonts w:asciiTheme="minorHAnsi" w:hAnsiTheme="minorHAnsi" w:cstheme="minorHAnsi"/>
          <w:lang w:val="sr-Latn-ME"/>
        </w:rPr>
        <w:t xml:space="preserve"> 86,5</w:t>
      </w:r>
      <w:r w:rsidRPr="002364F6">
        <w:rPr>
          <w:rFonts w:asciiTheme="minorHAnsi" w:hAnsiTheme="minorHAnsi" w:cstheme="minorHAnsi"/>
          <w:lang w:val="sr-Latn-ME"/>
        </w:rPr>
        <w:t xml:space="preserve"> mil. €, što je </w:t>
      </w:r>
      <w:r>
        <w:rPr>
          <w:rFonts w:asciiTheme="minorHAnsi" w:hAnsiTheme="minorHAnsi" w:cstheme="minorHAnsi"/>
          <w:lang w:val="sr-Latn-ME"/>
        </w:rPr>
        <w:t xml:space="preserve">1,7 </w:t>
      </w:r>
      <w:r w:rsidRPr="002364F6">
        <w:rPr>
          <w:rFonts w:asciiTheme="minorHAnsi" w:hAnsiTheme="minorHAnsi" w:cstheme="minorHAnsi"/>
          <w:lang w:val="sr-Latn-ME"/>
        </w:rPr>
        <w:t xml:space="preserve">mil. € ili </w:t>
      </w:r>
      <w:r>
        <w:rPr>
          <w:rFonts w:asciiTheme="minorHAnsi" w:hAnsiTheme="minorHAnsi" w:cstheme="minorHAnsi"/>
          <w:lang w:val="sr-Latn-ME"/>
        </w:rPr>
        <w:t>1,9</w:t>
      </w:r>
      <w:r w:rsidRPr="002364F6">
        <w:rPr>
          <w:rFonts w:asciiTheme="minorHAnsi" w:hAnsiTheme="minorHAnsi" w:cstheme="minorHAnsi"/>
          <w:lang w:val="sr-Latn-ME"/>
        </w:rPr>
        <w:t xml:space="preserve">% više u odnosu na realizovani povraćaj PDV-a za </w:t>
      </w:r>
      <w:r>
        <w:rPr>
          <w:rFonts w:asciiTheme="minorHAnsi" w:hAnsiTheme="minorHAnsi" w:cstheme="minorHAnsi"/>
          <w:lang w:val="sr-Latn-ME"/>
        </w:rPr>
        <w:t>jedanaest</w:t>
      </w:r>
      <w:r w:rsidRPr="002364F6">
        <w:rPr>
          <w:rFonts w:asciiTheme="minorHAnsi" w:hAnsiTheme="minorHAnsi" w:cstheme="minorHAnsi"/>
          <w:lang w:val="sr-Latn-ME"/>
        </w:rPr>
        <w:t xml:space="preserve"> mjeseci 2023. godine. </w:t>
      </w:r>
    </w:p>
    <w:p w14:paraId="5380C126" w14:textId="77777777" w:rsidR="0046232E" w:rsidRPr="00E1262B" w:rsidRDefault="0046232E" w:rsidP="0046232E">
      <w:pPr>
        <w:spacing w:line="259" w:lineRule="auto"/>
        <w:jc w:val="both"/>
        <w:rPr>
          <w:rFonts w:asciiTheme="minorHAnsi" w:hAnsiTheme="minorHAnsi" w:cstheme="minorHAnsi"/>
          <w:lang w:val="sr-Latn-ME"/>
        </w:rPr>
      </w:pPr>
    </w:p>
    <w:p w14:paraId="0D7EAB45" w14:textId="77777777" w:rsidR="0046232E" w:rsidRPr="00E1262B" w:rsidRDefault="0046232E" w:rsidP="0046232E">
      <w:pPr>
        <w:shd w:val="clear" w:color="auto" w:fill="FFFFFF"/>
        <w:jc w:val="both"/>
        <w:rPr>
          <w:rFonts w:asciiTheme="minorHAnsi" w:hAnsiTheme="minorHAnsi" w:cstheme="minorHAnsi"/>
          <w:lang w:val="sr-Latn-ME"/>
        </w:rPr>
      </w:pPr>
      <w:r w:rsidRPr="00A5710A">
        <w:rPr>
          <w:rFonts w:asciiTheme="minorHAnsi" w:hAnsiTheme="minorHAnsi" w:cstheme="minorHAnsi"/>
          <w:lang w:val="sr-Latn-ME"/>
        </w:rPr>
        <w:t xml:space="preserve">Prihodi od </w:t>
      </w:r>
      <w:r w:rsidRPr="00A5710A">
        <w:rPr>
          <w:rFonts w:asciiTheme="minorHAnsi" w:hAnsiTheme="minorHAnsi" w:cstheme="minorHAnsi"/>
          <w:b/>
          <w:lang w:val="sr-Latn-ME"/>
        </w:rPr>
        <w:t>akciza</w:t>
      </w:r>
      <w:r w:rsidRPr="00A5710A">
        <w:rPr>
          <w:rFonts w:asciiTheme="minorHAnsi" w:hAnsiTheme="minorHAnsi" w:cstheme="minorHAnsi"/>
          <w:lang w:val="sr-Latn-ME"/>
        </w:rPr>
        <w:t xml:space="preserve"> u navedenom periodu iznosili su </w:t>
      </w:r>
      <w:r>
        <w:rPr>
          <w:rFonts w:asciiTheme="minorHAnsi" w:hAnsiTheme="minorHAnsi" w:cstheme="minorHAnsi"/>
          <w:lang w:val="sr-Latn-ME"/>
        </w:rPr>
        <w:t xml:space="preserve">338,0 </w:t>
      </w:r>
      <w:r w:rsidRPr="00A5710A">
        <w:rPr>
          <w:rFonts w:asciiTheme="minorHAnsi" w:hAnsiTheme="minorHAnsi" w:cstheme="minorHAnsi"/>
          <w:lang w:val="sr-Latn-ME"/>
        </w:rPr>
        <w:t xml:space="preserve">mil. €, što predstavlja </w:t>
      </w:r>
      <w:r>
        <w:rPr>
          <w:rFonts w:asciiTheme="minorHAnsi" w:hAnsiTheme="minorHAnsi" w:cstheme="minorHAnsi"/>
          <w:lang w:val="sr-Latn-ME"/>
        </w:rPr>
        <w:t xml:space="preserve">značajan </w:t>
      </w:r>
      <w:r w:rsidRPr="00A5710A">
        <w:rPr>
          <w:rFonts w:asciiTheme="minorHAnsi" w:hAnsiTheme="minorHAnsi" w:cstheme="minorHAnsi"/>
          <w:lang w:val="sr-Latn-ME"/>
        </w:rPr>
        <w:t xml:space="preserve">rast od </w:t>
      </w:r>
      <w:r>
        <w:rPr>
          <w:rFonts w:asciiTheme="minorHAnsi" w:hAnsiTheme="minorHAnsi" w:cstheme="minorHAnsi"/>
          <w:lang w:val="sr-Latn-ME"/>
        </w:rPr>
        <w:t xml:space="preserve">43,3 </w:t>
      </w:r>
      <w:r w:rsidRPr="00A5710A">
        <w:rPr>
          <w:rFonts w:asciiTheme="minorHAnsi" w:hAnsiTheme="minorHAnsi" w:cstheme="minorHAnsi"/>
          <w:lang w:val="sr-Latn-ME"/>
        </w:rPr>
        <w:t xml:space="preserve">mil. € ili </w:t>
      </w:r>
      <w:r>
        <w:rPr>
          <w:rFonts w:asciiTheme="minorHAnsi" w:hAnsiTheme="minorHAnsi" w:cstheme="minorHAnsi"/>
          <w:lang w:val="sr-Latn-ME"/>
        </w:rPr>
        <w:t>14,7</w:t>
      </w:r>
      <w:r w:rsidRPr="00A5710A">
        <w:rPr>
          <w:rFonts w:asciiTheme="minorHAnsi" w:hAnsiTheme="minorHAnsi" w:cstheme="minorHAnsi"/>
          <w:lang w:val="sr-Latn-ME"/>
        </w:rPr>
        <w:t>% u odnosu na isti period 2023. godine</w:t>
      </w:r>
      <w:r>
        <w:rPr>
          <w:rFonts w:asciiTheme="minorHAnsi" w:hAnsiTheme="minorHAnsi" w:cstheme="minorHAnsi"/>
          <w:lang w:val="sr-Latn-ME"/>
        </w:rPr>
        <w:t xml:space="preserve"> i 4,6 </w:t>
      </w:r>
      <w:r w:rsidRPr="00A5710A">
        <w:rPr>
          <w:rFonts w:asciiTheme="minorHAnsi" w:hAnsiTheme="minorHAnsi" w:cstheme="minorHAnsi"/>
          <w:lang w:val="sr-Latn-ME"/>
        </w:rPr>
        <w:t xml:space="preserve">mil. € ili </w:t>
      </w:r>
      <w:r>
        <w:rPr>
          <w:rFonts w:asciiTheme="minorHAnsi" w:hAnsiTheme="minorHAnsi" w:cstheme="minorHAnsi"/>
          <w:lang w:val="sr-Latn-ME"/>
        </w:rPr>
        <w:t>1,4</w:t>
      </w:r>
      <w:r w:rsidRPr="00A5710A">
        <w:rPr>
          <w:rFonts w:asciiTheme="minorHAnsi" w:hAnsiTheme="minorHAnsi" w:cstheme="minorHAnsi"/>
          <w:lang w:val="sr-Latn-ME"/>
        </w:rPr>
        <w:t xml:space="preserve">% u odnosu na </w:t>
      </w:r>
      <w:r>
        <w:rPr>
          <w:rFonts w:asciiTheme="minorHAnsi" w:hAnsiTheme="minorHAnsi" w:cstheme="minorHAnsi"/>
          <w:lang w:val="sr-Latn-ME"/>
        </w:rPr>
        <w:t>rebalansom planirane</w:t>
      </w:r>
      <w:r w:rsidRPr="00A5710A">
        <w:rPr>
          <w:rFonts w:asciiTheme="minorHAnsi" w:hAnsiTheme="minorHAnsi" w:cstheme="minorHAnsi"/>
          <w:lang w:val="sr-Latn-ME"/>
        </w:rPr>
        <w:t>.</w:t>
      </w:r>
      <w:r>
        <w:rPr>
          <w:rFonts w:asciiTheme="minorHAnsi" w:hAnsiTheme="minorHAnsi" w:cstheme="minorHAnsi"/>
          <w:lang w:val="sr-Latn-ME"/>
        </w:rPr>
        <w:t xml:space="preserve"> </w:t>
      </w:r>
      <w:r w:rsidRPr="00E1262B">
        <w:rPr>
          <w:rFonts w:asciiTheme="minorHAnsi" w:hAnsiTheme="minorHAnsi" w:cstheme="minorHAnsi"/>
          <w:lang w:val="sr-Latn-ME"/>
        </w:rPr>
        <w:t xml:space="preserve">Najveći doprinos rastu akciza za </w:t>
      </w:r>
      <w:r>
        <w:rPr>
          <w:rFonts w:asciiTheme="minorHAnsi" w:hAnsiTheme="minorHAnsi" w:cstheme="minorHAnsi"/>
          <w:lang w:val="sr-Latn-ME"/>
        </w:rPr>
        <w:t>jedanaest</w:t>
      </w:r>
      <w:r w:rsidRPr="00E1262B">
        <w:rPr>
          <w:rFonts w:asciiTheme="minorHAnsi" w:hAnsiTheme="minorHAnsi" w:cstheme="minorHAnsi"/>
          <w:lang w:val="sr-Latn-ME"/>
        </w:rPr>
        <w:t xml:space="preserve"> mjeseci 2024. godine zabilježen je</w:t>
      </w:r>
      <w:r>
        <w:rPr>
          <w:rFonts w:asciiTheme="minorHAnsi" w:hAnsiTheme="minorHAnsi" w:cstheme="minorHAnsi"/>
          <w:lang w:val="sr-Latn-ME"/>
        </w:rPr>
        <w:t>, kao i obično,</w:t>
      </w:r>
      <w:r w:rsidRPr="00E1262B">
        <w:rPr>
          <w:rFonts w:asciiTheme="minorHAnsi" w:hAnsiTheme="minorHAnsi" w:cstheme="minorHAnsi"/>
          <w:lang w:val="sr-Latn-ME"/>
        </w:rPr>
        <w:t xml:space="preserve"> kod:</w:t>
      </w:r>
    </w:p>
    <w:p w14:paraId="4F7D2F16" w14:textId="77777777" w:rsidR="0046232E" w:rsidRPr="00E1262B" w:rsidRDefault="0046232E" w:rsidP="0046232E">
      <w:pPr>
        <w:spacing w:line="259" w:lineRule="auto"/>
        <w:jc w:val="both"/>
        <w:rPr>
          <w:rFonts w:asciiTheme="minorHAnsi" w:hAnsiTheme="minorHAnsi" w:cstheme="minorHAnsi"/>
          <w:sz w:val="8"/>
          <w:szCs w:val="8"/>
          <w:lang w:val="sr-Latn-ME"/>
        </w:rPr>
      </w:pPr>
    </w:p>
    <w:p w14:paraId="1084419A" w14:textId="77777777" w:rsidR="0046232E" w:rsidRPr="00E1262B" w:rsidRDefault="0046232E" w:rsidP="0046232E">
      <w:pPr>
        <w:spacing w:line="259" w:lineRule="auto"/>
        <w:jc w:val="both"/>
        <w:rPr>
          <w:rFonts w:asciiTheme="minorHAnsi" w:hAnsiTheme="minorHAnsi" w:cstheme="minorHAnsi"/>
          <w:lang w:val="sr-Latn-ME"/>
        </w:rPr>
      </w:pPr>
      <w:r w:rsidRPr="00E1262B">
        <w:rPr>
          <w:rFonts w:asciiTheme="minorHAnsi" w:hAnsiTheme="minorHAnsi" w:cstheme="minorHAnsi"/>
          <w:lang w:val="sr-Latn-ME"/>
        </w:rPr>
        <w:t>- akcize na mineralna ulja i njihove derivate, i to u iznosu od</w:t>
      </w:r>
      <w:r>
        <w:rPr>
          <w:rFonts w:asciiTheme="minorHAnsi" w:hAnsiTheme="minorHAnsi" w:cstheme="minorHAnsi"/>
          <w:lang w:val="sr-Latn-ME"/>
        </w:rPr>
        <w:t xml:space="preserve"> 182,5 </w:t>
      </w:r>
      <w:r w:rsidRPr="00E1262B">
        <w:rPr>
          <w:rFonts w:asciiTheme="minorHAnsi" w:hAnsiTheme="minorHAnsi" w:cstheme="minorHAnsi"/>
          <w:lang w:val="sr-Latn-ME"/>
        </w:rPr>
        <w:t xml:space="preserve">mil. €, što je za </w:t>
      </w:r>
      <w:r>
        <w:rPr>
          <w:rFonts w:asciiTheme="minorHAnsi" w:hAnsiTheme="minorHAnsi" w:cstheme="minorHAnsi"/>
          <w:lang w:val="sr-Latn-ME"/>
        </w:rPr>
        <w:t xml:space="preserve">17,4 </w:t>
      </w:r>
      <w:r w:rsidRPr="00E1262B">
        <w:rPr>
          <w:rFonts w:asciiTheme="minorHAnsi" w:hAnsiTheme="minorHAnsi" w:cstheme="minorHAnsi"/>
          <w:lang w:val="sr-Latn-ME"/>
        </w:rPr>
        <w:t xml:space="preserve">mil. € ili </w:t>
      </w:r>
      <w:r>
        <w:rPr>
          <w:rFonts w:asciiTheme="minorHAnsi" w:hAnsiTheme="minorHAnsi" w:cstheme="minorHAnsi"/>
          <w:lang w:val="sr-Latn-ME"/>
        </w:rPr>
        <w:t>10,5</w:t>
      </w:r>
      <w:r w:rsidRPr="00E1262B">
        <w:rPr>
          <w:rFonts w:asciiTheme="minorHAnsi" w:hAnsiTheme="minorHAnsi" w:cstheme="minorHAnsi"/>
          <w:lang w:val="sr-Latn-ME"/>
        </w:rPr>
        <w:t>% veće u odnosu na isti period prethodne godine;</w:t>
      </w:r>
    </w:p>
    <w:p w14:paraId="3CD565EC" w14:textId="77777777" w:rsidR="0046232E" w:rsidRDefault="0046232E" w:rsidP="0046232E">
      <w:pPr>
        <w:spacing w:line="259" w:lineRule="auto"/>
        <w:jc w:val="both"/>
        <w:rPr>
          <w:rFonts w:asciiTheme="minorHAnsi" w:hAnsiTheme="minorHAnsi" w:cstheme="minorHAnsi"/>
          <w:lang w:val="sr-Latn-ME"/>
        </w:rPr>
      </w:pPr>
      <w:r w:rsidRPr="00E1262B">
        <w:rPr>
          <w:rFonts w:asciiTheme="minorHAnsi" w:hAnsiTheme="minorHAnsi" w:cstheme="minorHAnsi"/>
          <w:lang w:val="sr-Latn-ME"/>
        </w:rPr>
        <w:t>- akcize na duvan i duvanske proizvode, i to u iznosu od</w:t>
      </w:r>
      <w:r>
        <w:rPr>
          <w:rFonts w:asciiTheme="minorHAnsi" w:hAnsiTheme="minorHAnsi" w:cstheme="minorHAnsi"/>
          <w:lang w:val="sr-Latn-ME"/>
        </w:rPr>
        <w:t xml:space="preserve"> 108,4 </w:t>
      </w:r>
      <w:r w:rsidRPr="00E1262B">
        <w:rPr>
          <w:rFonts w:asciiTheme="minorHAnsi" w:hAnsiTheme="minorHAnsi" w:cstheme="minorHAnsi"/>
          <w:lang w:val="sr-Latn-ME"/>
        </w:rPr>
        <w:t xml:space="preserve">mil. €, što je za </w:t>
      </w:r>
      <w:r>
        <w:rPr>
          <w:rFonts w:asciiTheme="minorHAnsi" w:hAnsiTheme="minorHAnsi" w:cstheme="minorHAnsi"/>
          <w:lang w:val="sr-Latn-ME"/>
        </w:rPr>
        <w:t xml:space="preserve">19,0 </w:t>
      </w:r>
      <w:r w:rsidRPr="00E1262B">
        <w:rPr>
          <w:rFonts w:asciiTheme="minorHAnsi" w:hAnsiTheme="minorHAnsi" w:cstheme="minorHAnsi"/>
          <w:lang w:val="sr-Latn-ME"/>
        </w:rPr>
        <w:t xml:space="preserve">mil. € ili </w:t>
      </w:r>
      <w:r>
        <w:rPr>
          <w:rFonts w:asciiTheme="minorHAnsi" w:hAnsiTheme="minorHAnsi" w:cstheme="minorHAnsi"/>
          <w:lang w:val="sr-Latn-ME"/>
        </w:rPr>
        <w:t>21,3</w:t>
      </w:r>
      <w:r w:rsidRPr="00E1262B">
        <w:rPr>
          <w:rFonts w:asciiTheme="minorHAnsi" w:hAnsiTheme="minorHAnsi" w:cstheme="minorHAnsi"/>
          <w:lang w:val="sr-Latn-ME"/>
        </w:rPr>
        <w:t>% veće u odnosu na isti period prethodne godine</w:t>
      </w:r>
      <w:r>
        <w:rPr>
          <w:rFonts w:asciiTheme="minorHAnsi" w:hAnsiTheme="minorHAnsi" w:cstheme="minorHAnsi"/>
          <w:lang w:val="sr-Latn-ME"/>
        </w:rPr>
        <w:t>.</w:t>
      </w:r>
    </w:p>
    <w:bookmarkEnd w:id="2"/>
    <w:p w14:paraId="61B3D251" w14:textId="77777777" w:rsidR="0046232E" w:rsidRPr="00E1262B" w:rsidRDefault="0046232E" w:rsidP="0046232E">
      <w:pPr>
        <w:spacing w:line="259" w:lineRule="auto"/>
        <w:jc w:val="both"/>
        <w:rPr>
          <w:rFonts w:asciiTheme="minorHAnsi" w:hAnsiTheme="minorHAnsi" w:cstheme="minorHAnsi"/>
          <w:lang w:val="sr-Latn-ME"/>
        </w:rPr>
      </w:pPr>
    </w:p>
    <w:p w14:paraId="4A98677C" w14:textId="77777777" w:rsidR="0046232E" w:rsidRPr="00E1262B" w:rsidRDefault="0046232E" w:rsidP="0046232E">
      <w:pPr>
        <w:spacing w:after="160" w:line="259" w:lineRule="auto"/>
        <w:jc w:val="both"/>
        <w:rPr>
          <w:rFonts w:asciiTheme="minorHAnsi" w:hAnsiTheme="minorHAnsi" w:cstheme="minorHAnsi"/>
          <w:b/>
          <w:lang w:val="sr-Latn-ME"/>
        </w:rPr>
      </w:pPr>
      <w:r w:rsidRPr="00E1262B">
        <w:rPr>
          <w:rFonts w:asciiTheme="minorHAnsi" w:hAnsiTheme="minorHAnsi" w:cstheme="minorHAnsi"/>
          <w:b/>
          <w:lang w:val="sr-Latn-ME"/>
        </w:rPr>
        <w:t>Uporedni pregled jednokratnih prihoda u periodu januar-</w:t>
      </w:r>
      <w:r>
        <w:rPr>
          <w:rFonts w:asciiTheme="minorHAnsi" w:hAnsiTheme="minorHAnsi" w:cstheme="minorHAnsi"/>
          <w:b/>
          <w:lang w:val="sr-Latn-ME"/>
        </w:rPr>
        <w:t>novembar</w:t>
      </w:r>
      <w:r w:rsidRPr="00E1262B">
        <w:rPr>
          <w:rFonts w:asciiTheme="minorHAnsi" w:hAnsiTheme="minorHAnsi" w:cstheme="minorHAnsi"/>
          <w:b/>
          <w:lang w:val="sr-Latn-ME"/>
        </w:rPr>
        <w:t>:</w:t>
      </w:r>
    </w:p>
    <w:tbl>
      <w:tblPr>
        <w:tblW w:w="9260" w:type="dxa"/>
        <w:tblLook w:val="04A0" w:firstRow="1" w:lastRow="0" w:firstColumn="1" w:lastColumn="0" w:noHBand="0" w:noVBand="1"/>
      </w:tblPr>
      <w:tblGrid>
        <w:gridCol w:w="4670"/>
        <w:gridCol w:w="2250"/>
        <w:gridCol w:w="2340"/>
      </w:tblGrid>
      <w:tr w:rsidR="0046232E" w:rsidRPr="000574E3" w14:paraId="57FC99E1" w14:textId="77777777" w:rsidTr="00E72875">
        <w:trPr>
          <w:trHeight w:val="615"/>
        </w:trPr>
        <w:tc>
          <w:tcPr>
            <w:tcW w:w="46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3C6D5C4" w14:textId="77777777" w:rsidR="0046232E" w:rsidRPr="000574E3" w:rsidRDefault="0046232E" w:rsidP="00E72875">
            <w:pPr>
              <w:jc w:val="both"/>
              <w:rPr>
                <w:rFonts w:eastAsia="Times New Roman"/>
                <w:b/>
                <w:bCs/>
                <w:color w:val="000000"/>
                <w:sz w:val="20"/>
                <w:szCs w:val="20"/>
                <w:lang w:val="sr-Latn-ME"/>
              </w:rPr>
            </w:pPr>
            <w:r w:rsidRPr="000574E3">
              <w:rPr>
                <w:rFonts w:eastAsia="Times New Roman"/>
                <w:b/>
                <w:bCs/>
                <w:color w:val="000000"/>
                <w:sz w:val="20"/>
                <w:szCs w:val="20"/>
                <w:lang w:val="sr-Latn-ME"/>
              </w:rPr>
              <w:t xml:space="preserve">Jednokratni prihodi </w:t>
            </w:r>
          </w:p>
        </w:tc>
        <w:tc>
          <w:tcPr>
            <w:tcW w:w="2250" w:type="dxa"/>
            <w:tcBorders>
              <w:top w:val="single" w:sz="8" w:space="0" w:color="auto"/>
              <w:left w:val="nil"/>
              <w:bottom w:val="nil"/>
              <w:right w:val="single" w:sz="8" w:space="0" w:color="auto"/>
            </w:tcBorders>
            <w:shd w:val="clear" w:color="auto" w:fill="auto"/>
            <w:noWrap/>
            <w:vAlign w:val="center"/>
            <w:hideMark/>
          </w:tcPr>
          <w:p w14:paraId="0E039241" w14:textId="77777777" w:rsidR="0046232E" w:rsidRPr="000574E3" w:rsidRDefault="0046232E" w:rsidP="00E72875">
            <w:pPr>
              <w:jc w:val="both"/>
              <w:rPr>
                <w:rFonts w:eastAsia="Times New Roman"/>
                <w:b/>
                <w:bCs/>
                <w:color w:val="000000"/>
                <w:sz w:val="20"/>
                <w:szCs w:val="20"/>
                <w:lang w:val="sr-Latn-ME"/>
              </w:rPr>
            </w:pPr>
            <w:r w:rsidRPr="000574E3">
              <w:rPr>
                <w:rFonts w:eastAsia="Times New Roman"/>
                <w:b/>
                <w:bCs/>
                <w:color w:val="000000"/>
                <w:sz w:val="20"/>
                <w:szCs w:val="20"/>
                <w:lang w:val="sr-Latn-ME"/>
              </w:rPr>
              <w:t xml:space="preserve">Januar – </w:t>
            </w:r>
            <w:r>
              <w:rPr>
                <w:rFonts w:eastAsia="Times New Roman"/>
                <w:b/>
                <w:bCs/>
                <w:color w:val="000000"/>
                <w:sz w:val="20"/>
                <w:szCs w:val="20"/>
                <w:lang w:val="sr-Latn-ME"/>
              </w:rPr>
              <w:t>novembar</w:t>
            </w:r>
            <w:r w:rsidRPr="000574E3">
              <w:rPr>
                <w:rFonts w:eastAsia="Times New Roman"/>
                <w:b/>
                <w:bCs/>
                <w:color w:val="000000"/>
                <w:sz w:val="20"/>
                <w:szCs w:val="20"/>
                <w:lang w:val="sr-Latn-ME"/>
              </w:rPr>
              <w:t xml:space="preserve"> 2023</w:t>
            </w:r>
          </w:p>
        </w:tc>
        <w:tc>
          <w:tcPr>
            <w:tcW w:w="2340" w:type="dxa"/>
            <w:tcBorders>
              <w:top w:val="single" w:sz="8" w:space="0" w:color="auto"/>
              <w:left w:val="nil"/>
              <w:bottom w:val="nil"/>
              <w:right w:val="single" w:sz="8" w:space="0" w:color="auto"/>
            </w:tcBorders>
            <w:shd w:val="clear" w:color="auto" w:fill="auto"/>
            <w:noWrap/>
            <w:vAlign w:val="center"/>
            <w:hideMark/>
          </w:tcPr>
          <w:p w14:paraId="3A0E771E" w14:textId="77777777" w:rsidR="0046232E" w:rsidRPr="000574E3" w:rsidRDefault="0046232E" w:rsidP="00E72875">
            <w:pPr>
              <w:jc w:val="both"/>
              <w:rPr>
                <w:rFonts w:eastAsia="Times New Roman"/>
                <w:b/>
                <w:bCs/>
                <w:color w:val="000000"/>
                <w:sz w:val="20"/>
                <w:szCs w:val="20"/>
                <w:lang w:val="sr-Latn-ME"/>
              </w:rPr>
            </w:pPr>
            <w:r w:rsidRPr="000574E3">
              <w:rPr>
                <w:rFonts w:eastAsia="Times New Roman"/>
                <w:b/>
                <w:bCs/>
                <w:color w:val="000000"/>
                <w:sz w:val="20"/>
                <w:szCs w:val="20"/>
                <w:lang w:val="sr-Latn-ME"/>
              </w:rPr>
              <w:t xml:space="preserve">Januar – </w:t>
            </w:r>
            <w:r>
              <w:rPr>
                <w:rFonts w:eastAsia="Times New Roman"/>
                <w:b/>
                <w:bCs/>
                <w:color w:val="000000"/>
                <w:sz w:val="20"/>
                <w:szCs w:val="20"/>
                <w:lang w:val="sr-Latn-ME"/>
              </w:rPr>
              <w:t xml:space="preserve">novembar </w:t>
            </w:r>
            <w:r w:rsidRPr="000574E3">
              <w:rPr>
                <w:rFonts w:eastAsia="Times New Roman"/>
                <w:b/>
                <w:bCs/>
                <w:color w:val="000000"/>
                <w:sz w:val="20"/>
                <w:szCs w:val="20"/>
                <w:lang w:val="sr-Latn-ME"/>
              </w:rPr>
              <w:t>2024</w:t>
            </w:r>
          </w:p>
        </w:tc>
      </w:tr>
      <w:tr w:rsidR="0046232E" w:rsidRPr="000574E3" w14:paraId="429EF342" w14:textId="77777777" w:rsidTr="00E72875">
        <w:trPr>
          <w:trHeight w:val="340"/>
        </w:trPr>
        <w:tc>
          <w:tcPr>
            <w:tcW w:w="4670" w:type="dxa"/>
            <w:tcBorders>
              <w:top w:val="nil"/>
              <w:left w:val="single" w:sz="8" w:space="0" w:color="auto"/>
              <w:bottom w:val="single" w:sz="8" w:space="0" w:color="auto"/>
              <w:right w:val="nil"/>
            </w:tcBorders>
            <w:shd w:val="clear" w:color="auto" w:fill="auto"/>
            <w:vAlign w:val="center"/>
            <w:hideMark/>
          </w:tcPr>
          <w:p w14:paraId="10A840BB" w14:textId="77777777" w:rsidR="0046232E" w:rsidRPr="000574E3" w:rsidRDefault="0046232E" w:rsidP="00E72875">
            <w:pPr>
              <w:jc w:val="both"/>
              <w:rPr>
                <w:rFonts w:eastAsia="Times New Roman"/>
                <w:color w:val="000000"/>
                <w:sz w:val="20"/>
                <w:szCs w:val="20"/>
                <w:lang w:val="sr-Latn-ME"/>
              </w:rPr>
            </w:pPr>
            <w:r w:rsidRPr="000574E3">
              <w:rPr>
                <w:rFonts w:eastAsia="Times New Roman"/>
                <w:color w:val="000000"/>
                <w:sz w:val="20"/>
                <w:szCs w:val="20"/>
                <w:lang w:val="sr-Latn-ME"/>
              </w:rPr>
              <w:t xml:space="preserve">Ekonomsko državljanstvo </w:t>
            </w:r>
          </w:p>
        </w:tc>
        <w:tc>
          <w:tcPr>
            <w:tcW w:w="225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1C8004E" w14:textId="77777777" w:rsidR="0046232E" w:rsidRPr="000574E3" w:rsidRDefault="0046232E" w:rsidP="00E72875">
            <w:pPr>
              <w:jc w:val="right"/>
              <w:rPr>
                <w:rFonts w:eastAsia="Times New Roman"/>
                <w:b/>
                <w:bCs/>
                <w:sz w:val="20"/>
                <w:szCs w:val="20"/>
                <w:lang w:val="sr-Latn-ME"/>
              </w:rPr>
            </w:pPr>
            <w:r>
              <w:rPr>
                <w:rFonts w:eastAsia="Times New Roman"/>
                <w:b/>
                <w:bCs/>
                <w:sz w:val="20"/>
                <w:szCs w:val="20"/>
                <w:lang w:val="sr-Latn-ME"/>
              </w:rPr>
              <w:t>65.7</w:t>
            </w:r>
          </w:p>
        </w:tc>
        <w:tc>
          <w:tcPr>
            <w:tcW w:w="2340" w:type="dxa"/>
            <w:tcBorders>
              <w:top w:val="single" w:sz="8" w:space="0" w:color="auto"/>
              <w:left w:val="nil"/>
              <w:bottom w:val="single" w:sz="8" w:space="0" w:color="auto"/>
              <w:right w:val="single" w:sz="8" w:space="0" w:color="auto"/>
            </w:tcBorders>
            <w:shd w:val="clear" w:color="auto" w:fill="auto"/>
            <w:noWrap/>
            <w:vAlign w:val="bottom"/>
            <w:hideMark/>
          </w:tcPr>
          <w:p w14:paraId="10C076EC" w14:textId="77777777" w:rsidR="0046232E" w:rsidRPr="000574E3" w:rsidRDefault="0046232E" w:rsidP="00E72875">
            <w:pPr>
              <w:jc w:val="right"/>
              <w:rPr>
                <w:rFonts w:eastAsia="Times New Roman"/>
                <w:b/>
                <w:bCs/>
                <w:sz w:val="20"/>
                <w:szCs w:val="20"/>
                <w:lang w:val="sr-Latn-ME"/>
              </w:rPr>
            </w:pPr>
            <w:r w:rsidRPr="000574E3">
              <w:rPr>
                <w:rFonts w:eastAsia="Times New Roman"/>
                <w:b/>
                <w:bCs/>
                <w:sz w:val="20"/>
                <w:szCs w:val="20"/>
                <w:lang w:val="sr-Latn-ME"/>
              </w:rPr>
              <w:t>21.70</w:t>
            </w:r>
          </w:p>
        </w:tc>
      </w:tr>
      <w:tr w:rsidR="0046232E" w:rsidRPr="000574E3" w14:paraId="6E01C1B5" w14:textId="77777777" w:rsidTr="00E72875">
        <w:trPr>
          <w:trHeight w:val="315"/>
        </w:trPr>
        <w:tc>
          <w:tcPr>
            <w:tcW w:w="4670" w:type="dxa"/>
            <w:tcBorders>
              <w:top w:val="nil"/>
              <w:left w:val="single" w:sz="8" w:space="0" w:color="auto"/>
              <w:bottom w:val="single" w:sz="8" w:space="0" w:color="auto"/>
              <w:right w:val="nil"/>
            </w:tcBorders>
            <w:shd w:val="clear" w:color="auto" w:fill="auto"/>
            <w:vAlign w:val="center"/>
            <w:hideMark/>
          </w:tcPr>
          <w:p w14:paraId="66E6F54E" w14:textId="77777777" w:rsidR="0046232E" w:rsidRPr="000574E3" w:rsidRDefault="0046232E" w:rsidP="00E72875">
            <w:pPr>
              <w:jc w:val="both"/>
              <w:rPr>
                <w:rFonts w:eastAsia="Times New Roman"/>
                <w:color w:val="000000"/>
                <w:sz w:val="20"/>
                <w:szCs w:val="20"/>
                <w:lang w:val="sr-Latn-ME"/>
              </w:rPr>
            </w:pPr>
            <w:r w:rsidRPr="000574E3">
              <w:rPr>
                <w:rFonts w:eastAsia="Times New Roman"/>
                <w:color w:val="000000"/>
                <w:sz w:val="20"/>
                <w:szCs w:val="20"/>
                <w:lang w:val="sr-Latn-ME"/>
              </w:rPr>
              <w:t xml:space="preserve">Dodjela radio – 5G frekvencije </w:t>
            </w:r>
          </w:p>
        </w:tc>
        <w:tc>
          <w:tcPr>
            <w:tcW w:w="2250" w:type="dxa"/>
            <w:tcBorders>
              <w:top w:val="nil"/>
              <w:left w:val="single" w:sz="8" w:space="0" w:color="auto"/>
              <w:bottom w:val="single" w:sz="8" w:space="0" w:color="auto"/>
              <w:right w:val="single" w:sz="4" w:space="0" w:color="auto"/>
            </w:tcBorders>
            <w:shd w:val="clear" w:color="auto" w:fill="auto"/>
            <w:noWrap/>
            <w:vAlign w:val="bottom"/>
            <w:hideMark/>
          </w:tcPr>
          <w:p w14:paraId="455D925E" w14:textId="77777777" w:rsidR="0046232E" w:rsidRPr="000574E3" w:rsidRDefault="0046232E" w:rsidP="00E72875">
            <w:pPr>
              <w:jc w:val="right"/>
              <w:rPr>
                <w:rFonts w:eastAsia="Times New Roman"/>
                <w:b/>
                <w:bCs/>
                <w:sz w:val="20"/>
                <w:szCs w:val="20"/>
                <w:lang w:val="sr-Latn-ME"/>
              </w:rPr>
            </w:pPr>
            <w:r w:rsidRPr="000574E3">
              <w:rPr>
                <w:rFonts w:eastAsia="Times New Roman"/>
                <w:b/>
                <w:bCs/>
                <w:sz w:val="20"/>
                <w:szCs w:val="20"/>
                <w:lang w:val="sr-Latn-ME"/>
              </w:rPr>
              <w:t>8.84</w:t>
            </w:r>
          </w:p>
        </w:tc>
        <w:tc>
          <w:tcPr>
            <w:tcW w:w="2340" w:type="dxa"/>
            <w:tcBorders>
              <w:top w:val="nil"/>
              <w:left w:val="nil"/>
              <w:bottom w:val="single" w:sz="8" w:space="0" w:color="auto"/>
              <w:right w:val="single" w:sz="8" w:space="0" w:color="auto"/>
            </w:tcBorders>
            <w:shd w:val="clear" w:color="auto" w:fill="auto"/>
            <w:noWrap/>
            <w:vAlign w:val="bottom"/>
            <w:hideMark/>
          </w:tcPr>
          <w:p w14:paraId="31C5029B" w14:textId="77777777" w:rsidR="0046232E" w:rsidRPr="000574E3" w:rsidRDefault="0046232E" w:rsidP="00E72875">
            <w:pPr>
              <w:jc w:val="right"/>
              <w:rPr>
                <w:rFonts w:eastAsia="Times New Roman"/>
                <w:b/>
                <w:bCs/>
                <w:sz w:val="20"/>
                <w:szCs w:val="20"/>
                <w:lang w:val="sr-Latn-ME"/>
              </w:rPr>
            </w:pPr>
            <w:r w:rsidRPr="000574E3">
              <w:rPr>
                <w:rFonts w:eastAsia="Times New Roman"/>
                <w:b/>
                <w:bCs/>
                <w:sz w:val="20"/>
                <w:szCs w:val="20"/>
                <w:lang w:val="sr-Latn-ME"/>
              </w:rPr>
              <w:t> </w:t>
            </w:r>
          </w:p>
        </w:tc>
      </w:tr>
      <w:tr w:rsidR="0046232E" w:rsidRPr="000574E3" w14:paraId="45333E78" w14:textId="77777777" w:rsidTr="00E72875">
        <w:trPr>
          <w:trHeight w:val="268"/>
        </w:trPr>
        <w:tc>
          <w:tcPr>
            <w:tcW w:w="4670" w:type="dxa"/>
            <w:tcBorders>
              <w:top w:val="nil"/>
              <w:left w:val="single" w:sz="8" w:space="0" w:color="auto"/>
              <w:bottom w:val="single" w:sz="8" w:space="0" w:color="auto"/>
              <w:right w:val="nil"/>
            </w:tcBorders>
            <w:shd w:val="clear" w:color="auto" w:fill="auto"/>
            <w:vAlign w:val="center"/>
            <w:hideMark/>
          </w:tcPr>
          <w:p w14:paraId="54712EF2" w14:textId="77777777" w:rsidR="0046232E" w:rsidRPr="000574E3" w:rsidRDefault="0046232E" w:rsidP="00E72875">
            <w:pPr>
              <w:jc w:val="both"/>
              <w:rPr>
                <w:rFonts w:eastAsia="Times New Roman"/>
                <w:color w:val="000000"/>
                <w:sz w:val="20"/>
                <w:szCs w:val="20"/>
                <w:lang w:val="sr-Latn-ME"/>
              </w:rPr>
            </w:pPr>
            <w:r w:rsidRPr="000574E3">
              <w:rPr>
                <w:rFonts w:eastAsia="Times New Roman"/>
                <w:color w:val="000000"/>
                <w:sz w:val="20"/>
                <w:szCs w:val="20"/>
                <w:lang w:val="sr-Latn-ME"/>
              </w:rPr>
              <w:t xml:space="preserve">Direktna budžetska podrška za energetsku efikasnost  </w:t>
            </w:r>
          </w:p>
        </w:tc>
        <w:tc>
          <w:tcPr>
            <w:tcW w:w="2250" w:type="dxa"/>
            <w:tcBorders>
              <w:top w:val="nil"/>
              <w:left w:val="single" w:sz="8" w:space="0" w:color="auto"/>
              <w:bottom w:val="single" w:sz="8" w:space="0" w:color="auto"/>
              <w:right w:val="single" w:sz="4" w:space="0" w:color="auto"/>
            </w:tcBorders>
            <w:shd w:val="clear" w:color="auto" w:fill="auto"/>
            <w:noWrap/>
            <w:vAlign w:val="bottom"/>
            <w:hideMark/>
          </w:tcPr>
          <w:p w14:paraId="1522CCDD" w14:textId="77777777" w:rsidR="0046232E" w:rsidRPr="000574E3" w:rsidRDefault="0046232E" w:rsidP="00E72875">
            <w:pPr>
              <w:jc w:val="right"/>
              <w:rPr>
                <w:rFonts w:eastAsia="Times New Roman"/>
                <w:b/>
                <w:bCs/>
                <w:sz w:val="20"/>
                <w:szCs w:val="20"/>
                <w:lang w:val="sr-Latn-ME"/>
              </w:rPr>
            </w:pPr>
            <w:r w:rsidRPr="000574E3">
              <w:rPr>
                <w:rFonts w:eastAsia="Times New Roman"/>
                <w:b/>
                <w:bCs/>
                <w:sz w:val="20"/>
                <w:szCs w:val="20"/>
                <w:lang w:val="sr-Latn-ME"/>
              </w:rPr>
              <w:t>27.00</w:t>
            </w:r>
          </w:p>
        </w:tc>
        <w:tc>
          <w:tcPr>
            <w:tcW w:w="2340" w:type="dxa"/>
            <w:tcBorders>
              <w:top w:val="nil"/>
              <w:left w:val="nil"/>
              <w:bottom w:val="single" w:sz="8" w:space="0" w:color="auto"/>
              <w:right w:val="single" w:sz="8" w:space="0" w:color="auto"/>
            </w:tcBorders>
            <w:shd w:val="clear" w:color="auto" w:fill="auto"/>
            <w:noWrap/>
            <w:vAlign w:val="bottom"/>
            <w:hideMark/>
          </w:tcPr>
          <w:p w14:paraId="7319F0AE" w14:textId="77777777" w:rsidR="0046232E" w:rsidRPr="000574E3" w:rsidRDefault="0046232E" w:rsidP="00E72875">
            <w:pPr>
              <w:jc w:val="right"/>
              <w:rPr>
                <w:rFonts w:eastAsia="Times New Roman"/>
                <w:b/>
                <w:bCs/>
                <w:sz w:val="20"/>
                <w:szCs w:val="20"/>
                <w:lang w:val="sr-Latn-ME"/>
              </w:rPr>
            </w:pPr>
            <w:r w:rsidRPr="000574E3">
              <w:rPr>
                <w:rFonts w:eastAsia="Times New Roman"/>
                <w:b/>
                <w:bCs/>
                <w:sz w:val="20"/>
                <w:szCs w:val="20"/>
                <w:lang w:val="sr-Latn-ME"/>
              </w:rPr>
              <w:t> </w:t>
            </w:r>
          </w:p>
        </w:tc>
      </w:tr>
      <w:tr w:rsidR="0046232E" w:rsidRPr="000574E3" w14:paraId="1F62C82A" w14:textId="77777777" w:rsidTr="00E72875">
        <w:trPr>
          <w:trHeight w:val="340"/>
        </w:trPr>
        <w:tc>
          <w:tcPr>
            <w:tcW w:w="4670" w:type="dxa"/>
            <w:tcBorders>
              <w:top w:val="nil"/>
              <w:left w:val="single" w:sz="8" w:space="0" w:color="auto"/>
              <w:bottom w:val="single" w:sz="8" w:space="0" w:color="auto"/>
              <w:right w:val="nil"/>
            </w:tcBorders>
            <w:shd w:val="clear" w:color="auto" w:fill="auto"/>
            <w:vAlign w:val="center"/>
            <w:hideMark/>
          </w:tcPr>
          <w:p w14:paraId="59F053CA" w14:textId="77777777" w:rsidR="0046232E" w:rsidRPr="000574E3" w:rsidRDefault="0046232E" w:rsidP="00E72875">
            <w:pPr>
              <w:jc w:val="both"/>
              <w:rPr>
                <w:rFonts w:eastAsia="Times New Roman"/>
                <w:color w:val="000000"/>
                <w:sz w:val="20"/>
                <w:szCs w:val="20"/>
                <w:lang w:val="sr-Latn-ME"/>
              </w:rPr>
            </w:pPr>
            <w:r w:rsidRPr="000574E3">
              <w:rPr>
                <w:rFonts w:eastAsia="Times New Roman"/>
                <w:color w:val="000000"/>
                <w:sz w:val="20"/>
                <w:szCs w:val="20"/>
                <w:lang w:val="sr-Latn-ME"/>
              </w:rPr>
              <w:t>Prihod po osnovu zakupa zemljista Lustica bay</w:t>
            </w:r>
          </w:p>
        </w:tc>
        <w:tc>
          <w:tcPr>
            <w:tcW w:w="2250" w:type="dxa"/>
            <w:tcBorders>
              <w:top w:val="nil"/>
              <w:left w:val="single" w:sz="8" w:space="0" w:color="auto"/>
              <w:bottom w:val="single" w:sz="8" w:space="0" w:color="auto"/>
              <w:right w:val="single" w:sz="4" w:space="0" w:color="auto"/>
            </w:tcBorders>
            <w:shd w:val="clear" w:color="auto" w:fill="auto"/>
            <w:noWrap/>
            <w:vAlign w:val="bottom"/>
            <w:hideMark/>
          </w:tcPr>
          <w:p w14:paraId="73CB502F" w14:textId="77777777" w:rsidR="0046232E" w:rsidRPr="000574E3" w:rsidRDefault="0046232E" w:rsidP="00E72875">
            <w:pPr>
              <w:jc w:val="right"/>
              <w:rPr>
                <w:rFonts w:eastAsia="Times New Roman"/>
                <w:b/>
                <w:bCs/>
                <w:sz w:val="20"/>
                <w:szCs w:val="20"/>
                <w:lang w:val="sr-Latn-ME"/>
              </w:rPr>
            </w:pPr>
            <w:r w:rsidRPr="000574E3">
              <w:rPr>
                <w:rFonts w:eastAsia="Times New Roman"/>
                <w:b/>
                <w:bCs/>
                <w:sz w:val="20"/>
                <w:szCs w:val="20"/>
                <w:lang w:val="sr-Latn-ME"/>
              </w:rPr>
              <w:t>5.28</w:t>
            </w:r>
          </w:p>
        </w:tc>
        <w:tc>
          <w:tcPr>
            <w:tcW w:w="2340" w:type="dxa"/>
            <w:tcBorders>
              <w:top w:val="nil"/>
              <w:left w:val="nil"/>
              <w:bottom w:val="single" w:sz="8" w:space="0" w:color="auto"/>
              <w:right w:val="single" w:sz="8" w:space="0" w:color="auto"/>
            </w:tcBorders>
            <w:shd w:val="clear" w:color="auto" w:fill="auto"/>
            <w:noWrap/>
            <w:vAlign w:val="bottom"/>
            <w:hideMark/>
          </w:tcPr>
          <w:p w14:paraId="59D0192D" w14:textId="77777777" w:rsidR="0046232E" w:rsidRPr="000574E3" w:rsidRDefault="0046232E" w:rsidP="00E72875">
            <w:pPr>
              <w:jc w:val="right"/>
              <w:rPr>
                <w:rFonts w:eastAsia="Times New Roman"/>
                <w:b/>
                <w:bCs/>
                <w:sz w:val="20"/>
                <w:szCs w:val="20"/>
                <w:lang w:val="sr-Latn-ME"/>
              </w:rPr>
            </w:pPr>
            <w:r w:rsidRPr="000574E3">
              <w:rPr>
                <w:rFonts w:eastAsia="Times New Roman"/>
                <w:b/>
                <w:bCs/>
                <w:sz w:val="20"/>
                <w:szCs w:val="20"/>
                <w:lang w:val="sr-Latn-ME"/>
              </w:rPr>
              <w:t> </w:t>
            </w:r>
          </w:p>
        </w:tc>
      </w:tr>
      <w:tr w:rsidR="0046232E" w:rsidRPr="000574E3" w14:paraId="03C0DFBA" w14:textId="77777777" w:rsidTr="00E72875">
        <w:trPr>
          <w:trHeight w:val="250"/>
        </w:trPr>
        <w:tc>
          <w:tcPr>
            <w:tcW w:w="4670" w:type="dxa"/>
            <w:tcBorders>
              <w:top w:val="nil"/>
              <w:left w:val="single" w:sz="8" w:space="0" w:color="auto"/>
              <w:bottom w:val="single" w:sz="8" w:space="0" w:color="auto"/>
              <w:right w:val="nil"/>
            </w:tcBorders>
            <w:shd w:val="clear" w:color="auto" w:fill="auto"/>
            <w:vAlign w:val="center"/>
            <w:hideMark/>
          </w:tcPr>
          <w:p w14:paraId="2BA5AD8E" w14:textId="77777777" w:rsidR="0046232E" w:rsidRPr="000574E3" w:rsidRDefault="0046232E" w:rsidP="00E72875">
            <w:pPr>
              <w:jc w:val="both"/>
              <w:rPr>
                <w:rFonts w:eastAsia="Times New Roman"/>
                <w:color w:val="000000"/>
                <w:sz w:val="20"/>
                <w:szCs w:val="20"/>
                <w:lang w:val="sr-Latn-ME"/>
              </w:rPr>
            </w:pPr>
            <w:r w:rsidRPr="000574E3">
              <w:rPr>
                <w:rFonts w:eastAsia="Times New Roman"/>
                <w:color w:val="000000"/>
                <w:sz w:val="20"/>
                <w:szCs w:val="20"/>
                <w:lang w:val="sr-Latn-ME"/>
              </w:rPr>
              <w:t>Ministarstvo rada – povraćaj po zahtjevu</w:t>
            </w:r>
          </w:p>
        </w:tc>
        <w:tc>
          <w:tcPr>
            <w:tcW w:w="2250" w:type="dxa"/>
            <w:tcBorders>
              <w:top w:val="nil"/>
              <w:left w:val="single" w:sz="8" w:space="0" w:color="auto"/>
              <w:bottom w:val="single" w:sz="8" w:space="0" w:color="auto"/>
              <w:right w:val="single" w:sz="4" w:space="0" w:color="auto"/>
            </w:tcBorders>
            <w:shd w:val="clear" w:color="auto" w:fill="auto"/>
            <w:noWrap/>
            <w:vAlign w:val="bottom"/>
            <w:hideMark/>
          </w:tcPr>
          <w:p w14:paraId="0DFFE034" w14:textId="77777777" w:rsidR="0046232E" w:rsidRPr="000574E3" w:rsidRDefault="0046232E" w:rsidP="00E72875">
            <w:pPr>
              <w:jc w:val="right"/>
              <w:rPr>
                <w:rFonts w:eastAsia="Times New Roman"/>
                <w:b/>
                <w:bCs/>
                <w:sz w:val="20"/>
                <w:szCs w:val="20"/>
                <w:lang w:val="sr-Latn-ME"/>
              </w:rPr>
            </w:pPr>
            <w:r w:rsidRPr="000574E3">
              <w:rPr>
                <w:rFonts w:eastAsia="Times New Roman"/>
                <w:b/>
                <w:bCs/>
                <w:sz w:val="20"/>
                <w:szCs w:val="20"/>
                <w:lang w:val="sr-Latn-ME"/>
              </w:rPr>
              <w:t> </w:t>
            </w:r>
          </w:p>
        </w:tc>
        <w:tc>
          <w:tcPr>
            <w:tcW w:w="2340" w:type="dxa"/>
            <w:tcBorders>
              <w:top w:val="nil"/>
              <w:left w:val="nil"/>
              <w:bottom w:val="single" w:sz="8" w:space="0" w:color="auto"/>
              <w:right w:val="single" w:sz="8" w:space="0" w:color="auto"/>
            </w:tcBorders>
            <w:shd w:val="clear" w:color="auto" w:fill="auto"/>
            <w:noWrap/>
            <w:vAlign w:val="bottom"/>
            <w:hideMark/>
          </w:tcPr>
          <w:p w14:paraId="2C48E689" w14:textId="77777777" w:rsidR="0046232E" w:rsidRPr="000574E3" w:rsidRDefault="0046232E" w:rsidP="00E72875">
            <w:pPr>
              <w:jc w:val="right"/>
              <w:rPr>
                <w:rFonts w:eastAsia="Times New Roman"/>
                <w:b/>
                <w:bCs/>
                <w:sz w:val="20"/>
                <w:szCs w:val="20"/>
                <w:lang w:val="sr-Latn-ME"/>
              </w:rPr>
            </w:pPr>
            <w:r w:rsidRPr="000574E3">
              <w:rPr>
                <w:rFonts w:eastAsia="Times New Roman"/>
                <w:b/>
                <w:bCs/>
                <w:sz w:val="20"/>
                <w:szCs w:val="20"/>
                <w:lang w:val="sr-Latn-ME"/>
              </w:rPr>
              <w:t>4.45</w:t>
            </w:r>
          </w:p>
        </w:tc>
      </w:tr>
      <w:tr w:rsidR="0046232E" w:rsidRPr="000574E3" w14:paraId="358D56D5" w14:textId="77777777" w:rsidTr="00E72875">
        <w:trPr>
          <w:trHeight w:val="250"/>
        </w:trPr>
        <w:tc>
          <w:tcPr>
            <w:tcW w:w="4670" w:type="dxa"/>
            <w:tcBorders>
              <w:top w:val="nil"/>
              <w:left w:val="single" w:sz="8" w:space="0" w:color="auto"/>
              <w:bottom w:val="single" w:sz="8" w:space="0" w:color="auto"/>
              <w:right w:val="nil"/>
            </w:tcBorders>
            <w:shd w:val="clear" w:color="auto" w:fill="auto"/>
            <w:vAlign w:val="center"/>
            <w:hideMark/>
          </w:tcPr>
          <w:p w14:paraId="1953A0C3" w14:textId="77777777" w:rsidR="0046232E" w:rsidRPr="000574E3" w:rsidRDefault="0046232E" w:rsidP="00E72875">
            <w:pPr>
              <w:jc w:val="both"/>
              <w:rPr>
                <w:rFonts w:eastAsia="Times New Roman"/>
                <w:color w:val="000000"/>
                <w:sz w:val="20"/>
                <w:szCs w:val="20"/>
                <w:lang w:val="sr-Latn-ME"/>
              </w:rPr>
            </w:pPr>
            <w:r w:rsidRPr="000574E3">
              <w:rPr>
                <w:rFonts w:eastAsia="Times New Roman"/>
                <w:color w:val="000000"/>
                <w:sz w:val="20"/>
                <w:szCs w:val="20"/>
                <w:lang w:val="sr-Latn-ME"/>
              </w:rPr>
              <w:t>Prekid hedžing aranžmana iz 2021. godine</w:t>
            </w:r>
          </w:p>
        </w:tc>
        <w:tc>
          <w:tcPr>
            <w:tcW w:w="2250" w:type="dxa"/>
            <w:tcBorders>
              <w:top w:val="nil"/>
              <w:left w:val="single" w:sz="8" w:space="0" w:color="auto"/>
              <w:bottom w:val="single" w:sz="8" w:space="0" w:color="auto"/>
              <w:right w:val="single" w:sz="4" w:space="0" w:color="auto"/>
            </w:tcBorders>
            <w:shd w:val="clear" w:color="auto" w:fill="auto"/>
            <w:noWrap/>
            <w:vAlign w:val="bottom"/>
            <w:hideMark/>
          </w:tcPr>
          <w:p w14:paraId="384B298A" w14:textId="77777777" w:rsidR="0046232E" w:rsidRPr="000574E3" w:rsidRDefault="0046232E" w:rsidP="00E72875">
            <w:pPr>
              <w:jc w:val="right"/>
              <w:rPr>
                <w:rFonts w:eastAsia="Times New Roman"/>
                <w:b/>
                <w:bCs/>
                <w:sz w:val="20"/>
                <w:szCs w:val="20"/>
                <w:lang w:val="sr-Latn-ME"/>
              </w:rPr>
            </w:pPr>
            <w:r w:rsidRPr="000574E3">
              <w:rPr>
                <w:rFonts w:eastAsia="Times New Roman"/>
                <w:b/>
                <w:bCs/>
                <w:sz w:val="20"/>
                <w:szCs w:val="20"/>
                <w:lang w:val="sr-Latn-ME"/>
              </w:rPr>
              <w:t>59.87</w:t>
            </w:r>
          </w:p>
        </w:tc>
        <w:tc>
          <w:tcPr>
            <w:tcW w:w="2340" w:type="dxa"/>
            <w:tcBorders>
              <w:top w:val="nil"/>
              <w:left w:val="nil"/>
              <w:bottom w:val="single" w:sz="8" w:space="0" w:color="auto"/>
              <w:right w:val="single" w:sz="8" w:space="0" w:color="auto"/>
            </w:tcBorders>
            <w:shd w:val="clear" w:color="auto" w:fill="auto"/>
            <w:noWrap/>
            <w:vAlign w:val="bottom"/>
            <w:hideMark/>
          </w:tcPr>
          <w:p w14:paraId="36855EA9" w14:textId="77777777" w:rsidR="0046232E" w:rsidRPr="000574E3" w:rsidRDefault="0046232E" w:rsidP="00E72875">
            <w:pPr>
              <w:jc w:val="right"/>
              <w:rPr>
                <w:rFonts w:eastAsia="Times New Roman"/>
                <w:b/>
                <w:bCs/>
                <w:sz w:val="20"/>
                <w:szCs w:val="20"/>
                <w:lang w:val="sr-Latn-ME"/>
              </w:rPr>
            </w:pPr>
            <w:r w:rsidRPr="000574E3">
              <w:rPr>
                <w:rFonts w:eastAsia="Times New Roman"/>
                <w:b/>
                <w:bCs/>
                <w:sz w:val="20"/>
                <w:szCs w:val="20"/>
                <w:lang w:val="sr-Latn-ME"/>
              </w:rPr>
              <w:t> </w:t>
            </w:r>
          </w:p>
        </w:tc>
      </w:tr>
      <w:tr w:rsidR="0046232E" w:rsidRPr="000574E3" w14:paraId="18DAC866" w14:textId="77777777" w:rsidTr="00E72875">
        <w:trPr>
          <w:trHeight w:val="340"/>
        </w:trPr>
        <w:tc>
          <w:tcPr>
            <w:tcW w:w="4670" w:type="dxa"/>
            <w:tcBorders>
              <w:top w:val="nil"/>
              <w:left w:val="single" w:sz="8" w:space="0" w:color="auto"/>
              <w:bottom w:val="single" w:sz="8" w:space="0" w:color="auto"/>
              <w:right w:val="nil"/>
            </w:tcBorders>
            <w:shd w:val="clear" w:color="auto" w:fill="auto"/>
            <w:vAlign w:val="center"/>
            <w:hideMark/>
          </w:tcPr>
          <w:p w14:paraId="0A48F044" w14:textId="77777777" w:rsidR="0046232E" w:rsidRPr="000574E3" w:rsidRDefault="0046232E" w:rsidP="00E72875">
            <w:pPr>
              <w:jc w:val="both"/>
              <w:rPr>
                <w:rFonts w:eastAsia="Times New Roman"/>
                <w:color w:val="000000"/>
                <w:sz w:val="20"/>
                <w:szCs w:val="20"/>
                <w:lang w:val="sr-Latn-ME"/>
              </w:rPr>
            </w:pPr>
            <w:r w:rsidRPr="000574E3">
              <w:rPr>
                <w:rFonts w:eastAsia="Times New Roman"/>
                <w:color w:val="000000"/>
                <w:sz w:val="20"/>
                <w:szCs w:val="20"/>
                <w:lang w:val="sr-Latn-ME"/>
              </w:rPr>
              <w:t>Dividenda – preduzeća u većinskom vlasništvu države</w:t>
            </w:r>
          </w:p>
        </w:tc>
        <w:tc>
          <w:tcPr>
            <w:tcW w:w="2250" w:type="dxa"/>
            <w:tcBorders>
              <w:top w:val="nil"/>
              <w:left w:val="single" w:sz="8" w:space="0" w:color="auto"/>
              <w:bottom w:val="single" w:sz="8" w:space="0" w:color="auto"/>
              <w:right w:val="single" w:sz="4" w:space="0" w:color="auto"/>
            </w:tcBorders>
            <w:shd w:val="clear" w:color="auto" w:fill="auto"/>
            <w:noWrap/>
            <w:vAlign w:val="bottom"/>
            <w:hideMark/>
          </w:tcPr>
          <w:p w14:paraId="2B360DBD" w14:textId="77777777" w:rsidR="0046232E" w:rsidRPr="000574E3" w:rsidRDefault="0046232E" w:rsidP="00E72875">
            <w:pPr>
              <w:jc w:val="right"/>
              <w:rPr>
                <w:rFonts w:eastAsia="Times New Roman"/>
                <w:b/>
                <w:bCs/>
                <w:sz w:val="20"/>
                <w:szCs w:val="20"/>
                <w:lang w:val="sr-Latn-ME"/>
              </w:rPr>
            </w:pPr>
            <w:r w:rsidRPr="000574E3">
              <w:rPr>
                <w:rFonts w:eastAsia="Times New Roman"/>
                <w:b/>
                <w:bCs/>
                <w:sz w:val="20"/>
                <w:szCs w:val="20"/>
                <w:lang w:val="sr-Latn-ME"/>
              </w:rPr>
              <w:t>10.90</w:t>
            </w:r>
          </w:p>
        </w:tc>
        <w:tc>
          <w:tcPr>
            <w:tcW w:w="2340" w:type="dxa"/>
            <w:tcBorders>
              <w:top w:val="nil"/>
              <w:left w:val="nil"/>
              <w:bottom w:val="single" w:sz="8" w:space="0" w:color="auto"/>
              <w:right w:val="single" w:sz="8" w:space="0" w:color="auto"/>
            </w:tcBorders>
            <w:shd w:val="clear" w:color="auto" w:fill="auto"/>
            <w:noWrap/>
            <w:vAlign w:val="bottom"/>
            <w:hideMark/>
          </w:tcPr>
          <w:p w14:paraId="53B9C581" w14:textId="77777777" w:rsidR="0046232E" w:rsidRPr="000574E3" w:rsidRDefault="0046232E" w:rsidP="00E72875">
            <w:pPr>
              <w:jc w:val="right"/>
              <w:rPr>
                <w:rFonts w:eastAsia="Times New Roman"/>
                <w:b/>
                <w:bCs/>
                <w:sz w:val="20"/>
                <w:szCs w:val="20"/>
                <w:lang w:val="sr-Latn-ME"/>
              </w:rPr>
            </w:pPr>
            <w:r w:rsidRPr="000574E3">
              <w:rPr>
                <w:rFonts w:eastAsia="Times New Roman"/>
                <w:b/>
                <w:bCs/>
                <w:sz w:val="20"/>
                <w:szCs w:val="20"/>
                <w:lang w:val="sr-Latn-ME"/>
              </w:rPr>
              <w:t>4.71</w:t>
            </w:r>
          </w:p>
        </w:tc>
      </w:tr>
      <w:tr w:rsidR="0046232E" w:rsidRPr="000574E3" w14:paraId="1F6DD375" w14:textId="77777777" w:rsidTr="00E72875">
        <w:trPr>
          <w:trHeight w:val="315"/>
        </w:trPr>
        <w:tc>
          <w:tcPr>
            <w:tcW w:w="4670" w:type="dxa"/>
            <w:tcBorders>
              <w:top w:val="nil"/>
              <w:left w:val="single" w:sz="8" w:space="0" w:color="auto"/>
              <w:bottom w:val="single" w:sz="8" w:space="0" w:color="auto"/>
              <w:right w:val="nil"/>
            </w:tcBorders>
            <w:shd w:val="clear" w:color="auto" w:fill="auto"/>
            <w:vAlign w:val="center"/>
            <w:hideMark/>
          </w:tcPr>
          <w:p w14:paraId="1C469F10" w14:textId="77777777" w:rsidR="0046232E" w:rsidRPr="000574E3" w:rsidRDefault="0046232E" w:rsidP="00E72875">
            <w:pPr>
              <w:jc w:val="both"/>
              <w:rPr>
                <w:rFonts w:eastAsia="Times New Roman"/>
                <w:b/>
                <w:bCs/>
                <w:color w:val="000000"/>
                <w:sz w:val="20"/>
                <w:szCs w:val="20"/>
                <w:lang w:val="sr-Latn-ME"/>
              </w:rPr>
            </w:pPr>
            <w:r w:rsidRPr="000574E3">
              <w:rPr>
                <w:rFonts w:eastAsia="Times New Roman"/>
                <w:b/>
                <w:bCs/>
                <w:color w:val="000000"/>
                <w:sz w:val="20"/>
                <w:szCs w:val="20"/>
                <w:lang w:val="sr-Latn-ME"/>
              </w:rPr>
              <w:t xml:space="preserve">Ukupno </w:t>
            </w:r>
          </w:p>
        </w:tc>
        <w:tc>
          <w:tcPr>
            <w:tcW w:w="2250" w:type="dxa"/>
            <w:tcBorders>
              <w:top w:val="nil"/>
              <w:left w:val="single" w:sz="8" w:space="0" w:color="auto"/>
              <w:bottom w:val="single" w:sz="8" w:space="0" w:color="auto"/>
              <w:right w:val="single" w:sz="4" w:space="0" w:color="auto"/>
            </w:tcBorders>
            <w:shd w:val="clear" w:color="auto" w:fill="auto"/>
            <w:noWrap/>
            <w:vAlign w:val="bottom"/>
            <w:hideMark/>
          </w:tcPr>
          <w:p w14:paraId="5C50F084" w14:textId="77777777" w:rsidR="0046232E" w:rsidRPr="000574E3" w:rsidRDefault="0046232E" w:rsidP="00E72875">
            <w:pPr>
              <w:jc w:val="right"/>
              <w:rPr>
                <w:rFonts w:eastAsia="Times New Roman"/>
                <w:b/>
                <w:bCs/>
                <w:sz w:val="20"/>
                <w:szCs w:val="20"/>
                <w:lang w:val="sr-Latn-ME"/>
              </w:rPr>
            </w:pPr>
            <w:r w:rsidRPr="000574E3">
              <w:rPr>
                <w:rFonts w:eastAsia="Times New Roman"/>
                <w:b/>
                <w:bCs/>
                <w:sz w:val="20"/>
                <w:szCs w:val="20"/>
                <w:lang w:val="sr-Latn-ME"/>
              </w:rPr>
              <w:t>1</w:t>
            </w:r>
            <w:r>
              <w:rPr>
                <w:rFonts w:eastAsia="Times New Roman"/>
                <w:b/>
                <w:bCs/>
                <w:sz w:val="20"/>
                <w:szCs w:val="20"/>
                <w:lang w:val="sr-Latn-ME"/>
              </w:rPr>
              <w:t>77,6</w:t>
            </w:r>
          </w:p>
        </w:tc>
        <w:tc>
          <w:tcPr>
            <w:tcW w:w="2340" w:type="dxa"/>
            <w:tcBorders>
              <w:top w:val="nil"/>
              <w:left w:val="nil"/>
              <w:bottom w:val="single" w:sz="8" w:space="0" w:color="auto"/>
              <w:right w:val="single" w:sz="8" w:space="0" w:color="auto"/>
            </w:tcBorders>
            <w:shd w:val="clear" w:color="auto" w:fill="auto"/>
            <w:noWrap/>
            <w:vAlign w:val="bottom"/>
            <w:hideMark/>
          </w:tcPr>
          <w:p w14:paraId="2827F1A3" w14:textId="77777777" w:rsidR="0046232E" w:rsidRPr="000574E3" w:rsidRDefault="0046232E" w:rsidP="00E72875">
            <w:pPr>
              <w:jc w:val="right"/>
              <w:rPr>
                <w:rFonts w:eastAsia="Times New Roman"/>
                <w:b/>
                <w:bCs/>
                <w:sz w:val="20"/>
                <w:szCs w:val="20"/>
                <w:lang w:val="sr-Latn-ME"/>
              </w:rPr>
            </w:pPr>
            <w:r w:rsidRPr="000574E3">
              <w:rPr>
                <w:rFonts w:eastAsia="Times New Roman"/>
                <w:b/>
                <w:bCs/>
                <w:sz w:val="20"/>
                <w:szCs w:val="20"/>
                <w:lang w:val="sr-Latn-ME"/>
              </w:rPr>
              <w:t>30.85</w:t>
            </w:r>
          </w:p>
        </w:tc>
      </w:tr>
    </w:tbl>
    <w:p w14:paraId="5355EFCB" w14:textId="77777777" w:rsidR="0046232E" w:rsidRDefault="0046232E" w:rsidP="0046232E">
      <w:pPr>
        <w:spacing w:line="256" w:lineRule="auto"/>
        <w:jc w:val="both"/>
        <w:rPr>
          <w:rFonts w:asciiTheme="minorHAnsi" w:hAnsiTheme="minorHAnsi" w:cstheme="minorHAnsi"/>
          <w:b/>
          <w:lang w:val="sr-Latn-ME"/>
        </w:rPr>
      </w:pPr>
    </w:p>
    <w:p w14:paraId="22DD12BE" w14:textId="77777777" w:rsidR="0046232E" w:rsidRPr="00D32F3B" w:rsidRDefault="0046232E" w:rsidP="0046232E">
      <w:pPr>
        <w:spacing w:line="256" w:lineRule="auto"/>
        <w:jc w:val="both"/>
        <w:rPr>
          <w:rFonts w:asciiTheme="minorHAnsi" w:hAnsiTheme="minorHAnsi" w:cstheme="minorHAnsi"/>
          <w:lang w:val="sr-Latn-ME"/>
        </w:rPr>
      </w:pPr>
      <w:r w:rsidRPr="008971E3">
        <w:rPr>
          <w:rFonts w:asciiTheme="minorHAnsi" w:hAnsiTheme="minorHAnsi" w:cstheme="minorHAnsi"/>
          <w:b/>
          <w:lang w:val="sr-Latn-ME"/>
        </w:rPr>
        <w:t xml:space="preserve">Prihodi budžeta samo u novembru mjesecu 2024. godine iznosili su 179,0 mil. €, što je u odnosu na isti mjesec prethodne godine manje za 9,9 mil. € ili 5,3%. </w:t>
      </w:r>
      <w:r w:rsidRPr="00D32F3B">
        <w:rPr>
          <w:rFonts w:asciiTheme="minorHAnsi" w:hAnsiTheme="minorHAnsi" w:cstheme="minorHAnsi"/>
          <w:lang w:val="sr-Latn-ME"/>
        </w:rPr>
        <w:t xml:space="preserve">Prihodi budžeta u odnosu na isti mjesec 2023. godine očekivano su manji usljed značajnog iznosa jednokratnih prihoda po osnovu ekonomskog državljanstva, i to u iznosu od 11,1 mil. € ostvarenih u 2023. godini, kao i nižeg ostvarenja doprinosa u iznosu od 9,9 mil. € ili 20,9%, a u skladu sa izmjenama zakonske regulative po kojima su doprinosi na teret zaposlenog i poslodavca za penzijsko i invalidsko osiguranje smanjeni. </w:t>
      </w:r>
    </w:p>
    <w:p w14:paraId="1624CE41" w14:textId="77777777" w:rsidR="0046232E" w:rsidRDefault="0046232E" w:rsidP="0046232E">
      <w:pPr>
        <w:spacing w:line="256" w:lineRule="auto"/>
        <w:jc w:val="both"/>
        <w:rPr>
          <w:rFonts w:asciiTheme="minorHAnsi" w:hAnsiTheme="minorHAnsi" w:cstheme="minorHAnsi"/>
          <w:b/>
          <w:lang w:val="sr-Latn-ME"/>
        </w:rPr>
      </w:pPr>
    </w:p>
    <w:p w14:paraId="18A7D801" w14:textId="044C854D" w:rsidR="0043185D" w:rsidRPr="0046232E" w:rsidRDefault="0046232E" w:rsidP="0046232E">
      <w:pPr>
        <w:spacing w:line="256" w:lineRule="auto"/>
        <w:jc w:val="both"/>
        <w:rPr>
          <w:rFonts w:asciiTheme="minorHAnsi" w:hAnsiTheme="minorHAnsi" w:cstheme="minorHAnsi"/>
          <w:lang w:val="sr-Latn-ME"/>
        </w:rPr>
      </w:pPr>
      <w:r w:rsidRPr="008971E3">
        <w:rPr>
          <w:rFonts w:asciiTheme="minorHAnsi" w:hAnsiTheme="minorHAnsi" w:cstheme="minorHAnsi"/>
          <w:b/>
          <w:lang w:val="sr-Latn-ME"/>
        </w:rPr>
        <w:t>U poređenju sa planom po rebalansu za novembar mjesec, prihodi budžeta su manji za 27,4 mil. € ili 13,3%.</w:t>
      </w:r>
      <w:r>
        <w:rPr>
          <w:rFonts w:asciiTheme="minorHAnsi" w:hAnsiTheme="minorHAnsi" w:cstheme="minorHAnsi"/>
          <w:b/>
          <w:lang w:val="sr-Latn-ME"/>
        </w:rPr>
        <w:t xml:space="preserve"> </w:t>
      </w:r>
      <w:r w:rsidRPr="00D32F3B">
        <w:rPr>
          <w:rFonts w:asciiTheme="minorHAnsi" w:hAnsiTheme="minorHAnsi" w:cstheme="minorHAnsi"/>
          <w:lang w:val="sr-Latn-ME"/>
        </w:rPr>
        <w:t>Niže ostvarenje u odnosu na plan po rebalansu dominantno je rezultat nižeg ostvarenja kategorije prihoda od kapitala koji se odnose na prihode po osnovu dividendi preduzeća u većinskom vlasništvu države koji su bili planirani ali nisu isplaćeni</w:t>
      </w:r>
      <w:r>
        <w:rPr>
          <w:rFonts w:asciiTheme="minorHAnsi" w:hAnsiTheme="minorHAnsi" w:cstheme="minorHAnsi"/>
          <w:lang w:val="sr-Latn-ME"/>
        </w:rPr>
        <w:t xml:space="preserve">. </w:t>
      </w:r>
    </w:p>
    <w:p w14:paraId="7C88FA53" w14:textId="4404B9A7" w:rsidR="005454F8" w:rsidRDefault="0043185D" w:rsidP="00DE7701">
      <w:pPr>
        <w:jc w:val="both"/>
        <w:rPr>
          <w:rFonts w:asciiTheme="minorHAnsi" w:hAnsiTheme="minorHAnsi" w:cstheme="minorHAnsi"/>
          <w:b/>
          <w:lang w:val="sr-Latn-ME"/>
        </w:rPr>
      </w:pPr>
      <w:r w:rsidRPr="005454F8">
        <w:rPr>
          <w:rFonts w:asciiTheme="minorHAnsi" w:hAnsiTheme="minorHAnsi" w:cstheme="minorHAnsi"/>
          <w:b/>
          <w:noProof/>
          <w:lang w:val="sr-Latn-ME"/>
        </w:rPr>
        <w:lastRenderedPageBreak/>
        <mc:AlternateContent>
          <mc:Choice Requires="wps">
            <w:drawing>
              <wp:anchor distT="45720" distB="45720" distL="114300" distR="114300" simplePos="0" relativeHeight="251661312" behindDoc="0" locked="0" layoutInCell="1" allowOverlap="1" wp14:anchorId="454C713F" wp14:editId="5F904C6A">
                <wp:simplePos x="0" y="0"/>
                <wp:positionH relativeFrom="margin">
                  <wp:align>right</wp:align>
                </wp:positionH>
                <wp:positionV relativeFrom="paragraph">
                  <wp:posOffset>0</wp:posOffset>
                </wp:positionV>
                <wp:extent cx="5705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76225"/>
                        </a:xfrm>
                        <a:prstGeom prst="rect">
                          <a:avLst/>
                        </a:prstGeom>
                        <a:solidFill>
                          <a:schemeClr val="accent1">
                            <a:lumMod val="20000"/>
                            <a:lumOff val="80000"/>
                          </a:schemeClr>
                        </a:solidFill>
                        <a:ln w="9525">
                          <a:solidFill>
                            <a:srgbClr val="000000"/>
                          </a:solidFill>
                          <a:miter lim="800000"/>
                          <a:headEnd/>
                          <a:tailEnd/>
                        </a:ln>
                      </wps:spPr>
                      <wps:txbx>
                        <w:txbxContent>
                          <w:p w14:paraId="37BAEC1B" w14:textId="66E537D6" w:rsidR="005454F8" w:rsidRPr="00DB379F" w:rsidRDefault="005454F8" w:rsidP="005454F8">
                            <w:pPr>
                              <w:jc w:val="center"/>
                              <w:rPr>
                                <w:b/>
                                <w:lang w:val="sr-Latn-ME"/>
                              </w:rPr>
                            </w:pPr>
                            <w:r w:rsidRPr="00DB379F">
                              <w:rPr>
                                <w:b/>
                                <w:lang w:val="sr-Latn-ME"/>
                              </w:rPr>
                              <w:t>Izdaci budžeta za jedanaest mjeseci 2024. godine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C713F" id="_x0000_s1028" type="#_x0000_t202" style="position:absolute;left:0;text-align:left;margin-left:398.05pt;margin-top:0;width:449.25pt;height:21.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" fillcolor="#deeaf6 [660]">
                <v:textbox>
                  <w:txbxContent>
                    <w:p w14:paraId="37BAEC1B" w14:textId="66E537D6" w:rsidR="005454F8" w:rsidRPr="00DB379F" w:rsidRDefault="005454F8" w:rsidP="005454F8">
                      <w:pPr>
                        <w:jc w:val="center"/>
                        <w:rPr>
                          <w:b/>
                          <w:lang w:val="sr-Latn-ME"/>
                        </w:rPr>
                      </w:pPr>
                      <w:r w:rsidRPr="00DB379F">
                        <w:rPr>
                          <w:b/>
                          <w:lang w:val="sr-Latn-ME"/>
                        </w:rPr>
                        <w:t>Izdaci budžeta za jedanaest mjeseci 2024. godine</w:t>
                      </w:r>
                    </w:p>
                  </w:txbxContent>
                </v:textbox>
                <w10:wrap type="square" anchorx="margin"/>
              </v:shape>
            </w:pict>
          </mc:Fallback>
        </mc:AlternateContent>
      </w:r>
    </w:p>
    <w:p w14:paraId="28B76791" w14:textId="77777777" w:rsidR="005454F8" w:rsidRDefault="005454F8" w:rsidP="00DE7701">
      <w:pPr>
        <w:jc w:val="both"/>
        <w:rPr>
          <w:rFonts w:asciiTheme="minorHAnsi" w:hAnsiTheme="minorHAnsi" w:cstheme="minorHAnsi"/>
          <w:b/>
          <w:lang w:val="sr-Latn-ME"/>
        </w:rPr>
      </w:pPr>
    </w:p>
    <w:p w14:paraId="0239D006" w14:textId="0C6F7042" w:rsidR="00DE7701" w:rsidRDefault="00DE7701" w:rsidP="00DE7701">
      <w:pPr>
        <w:jc w:val="both"/>
        <w:rPr>
          <w:rFonts w:asciiTheme="minorHAnsi" w:hAnsiTheme="minorHAnsi" w:cstheme="minorHAnsi"/>
          <w:bCs/>
          <w:lang w:val="sr-Latn-ME"/>
        </w:rPr>
      </w:pPr>
      <w:r w:rsidRPr="00FE1E3F">
        <w:rPr>
          <w:rFonts w:asciiTheme="minorHAnsi" w:hAnsiTheme="minorHAnsi" w:cstheme="minorHAnsi"/>
          <w:b/>
          <w:lang w:val="sr-Latn-ME"/>
        </w:rPr>
        <w:t xml:space="preserve">Izdaci budžeta za period januar – </w:t>
      </w:r>
      <w:r w:rsidR="00CB6B64">
        <w:rPr>
          <w:rFonts w:asciiTheme="minorHAnsi" w:hAnsiTheme="minorHAnsi" w:cstheme="minorHAnsi"/>
          <w:b/>
          <w:lang w:val="sr-Latn-ME"/>
        </w:rPr>
        <w:t>novembar</w:t>
      </w:r>
      <w:r>
        <w:rPr>
          <w:rFonts w:asciiTheme="minorHAnsi" w:hAnsiTheme="minorHAnsi" w:cstheme="minorHAnsi"/>
          <w:b/>
          <w:lang w:val="sr-Latn-ME"/>
        </w:rPr>
        <w:t xml:space="preserve"> </w:t>
      </w:r>
      <w:r w:rsidRPr="00FE1E3F">
        <w:rPr>
          <w:rFonts w:asciiTheme="minorHAnsi" w:hAnsiTheme="minorHAnsi" w:cstheme="minorHAnsi"/>
          <w:bCs/>
          <w:lang w:val="sr-Latn-ME"/>
        </w:rPr>
        <w:t xml:space="preserve">ove godine iznosili su </w:t>
      </w:r>
      <w:r>
        <w:rPr>
          <w:rFonts w:asciiTheme="minorHAnsi" w:hAnsiTheme="minorHAnsi" w:cstheme="minorHAnsi"/>
          <w:bCs/>
          <w:lang w:val="sr-Latn-ME"/>
        </w:rPr>
        <w:t>2.</w:t>
      </w:r>
      <w:r w:rsidR="00CB6B64">
        <w:rPr>
          <w:rFonts w:asciiTheme="minorHAnsi" w:hAnsiTheme="minorHAnsi" w:cstheme="minorHAnsi"/>
          <w:bCs/>
          <w:lang w:val="sr-Latn-ME"/>
        </w:rPr>
        <w:t>498</w:t>
      </w:r>
      <w:r w:rsidRPr="00FE1E3F">
        <w:rPr>
          <w:rFonts w:asciiTheme="minorHAnsi" w:hAnsiTheme="minorHAnsi" w:cstheme="minorHAnsi"/>
          <w:bCs/>
          <w:lang w:val="sr-Latn-ME"/>
        </w:rPr>
        <w:t>,</w:t>
      </w:r>
      <w:r w:rsidR="00CB6B64">
        <w:rPr>
          <w:rFonts w:asciiTheme="minorHAnsi" w:hAnsiTheme="minorHAnsi" w:cstheme="minorHAnsi"/>
          <w:bCs/>
          <w:lang w:val="sr-Latn-ME"/>
        </w:rPr>
        <w:t>2</w:t>
      </w:r>
      <w:r w:rsidRPr="00FE1E3F">
        <w:rPr>
          <w:rFonts w:asciiTheme="minorHAnsi" w:hAnsiTheme="minorHAnsi" w:cstheme="minorHAnsi"/>
          <w:bCs/>
          <w:lang w:val="sr-Latn-ME"/>
        </w:rPr>
        <w:t xml:space="preserve"> mil. € ili </w:t>
      </w:r>
      <w:r>
        <w:rPr>
          <w:rFonts w:asciiTheme="minorHAnsi" w:hAnsiTheme="minorHAnsi" w:cstheme="minorHAnsi"/>
          <w:bCs/>
          <w:lang w:val="sr-Latn-ME"/>
        </w:rPr>
        <w:t>3</w:t>
      </w:r>
      <w:r w:rsidR="00CB6B64">
        <w:rPr>
          <w:rFonts w:asciiTheme="minorHAnsi" w:hAnsiTheme="minorHAnsi" w:cstheme="minorHAnsi"/>
          <w:bCs/>
          <w:lang w:val="sr-Latn-ME"/>
        </w:rPr>
        <w:t>4</w:t>
      </w:r>
      <w:r w:rsidRPr="00FE1E3F">
        <w:rPr>
          <w:rFonts w:asciiTheme="minorHAnsi" w:hAnsiTheme="minorHAnsi" w:cstheme="minorHAnsi"/>
          <w:bCs/>
          <w:lang w:val="sr-Latn-ME"/>
        </w:rPr>
        <w:t>,</w:t>
      </w:r>
      <w:r w:rsidR="00CB6B64">
        <w:rPr>
          <w:rFonts w:asciiTheme="minorHAnsi" w:hAnsiTheme="minorHAnsi" w:cstheme="minorHAnsi"/>
          <w:bCs/>
          <w:lang w:val="sr-Latn-ME"/>
        </w:rPr>
        <w:t>3</w:t>
      </w:r>
      <w:r w:rsidRPr="00FE1E3F">
        <w:rPr>
          <w:rFonts w:asciiTheme="minorHAnsi" w:hAnsiTheme="minorHAnsi" w:cstheme="minorHAnsi"/>
          <w:bCs/>
          <w:lang w:val="sr-Latn-ME"/>
        </w:rPr>
        <w:t>% procijenjenog BDP-a</w:t>
      </w:r>
      <w:r>
        <w:rPr>
          <w:rFonts w:asciiTheme="minorHAnsi" w:hAnsiTheme="minorHAnsi" w:cstheme="minorHAnsi"/>
          <w:bCs/>
          <w:lang w:val="sr-Latn-ME"/>
        </w:rPr>
        <w:t xml:space="preserve">. </w:t>
      </w:r>
      <w:r w:rsidRPr="00FE1E3F">
        <w:rPr>
          <w:rFonts w:asciiTheme="minorHAnsi" w:hAnsiTheme="minorHAnsi" w:cstheme="minorHAnsi"/>
          <w:bCs/>
          <w:lang w:val="sr-Latn-ME"/>
        </w:rPr>
        <w:t xml:space="preserve">U odnosu na isti period prethodne godine, izdaci su veći </w:t>
      </w:r>
      <w:r>
        <w:rPr>
          <w:rFonts w:asciiTheme="minorHAnsi" w:hAnsiTheme="minorHAnsi" w:cstheme="minorHAnsi"/>
          <w:bCs/>
          <w:lang w:val="sr-Latn-ME"/>
        </w:rPr>
        <w:t>3</w:t>
      </w:r>
      <w:r w:rsidR="00CB6B64">
        <w:rPr>
          <w:rFonts w:asciiTheme="minorHAnsi" w:hAnsiTheme="minorHAnsi" w:cstheme="minorHAnsi"/>
          <w:bCs/>
          <w:lang w:val="sr-Latn-ME"/>
        </w:rPr>
        <w:t>42</w:t>
      </w:r>
      <w:r w:rsidRPr="00FE1E3F">
        <w:rPr>
          <w:rFonts w:asciiTheme="minorHAnsi" w:hAnsiTheme="minorHAnsi" w:cstheme="minorHAnsi"/>
          <w:bCs/>
          <w:lang w:val="sr-Latn-ME"/>
        </w:rPr>
        <w:t>,</w:t>
      </w:r>
      <w:r w:rsidR="00CB6B64">
        <w:rPr>
          <w:rFonts w:asciiTheme="minorHAnsi" w:hAnsiTheme="minorHAnsi" w:cstheme="minorHAnsi"/>
          <w:bCs/>
          <w:lang w:val="sr-Latn-ME"/>
        </w:rPr>
        <w:t xml:space="preserve">7 </w:t>
      </w:r>
      <w:r w:rsidRPr="00FE1E3F">
        <w:rPr>
          <w:rFonts w:asciiTheme="minorHAnsi" w:hAnsiTheme="minorHAnsi" w:cstheme="minorHAnsi"/>
          <w:bCs/>
          <w:lang w:val="sr-Latn-ME"/>
        </w:rPr>
        <w:t>mil. €, ili 1</w:t>
      </w:r>
      <w:r>
        <w:rPr>
          <w:rFonts w:asciiTheme="minorHAnsi" w:hAnsiTheme="minorHAnsi" w:cstheme="minorHAnsi"/>
          <w:bCs/>
          <w:lang w:val="sr-Latn-ME"/>
        </w:rPr>
        <w:t>5</w:t>
      </w:r>
      <w:r w:rsidRPr="00FE1E3F">
        <w:rPr>
          <w:rFonts w:asciiTheme="minorHAnsi" w:hAnsiTheme="minorHAnsi" w:cstheme="minorHAnsi"/>
          <w:bCs/>
          <w:lang w:val="sr-Latn-ME"/>
        </w:rPr>
        <w:t>,</w:t>
      </w:r>
      <w:r w:rsidR="00CB6B64">
        <w:rPr>
          <w:rFonts w:asciiTheme="minorHAnsi" w:hAnsiTheme="minorHAnsi" w:cstheme="minorHAnsi"/>
          <w:bCs/>
          <w:lang w:val="sr-Latn-ME"/>
        </w:rPr>
        <w:t>9</w:t>
      </w:r>
      <w:r w:rsidRPr="00FE1E3F">
        <w:rPr>
          <w:rFonts w:asciiTheme="minorHAnsi" w:hAnsiTheme="minorHAnsi" w:cstheme="minorHAnsi"/>
          <w:bCs/>
          <w:lang w:val="sr-Latn-ME"/>
        </w:rPr>
        <w:t>% i najveće odstupanje je kod izdvajanja za isplatu prava iz oblasti penzijskog i invalidskog osiguranja dominantno zbog povećanja minimalne penzije, transfera institucijama i značajnije kod institucija javnog zdravlja, kao i rasta izdvajanja za bruto zarade (usvajanje granskih kolektivnih ugovora kojima su povećane zarade zaposlenih u javnom sektoru u 2023. godini).</w:t>
      </w:r>
      <w:r>
        <w:rPr>
          <w:rFonts w:asciiTheme="minorHAnsi" w:hAnsiTheme="minorHAnsi" w:cstheme="minorHAnsi"/>
          <w:bCs/>
          <w:lang w:val="sr-Latn-ME"/>
        </w:rPr>
        <w:t xml:space="preserve"> U odnosu na plan ove godine, izdaci su niži </w:t>
      </w:r>
      <w:r w:rsidRPr="00FE1E3F">
        <w:rPr>
          <w:rFonts w:asciiTheme="minorHAnsi" w:hAnsiTheme="minorHAnsi" w:cstheme="minorHAnsi"/>
          <w:bCs/>
          <w:lang w:val="sr-Latn-ME"/>
        </w:rPr>
        <w:t xml:space="preserve">za </w:t>
      </w:r>
      <w:r w:rsidR="00CB6B64">
        <w:rPr>
          <w:rFonts w:asciiTheme="minorHAnsi" w:hAnsiTheme="minorHAnsi" w:cstheme="minorHAnsi"/>
          <w:bCs/>
          <w:lang w:val="sr-Latn-ME"/>
        </w:rPr>
        <w:t>200</w:t>
      </w:r>
      <w:r w:rsidRPr="00FE1E3F">
        <w:rPr>
          <w:rFonts w:asciiTheme="minorHAnsi" w:hAnsiTheme="minorHAnsi" w:cstheme="minorHAnsi"/>
          <w:bCs/>
          <w:lang w:val="sr-Latn-ME"/>
        </w:rPr>
        <w:t>,</w:t>
      </w:r>
      <w:r>
        <w:rPr>
          <w:rFonts w:asciiTheme="minorHAnsi" w:hAnsiTheme="minorHAnsi" w:cstheme="minorHAnsi"/>
          <w:bCs/>
          <w:lang w:val="sr-Latn-ME"/>
        </w:rPr>
        <w:t>5</w:t>
      </w:r>
      <w:r w:rsidRPr="00FE1E3F">
        <w:rPr>
          <w:rFonts w:asciiTheme="minorHAnsi" w:hAnsiTheme="minorHAnsi" w:cstheme="minorHAnsi"/>
          <w:bCs/>
          <w:lang w:val="sr-Latn-ME"/>
        </w:rPr>
        <w:t xml:space="preserve"> mil. € ili </w:t>
      </w:r>
      <w:r w:rsidR="00CB6B64">
        <w:rPr>
          <w:rFonts w:asciiTheme="minorHAnsi" w:hAnsiTheme="minorHAnsi" w:cstheme="minorHAnsi"/>
          <w:bCs/>
          <w:lang w:val="sr-Latn-ME"/>
        </w:rPr>
        <w:t>7</w:t>
      </w:r>
      <w:r w:rsidRPr="00FE1E3F">
        <w:rPr>
          <w:rFonts w:asciiTheme="minorHAnsi" w:hAnsiTheme="minorHAnsi" w:cstheme="minorHAnsi"/>
          <w:bCs/>
          <w:lang w:val="sr-Latn-ME"/>
        </w:rPr>
        <w:t>,</w:t>
      </w:r>
      <w:r w:rsidR="00CB6B64">
        <w:rPr>
          <w:rFonts w:asciiTheme="minorHAnsi" w:hAnsiTheme="minorHAnsi" w:cstheme="minorHAnsi"/>
          <w:bCs/>
          <w:lang w:val="sr-Latn-ME"/>
        </w:rPr>
        <w:t>4</w:t>
      </w:r>
      <w:r w:rsidRPr="00FE1E3F">
        <w:rPr>
          <w:rFonts w:asciiTheme="minorHAnsi" w:hAnsiTheme="minorHAnsi" w:cstheme="minorHAnsi"/>
          <w:bCs/>
          <w:lang w:val="sr-Latn-ME"/>
        </w:rPr>
        <w:t>%</w:t>
      </w:r>
      <w:r>
        <w:rPr>
          <w:rFonts w:asciiTheme="minorHAnsi" w:hAnsiTheme="minorHAnsi" w:cstheme="minorHAnsi"/>
          <w:bCs/>
          <w:lang w:val="sr-Latn-ME"/>
        </w:rPr>
        <w:t xml:space="preserve">, i odraz su dinamike </w:t>
      </w:r>
      <w:r w:rsidRPr="00FE1E3F">
        <w:rPr>
          <w:rFonts w:asciiTheme="minorHAnsi" w:hAnsiTheme="minorHAnsi" w:cstheme="minorHAnsi"/>
          <w:bCs/>
          <w:lang w:val="sr-Latn-ME"/>
        </w:rPr>
        <w:t xml:space="preserve">pristizanja obaveza u ovom periodu, kao i aktivnog upravljanja potrošnjom. </w:t>
      </w:r>
    </w:p>
    <w:p w14:paraId="2A325025" w14:textId="77777777" w:rsidR="000E183A" w:rsidRPr="00FE1E3F" w:rsidRDefault="000E183A" w:rsidP="00DE7701">
      <w:pPr>
        <w:jc w:val="both"/>
        <w:rPr>
          <w:rFonts w:asciiTheme="minorHAnsi" w:hAnsiTheme="minorHAnsi" w:cstheme="minorHAnsi"/>
          <w:bCs/>
          <w:lang w:val="sr-Latn-ME"/>
        </w:rPr>
      </w:pPr>
    </w:p>
    <w:p w14:paraId="7EEE34F7" w14:textId="74185EAB" w:rsidR="00DE7701" w:rsidRPr="00FE1E3F" w:rsidRDefault="00B73160" w:rsidP="00DE7701">
      <w:pPr>
        <w:jc w:val="both"/>
        <w:rPr>
          <w:rFonts w:asciiTheme="minorHAnsi" w:hAnsiTheme="minorHAnsi" w:cstheme="minorHAnsi"/>
          <w:bCs/>
          <w:lang w:val="sr-Latn-ME"/>
        </w:rPr>
      </w:pPr>
      <w:r>
        <w:rPr>
          <w:rFonts w:asciiTheme="minorHAnsi" w:hAnsiTheme="minorHAnsi" w:cstheme="minorHAnsi"/>
          <w:bCs/>
          <w:noProof/>
          <w:lang w:val="sr-Latn-ME"/>
        </w:rPr>
        <w:drawing>
          <wp:inline distT="0" distB="0" distL="0" distR="0" wp14:anchorId="4A9B6224" wp14:editId="45763C3B">
            <wp:extent cx="1800201" cy="3067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4088" cy="3107747"/>
                    </a:xfrm>
                    <a:prstGeom prst="rect">
                      <a:avLst/>
                    </a:prstGeom>
                    <a:noFill/>
                  </pic:spPr>
                </pic:pic>
              </a:graphicData>
            </a:graphic>
          </wp:inline>
        </w:drawing>
      </w:r>
      <w:r w:rsidR="0072465B">
        <w:rPr>
          <w:rFonts w:asciiTheme="minorHAnsi" w:hAnsiTheme="minorHAnsi" w:cstheme="minorHAnsi"/>
          <w:bCs/>
          <w:noProof/>
          <w:lang w:val="sr-Latn-ME"/>
        </w:rPr>
        <w:drawing>
          <wp:inline distT="0" distB="0" distL="0" distR="0" wp14:anchorId="06468E8E" wp14:editId="475EA1B7">
            <wp:extent cx="3829050" cy="3062926"/>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47241" cy="3077478"/>
                    </a:xfrm>
                    <a:prstGeom prst="rect">
                      <a:avLst/>
                    </a:prstGeom>
                    <a:noFill/>
                  </pic:spPr>
                </pic:pic>
              </a:graphicData>
            </a:graphic>
          </wp:inline>
        </w:drawing>
      </w:r>
    </w:p>
    <w:p w14:paraId="1372F02E" w14:textId="77777777" w:rsidR="00DE7701" w:rsidRPr="00FE1E3F" w:rsidRDefault="00DE7701" w:rsidP="00DE7701">
      <w:pPr>
        <w:jc w:val="both"/>
        <w:rPr>
          <w:rFonts w:asciiTheme="minorHAnsi" w:hAnsiTheme="minorHAnsi" w:cstheme="minorHAnsi"/>
          <w:b/>
          <w:lang w:val="sr-Latn-ME"/>
        </w:rPr>
      </w:pPr>
    </w:p>
    <w:p w14:paraId="3B74D646" w14:textId="77777777" w:rsidR="00DE7701" w:rsidRPr="00FE1E3F" w:rsidRDefault="00DE7701" w:rsidP="00DE7701">
      <w:pPr>
        <w:jc w:val="both"/>
        <w:rPr>
          <w:rFonts w:asciiTheme="minorHAnsi" w:hAnsiTheme="minorHAnsi" w:cstheme="minorHAnsi"/>
          <w:b/>
          <w:lang w:val="sr-Latn-ME"/>
        </w:rPr>
      </w:pPr>
    </w:p>
    <w:p w14:paraId="0C4D12CD" w14:textId="3AB30641" w:rsidR="00DE7701" w:rsidRPr="008B17C7" w:rsidRDefault="00DE7701" w:rsidP="00DE7701">
      <w:pPr>
        <w:jc w:val="both"/>
        <w:rPr>
          <w:rFonts w:asciiTheme="minorHAnsi" w:hAnsiTheme="minorHAnsi" w:cstheme="minorHAnsi"/>
          <w:bCs/>
          <w:highlight w:val="yellow"/>
          <w:lang w:val="sr-Latn-ME"/>
        </w:rPr>
      </w:pPr>
      <w:r w:rsidRPr="00665396">
        <w:rPr>
          <w:rFonts w:asciiTheme="minorHAnsi" w:hAnsiTheme="minorHAnsi" w:cstheme="minorHAnsi"/>
          <w:bCs/>
          <w:lang w:val="sr-Latn-ME"/>
        </w:rPr>
        <w:t xml:space="preserve">Tekući izdaci u tekućem budžetu u posmatranom periodu ostvareni su u iznosu od </w:t>
      </w:r>
      <w:r w:rsidR="00665396" w:rsidRPr="00665396">
        <w:rPr>
          <w:rFonts w:asciiTheme="minorHAnsi" w:hAnsiTheme="minorHAnsi" w:cstheme="minorHAnsi"/>
          <w:bCs/>
          <w:lang w:val="sr-Latn-ME"/>
        </w:rPr>
        <w:t>991</w:t>
      </w:r>
      <w:r w:rsidRPr="00665396">
        <w:rPr>
          <w:rFonts w:asciiTheme="minorHAnsi" w:hAnsiTheme="minorHAnsi" w:cstheme="minorHAnsi"/>
          <w:bCs/>
          <w:lang w:val="sr-Latn-ME"/>
        </w:rPr>
        <w:t>,5 mil. €, što predstavlja 9</w:t>
      </w:r>
      <w:r w:rsidR="00665396" w:rsidRPr="00665396">
        <w:rPr>
          <w:rFonts w:asciiTheme="minorHAnsi" w:hAnsiTheme="minorHAnsi" w:cstheme="minorHAnsi"/>
          <w:bCs/>
          <w:lang w:val="sr-Latn-ME"/>
        </w:rPr>
        <w:t>2</w:t>
      </w:r>
      <w:r w:rsidRPr="00665396">
        <w:rPr>
          <w:rFonts w:asciiTheme="minorHAnsi" w:hAnsiTheme="minorHAnsi" w:cstheme="minorHAnsi"/>
          <w:bCs/>
          <w:lang w:val="sr-Latn-ME"/>
        </w:rPr>
        <w:t>,</w:t>
      </w:r>
      <w:r w:rsidR="00665396" w:rsidRPr="00665396">
        <w:rPr>
          <w:rFonts w:asciiTheme="minorHAnsi" w:hAnsiTheme="minorHAnsi" w:cstheme="minorHAnsi"/>
          <w:bCs/>
          <w:lang w:val="sr-Latn-ME"/>
        </w:rPr>
        <w:t>6</w:t>
      </w:r>
      <w:r w:rsidRPr="00665396">
        <w:rPr>
          <w:rFonts w:asciiTheme="minorHAnsi" w:hAnsiTheme="minorHAnsi" w:cstheme="minorHAnsi"/>
          <w:bCs/>
          <w:lang w:val="sr-Latn-ME"/>
        </w:rPr>
        <w:t xml:space="preserve">% plana, i niže ostvarenje je zabilježeno kod svih tekućih izdataka, dominantno kod rashoda za materijal, odnosno </w:t>
      </w:r>
      <w:r w:rsidR="00665396" w:rsidRPr="00665396">
        <w:rPr>
          <w:rFonts w:asciiTheme="minorHAnsi" w:hAnsiTheme="minorHAnsi" w:cstheme="minorHAnsi"/>
          <w:bCs/>
          <w:lang w:val="sr-Latn-ME"/>
        </w:rPr>
        <w:t>68</w:t>
      </w:r>
      <w:r w:rsidRPr="00665396">
        <w:rPr>
          <w:rFonts w:asciiTheme="minorHAnsi" w:hAnsiTheme="minorHAnsi" w:cstheme="minorHAnsi"/>
          <w:bCs/>
          <w:lang w:val="sr-Latn-ME"/>
        </w:rPr>
        <w:t>,</w:t>
      </w:r>
      <w:r w:rsidR="00665396" w:rsidRPr="00665396">
        <w:rPr>
          <w:rFonts w:asciiTheme="minorHAnsi" w:hAnsiTheme="minorHAnsi" w:cstheme="minorHAnsi"/>
          <w:bCs/>
          <w:lang w:val="sr-Latn-ME"/>
        </w:rPr>
        <w:t>8</w:t>
      </w:r>
      <w:r w:rsidRPr="00665396">
        <w:rPr>
          <w:rFonts w:asciiTheme="minorHAnsi" w:hAnsiTheme="minorHAnsi" w:cstheme="minorHAnsi"/>
          <w:bCs/>
          <w:lang w:val="sr-Latn-ME"/>
        </w:rPr>
        <w:t xml:space="preserve">% plana, </w:t>
      </w:r>
      <w:r w:rsidRPr="00604931">
        <w:rPr>
          <w:rFonts w:asciiTheme="minorHAnsi" w:hAnsiTheme="minorHAnsi" w:cstheme="minorHAnsi"/>
          <w:bCs/>
          <w:lang w:val="sr-Latn-ME"/>
        </w:rPr>
        <w:t>usljed sporije dinamike plaćanja administrativnog materijala i materijala za posebne namjene</w:t>
      </w:r>
      <w:r w:rsidRPr="00665396">
        <w:rPr>
          <w:rFonts w:asciiTheme="minorHAnsi" w:hAnsiTheme="minorHAnsi" w:cstheme="minorHAnsi"/>
          <w:bCs/>
          <w:lang w:val="sr-Latn-ME"/>
        </w:rPr>
        <w:t>, kao i ostalih izdataka čije je ostvaranje 7</w:t>
      </w:r>
      <w:r w:rsidR="00665396" w:rsidRPr="00665396">
        <w:rPr>
          <w:rFonts w:asciiTheme="minorHAnsi" w:hAnsiTheme="minorHAnsi" w:cstheme="minorHAnsi"/>
          <w:bCs/>
          <w:lang w:val="sr-Latn-ME"/>
        </w:rPr>
        <w:t>2</w:t>
      </w:r>
      <w:r w:rsidRPr="00665396">
        <w:rPr>
          <w:rFonts w:asciiTheme="minorHAnsi" w:hAnsiTheme="minorHAnsi" w:cstheme="minorHAnsi"/>
          <w:bCs/>
          <w:lang w:val="sr-Latn-ME"/>
        </w:rPr>
        <w:t>,</w:t>
      </w:r>
      <w:r w:rsidR="00665396" w:rsidRPr="00665396">
        <w:rPr>
          <w:rFonts w:asciiTheme="minorHAnsi" w:hAnsiTheme="minorHAnsi" w:cstheme="minorHAnsi"/>
          <w:bCs/>
          <w:lang w:val="sr-Latn-ME"/>
        </w:rPr>
        <w:t>7</w:t>
      </w:r>
      <w:r w:rsidRPr="00665396">
        <w:rPr>
          <w:rFonts w:asciiTheme="minorHAnsi" w:hAnsiTheme="minorHAnsi" w:cstheme="minorHAnsi"/>
          <w:bCs/>
          <w:lang w:val="sr-Latn-ME"/>
        </w:rPr>
        <w:t>% plana.</w:t>
      </w:r>
    </w:p>
    <w:p w14:paraId="03D6EE03" w14:textId="77777777" w:rsidR="00DE7701" w:rsidRPr="008B17C7" w:rsidRDefault="00DE7701" w:rsidP="00DE7701">
      <w:pPr>
        <w:jc w:val="both"/>
        <w:rPr>
          <w:rFonts w:asciiTheme="minorHAnsi" w:hAnsiTheme="minorHAnsi" w:cstheme="minorHAnsi"/>
          <w:b/>
          <w:highlight w:val="yellow"/>
          <w:lang w:val="sr-Latn-ME"/>
        </w:rPr>
      </w:pPr>
    </w:p>
    <w:p w14:paraId="67758AA8" w14:textId="7A016679" w:rsidR="00DE7701" w:rsidRPr="00604931" w:rsidRDefault="00DE7701" w:rsidP="00DE7701">
      <w:pPr>
        <w:jc w:val="both"/>
        <w:rPr>
          <w:rFonts w:asciiTheme="minorHAnsi" w:hAnsiTheme="minorHAnsi" w:cstheme="minorHAnsi"/>
          <w:bCs/>
          <w:lang w:val="sr-Latn-ME"/>
        </w:rPr>
      </w:pPr>
      <w:r w:rsidRPr="00665396">
        <w:rPr>
          <w:rFonts w:asciiTheme="minorHAnsi" w:hAnsiTheme="minorHAnsi" w:cstheme="minorHAnsi"/>
          <w:b/>
          <w:lang w:val="sr-Latn-ME"/>
        </w:rPr>
        <w:t>Transferi za socijalnu zaštitu</w:t>
      </w:r>
      <w:r w:rsidRPr="00665396">
        <w:rPr>
          <w:rFonts w:asciiTheme="minorHAnsi" w:hAnsiTheme="minorHAnsi" w:cstheme="minorHAnsi"/>
          <w:bCs/>
          <w:lang w:val="sr-Latn-ME"/>
        </w:rPr>
        <w:t xml:space="preserve"> ostareni su u iznosu od </w:t>
      </w:r>
      <w:r w:rsidR="00665396" w:rsidRPr="00665396">
        <w:rPr>
          <w:rFonts w:asciiTheme="minorHAnsi" w:hAnsiTheme="minorHAnsi" w:cstheme="minorHAnsi"/>
          <w:bCs/>
          <w:lang w:val="sr-Latn-ME"/>
        </w:rPr>
        <w:t>915</w:t>
      </w:r>
      <w:r w:rsidRPr="00665396">
        <w:rPr>
          <w:rFonts w:asciiTheme="minorHAnsi" w:hAnsiTheme="minorHAnsi" w:cstheme="minorHAnsi"/>
          <w:bCs/>
          <w:lang w:val="sr-Latn-ME"/>
        </w:rPr>
        <w:t>,</w:t>
      </w:r>
      <w:r w:rsidR="00665396" w:rsidRPr="00665396">
        <w:rPr>
          <w:rFonts w:asciiTheme="minorHAnsi" w:hAnsiTheme="minorHAnsi" w:cstheme="minorHAnsi"/>
          <w:bCs/>
          <w:lang w:val="sr-Latn-ME"/>
        </w:rPr>
        <w:t>03</w:t>
      </w:r>
      <w:r w:rsidRPr="00665396">
        <w:rPr>
          <w:rFonts w:asciiTheme="minorHAnsi" w:hAnsiTheme="minorHAnsi" w:cstheme="minorHAnsi"/>
          <w:bCs/>
          <w:lang w:val="sr-Latn-ME"/>
        </w:rPr>
        <w:t xml:space="preserve"> mil. € što predstavlja ostvarenje 99,</w:t>
      </w:r>
      <w:r w:rsidR="00665396" w:rsidRPr="00665396">
        <w:rPr>
          <w:rFonts w:asciiTheme="minorHAnsi" w:hAnsiTheme="minorHAnsi" w:cstheme="minorHAnsi"/>
          <w:bCs/>
          <w:lang w:val="sr-Latn-ME"/>
        </w:rPr>
        <w:t>4</w:t>
      </w:r>
      <w:r w:rsidRPr="00665396">
        <w:rPr>
          <w:rFonts w:asciiTheme="minorHAnsi" w:hAnsiTheme="minorHAnsi" w:cstheme="minorHAnsi"/>
          <w:bCs/>
          <w:lang w:val="sr-Latn-ME"/>
        </w:rPr>
        <w:t>% plana i u odnosu na isti period prethodne godine veći su za 1</w:t>
      </w:r>
      <w:r w:rsidR="00665396" w:rsidRPr="00665396">
        <w:rPr>
          <w:rFonts w:asciiTheme="minorHAnsi" w:hAnsiTheme="minorHAnsi" w:cstheme="minorHAnsi"/>
          <w:bCs/>
          <w:lang w:val="sr-Latn-ME"/>
        </w:rPr>
        <w:t>68</w:t>
      </w:r>
      <w:r w:rsidRPr="00665396">
        <w:rPr>
          <w:rFonts w:asciiTheme="minorHAnsi" w:hAnsiTheme="minorHAnsi" w:cstheme="minorHAnsi"/>
          <w:bCs/>
          <w:lang w:val="sr-Latn-ME"/>
        </w:rPr>
        <w:t>,</w:t>
      </w:r>
      <w:r w:rsidR="00665396" w:rsidRPr="00665396">
        <w:rPr>
          <w:rFonts w:asciiTheme="minorHAnsi" w:hAnsiTheme="minorHAnsi" w:cstheme="minorHAnsi"/>
          <w:bCs/>
          <w:lang w:val="sr-Latn-ME"/>
        </w:rPr>
        <w:t>93</w:t>
      </w:r>
      <w:r w:rsidRPr="00665396">
        <w:rPr>
          <w:rFonts w:asciiTheme="minorHAnsi" w:hAnsiTheme="minorHAnsi" w:cstheme="minorHAnsi"/>
          <w:bCs/>
          <w:lang w:val="sr-Latn-ME"/>
        </w:rPr>
        <w:t xml:space="preserve"> mil. € ili 22,</w:t>
      </w:r>
      <w:r w:rsidR="00665396" w:rsidRPr="00665396">
        <w:rPr>
          <w:rFonts w:asciiTheme="minorHAnsi" w:hAnsiTheme="minorHAnsi" w:cstheme="minorHAnsi"/>
          <w:bCs/>
          <w:lang w:val="sr-Latn-ME"/>
        </w:rPr>
        <w:t>6</w:t>
      </w:r>
      <w:r w:rsidRPr="00665396">
        <w:rPr>
          <w:rFonts w:asciiTheme="minorHAnsi" w:hAnsiTheme="minorHAnsi" w:cstheme="minorHAnsi"/>
          <w:bCs/>
          <w:lang w:val="sr-Latn-ME"/>
        </w:rPr>
        <w:t xml:space="preserve">%. </w:t>
      </w:r>
      <w:r w:rsidRPr="00665396">
        <w:rPr>
          <w:rFonts w:asciiTheme="minorHAnsi" w:hAnsiTheme="minorHAnsi" w:cstheme="minorHAnsi"/>
          <w:b/>
          <w:lang w:val="sr-Latn-ME"/>
        </w:rPr>
        <w:t>Transferi institucijama, pojedincima, nevladinom i javnom sektoru iznosili</w:t>
      </w:r>
      <w:r w:rsidRPr="00665396">
        <w:rPr>
          <w:rFonts w:asciiTheme="minorHAnsi" w:hAnsiTheme="minorHAnsi" w:cstheme="minorHAnsi"/>
          <w:bCs/>
          <w:lang w:val="sr-Latn-ME"/>
        </w:rPr>
        <w:t xml:space="preserve"> su 3</w:t>
      </w:r>
      <w:r w:rsidR="00665396" w:rsidRPr="00665396">
        <w:rPr>
          <w:rFonts w:asciiTheme="minorHAnsi" w:hAnsiTheme="minorHAnsi" w:cstheme="minorHAnsi"/>
          <w:bCs/>
          <w:lang w:val="sr-Latn-ME"/>
        </w:rPr>
        <w:t>44</w:t>
      </w:r>
      <w:r w:rsidRPr="00665396">
        <w:rPr>
          <w:rFonts w:asciiTheme="minorHAnsi" w:hAnsiTheme="minorHAnsi" w:cstheme="minorHAnsi"/>
          <w:bCs/>
          <w:lang w:val="sr-Latn-ME"/>
        </w:rPr>
        <w:t>,</w:t>
      </w:r>
      <w:r w:rsidR="00665396" w:rsidRPr="00665396">
        <w:rPr>
          <w:rFonts w:asciiTheme="minorHAnsi" w:hAnsiTheme="minorHAnsi" w:cstheme="minorHAnsi"/>
          <w:bCs/>
          <w:lang w:val="sr-Latn-ME"/>
        </w:rPr>
        <w:t>01</w:t>
      </w:r>
      <w:r w:rsidRPr="00665396">
        <w:rPr>
          <w:rFonts w:asciiTheme="minorHAnsi" w:hAnsiTheme="minorHAnsi" w:cstheme="minorHAnsi"/>
          <w:bCs/>
          <w:lang w:val="sr-Latn-ME"/>
        </w:rPr>
        <w:t xml:space="preserve"> mil. € i manji su od plana za 3</w:t>
      </w:r>
      <w:r w:rsidR="00665396" w:rsidRPr="00665396">
        <w:rPr>
          <w:rFonts w:asciiTheme="minorHAnsi" w:hAnsiTheme="minorHAnsi" w:cstheme="minorHAnsi"/>
          <w:bCs/>
          <w:lang w:val="sr-Latn-ME"/>
        </w:rPr>
        <w:t>8</w:t>
      </w:r>
      <w:r w:rsidRPr="00665396">
        <w:rPr>
          <w:rFonts w:asciiTheme="minorHAnsi" w:hAnsiTheme="minorHAnsi" w:cstheme="minorHAnsi"/>
          <w:bCs/>
          <w:lang w:val="sr-Latn-ME"/>
        </w:rPr>
        <w:t>,</w:t>
      </w:r>
      <w:r w:rsidR="00665396" w:rsidRPr="00665396">
        <w:rPr>
          <w:rFonts w:asciiTheme="minorHAnsi" w:hAnsiTheme="minorHAnsi" w:cstheme="minorHAnsi"/>
          <w:bCs/>
          <w:lang w:val="sr-Latn-ME"/>
        </w:rPr>
        <w:t>28</w:t>
      </w:r>
      <w:r w:rsidRPr="00665396">
        <w:rPr>
          <w:rFonts w:asciiTheme="minorHAnsi" w:hAnsiTheme="minorHAnsi" w:cstheme="minorHAnsi"/>
          <w:bCs/>
          <w:lang w:val="sr-Latn-ME"/>
        </w:rPr>
        <w:t xml:space="preserve"> mil. € ili 10</w:t>
      </w:r>
      <w:r w:rsidRPr="00604931">
        <w:rPr>
          <w:rFonts w:asciiTheme="minorHAnsi" w:hAnsiTheme="minorHAnsi" w:cstheme="minorHAnsi"/>
          <w:bCs/>
          <w:lang w:val="sr-Latn-ME"/>
        </w:rPr>
        <w:t>%. Najznačajnije odstupanje je dominantno usljed još uvijek nerealizovanih plaćanja kod Fonda za zdravstveno osiguranje za transfere za zdravstvenu zaštitu, kao i nižem ostvarenju budžetske pozicije ostalih transfera institucijama dominantno kod Ministarstva prosvjete, nauke i inovacija i Ministarstva ekonomskog razvoja.</w:t>
      </w:r>
    </w:p>
    <w:p w14:paraId="23553742" w14:textId="77777777" w:rsidR="00DE7701" w:rsidRPr="008B17C7" w:rsidRDefault="00DE7701" w:rsidP="00DE7701">
      <w:pPr>
        <w:jc w:val="both"/>
        <w:rPr>
          <w:rFonts w:asciiTheme="minorHAnsi" w:hAnsiTheme="minorHAnsi" w:cstheme="minorHAnsi"/>
          <w:bCs/>
          <w:highlight w:val="yellow"/>
          <w:lang w:val="sr-Latn-ME"/>
        </w:rPr>
      </w:pPr>
    </w:p>
    <w:p w14:paraId="1735ABDB" w14:textId="35DA4F22" w:rsidR="00DE7701" w:rsidRPr="00104DD3" w:rsidRDefault="00DE7701" w:rsidP="00DE7701">
      <w:pPr>
        <w:jc w:val="both"/>
        <w:rPr>
          <w:rFonts w:asciiTheme="minorHAnsi" w:hAnsiTheme="minorHAnsi" w:cstheme="minorHAnsi"/>
          <w:bCs/>
          <w:lang w:val="sr-Latn-ME"/>
        </w:rPr>
      </w:pPr>
      <w:r w:rsidRPr="00E15C6E">
        <w:rPr>
          <w:rFonts w:asciiTheme="minorHAnsi" w:hAnsiTheme="minorHAnsi" w:cstheme="minorHAnsi"/>
          <w:b/>
          <w:lang w:val="sr-Latn-ME"/>
        </w:rPr>
        <w:t>Kapitalni budžet</w:t>
      </w:r>
      <w:r w:rsidRPr="00E15C6E">
        <w:rPr>
          <w:rFonts w:asciiTheme="minorHAnsi" w:hAnsiTheme="minorHAnsi" w:cstheme="minorHAnsi"/>
          <w:bCs/>
          <w:lang w:val="sr-Latn-ME"/>
        </w:rPr>
        <w:t>, koji uključuje budžetske pozicije kapitalnih izdataka, kao i pojedine pozicije u okviru rashoda za usluge i druge pozicije, realizovan je u iznosu od 1</w:t>
      </w:r>
      <w:r w:rsidR="00665396" w:rsidRPr="00E15C6E">
        <w:rPr>
          <w:rFonts w:asciiTheme="minorHAnsi" w:hAnsiTheme="minorHAnsi" w:cstheme="minorHAnsi"/>
          <w:bCs/>
          <w:lang w:val="sr-Latn-ME"/>
        </w:rPr>
        <w:t>57</w:t>
      </w:r>
      <w:r w:rsidRPr="00E15C6E">
        <w:rPr>
          <w:rFonts w:asciiTheme="minorHAnsi" w:hAnsiTheme="minorHAnsi" w:cstheme="minorHAnsi"/>
          <w:bCs/>
          <w:lang w:val="sr-Latn-ME"/>
        </w:rPr>
        <w:t>,</w:t>
      </w:r>
      <w:r w:rsidR="00E15C6E" w:rsidRPr="00E15C6E">
        <w:rPr>
          <w:rFonts w:asciiTheme="minorHAnsi" w:hAnsiTheme="minorHAnsi" w:cstheme="minorHAnsi"/>
          <w:bCs/>
          <w:lang w:val="sr-Latn-ME"/>
        </w:rPr>
        <w:t>26</w:t>
      </w:r>
      <w:r w:rsidRPr="00E15C6E">
        <w:rPr>
          <w:rFonts w:asciiTheme="minorHAnsi" w:hAnsiTheme="minorHAnsi" w:cstheme="minorHAnsi"/>
          <w:bCs/>
          <w:lang w:val="sr-Latn-ME"/>
        </w:rPr>
        <w:t xml:space="preserve"> mil. €, što predstavlja 8</w:t>
      </w:r>
      <w:r w:rsidR="00E15C6E" w:rsidRPr="00E15C6E">
        <w:rPr>
          <w:rFonts w:asciiTheme="minorHAnsi" w:hAnsiTheme="minorHAnsi" w:cstheme="minorHAnsi"/>
          <w:bCs/>
          <w:lang w:val="sr-Latn-ME"/>
        </w:rPr>
        <w:t>0</w:t>
      </w:r>
      <w:r w:rsidRPr="00E15C6E">
        <w:rPr>
          <w:rFonts w:asciiTheme="minorHAnsi" w:hAnsiTheme="minorHAnsi" w:cstheme="minorHAnsi"/>
          <w:bCs/>
          <w:lang w:val="sr-Latn-ME"/>
        </w:rPr>
        <w:t>,</w:t>
      </w:r>
      <w:r w:rsidR="00E15C6E" w:rsidRPr="00E15C6E">
        <w:rPr>
          <w:rFonts w:asciiTheme="minorHAnsi" w:hAnsiTheme="minorHAnsi" w:cstheme="minorHAnsi"/>
          <w:bCs/>
          <w:lang w:val="sr-Latn-ME"/>
        </w:rPr>
        <w:t>5</w:t>
      </w:r>
      <w:r w:rsidRPr="00E15C6E">
        <w:rPr>
          <w:rFonts w:asciiTheme="minorHAnsi" w:hAnsiTheme="minorHAnsi" w:cstheme="minorHAnsi"/>
          <w:bCs/>
          <w:lang w:val="sr-Latn-ME"/>
        </w:rPr>
        <w:t xml:space="preserve">% plana kapitalnog budžeta za ovaj period. U odnosu na isti period prethodne godine, njegovo ostvarenje je veće za </w:t>
      </w:r>
      <w:r w:rsidR="00E15C6E" w:rsidRPr="00E15C6E">
        <w:rPr>
          <w:rFonts w:asciiTheme="minorHAnsi" w:hAnsiTheme="minorHAnsi" w:cstheme="minorHAnsi"/>
          <w:bCs/>
          <w:lang w:val="sr-Latn-ME"/>
        </w:rPr>
        <w:t>28</w:t>
      </w:r>
      <w:r w:rsidRPr="00E15C6E">
        <w:rPr>
          <w:rFonts w:asciiTheme="minorHAnsi" w:hAnsiTheme="minorHAnsi" w:cstheme="minorHAnsi"/>
          <w:bCs/>
          <w:lang w:val="sr-Latn-ME"/>
        </w:rPr>
        <w:t>,</w:t>
      </w:r>
      <w:r w:rsidR="00E15C6E" w:rsidRPr="00E15C6E">
        <w:rPr>
          <w:rFonts w:asciiTheme="minorHAnsi" w:hAnsiTheme="minorHAnsi" w:cstheme="minorHAnsi"/>
          <w:bCs/>
          <w:lang w:val="sr-Latn-ME"/>
        </w:rPr>
        <w:t>78</w:t>
      </w:r>
      <w:r w:rsidRPr="00E15C6E">
        <w:rPr>
          <w:rFonts w:asciiTheme="minorHAnsi" w:hAnsiTheme="minorHAnsi" w:cstheme="minorHAnsi"/>
          <w:bCs/>
          <w:lang w:val="sr-Latn-ME"/>
        </w:rPr>
        <w:t xml:space="preserve"> mil. € ili </w:t>
      </w:r>
      <w:r w:rsidR="00E15C6E" w:rsidRPr="00E15C6E">
        <w:rPr>
          <w:rFonts w:asciiTheme="minorHAnsi" w:hAnsiTheme="minorHAnsi" w:cstheme="minorHAnsi"/>
          <w:bCs/>
          <w:lang w:val="sr-Latn-ME"/>
        </w:rPr>
        <w:t>22</w:t>
      </w:r>
      <w:r w:rsidRPr="00E15C6E">
        <w:rPr>
          <w:rFonts w:asciiTheme="minorHAnsi" w:hAnsiTheme="minorHAnsi" w:cstheme="minorHAnsi"/>
          <w:bCs/>
          <w:lang w:val="sr-Latn-ME"/>
        </w:rPr>
        <w:t>,</w:t>
      </w:r>
      <w:r w:rsidR="00E15C6E" w:rsidRPr="00E15C6E">
        <w:rPr>
          <w:rFonts w:asciiTheme="minorHAnsi" w:hAnsiTheme="minorHAnsi" w:cstheme="minorHAnsi"/>
          <w:bCs/>
          <w:lang w:val="sr-Latn-ME"/>
        </w:rPr>
        <w:t>4</w:t>
      </w:r>
      <w:r w:rsidRPr="00E15C6E">
        <w:rPr>
          <w:rFonts w:asciiTheme="minorHAnsi" w:hAnsiTheme="minorHAnsi" w:cstheme="minorHAnsi"/>
          <w:bCs/>
          <w:lang w:val="sr-Latn-ME"/>
        </w:rPr>
        <w:t>%.</w:t>
      </w:r>
    </w:p>
    <w:p w14:paraId="010EB1FA" w14:textId="77777777" w:rsidR="00DE7701" w:rsidRDefault="00DE7701" w:rsidP="00DE7701">
      <w:pPr>
        <w:jc w:val="both"/>
        <w:rPr>
          <w:rFonts w:asciiTheme="minorHAnsi" w:hAnsiTheme="minorHAnsi" w:cstheme="minorHAnsi"/>
          <w:b/>
          <w:lang w:val="sr-Latn-ME"/>
        </w:rPr>
      </w:pPr>
    </w:p>
    <w:p w14:paraId="117D8FD5" w14:textId="3E0A5467" w:rsidR="00DE7701" w:rsidRDefault="00DE7701" w:rsidP="00DE7701">
      <w:pPr>
        <w:jc w:val="both"/>
        <w:rPr>
          <w:rFonts w:asciiTheme="minorHAnsi" w:hAnsiTheme="minorHAnsi" w:cstheme="minorHAnsi"/>
          <w:bCs/>
          <w:lang w:val="sr-Latn-ME"/>
        </w:rPr>
      </w:pPr>
      <w:r w:rsidRPr="00FE1E3F">
        <w:rPr>
          <w:rFonts w:asciiTheme="minorHAnsi" w:hAnsiTheme="minorHAnsi" w:cstheme="minorHAnsi"/>
          <w:b/>
          <w:lang w:val="sr-Latn-ME"/>
        </w:rPr>
        <w:lastRenderedPageBreak/>
        <w:t xml:space="preserve">Posmatrajući </w:t>
      </w:r>
      <w:r w:rsidR="00CB6B64">
        <w:rPr>
          <w:rFonts w:asciiTheme="minorHAnsi" w:hAnsiTheme="minorHAnsi" w:cstheme="minorHAnsi"/>
          <w:b/>
          <w:lang w:val="sr-Latn-ME"/>
        </w:rPr>
        <w:t xml:space="preserve">novembar </w:t>
      </w:r>
      <w:r w:rsidRPr="00FE1E3F">
        <w:rPr>
          <w:rFonts w:asciiTheme="minorHAnsi" w:hAnsiTheme="minorHAnsi" w:cstheme="minorHAnsi"/>
          <w:b/>
          <w:lang w:val="sr-Latn-ME"/>
        </w:rPr>
        <w:t>mjesec</w:t>
      </w:r>
      <w:r w:rsidRPr="00FE1E3F">
        <w:rPr>
          <w:rFonts w:asciiTheme="minorHAnsi" w:hAnsiTheme="minorHAnsi" w:cstheme="minorHAnsi"/>
          <w:bCs/>
          <w:lang w:val="sr-Latn-ME"/>
        </w:rPr>
        <w:t>, izdaci iznose 2</w:t>
      </w:r>
      <w:r>
        <w:rPr>
          <w:rFonts w:asciiTheme="minorHAnsi" w:hAnsiTheme="minorHAnsi" w:cstheme="minorHAnsi"/>
          <w:bCs/>
          <w:lang w:val="sr-Latn-ME"/>
        </w:rPr>
        <w:t>5</w:t>
      </w:r>
      <w:r w:rsidR="00CB6B64">
        <w:rPr>
          <w:rFonts w:asciiTheme="minorHAnsi" w:hAnsiTheme="minorHAnsi" w:cstheme="minorHAnsi"/>
          <w:bCs/>
          <w:lang w:val="sr-Latn-ME"/>
        </w:rPr>
        <w:t>5</w:t>
      </w:r>
      <w:r w:rsidRPr="00FE1E3F">
        <w:rPr>
          <w:rFonts w:asciiTheme="minorHAnsi" w:hAnsiTheme="minorHAnsi" w:cstheme="minorHAnsi"/>
          <w:bCs/>
          <w:lang w:val="sr-Latn-ME"/>
        </w:rPr>
        <w:t>,</w:t>
      </w:r>
      <w:r w:rsidR="00CB6B64">
        <w:rPr>
          <w:rFonts w:asciiTheme="minorHAnsi" w:hAnsiTheme="minorHAnsi" w:cstheme="minorHAnsi"/>
          <w:bCs/>
          <w:lang w:val="sr-Latn-ME"/>
        </w:rPr>
        <w:t>6</w:t>
      </w:r>
      <w:r w:rsidRPr="00FE1E3F">
        <w:rPr>
          <w:rFonts w:asciiTheme="minorHAnsi" w:hAnsiTheme="minorHAnsi" w:cstheme="minorHAnsi"/>
          <w:bCs/>
          <w:lang w:val="sr-Latn-ME"/>
        </w:rPr>
        <w:t xml:space="preserve"> mil. € i manji su za </w:t>
      </w:r>
      <w:r>
        <w:rPr>
          <w:rFonts w:asciiTheme="minorHAnsi" w:hAnsiTheme="minorHAnsi" w:cstheme="minorHAnsi"/>
          <w:bCs/>
          <w:lang w:val="sr-Latn-ME"/>
        </w:rPr>
        <w:t>5</w:t>
      </w:r>
      <w:r w:rsidR="00CB6B64">
        <w:rPr>
          <w:rFonts w:asciiTheme="minorHAnsi" w:hAnsiTheme="minorHAnsi" w:cstheme="minorHAnsi"/>
          <w:bCs/>
          <w:lang w:val="sr-Latn-ME"/>
        </w:rPr>
        <w:t>3</w:t>
      </w:r>
      <w:r w:rsidRPr="00FE1E3F">
        <w:rPr>
          <w:rFonts w:asciiTheme="minorHAnsi" w:hAnsiTheme="minorHAnsi" w:cstheme="minorHAnsi"/>
          <w:bCs/>
          <w:lang w:val="sr-Latn-ME"/>
        </w:rPr>
        <w:t>,</w:t>
      </w:r>
      <w:r w:rsidR="00CB6B64">
        <w:rPr>
          <w:rFonts w:asciiTheme="minorHAnsi" w:hAnsiTheme="minorHAnsi" w:cstheme="minorHAnsi"/>
          <w:bCs/>
          <w:lang w:val="sr-Latn-ME"/>
        </w:rPr>
        <w:t>9</w:t>
      </w:r>
      <w:r w:rsidRPr="00FE1E3F">
        <w:rPr>
          <w:rFonts w:asciiTheme="minorHAnsi" w:hAnsiTheme="minorHAnsi" w:cstheme="minorHAnsi"/>
          <w:bCs/>
          <w:lang w:val="sr-Latn-ME"/>
        </w:rPr>
        <w:t xml:space="preserve"> mil. € ili </w:t>
      </w:r>
      <w:r>
        <w:rPr>
          <w:rFonts w:asciiTheme="minorHAnsi" w:hAnsiTheme="minorHAnsi" w:cstheme="minorHAnsi"/>
          <w:bCs/>
          <w:lang w:val="sr-Latn-ME"/>
        </w:rPr>
        <w:t>1</w:t>
      </w:r>
      <w:r w:rsidR="00CB6B64">
        <w:rPr>
          <w:rFonts w:asciiTheme="minorHAnsi" w:hAnsiTheme="minorHAnsi" w:cstheme="minorHAnsi"/>
          <w:bCs/>
          <w:lang w:val="sr-Latn-ME"/>
        </w:rPr>
        <w:t>7</w:t>
      </w:r>
      <w:r>
        <w:rPr>
          <w:rFonts w:asciiTheme="minorHAnsi" w:hAnsiTheme="minorHAnsi" w:cstheme="minorHAnsi"/>
          <w:bCs/>
          <w:lang w:val="sr-Latn-ME"/>
        </w:rPr>
        <w:t>,</w:t>
      </w:r>
      <w:r w:rsidR="00CB6B64">
        <w:rPr>
          <w:rFonts w:asciiTheme="minorHAnsi" w:hAnsiTheme="minorHAnsi" w:cstheme="minorHAnsi"/>
          <w:bCs/>
          <w:lang w:val="sr-Latn-ME"/>
        </w:rPr>
        <w:t>4</w:t>
      </w:r>
      <w:r w:rsidRPr="00FE1E3F">
        <w:rPr>
          <w:rFonts w:asciiTheme="minorHAnsi" w:hAnsiTheme="minorHAnsi" w:cstheme="minorHAnsi"/>
          <w:bCs/>
          <w:lang w:val="sr-Latn-ME"/>
        </w:rPr>
        <w:t>% od plana</w:t>
      </w:r>
      <w:r w:rsidRPr="002C2C0A">
        <w:rPr>
          <w:rFonts w:asciiTheme="minorHAnsi" w:hAnsiTheme="minorHAnsi" w:cstheme="minorHAnsi"/>
          <w:bCs/>
          <w:lang w:val="sr-Latn-ME"/>
        </w:rPr>
        <w:t>.</w:t>
      </w:r>
      <w:r w:rsidRPr="00FE1E3F">
        <w:rPr>
          <w:rFonts w:asciiTheme="minorHAnsi" w:hAnsiTheme="minorHAnsi" w:cstheme="minorHAnsi"/>
          <w:bCs/>
          <w:lang w:val="sr-Latn-ME"/>
        </w:rPr>
        <w:t xml:space="preserve"> </w:t>
      </w:r>
      <w:r w:rsidRPr="00914259">
        <w:rPr>
          <w:rFonts w:asciiTheme="minorHAnsi" w:hAnsiTheme="minorHAnsi" w:cstheme="minorHAnsi"/>
          <w:bCs/>
          <w:lang w:val="sr-Latn-ME"/>
        </w:rPr>
        <w:t xml:space="preserve">Odstupanje od plana se dominantno odnosi na niže ostvarenje </w:t>
      </w:r>
      <w:r w:rsidR="00914259">
        <w:rPr>
          <w:rFonts w:asciiTheme="minorHAnsi" w:hAnsiTheme="minorHAnsi" w:cstheme="minorHAnsi"/>
          <w:bCs/>
          <w:lang w:val="sr-Latn-ME"/>
        </w:rPr>
        <w:t xml:space="preserve">sveukupno </w:t>
      </w:r>
      <w:r w:rsidRPr="00914259">
        <w:rPr>
          <w:rFonts w:asciiTheme="minorHAnsi" w:hAnsiTheme="minorHAnsi" w:cstheme="minorHAnsi"/>
          <w:bCs/>
          <w:lang w:val="sr-Latn-ME"/>
        </w:rPr>
        <w:t>za Tekuće izdatke koji su ostvareni u iznosu od 10</w:t>
      </w:r>
      <w:r w:rsidR="00914259" w:rsidRPr="00914259">
        <w:rPr>
          <w:rFonts w:asciiTheme="minorHAnsi" w:hAnsiTheme="minorHAnsi" w:cstheme="minorHAnsi"/>
          <w:bCs/>
          <w:lang w:val="sr-Latn-ME"/>
        </w:rPr>
        <w:t>4</w:t>
      </w:r>
      <w:r w:rsidRPr="00914259">
        <w:rPr>
          <w:rFonts w:asciiTheme="minorHAnsi" w:hAnsiTheme="minorHAnsi" w:cstheme="minorHAnsi"/>
          <w:bCs/>
          <w:lang w:val="sr-Latn-ME"/>
        </w:rPr>
        <w:t>,</w:t>
      </w:r>
      <w:r w:rsidR="00914259" w:rsidRPr="00914259">
        <w:rPr>
          <w:rFonts w:asciiTheme="minorHAnsi" w:hAnsiTheme="minorHAnsi" w:cstheme="minorHAnsi"/>
          <w:bCs/>
          <w:lang w:val="sr-Latn-ME"/>
        </w:rPr>
        <w:t>21</w:t>
      </w:r>
      <w:r w:rsidRPr="00914259">
        <w:rPr>
          <w:rFonts w:asciiTheme="minorHAnsi" w:hAnsiTheme="minorHAnsi" w:cstheme="minorHAnsi"/>
          <w:bCs/>
          <w:lang w:val="sr-Latn-ME"/>
        </w:rPr>
        <w:t xml:space="preserve"> mil. € ili 8</w:t>
      </w:r>
      <w:r w:rsidR="00914259" w:rsidRPr="00914259">
        <w:rPr>
          <w:rFonts w:asciiTheme="minorHAnsi" w:hAnsiTheme="minorHAnsi" w:cstheme="minorHAnsi"/>
          <w:bCs/>
          <w:lang w:val="sr-Latn-ME"/>
        </w:rPr>
        <w:t>8</w:t>
      </w:r>
      <w:r w:rsidRPr="00914259">
        <w:rPr>
          <w:rFonts w:asciiTheme="minorHAnsi" w:hAnsiTheme="minorHAnsi" w:cstheme="minorHAnsi"/>
          <w:bCs/>
          <w:lang w:val="sr-Latn-ME"/>
        </w:rPr>
        <w:t>,</w:t>
      </w:r>
      <w:r w:rsidR="00914259" w:rsidRPr="00914259">
        <w:rPr>
          <w:rFonts w:asciiTheme="minorHAnsi" w:hAnsiTheme="minorHAnsi" w:cstheme="minorHAnsi"/>
          <w:bCs/>
          <w:lang w:val="sr-Latn-ME"/>
        </w:rPr>
        <w:t>3</w:t>
      </w:r>
      <w:r w:rsidRPr="00914259">
        <w:rPr>
          <w:rFonts w:asciiTheme="minorHAnsi" w:hAnsiTheme="minorHAnsi" w:cstheme="minorHAnsi"/>
          <w:bCs/>
          <w:lang w:val="sr-Latn-ME"/>
        </w:rPr>
        <w:t xml:space="preserve">%, zatim rezerve u iznosu od </w:t>
      </w:r>
      <w:r w:rsidR="00914259" w:rsidRPr="00914259">
        <w:rPr>
          <w:rFonts w:asciiTheme="minorHAnsi" w:hAnsiTheme="minorHAnsi" w:cstheme="minorHAnsi"/>
          <w:bCs/>
          <w:lang w:val="sr-Latn-ME"/>
        </w:rPr>
        <w:t>9</w:t>
      </w:r>
      <w:r w:rsidRPr="00914259">
        <w:rPr>
          <w:rFonts w:asciiTheme="minorHAnsi" w:hAnsiTheme="minorHAnsi" w:cstheme="minorHAnsi"/>
          <w:bCs/>
          <w:lang w:val="sr-Latn-ME"/>
        </w:rPr>
        <w:t>,</w:t>
      </w:r>
      <w:r w:rsidR="00914259" w:rsidRPr="00914259">
        <w:rPr>
          <w:rFonts w:asciiTheme="minorHAnsi" w:hAnsiTheme="minorHAnsi" w:cstheme="minorHAnsi"/>
          <w:bCs/>
          <w:lang w:val="sr-Latn-ME"/>
        </w:rPr>
        <w:t>76</w:t>
      </w:r>
      <w:r w:rsidRPr="00914259">
        <w:rPr>
          <w:rFonts w:asciiTheme="minorHAnsi" w:hAnsiTheme="minorHAnsi" w:cstheme="minorHAnsi"/>
          <w:bCs/>
          <w:lang w:val="sr-Latn-ME"/>
        </w:rPr>
        <w:t xml:space="preserve"> mil. € niže u odnosu na plan i sl.</w:t>
      </w:r>
    </w:p>
    <w:p w14:paraId="2D54C252" w14:textId="1BEC614E" w:rsidR="00914259" w:rsidRPr="008B17C7" w:rsidRDefault="00914259" w:rsidP="00DE7701">
      <w:pPr>
        <w:jc w:val="both"/>
        <w:rPr>
          <w:lang w:val="sr-Latn-ME"/>
        </w:rPr>
      </w:pPr>
      <w:r>
        <w:rPr>
          <w:lang w:val="sr-Latn-ME"/>
        </w:rPr>
        <w:t xml:space="preserve">Kod Tekućih izdataka izdvaja se veće ostvarenje u odnosu na plan kod </w:t>
      </w:r>
      <w:r w:rsidR="00B75056">
        <w:rPr>
          <w:rFonts w:asciiTheme="minorHAnsi" w:hAnsiTheme="minorHAnsi" w:cstheme="minorHAnsi"/>
          <w:bCs/>
          <w:lang w:val="sr-Latn-ME"/>
        </w:rPr>
        <w:t xml:space="preserve">subvencija koje su ostvarene u iznosu od 14,01 mil. </w:t>
      </w:r>
      <w:r w:rsidR="00B75056" w:rsidRPr="00914259">
        <w:rPr>
          <w:rFonts w:asciiTheme="minorHAnsi" w:hAnsiTheme="minorHAnsi" w:cstheme="minorHAnsi"/>
          <w:bCs/>
          <w:lang w:val="sr-Latn-ME"/>
        </w:rPr>
        <w:t xml:space="preserve">€ </w:t>
      </w:r>
      <w:r w:rsidR="00B75056">
        <w:rPr>
          <w:rFonts w:asciiTheme="minorHAnsi" w:hAnsiTheme="minorHAnsi" w:cstheme="minorHAnsi"/>
          <w:bCs/>
          <w:lang w:val="sr-Latn-ME"/>
        </w:rPr>
        <w:t>što je 42</w:t>
      </w:r>
      <w:r w:rsidR="00B75056" w:rsidRPr="00914259">
        <w:rPr>
          <w:rFonts w:asciiTheme="minorHAnsi" w:hAnsiTheme="minorHAnsi" w:cstheme="minorHAnsi"/>
          <w:bCs/>
          <w:lang w:val="sr-Latn-ME"/>
        </w:rPr>
        <w:t>,</w:t>
      </w:r>
      <w:r w:rsidR="00B75056">
        <w:rPr>
          <w:rFonts w:asciiTheme="minorHAnsi" w:hAnsiTheme="minorHAnsi" w:cstheme="minorHAnsi"/>
          <w:bCs/>
          <w:lang w:val="sr-Latn-ME"/>
        </w:rPr>
        <w:t>5</w:t>
      </w:r>
      <w:r w:rsidR="00B75056" w:rsidRPr="00914259">
        <w:rPr>
          <w:rFonts w:asciiTheme="minorHAnsi" w:hAnsiTheme="minorHAnsi" w:cstheme="minorHAnsi"/>
          <w:bCs/>
          <w:lang w:val="sr-Latn-ME"/>
        </w:rPr>
        <w:t>%</w:t>
      </w:r>
      <w:r w:rsidR="00B75056">
        <w:rPr>
          <w:rFonts w:asciiTheme="minorHAnsi" w:hAnsiTheme="minorHAnsi" w:cstheme="minorHAnsi"/>
          <w:bCs/>
          <w:lang w:val="sr-Latn-ME"/>
        </w:rPr>
        <w:t xml:space="preserve"> veće u odnosu na plan</w:t>
      </w:r>
      <w:r w:rsidR="00FD7D5D">
        <w:rPr>
          <w:rFonts w:asciiTheme="minorHAnsi" w:hAnsiTheme="minorHAnsi" w:cstheme="minorHAnsi"/>
          <w:bCs/>
          <w:lang w:val="sr-Latn-ME"/>
        </w:rPr>
        <w:t xml:space="preserve"> dominantno kod Ministarstva poljoprivrede, šumarstva i vodoprivrede za podršku poljoprivredi kroz mjere tržišno cjenovne politike i za podršku Agenciji za plaćanje kroz IPARD II Program.</w:t>
      </w:r>
      <w:r w:rsidR="000676C5">
        <w:rPr>
          <w:rFonts w:asciiTheme="minorHAnsi" w:hAnsiTheme="minorHAnsi" w:cstheme="minorHAnsi"/>
          <w:bCs/>
          <w:lang w:val="sr-Latn-ME"/>
        </w:rPr>
        <w:t xml:space="preserve"> Takođe, nešto veće ostvarenje u odnosu na plan je zabilježeno i kod Transfera za socijalnu zaštitu koji su ostvareni u iznosu od 88,25 mil. </w:t>
      </w:r>
      <w:r w:rsidR="000676C5" w:rsidRPr="00914259">
        <w:rPr>
          <w:rFonts w:asciiTheme="minorHAnsi" w:hAnsiTheme="minorHAnsi" w:cstheme="minorHAnsi"/>
          <w:bCs/>
          <w:lang w:val="sr-Latn-ME"/>
        </w:rPr>
        <w:t xml:space="preserve">€ </w:t>
      </w:r>
      <w:r w:rsidR="000676C5">
        <w:rPr>
          <w:rFonts w:asciiTheme="minorHAnsi" w:hAnsiTheme="minorHAnsi" w:cstheme="minorHAnsi"/>
          <w:bCs/>
          <w:lang w:val="sr-Latn-ME"/>
        </w:rPr>
        <w:t>što je 1</w:t>
      </w:r>
      <w:r w:rsidR="000676C5" w:rsidRPr="00914259">
        <w:rPr>
          <w:rFonts w:asciiTheme="minorHAnsi" w:hAnsiTheme="minorHAnsi" w:cstheme="minorHAnsi"/>
          <w:bCs/>
          <w:lang w:val="sr-Latn-ME"/>
        </w:rPr>
        <w:t>,</w:t>
      </w:r>
      <w:r w:rsidR="000676C5">
        <w:rPr>
          <w:rFonts w:asciiTheme="minorHAnsi" w:hAnsiTheme="minorHAnsi" w:cstheme="minorHAnsi"/>
          <w:bCs/>
          <w:lang w:val="sr-Latn-ME"/>
        </w:rPr>
        <w:t>7</w:t>
      </w:r>
      <w:r w:rsidR="000676C5" w:rsidRPr="00914259">
        <w:rPr>
          <w:rFonts w:asciiTheme="minorHAnsi" w:hAnsiTheme="minorHAnsi" w:cstheme="minorHAnsi"/>
          <w:bCs/>
          <w:lang w:val="sr-Latn-ME"/>
        </w:rPr>
        <w:t>%</w:t>
      </w:r>
      <w:r w:rsidR="000676C5">
        <w:rPr>
          <w:rFonts w:asciiTheme="minorHAnsi" w:hAnsiTheme="minorHAnsi" w:cstheme="minorHAnsi"/>
          <w:bCs/>
          <w:lang w:val="sr-Latn-ME"/>
        </w:rPr>
        <w:t xml:space="preserve"> veće u odnosu na plan dominantno kod </w:t>
      </w:r>
      <w:r w:rsidR="00D40162">
        <w:rPr>
          <w:rFonts w:asciiTheme="minorHAnsi" w:hAnsiTheme="minorHAnsi" w:cstheme="minorHAnsi"/>
          <w:bCs/>
          <w:lang w:val="sr-Latn-ME"/>
        </w:rPr>
        <w:t>regulisanja prava iz oblasti socijalne, boračke i invalidske zaštite kod Ministarstva socijalnog staranja, brige o porodici i demografije.</w:t>
      </w:r>
    </w:p>
    <w:p w14:paraId="19038831" w14:textId="77777777" w:rsidR="00DE7701" w:rsidRDefault="00DE7701" w:rsidP="00DE7701">
      <w:pPr>
        <w:jc w:val="both"/>
        <w:rPr>
          <w:rFonts w:asciiTheme="minorHAnsi" w:hAnsiTheme="minorHAnsi" w:cstheme="minorHAnsi"/>
          <w:b/>
          <w:u w:val="single"/>
          <w:lang w:val="sr-Latn-ME"/>
        </w:rPr>
      </w:pPr>
    </w:p>
    <w:p w14:paraId="378C80EA" w14:textId="36372BD1" w:rsidR="00DE7701" w:rsidRPr="00214E04" w:rsidRDefault="00DE7701" w:rsidP="00DE7701">
      <w:pPr>
        <w:jc w:val="both"/>
        <w:rPr>
          <w:rFonts w:asciiTheme="minorHAnsi" w:hAnsiTheme="minorHAnsi" w:cstheme="minorHAnsi"/>
          <w:b/>
          <w:lang w:val="sr-Latn-ME"/>
        </w:rPr>
      </w:pPr>
      <w:r w:rsidRPr="00214E04">
        <w:rPr>
          <w:rFonts w:asciiTheme="minorHAnsi" w:hAnsiTheme="minorHAnsi" w:cstheme="minorHAnsi"/>
          <w:b/>
          <w:lang w:val="sr-Latn-ME"/>
        </w:rPr>
        <w:t xml:space="preserve">Uzimajući u obzir ostvarene prihode i rashode, u posmatranom periodu ostvaren je </w:t>
      </w:r>
      <w:r w:rsidR="00CB6B64" w:rsidRPr="00214E04">
        <w:rPr>
          <w:rFonts w:asciiTheme="minorHAnsi" w:hAnsiTheme="minorHAnsi" w:cstheme="minorHAnsi"/>
          <w:b/>
          <w:lang w:val="sr-Latn-ME"/>
        </w:rPr>
        <w:t>deficit</w:t>
      </w:r>
      <w:r w:rsidRPr="00214E04">
        <w:rPr>
          <w:rFonts w:asciiTheme="minorHAnsi" w:hAnsiTheme="minorHAnsi" w:cstheme="minorHAnsi"/>
          <w:b/>
          <w:lang w:val="sr-Latn-ME"/>
        </w:rPr>
        <w:t xml:space="preserve"> budžeta u iznosu od </w:t>
      </w:r>
      <w:r w:rsidR="008B17C7" w:rsidRPr="00214E04">
        <w:rPr>
          <w:rFonts w:asciiTheme="minorHAnsi" w:hAnsiTheme="minorHAnsi" w:cstheme="minorHAnsi"/>
          <w:b/>
          <w:lang w:val="sr-Latn-ME"/>
        </w:rPr>
        <w:t>0</w:t>
      </w:r>
      <w:r w:rsidRPr="00214E04">
        <w:rPr>
          <w:rFonts w:asciiTheme="minorHAnsi" w:hAnsiTheme="minorHAnsi" w:cstheme="minorHAnsi"/>
          <w:b/>
          <w:lang w:val="sr-Latn-ME"/>
        </w:rPr>
        <w:t>,</w:t>
      </w:r>
      <w:r w:rsidR="008B17C7" w:rsidRPr="00214E04">
        <w:rPr>
          <w:rFonts w:asciiTheme="minorHAnsi" w:hAnsiTheme="minorHAnsi" w:cstheme="minorHAnsi"/>
          <w:b/>
          <w:lang w:val="sr-Latn-ME"/>
        </w:rPr>
        <w:t>4</w:t>
      </w:r>
      <w:r w:rsidRPr="00214E04">
        <w:rPr>
          <w:rFonts w:asciiTheme="minorHAnsi" w:hAnsiTheme="minorHAnsi" w:cstheme="minorHAnsi"/>
          <w:b/>
          <w:lang w:val="sr-Latn-ME"/>
        </w:rPr>
        <w:t xml:space="preserve"> mil. €, odnosno na nivou od </w:t>
      </w:r>
      <w:r w:rsidR="008B17C7" w:rsidRPr="00214E04">
        <w:rPr>
          <w:rFonts w:asciiTheme="minorHAnsi" w:hAnsiTheme="minorHAnsi" w:cstheme="minorHAnsi"/>
          <w:b/>
          <w:lang w:val="sr-Latn-ME"/>
        </w:rPr>
        <w:t>0</w:t>
      </w:r>
      <w:r w:rsidRPr="00214E04">
        <w:rPr>
          <w:rFonts w:asciiTheme="minorHAnsi" w:hAnsiTheme="minorHAnsi" w:cstheme="minorHAnsi"/>
          <w:b/>
          <w:lang w:val="sr-Latn-ME"/>
        </w:rPr>
        <w:t>,0</w:t>
      </w:r>
      <w:r w:rsidR="008B17C7" w:rsidRPr="00214E04">
        <w:rPr>
          <w:rFonts w:asciiTheme="minorHAnsi" w:hAnsiTheme="minorHAnsi" w:cstheme="minorHAnsi"/>
          <w:b/>
          <w:lang w:val="sr-Latn-ME"/>
        </w:rPr>
        <w:t>1</w:t>
      </w:r>
      <w:r w:rsidRPr="00214E04">
        <w:rPr>
          <w:rFonts w:asciiTheme="minorHAnsi" w:hAnsiTheme="minorHAnsi" w:cstheme="minorHAnsi"/>
          <w:b/>
          <w:lang w:val="sr-Latn-ME"/>
        </w:rPr>
        <w:t xml:space="preserve">% procijenjenog BDP-a, što je u poređenju sa planom, koji predviđa ostvarenje deficita od </w:t>
      </w:r>
      <w:r w:rsidR="008B17C7" w:rsidRPr="00214E04">
        <w:rPr>
          <w:rFonts w:asciiTheme="minorHAnsi" w:hAnsiTheme="minorHAnsi" w:cstheme="minorHAnsi"/>
          <w:b/>
          <w:lang w:val="sr-Latn-ME"/>
        </w:rPr>
        <w:t>208</w:t>
      </w:r>
      <w:r w:rsidRPr="00214E04">
        <w:rPr>
          <w:rFonts w:asciiTheme="minorHAnsi" w:hAnsiTheme="minorHAnsi" w:cstheme="minorHAnsi"/>
          <w:b/>
          <w:lang w:val="sr-Latn-ME"/>
        </w:rPr>
        <w:t>,</w:t>
      </w:r>
      <w:r w:rsidR="008B17C7" w:rsidRPr="00214E04">
        <w:rPr>
          <w:rFonts w:asciiTheme="minorHAnsi" w:hAnsiTheme="minorHAnsi" w:cstheme="minorHAnsi"/>
          <w:b/>
          <w:lang w:val="sr-Latn-ME"/>
        </w:rPr>
        <w:t>5</w:t>
      </w:r>
      <w:r w:rsidRPr="00214E04">
        <w:rPr>
          <w:rFonts w:asciiTheme="minorHAnsi" w:hAnsiTheme="minorHAnsi" w:cstheme="minorHAnsi"/>
          <w:b/>
          <w:lang w:val="sr-Latn-ME"/>
        </w:rPr>
        <w:t xml:space="preserve"> mil. €, za </w:t>
      </w:r>
      <w:r w:rsidR="008B17C7" w:rsidRPr="00214E04">
        <w:rPr>
          <w:rFonts w:asciiTheme="minorHAnsi" w:hAnsiTheme="minorHAnsi" w:cstheme="minorHAnsi"/>
          <w:b/>
          <w:lang w:val="sr-Latn-ME"/>
        </w:rPr>
        <w:t>208</w:t>
      </w:r>
      <w:r w:rsidRPr="00214E04">
        <w:rPr>
          <w:rFonts w:asciiTheme="minorHAnsi" w:hAnsiTheme="minorHAnsi" w:cstheme="minorHAnsi"/>
          <w:b/>
          <w:lang w:val="sr-Latn-ME"/>
        </w:rPr>
        <w:t>,</w:t>
      </w:r>
      <w:r w:rsidR="008B17C7" w:rsidRPr="00214E04">
        <w:rPr>
          <w:rFonts w:asciiTheme="minorHAnsi" w:hAnsiTheme="minorHAnsi" w:cstheme="minorHAnsi"/>
          <w:b/>
          <w:lang w:val="sr-Latn-ME"/>
        </w:rPr>
        <w:t>1</w:t>
      </w:r>
      <w:r w:rsidRPr="00214E04">
        <w:rPr>
          <w:rFonts w:asciiTheme="minorHAnsi" w:hAnsiTheme="minorHAnsi" w:cstheme="minorHAnsi"/>
          <w:b/>
          <w:lang w:val="sr-Latn-ME"/>
        </w:rPr>
        <w:t xml:space="preserve"> mil. € bolji budžetski bilans od plana. U </w:t>
      </w:r>
      <w:r w:rsidR="008B17C7" w:rsidRPr="00214E04">
        <w:rPr>
          <w:rFonts w:asciiTheme="minorHAnsi" w:hAnsiTheme="minorHAnsi" w:cstheme="minorHAnsi"/>
          <w:b/>
          <w:lang w:val="sr-Latn-ME"/>
        </w:rPr>
        <w:t>novembra</w:t>
      </w:r>
      <w:r w:rsidRPr="00214E04">
        <w:rPr>
          <w:rFonts w:asciiTheme="minorHAnsi" w:hAnsiTheme="minorHAnsi" w:cstheme="minorHAnsi"/>
          <w:b/>
          <w:lang w:val="sr-Latn-ME"/>
        </w:rPr>
        <w:t xml:space="preserve"> mjesecu ostvaren je deficit budžeta u iznosu od </w:t>
      </w:r>
      <w:r w:rsidR="008B17C7" w:rsidRPr="00214E04">
        <w:rPr>
          <w:rFonts w:asciiTheme="minorHAnsi" w:hAnsiTheme="minorHAnsi" w:cstheme="minorHAnsi"/>
          <w:b/>
          <w:lang w:val="sr-Latn-ME"/>
        </w:rPr>
        <w:t>76</w:t>
      </w:r>
      <w:r w:rsidRPr="00214E04">
        <w:rPr>
          <w:rFonts w:asciiTheme="minorHAnsi" w:hAnsiTheme="minorHAnsi" w:cstheme="minorHAnsi"/>
          <w:b/>
          <w:lang w:val="sr-Latn-ME"/>
        </w:rPr>
        <w:t>,</w:t>
      </w:r>
      <w:r w:rsidR="008B17C7" w:rsidRPr="00214E04">
        <w:rPr>
          <w:rFonts w:asciiTheme="minorHAnsi" w:hAnsiTheme="minorHAnsi" w:cstheme="minorHAnsi"/>
          <w:b/>
          <w:lang w:val="sr-Latn-ME"/>
        </w:rPr>
        <w:t>7</w:t>
      </w:r>
      <w:r w:rsidRPr="00214E04">
        <w:rPr>
          <w:rFonts w:asciiTheme="minorHAnsi" w:hAnsiTheme="minorHAnsi" w:cstheme="minorHAnsi"/>
          <w:b/>
          <w:lang w:val="sr-Latn-ME"/>
        </w:rPr>
        <w:t xml:space="preserve"> mil €, što je niže ostvaren deficit od plana za </w:t>
      </w:r>
      <w:r w:rsidR="008B17C7" w:rsidRPr="00214E04">
        <w:rPr>
          <w:rFonts w:asciiTheme="minorHAnsi" w:hAnsiTheme="minorHAnsi" w:cstheme="minorHAnsi"/>
          <w:b/>
          <w:lang w:val="sr-Latn-ME"/>
        </w:rPr>
        <w:t>26,5</w:t>
      </w:r>
      <w:r w:rsidRPr="00214E04">
        <w:rPr>
          <w:rFonts w:asciiTheme="minorHAnsi" w:hAnsiTheme="minorHAnsi" w:cstheme="minorHAnsi"/>
          <w:b/>
          <w:lang w:val="sr-Latn-ME"/>
        </w:rPr>
        <w:t xml:space="preserve"> mil. € ili </w:t>
      </w:r>
      <w:r w:rsidR="008B17C7" w:rsidRPr="00214E04">
        <w:rPr>
          <w:rFonts w:asciiTheme="minorHAnsi" w:hAnsiTheme="minorHAnsi" w:cstheme="minorHAnsi"/>
          <w:b/>
          <w:lang w:val="sr-Latn-ME"/>
        </w:rPr>
        <w:t>25</w:t>
      </w:r>
      <w:r w:rsidRPr="00214E04">
        <w:rPr>
          <w:rFonts w:asciiTheme="minorHAnsi" w:hAnsiTheme="minorHAnsi" w:cstheme="minorHAnsi"/>
          <w:b/>
          <w:lang w:val="sr-Latn-ME"/>
        </w:rPr>
        <w:t>,</w:t>
      </w:r>
      <w:r w:rsidR="008B17C7" w:rsidRPr="00214E04">
        <w:rPr>
          <w:rFonts w:asciiTheme="minorHAnsi" w:hAnsiTheme="minorHAnsi" w:cstheme="minorHAnsi"/>
          <w:b/>
          <w:lang w:val="sr-Latn-ME"/>
        </w:rPr>
        <w:t>7</w:t>
      </w:r>
      <w:r w:rsidRPr="00214E04">
        <w:rPr>
          <w:rFonts w:asciiTheme="minorHAnsi" w:hAnsiTheme="minorHAnsi" w:cstheme="minorHAnsi"/>
          <w:b/>
          <w:lang w:val="sr-Latn-ME"/>
        </w:rPr>
        <w:t>%.</w:t>
      </w:r>
    </w:p>
    <w:p w14:paraId="243A64EE" w14:textId="77777777" w:rsidR="00DE7701" w:rsidRDefault="00DE7701" w:rsidP="00DE7701">
      <w:pPr>
        <w:jc w:val="both"/>
        <w:rPr>
          <w:rFonts w:asciiTheme="minorHAnsi" w:hAnsiTheme="minorHAnsi" w:cstheme="minorHAnsi"/>
          <w:b/>
          <w:u w:val="single"/>
          <w:lang w:val="sr-Latn-ME"/>
        </w:rPr>
      </w:pPr>
    </w:p>
    <w:p w14:paraId="6F3EC2B8" w14:textId="77777777" w:rsidR="00DE7701" w:rsidRDefault="00DE7701" w:rsidP="00DE7701">
      <w:pPr>
        <w:jc w:val="both"/>
        <w:rPr>
          <w:rFonts w:asciiTheme="minorHAnsi" w:hAnsiTheme="minorHAnsi" w:cstheme="minorHAnsi"/>
          <w:b/>
          <w:u w:val="single"/>
          <w:lang w:val="sr-Latn-ME"/>
        </w:rPr>
      </w:pPr>
    </w:p>
    <w:p w14:paraId="55C0F8E4" w14:textId="77777777" w:rsidR="00DE7701" w:rsidRDefault="00DE7701" w:rsidP="00DE7701">
      <w:pPr>
        <w:jc w:val="both"/>
        <w:rPr>
          <w:rFonts w:asciiTheme="minorHAnsi" w:hAnsiTheme="minorHAnsi" w:cstheme="minorHAnsi"/>
          <w:b/>
          <w:u w:val="single"/>
          <w:lang w:val="sr-Latn-ME"/>
        </w:rPr>
      </w:pPr>
    </w:p>
    <w:p w14:paraId="49062273" w14:textId="77777777" w:rsidR="00DE7701" w:rsidRDefault="00DE7701" w:rsidP="00DE7701">
      <w:pPr>
        <w:jc w:val="both"/>
        <w:rPr>
          <w:rFonts w:asciiTheme="minorHAnsi" w:hAnsiTheme="minorHAnsi" w:cstheme="minorHAnsi"/>
          <w:b/>
          <w:u w:val="single"/>
          <w:lang w:val="sr-Latn-ME"/>
        </w:rPr>
      </w:pPr>
    </w:p>
    <w:p w14:paraId="102C53FA" w14:textId="77777777" w:rsidR="006214CE" w:rsidRPr="00E1262B" w:rsidRDefault="006214CE" w:rsidP="00AE025C">
      <w:pPr>
        <w:jc w:val="both"/>
        <w:rPr>
          <w:rFonts w:asciiTheme="minorHAnsi" w:hAnsiTheme="minorHAnsi" w:cstheme="minorHAnsi"/>
          <w:lang w:val="sr-Latn-ME"/>
        </w:rPr>
      </w:pPr>
      <w:bookmarkStart w:id="3" w:name="_GoBack"/>
      <w:bookmarkEnd w:id="3"/>
    </w:p>
    <w:sectPr w:rsidR="006214CE" w:rsidRPr="00E1262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D8DBD" w14:textId="77777777" w:rsidR="005244C1" w:rsidRDefault="005244C1" w:rsidP="00AE025C">
      <w:r>
        <w:separator/>
      </w:r>
    </w:p>
  </w:endnote>
  <w:endnote w:type="continuationSeparator" w:id="0">
    <w:p w14:paraId="4DD2D350" w14:textId="77777777" w:rsidR="005244C1" w:rsidRDefault="005244C1" w:rsidP="00AE0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D37E2" w14:textId="77777777" w:rsidR="005244C1" w:rsidRDefault="005244C1" w:rsidP="00AE025C">
      <w:r>
        <w:separator/>
      </w:r>
    </w:p>
  </w:footnote>
  <w:footnote w:type="continuationSeparator" w:id="0">
    <w:p w14:paraId="423BE91D" w14:textId="77777777" w:rsidR="005244C1" w:rsidRDefault="005244C1" w:rsidP="00AE02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F62"/>
    <w:multiLevelType w:val="hybridMultilevel"/>
    <w:tmpl w:val="BF5C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66737"/>
    <w:multiLevelType w:val="hybridMultilevel"/>
    <w:tmpl w:val="EA06A0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54C5A"/>
    <w:multiLevelType w:val="hybridMultilevel"/>
    <w:tmpl w:val="968CDC70"/>
    <w:lvl w:ilvl="0" w:tplc="88780E9A">
      <w:start w:val="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410769"/>
    <w:multiLevelType w:val="hybridMultilevel"/>
    <w:tmpl w:val="15C20C64"/>
    <w:lvl w:ilvl="0" w:tplc="DE46C722">
      <w:numFmt w:val="bullet"/>
      <w:lvlText w:val="-"/>
      <w:lvlJc w:val="left"/>
      <w:pPr>
        <w:ind w:left="720" w:hanging="360"/>
      </w:pPr>
      <w:rPr>
        <w:rFonts w:ascii="Calibri" w:eastAsia="Calibri" w:hAnsi="Calibri" w:cs="Times New Roman"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4" w15:restartNumberingAfterBreak="0">
    <w:nsid w:val="298E6C9B"/>
    <w:multiLevelType w:val="hybridMultilevel"/>
    <w:tmpl w:val="AB5C7C1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1050B9"/>
    <w:multiLevelType w:val="hybridMultilevel"/>
    <w:tmpl w:val="340C1226"/>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6" w15:restartNumberingAfterBreak="0">
    <w:nsid w:val="2FC01898"/>
    <w:multiLevelType w:val="multilevel"/>
    <w:tmpl w:val="5592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0D6B97"/>
    <w:multiLevelType w:val="hybridMultilevel"/>
    <w:tmpl w:val="38DCBC36"/>
    <w:lvl w:ilvl="0" w:tplc="E6665D8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A46F8C"/>
    <w:multiLevelType w:val="hybridMultilevel"/>
    <w:tmpl w:val="18AA77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6"/>
  </w:num>
  <w:num w:numId="5">
    <w:abstractNumId w:val="1"/>
  </w:num>
  <w:num w:numId="6">
    <w:abstractNumId w:val="7"/>
  </w:num>
  <w:num w:numId="7">
    <w:abstractNumId w:val="8"/>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A52"/>
    <w:rsid w:val="000130C8"/>
    <w:rsid w:val="0001722B"/>
    <w:rsid w:val="00025F91"/>
    <w:rsid w:val="000269BE"/>
    <w:rsid w:val="00032C62"/>
    <w:rsid w:val="00037110"/>
    <w:rsid w:val="00037624"/>
    <w:rsid w:val="00043D85"/>
    <w:rsid w:val="0004540D"/>
    <w:rsid w:val="00050FA7"/>
    <w:rsid w:val="00051859"/>
    <w:rsid w:val="00055D3D"/>
    <w:rsid w:val="000574E3"/>
    <w:rsid w:val="0006397A"/>
    <w:rsid w:val="0006682A"/>
    <w:rsid w:val="000669DB"/>
    <w:rsid w:val="000676C5"/>
    <w:rsid w:val="00070006"/>
    <w:rsid w:val="00070A13"/>
    <w:rsid w:val="00071CC2"/>
    <w:rsid w:val="000731BB"/>
    <w:rsid w:val="00080862"/>
    <w:rsid w:val="00084D50"/>
    <w:rsid w:val="00085733"/>
    <w:rsid w:val="000858A5"/>
    <w:rsid w:val="00086D69"/>
    <w:rsid w:val="00092D2B"/>
    <w:rsid w:val="00093744"/>
    <w:rsid w:val="00094818"/>
    <w:rsid w:val="000A0AE6"/>
    <w:rsid w:val="000B42D8"/>
    <w:rsid w:val="000C59EB"/>
    <w:rsid w:val="000D10E4"/>
    <w:rsid w:val="000E07F2"/>
    <w:rsid w:val="000E183A"/>
    <w:rsid w:val="000E229A"/>
    <w:rsid w:val="000E4D83"/>
    <w:rsid w:val="000E5404"/>
    <w:rsid w:val="000F140B"/>
    <w:rsid w:val="000F3A11"/>
    <w:rsid w:val="000F5CB8"/>
    <w:rsid w:val="000F7159"/>
    <w:rsid w:val="0010039B"/>
    <w:rsid w:val="001009D6"/>
    <w:rsid w:val="00103580"/>
    <w:rsid w:val="00104261"/>
    <w:rsid w:val="00105011"/>
    <w:rsid w:val="00107188"/>
    <w:rsid w:val="001101B3"/>
    <w:rsid w:val="00112CD1"/>
    <w:rsid w:val="00114B54"/>
    <w:rsid w:val="00117F8E"/>
    <w:rsid w:val="00125208"/>
    <w:rsid w:val="00125A57"/>
    <w:rsid w:val="001311E3"/>
    <w:rsid w:val="001317FF"/>
    <w:rsid w:val="00131836"/>
    <w:rsid w:val="001321A9"/>
    <w:rsid w:val="001328C5"/>
    <w:rsid w:val="001328D3"/>
    <w:rsid w:val="001330D2"/>
    <w:rsid w:val="001362B8"/>
    <w:rsid w:val="001411C7"/>
    <w:rsid w:val="00152D1F"/>
    <w:rsid w:val="001560C2"/>
    <w:rsid w:val="00157138"/>
    <w:rsid w:val="0016209E"/>
    <w:rsid w:val="001623F7"/>
    <w:rsid w:val="00163148"/>
    <w:rsid w:val="00163260"/>
    <w:rsid w:val="00166982"/>
    <w:rsid w:val="00166B4D"/>
    <w:rsid w:val="00173AA3"/>
    <w:rsid w:val="001758CC"/>
    <w:rsid w:val="0018250F"/>
    <w:rsid w:val="00191A0C"/>
    <w:rsid w:val="00193357"/>
    <w:rsid w:val="001939AB"/>
    <w:rsid w:val="001A3953"/>
    <w:rsid w:val="001D0B09"/>
    <w:rsid w:val="001D5934"/>
    <w:rsid w:val="001D6246"/>
    <w:rsid w:val="001D662D"/>
    <w:rsid w:val="001E0459"/>
    <w:rsid w:val="001E4BE7"/>
    <w:rsid w:val="001F1603"/>
    <w:rsid w:val="001F3871"/>
    <w:rsid w:val="001F5931"/>
    <w:rsid w:val="001F6AC6"/>
    <w:rsid w:val="002034EC"/>
    <w:rsid w:val="00210330"/>
    <w:rsid w:val="00213804"/>
    <w:rsid w:val="00214E04"/>
    <w:rsid w:val="002205D2"/>
    <w:rsid w:val="0022492B"/>
    <w:rsid w:val="00224ECA"/>
    <w:rsid w:val="00225BB9"/>
    <w:rsid w:val="002364F6"/>
    <w:rsid w:val="00237A55"/>
    <w:rsid w:val="00250C72"/>
    <w:rsid w:val="00250DE2"/>
    <w:rsid w:val="002604E9"/>
    <w:rsid w:val="00263E30"/>
    <w:rsid w:val="00273A95"/>
    <w:rsid w:val="0027402B"/>
    <w:rsid w:val="002750A8"/>
    <w:rsid w:val="0027669A"/>
    <w:rsid w:val="00282F70"/>
    <w:rsid w:val="00284BDA"/>
    <w:rsid w:val="0029565C"/>
    <w:rsid w:val="002958AC"/>
    <w:rsid w:val="00295D0E"/>
    <w:rsid w:val="002A0A70"/>
    <w:rsid w:val="002A4127"/>
    <w:rsid w:val="002B02B7"/>
    <w:rsid w:val="002B0AE3"/>
    <w:rsid w:val="002B3CAC"/>
    <w:rsid w:val="002B5D5B"/>
    <w:rsid w:val="002C4F91"/>
    <w:rsid w:val="002C57F4"/>
    <w:rsid w:val="002C6A08"/>
    <w:rsid w:val="002C7432"/>
    <w:rsid w:val="002D0838"/>
    <w:rsid w:val="002D08B3"/>
    <w:rsid w:val="002D12A2"/>
    <w:rsid w:val="002D27F8"/>
    <w:rsid w:val="002D58DD"/>
    <w:rsid w:val="002E033B"/>
    <w:rsid w:val="002E1837"/>
    <w:rsid w:val="002F1F23"/>
    <w:rsid w:val="002F3D7F"/>
    <w:rsid w:val="00303822"/>
    <w:rsid w:val="0030583E"/>
    <w:rsid w:val="0031609C"/>
    <w:rsid w:val="003202B4"/>
    <w:rsid w:val="00324FF2"/>
    <w:rsid w:val="00333C78"/>
    <w:rsid w:val="00333ECF"/>
    <w:rsid w:val="00343CDB"/>
    <w:rsid w:val="00346425"/>
    <w:rsid w:val="00347A89"/>
    <w:rsid w:val="0035297C"/>
    <w:rsid w:val="003531AF"/>
    <w:rsid w:val="00355256"/>
    <w:rsid w:val="003578C0"/>
    <w:rsid w:val="00362BAE"/>
    <w:rsid w:val="003668F2"/>
    <w:rsid w:val="0037271B"/>
    <w:rsid w:val="00373C47"/>
    <w:rsid w:val="00382C99"/>
    <w:rsid w:val="0038328C"/>
    <w:rsid w:val="00385E90"/>
    <w:rsid w:val="003902BC"/>
    <w:rsid w:val="00392998"/>
    <w:rsid w:val="00392C9D"/>
    <w:rsid w:val="003A0721"/>
    <w:rsid w:val="003A0E0C"/>
    <w:rsid w:val="003A4729"/>
    <w:rsid w:val="003B0313"/>
    <w:rsid w:val="003B22CD"/>
    <w:rsid w:val="003B6BC1"/>
    <w:rsid w:val="003B7F39"/>
    <w:rsid w:val="003D1A7F"/>
    <w:rsid w:val="003E2D5A"/>
    <w:rsid w:val="003E2F8D"/>
    <w:rsid w:val="003E4632"/>
    <w:rsid w:val="003E6519"/>
    <w:rsid w:val="003F2EFB"/>
    <w:rsid w:val="003F6477"/>
    <w:rsid w:val="004030CF"/>
    <w:rsid w:val="004033CB"/>
    <w:rsid w:val="00403454"/>
    <w:rsid w:val="00405025"/>
    <w:rsid w:val="00406B19"/>
    <w:rsid w:val="00410F91"/>
    <w:rsid w:val="00412203"/>
    <w:rsid w:val="00416C27"/>
    <w:rsid w:val="00423ABF"/>
    <w:rsid w:val="00425647"/>
    <w:rsid w:val="0043185D"/>
    <w:rsid w:val="00433FED"/>
    <w:rsid w:val="004362CC"/>
    <w:rsid w:val="00436803"/>
    <w:rsid w:val="00442DE4"/>
    <w:rsid w:val="004462CE"/>
    <w:rsid w:val="00450A97"/>
    <w:rsid w:val="00451B57"/>
    <w:rsid w:val="00453313"/>
    <w:rsid w:val="004608E7"/>
    <w:rsid w:val="0046232E"/>
    <w:rsid w:val="00464298"/>
    <w:rsid w:val="00471ECC"/>
    <w:rsid w:val="004765B0"/>
    <w:rsid w:val="00480FEE"/>
    <w:rsid w:val="0048154A"/>
    <w:rsid w:val="00481CA4"/>
    <w:rsid w:val="004845F8"/>
    <w:rsid w:val="0049230E"/>
    <w:rsid w:val="00493CD0"/>
    <w:rsid w:val="00493F39"/>
    <w:rsid w:val="004975C2"/>
    <w:rsid w:val="0049785D"/>
    <w:rsid w:val="004A2BF8"/>
    <w:rsid w:val="004B2EAD"/>
    <w:rsid w:val="004B3676"/>
    <w:rsid w:val="004B5E7F"/>
    <w:rsid w:val="004B7CF9"/>
    <w:rsid w:val="004C1465"/>
    <w:rsid w:val="004C52AC"/>
    <w:rsid w:val="004D5B58"/>
    <w:rsid w:val="004E1879"/>
    <w:rsid w:val="004F26E9"/>
    <w:rsid w:val="004F580A"/>
    <w:rsid w:val="00506300"/>
    <w:rsid w:val="00510135"/>
    <w:rsid w:val="00511083"/>
    <w:rsid w:val="0051161E"/>
    <w:rsid w:val="0052153C"/>
    <w:rsid w:val="005244C1"/>
    <w:rsid w:val="005318A2"/>
    <w:rsid w:val="005327EF"/>
    <w:rsid w:val="00532BE4"/>
    <w:rsid w:val="005411DB"/>
    <w:rsid w:val="005454F8"/>
    <w:rsid w:val="00551A8F"/>
    <w:rsid w:val="00552598"/>
    <w:rsid w:val="00557A50"/>
    <w:rsid w:val="005639CE"/>
    <w:rsid w:val="00565511"/>
    <w:rsid w:val="00567F48"/>
    <w:rsid w:val="005702CA"/>
    <w:rsid w:val="00571FF3"/>
    <w:rsid w:val="00573963"/>
    <w:rsid w:val="00575D4E"/>
    <w:rsid w:val="0057616F"/>
    <w:rsid w:val="00577CBA"/>
    <w:rsid w:val="00583831"/>
    <w:rsid w:val="005853A3"/>
    <w:rsid w:val="005865E1"/>
    <w:rsid w:val="00590472"/>
    <w:rsid w:val="005912A0"/>
    <w:rsid w:val="0059157B"/>
    <w:rsid w:val="005915EF"/>
    <w:rsid w:val="0059443A"/>
    <w:rsid w:val="005950F6"/>
    <w:rsid w:val="00597849"/>
    <w:rsid w:val="005A0ABB"/>
    <w:rsid w:val="005A7269"/>
    <w:rsid w:val="005A79F8"/>
    <w:rsid w:val="005B005C"/>
    <w:rsid w:val="005B1792"/>
    <w:rsid w:val="005B397F"/>
    <w:rsid w:val="005B4BDC"/>
    <w:rsid w:val="005C4418"/>
    <w:rsid w:val="005C44E6"/>
    <w:rsid w:val="005C6B45"/>
    <w:rsid w:val="005E206D"/>
    <w:rsid w:val="005E73D0"/>
    <w:rsid w:val="005F7C6C"/>
    <w:rsid w:val="00600EF4"/>
    <w:rsid w:val="00601916"/>
    <w:rsid w:val="00601BB2"/>
    <w:rsid w:val="00603431"/>
    <w:rsid w:val="00604931"/>
    <w:rsid w:val="00606589"/>
    <w:rsid w:val="00612436"/>
    <w:rsid w:val="0061380C"/>
    <w:rsid w:val="00614044"/>
    <w:rsid w:val="00615F67"/>
    <w:rsid w:val="00616617"/>
    <w:rsid w:val="006214CE"/>
    <w:rsid w:val="0062200D"/>
    <w:rsid w:val="00624068"/>
    <w:rsid w:val="006250A9"/>
    <w:rsid w:val="006270EF"/>
    <w:rsid w:val="006275E3"/>
    <w:rsid w:val="00630782"/>
    <w:rsid w:val="0063250B"/>
    <w:rsid w:val="00634DCF"/>
    <w:rsid w:val="0063576D"/>
    <w:rsid w:val="00645ADC"/>
    <w:rsid w:val="0065030A"/>
    <w:rsid w:val="00651BF2"/>
    <w:rsid w:val="00652B03"/>
    <w:rsid w:val="00655CB2"/>
    <w:rsid w:val="006622EA"/>
    <w:rsid w:val="00664E90"/>
    <w:rsid w:val="00665396"/>
    <w:rsid w:val="006675EB"/>
    <w:rsid w:val="006717B6"/>
    <w:rsid w:val="00675837"/>
    <w:rsid w:val="00682B84"/>
    <w:rsid w:val="0068350F"/>
    <w:rsid w:val="006869FB"/>
    <w:rsid w:val="00690670"/>
    <w:rsid w:val="00690791"/>
    <w:rsid w:val="00693CDC"/>
    <w:rsid w:val="00697377"/>
    <w:rsid w:val="006A0A96"/>
    <w:rsid w:val="006A1DE8"/>
    <w:rsid w:val="006A388A"/>
    <w:rsid w:val="006A50CA"/>
    <w:rsid w:val="006A5F70"/>
    <w:rsid w:val="006A6475"/>
    <w:rsid w:val="006B12A5"/>
    <w:rsid w:val="006B38EE"/>
    <w:rsid w:val="006C1924"/>
    <w:rsid w:val="006C293E"/>
    <w:rsid w:val="006C2FF0"/>
    <w:rsid w:val="006C351D"/>
    <w:rsid w:val="006C625E"/>
    <w:rsid w:val="006D2302"/>
    <w:rsid w:val="006D718A"/>
    <w:rsid w:val="006D7D37"/>
    <w:rsid w:val="006E302E"/>
    <w:rsid w:val="006E473F"/>
    <w:rsid w:val="006E60F4"/>
    <w:rsid w:val="006E68E8"/>
    <w:rsid w:val="006F176C"/>
    <w:rsid w:val="006F550D"/>
    <w:rsid w:val="006F7547"/>
    <w:rsid w:val="00700D8C"/>
    <w:rsid w:val="007015CA"/>
    <w:rsid w:val="00703D21"/>
    <w:rsid w:val="00704C50"/>
    <w:rsid w:val="007061D7"/>
    <w:rsid w:val="0071012B"/>
    <w:rsid w:val="00711EC1"/>
    <w:rsid w:val="00714214"/>
    <w:rsid w:val="0071605B"/>
    <w:rsid w:val="00723F0D"/>
    <w:rsid w:val="0072465B"/>
    <w:rsid w:val="0072602B"/>
    <w:rsid w:val="00730267"/>
    <w:rsid w:val="00731EAA"/>
    <w:rsid w:val="007335D8"/>
    <w:rsid w:val="00741211"/>
    <w:rsid w:val="007436B5"/>
    <w:rsid w:val="00744486"/>
    <w:rsid w:val="00751B81"/>
    <w:rsid w:val="00752480"/>
    <w:rsid w:val="00753530"/>
    <w:rsid w:val="00755067"/>
    <w:rsid w:val="00755800"/>
    <w:rsid w:val="007564AF"/>
    <w:rsid w:val="00766921"/>
    <w:rsid w:val="00776684"/>
    <w:rsid w:val="0078113B"/>
    <w:rsid w:val="00783A6F"/>
    <w:rsid w:val="0079247D"/>
    <w:rsid w:val="00797EC9"/>
    <w:rsid w:val="007A0361"/>
    <w:rsid w:val="007A39C9"/>
    <w:rsid w:val="007B071F"/>
    <w:rsid w:val="007B3665"/>
    <w:rsid w:val="007C317E"/>
    <w:rsid w:val="007C5CDE"/>
    <w:rsid w:val="007C6EA9"/>
    <w:rsid w:val="007D31EF"/>
    <w:rsid w:val="007D33A3"/>
    <w:rsid w:val="007E5DBF"/>
    <w:rsid w:val="007E74A7"/>
    <w:rsid w:val="007E7C42"/>
    <w:rsid w:val="007F0824"/>
    <w:rsid w:val="007F0DEC"/>
    <w:rsid w:val="007F0EBF"/>
    <w:rsid w:val="007F24C2"/>
    <w:rsid w:val="00802C4D"/>
    <w:rsid w:val="008037BC"/>
    <w:rsid w:val="0080485A"/>
    <w:rsid w:val="00805F76"/>
    <w:rsid w:val="00812196"/>
    <w:rsid w:val="00812A0A"/>
    <w:rsid w:val="00816C7F"/>
    <w:rsid w:val="008242CB"/>
    <w:rsid w:val="00824F5D"/>
    <w:rsid w:val="00825E2F"/>
    <w:rsid w:val="0083224C"/>
    <w:rsid w:val="0084128A"/>
    <w:rsid w:val="00843DCB"/>
    <w:rsid w:val="00845DE2"/>
    <w:rsid w:val="00853425"/>
    <w:rsid w:val="00853F9A"/>
    <w:rsid w:val="00864C13"/>
    <w:rsid w:val="008660AB"/>
    <w:rsid w:val="008710F9"/>
    <w:rsid w:val="008800EF"/>
    <w:rsid w:val="00881C43"/>
    <w:rsid w:val="00882A5B"/>
    <w:rsid w:val="008854E7"/>
    <w:rsid w:val="008900E4"/>
    <w:rsid w:val="00891FF8"/>
    <w:rsid w:val="00894734"/>
    <w:rsid w:val="008951D3"/>
    <w:rsid w:val="008971E3"/>
    <w:rsid w:val="008A1B1B"/>
    <w:rsid w:val="008A1D5B"/>
    <w:rsid w:val="008A214D"/>
    <w:rsid w:val="008B17C7"/>
    <w:rsid w:val="008B5831"/>
    <w:rsid w:val="008B7CCC"/>
    <w:rsid w:val="008C0962"/>
    <w:rsid w:val="008C15DE"/>
    <w:rsid w:val="008C1CFF"/>
    <w:rsid w:val="008C379A"/>
    <w:rsid w:val="008C3ECC"/>
    <w:rsid w:val="008D1016"/>
    <w:rsid w:val="008E6064"/>
    <w:rsid w:val="008E7C4A"/>
    <w:rsid w:val="008F0858"/>
    <w:rsid w:val="008F3D1D"/>
    <w:rsid w:val="008F7974"/>
    <w:rsid w:val="00900D54"/>
    <w:rsid w:val="00904064"/>
    <w:rsid w:val="009042F3"/>
    <w:rsid w:val="00911BA3"/>
    <w:rsid w:val="00914259"/>
    <w:rsid w:val="00916CEA"/>
    <w:rsid w:val="00932C6E"/>
    <w:rsid w:val="009355A7"/>
    <w:rsid w:val="00945CA6"/>
    <w:rsid w:val="00950E54"/>
    <w:rsid w:val="00952EF3"/>
    <w:rsid w:val="009541C3"/>
    <w:rsid w:val="00964AC0"/>
    <w:rsid w:val="00970513"/>
    <w:rsid w:val="00971205"/>
    <w:rsid w:val="00976CA5"/>
    <w:rsid w:val="00983C76"/>
    <w:rsid w:val="009872A4"/>
    <w:rsid w:val="00996EA6"/>
    <w:rsid w:val="0099745E"/>
    <w:rsid w:val="009A3693"/>
    <w:rsid w:val="009A5CAB"/>
    <w:rsid w:val="009A74AE"/>
    <w:rsid w:val="009B0820"/>
    <w:rsid w:val="009B371B"/>
    <w:rsid w:val="009B4BBA"/>
    <w:rsid w:val="009B4F15"/>
    <w:rsid w:val="009B546A"/>
    <w:rsid w:val="009B6237"/>
    <w:rsid w:val="009C0E87"/>
    <w:rsid w:val="009C5273"/>
    <w:rsid w:val="009D51BF"/>
    <w:rsid w:val="009D66FF"/>
    <w:rsid w:val="009F3289"/>
    <w:rsid w:val="009F3B71"/>
    <w:rsid w:val="009F3E76"/>
    <w:rsid w:val="00A00305"/>
    <w:rsid w:val="00A0691D"/>
    <w:rsid w:val="00A14588"/>
    <w:rsid w:val="00A1469A"/>
    <w:rsid w:val="00A16257"/>
    <w:rsid w:val="00A259B1"/>
    <w:rsid w:val="00A304C8"/>
    <w:rsid w:val="00A32160"/>
    <w:rsid w:val="00A335E9"/>
    <w:rsid w:val="00A36046"/>
    <w:rsid w:val="00A377E4"/>
    <w:rsid w:val="00A51583"/>
    <w:rsid w:val="00A5710A"/>
    <w:rsid w:val="00A62057"/>
    <w:rsid w:val="00A624F5"/>
    <w:rsid w:val="00A66A52"/>
    <w:rsid w:val="00A71169"/>
    <w:rsid w:val="00A75498"/>
    <w:rsid w:val="00A8687A"/>
    <w:rsid w:val="00A935CA"/>
    <w:rsid w:val="00A956FB"/>
    <w:rsid w:val="00A959BF"/>
    <w:rsid w:val="00A9779F"/>
    <w:rsid w:val="00AA3387"/>
    <w:rsid w:val="00AA7264"/>
    <w:rsid w:val="00AB012D"/>
    <w:rsid w:val="00AB249E"/>
    <w:rsid w:val="00AB47F3"/>
    <w:rsid w:val="00AD3D7D"/>
    <w:rsid w:val="00AD787F"/>
    <w:rsid w:val="00AE025C"/>
    <w:rsid w:val="00AE05CB"/>
    <w:rsid w:val="00AE3203"/>
    <w:rsid w:val="00AE6E50"/>
    <w:rsid w:val="00AF1E83"/>
    <w:rsid w:val="00B007D9"/>
    <w:rsid w:val="00B020FB"/>
    <w:rsid w:val="00B03CCE"/>
    <w:rsid w:val="00B101E0"/>
    <w:rsid w:val="00B1100F"/>
    <w:rsid w:val="00B121C6"/>
    <w:rsid w:val="00B14D18"/>
    <w:rsid w:val="00B229B9"/>
    <w:rsid w:val="00B242C6"/>
    <w:rsid w:val="00B25C13"/>
    <w:rsid w:val="00B27DF4"/>
    <w:rsid w:val="00B37659"/>
    <w:rsid w:val="00B41D0A"/>
    <w:rsid w:val="00B4575B"/>
    <w:rsid w:val="00B47C8F"/>
    <w:rsid w:val="00B505B6"/>
    <w:rsid w:val="00B53A8E"/>
    <w:rsid w:val="00B62C68"/>
    <w:rsid w:val="00B71DB2"/>
    <w:rsid w:val="00B73160"/>
    <w:rsid w:val="00B74687"/>
    <w:rsid w:val="00B75056"/>
    <w:rsid w:val="00B76725"/>
    <w:rsid w:val="00B767E8"/>
    <w:rsid w:val="00B93BDE"/>
    <w:rsid w:val="00B9725F"/>
    <w:rsid w:val="00BA01B4"/>
    <w:rsid w:val="00BA1D9C"/>
    <w:rsid w:val="00BA71DF"/>
    <w:rsid w:val="00BA73AA"/>
    <w:rsid w:val="00BB05B5"/>
    <w:rsid w:val="00BB2A4A"/>
    <w:rsid w:val="00BB412C"/>
    <w:rsid w:val="00BB7C66"/>
    <w:rsid w:val="00BB7DEB"/>
    <w:rsid w:val="00BC4AC0"/>
    <w:rsid w:val="00BD45FE"/>
    <w:rsid w:val="00BE1F25"/>
    <w:rsid w:val="00BE4A36"/>
    <w:rsid w:val="00BF00B0"/>
    <w:rsid w:val="00BF1758"/>
    <w:rsid w:val="00BF5E58"/>
    <w:rsid w:val="00C03CCA"/>
    <w:rsid w:val="00C0607B"/>
    <w:rsid w:val="00C127A0"/>
    <w:rsid w:val="00C13233"/>
    <w:rsid w:val="00C134C5"/>
    <w:rsid w:val="00C14169"/>
    <w:rsid w:val="00C154F6"/>
    <w:rsid w:val="00C211D2"/>
    <w:rsid w:val="00C2564C"/>
    <w:rsid w:val="00C25E24"/>
    <w:rsid w:val="00C353A4"/>
    <w:rsid w:val="00C51AB9"/>
    <w:rsid w:val="00C61399"/>
    <w:rsid w:val="00C64E5A"/>
    <w:rsid w:val="00C66590"/>
    <w:rsid w:val="00C74BE9"/>
    <w:rsid w:val="00C858A1"/>
    <w:rsid w:val="00C94466"/>
    <w:rsid w:val="00CA0CF4"/>
    <w:rsid w:val="00CA5715"/>
    <w:rsid w:val="00CA6498"/>
    <w:rsid w:val="00CA6961"/>
    <w:rsid w:val="00CA788B"/>
    <w:rsid w:val="00CB6B64"/>
    <w:rsid w:val="00CB707F"/>
    <w:rsid w:val="00CD001F"/>
    <w:rsid w:val="00CD2D66"/>
    <w:rsid w:val="00CE02B3"/>
    <w:rsid w:val="00CE539D"/>
    <w:rsid w:val="00CE616A"/>
    <w:rsid w:val="00CE7581"/>
    <w:rsid w:val="00CF4901"/>
    <w:rsid w:val="00CF7D20"/>
    <w:rsid w:val="00CF7E9D"/>
    <w:rsid w:val="00D0121C"/>
    <w:rsid w:val="00D05A29"/>
    <w:rsid w:val="00D11F11"/>
    <w:rsid w:val="00D1471A"/>
    <w:rsid w:val="00D15A0D"/>
    <w:rsid w:val="00D16887"/>
    <w:rsid w:val="00D20479"/>
    <w:rsid w:val="00D2091A"/>
    <w:rsid w:val="00D21550"/>
    <w:rsid w:val="00D21750"/>
    <w:rsid w:val="00D2255F"/>
    <w:rsid w:val="00D2380D"/>
    <w:rsid w:val="00D23A7C"/>
    <w:rsid w:val="00D268BB"/>
    <w:rsid w:val="00D305A0"/>
    <w:rsid w:val="00D31B54"/>
    <w:rsid w:val="00D3430D"/>
    <w:rsid w:val="00D40162"/>
    <w:rsid w:val="00D40232"/>
    <w:rsid w:val="00D464BA"/>
    <w:rsid w:val="00D46E1A"/>
    <w:rsid w:val="00D52ABE"/>
    <w:rsid w:val="00D54ABC"/>
    <w:rsid w:val="00D5667C"/>
    <w:rsid w:val="00D57563"/>
    <w:rsid w:val="00D57BAF"/>
    <w:rsid w:val="00D57DE9"/>
    <w:rsid w:val="00D62C85"/>
    <w:rsid w:val="00D65643"/>
    <w:rsid w:val="00D70B5F"/>
    <w:rsid w:val="00D75261"/>
    <w:rsid w:val="00D75E45"/>
    <w:rsid w:val="00D8114E"/>
    <w:rsid w:val="00D8155A"/>
    <w:rsid w:val="00D83514"/>
    <w:rsid w:val="00D92E6E"/>
    <w:rsid w:val="00D945FE"/>
    <w:rsid w:val="00DA0157"/>
    <w:rsid w:val="00DA2BBA"/>
    <w:rsid w:val="00DA3848"/>
    <w:rsid w:val="00DA44CE"/>
    <w:rsid w:val="00DA4A5A"/>
    <w:rsid w:val="00DA585D"/>
    <w:rsid w:val="00DA72DE"/>
    <w:rsid w:val="00DA7EF9"/>
    <w:rsid w:val="00DB379F"/>
    <w:rsid w:val="00DB3D4E"/>
    <w:rsid w:val="00DB7700"/>
    <w:rsid w:val="00DC7239"/>
    <w:rsid w:val="00DD10B8"/>
    <w:rsid w:val="00DD2FCF"/>
    <w:rsid w:val="00DD5BDF"/>
    <w:rsid w:val="00DD78C2"/>
    <w:rsid w:val="00DE40FA"/>
    <w:rsid w:val="00DE6AFE"/>
    <w:rsid w:val="00DE7701"/>
    <w:rsid w:val="00DF0773"/>
    <w:rsid w:val="00DF68C2"/>
    <w:rsid w:val="00DF728C"/>
    <w:rsid w:val="00E03746"/>
    <w:rsid w:val="00E03C07"/>
    <w:rsid w:val="00E0429C"/>
    <w:rsid w:val="00E05457"/>
    <w:rsid w:val="00E063FC"/>
    <w:rsid w:val="00E1262B"/>
    <w:rsid w:val="00E132DB"/>
    <w:rsid w:val="00E14934"/>
    <w:rsid w:val="00E15C6E"/>
    <w:rsid w:val="00E16110"/>
    <w:rsid w:val="00E167F4"/>
    <w:rsid w:val="00E20421"/>
    <w:rsid w:val="00E219EC"/>
    <w:rsid w:val="00E2471B"/>
    <w:rsid w:val="00E26B1B"/>
    <w:rsid w:val="00E33AFB"/>
    <w:rsid w:val="00E406E9"/>
    <w:rsid w:val="00E4268B"/>
    <w:rsid w:val="00E4632E"/>
    <w:rsid w:val="00E46A64"/>
    <w:rsid w:val="00E51F25"/>
    <w:rsid w:val="00E544BE"/>
    <w:rsid w:val="00E54869"/>
    <w:rsid w:val="00E54945"/>
    <w:rsid w:val="00E54FC7"/>
    <w:rsid w:val="00E60530"/>
    <w:rsid w:val="00E70F31"/>
    <w:rsid w:val="00E7160F"/>
    <w:rsid w:val="00E75939"/>
    <w:rsid w:val="00E77797"/>
    <w:rsid w:val="00E8206E"/>
    <w:rsid w:val="00E82138"/>
    <w:rsid w:val="00E85DC4"/>
    <w:rsid w:val="00E92037"/>
    <w:rsid w:val="00E937F3"/>
    <w:rsid w:val="00E946FE"/>
    <w:rsid w:val="00E96030"/>
    <w:rsid w:val="00EB49FA"/>
    <w:rsid w:val="00EB5DAD"/>
    <w:rsid w:val="00EC2551"/>
    <w:rsid w:val="00EC3410"/>
    <w:rsid w:val="00EC58F4"/>
    <w:rsid w:val="00ED3919"/>
    <w:rsid w:val="00EF3389"/>
    <w:rsid w:val="00EF7569"/>
    <w:rsid w:val="00EF7DEF"/>
    <w:rsid w:val="00F00B95"/>
    <w:rsid w:val="00F05E3F"/>
    <w:rsid w:val="00F134AC"/>
    <w:rsid w:val="00F139E6"/>
    <w:rsid w:val="00F1457E"/>
    <w:rsid w:val="00F24D5B"/>
    <w:rsid w:val="00F3123F"/>
    <w:rsid w:val="00F32D78"/>
    <w:rsid w:val="00F34287"/>
    <w:rsid w:val="00F363F2"/>
    <w:rsid w:val="00F3727D"/>
    <w:rsid w:val="00F372ED"/>
    <w:rsid w:val="00F40F6B"/>
    <w:rsid w:val="00F415E2"/>
    <w:rsid w:val="00F42DEF"/>
    <w:rsid w:val="00F46FB8"/>
    <w:rsid w:val="00F525C9"/>
    <w:rsid w:val="00F53AD5"/>
    <w:rsid w:val="00F6066A"/>
    <w:rsid w:val="00F664C7"/>
    <w:rsid w:val="00F670BC"/>
    <w:rsid w:val="00F70DB5"/>
    <w:rsid w:val="00F710E7"/>
    <w:rsid w:val="00F71797"/>
    <w:rsid w:val="00F72F23"/>
    <w:rsid w:val="00F74EFE"/>
    <w:rsid w:val="00F75244"/>
    <w:rsid w:val="00F75F49"/>
    <w:rsid w:val="00F86117"/>
    <w:rsid w:val="00F92C1C"/>
    <w:rsid w:val="00F968E5"/>
    <w:rsid w:val="00FA165F"/>
    <w:rsid w:val="00FA1683"/>
    <w:rsid w:val="00FA1E4B"/>
    <w:rsid w:val="00FA3CAF"/>
    <w:rsid w:val="00FA61BE"/>
    <w:rsid w:val="00FB23E3"/>
    <w:rsid w:val="00FB31F3"/>
    <w:rsid w:val="00FB622E"/>
    <w:rsid w:val="00FC240C"/>
    <w:rsid w:val="00FC2EB8"/>
    <w:rsid w:val="00FC42E9"/>
    <w:rsid w:val="00FC442A"/>
    <w:rsid w:val="00FC59CB"/>
    <w:rsid w:val="00FC73C3"/>
    <w:rsid w:val="00FC766C"/>
    <w:rsid w:val="00FD2614"/>
    <w:rsid w:val="00FD3012"/>
    <w:rsid w:val="00FD45EC"/>
    <w:rsid w:val="00FD71BA"/>
    <w:rsid w:val="00FD7D5D"/>
    <w:rsid w:val="00FE06F9"/>
    <w:rsid w:val="00FF4E18"/>
    <w:rsid w:val="00FF58DF"/>
    <w:rsid w:val="00FF6242"/>
    <w:rsid w:val="00FF7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A25C1"/>
  <w15:chartTrackingRefBased/>
  <w15:docId w15:val="{E5A11DE1-2615-48CA-BEEF-494389672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3D4E"/>
    <w:pPr>
      <w:spacing w:after="0" w:line="240" w:lineRule="auto"/>
    </w:pPr>
    <w:rPr>
      <w:rFonts w:ascii="Calibri" w:hAnsi="Calibri" w:cs="Calibri"/>
    </w:rPr>
  </w:style>
  <w:style w:type="paragraph" w:styleId="Heading1">
    <w:name w:val="heading 1"/>
    <w:basedOn w:val="Normal"/>
    <w:next w:val="Normal"/>
    <w:link w:val="Heading1Char"/>
    <w:uiPriority w:val="9"/>
    <w:qFormat/>
    <w:rsid w:val="005454F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5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5DAD"/>
    <w:pPr>
      <w:ind w:left="720"/>
    </w:pPr>
  </w:style>
  <w:style w:type="table" w:styleId="GridTable1Light">
    <w:name w:val="Grid Table 1 Light"/>
    <w:basedOn w:val="TableNormal"/>
    <w:uiPriority w:val="46"/>
    <w:rsid w:val="00983C7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AE025C"/>
    <w:pPr>
      <w:tabs>
        <w:tab w:val="center" w:pos="4680"/>
        <w:tab w:val="right" w:pos="9360"/>
      </w:tabs>
    </w:pPr>
  </w:style>
  <w:style w:type="character" w:customStyle="1" w:styleId="HeaderChar">
    <w:name w:val="Header Char"/>
    <w:basedOn w:val="DefaultParagraphFont"/>
    <w:link w:val="Header"/>
    <w:uiPriority w:val="99"/>
    <w:rsid w:val="00AE025C"/>
    <w:rPr>
      <w:rFonts w:ascii="Calibri" w:hAnsi="Calibri" w:cs="Calibri"/>
    </w:rPr>
  </w:style>
  <w:style w:type="paragraph" w:styleId="Footer">
    <w:name w:val="footer"/>
    <w:basedOn w:val="Normal"/>
    <w:link w:val="FooterChar"/>
    <w:uiPriority w:val="99"/>
    <w:unhideWhenUsed/>
    <w:rsid w:val="00AE025C"/>
    <w:pPr>
      <w:tabs>
        <w:tab w:val="center" w:pos="4680"/>
        <w:tab w:val="right" w:pos="9360"/>
      </w:tabs>
    </w:pPr>
  </w:style>
  <w:style w:type="character" w:customStyle="1" w:styleId="FooterChar">
    <w:name w:val="Footer Char"/>
    <w:basedOn w:val="DefaultParagraphFont"/>
    <w:link w:val="Footer"/>
    <w:uiPriority w:val="99"/>
    <w:rsid w:val="00AE025C"/>
    <w:rPr>
      <w:rFonts w:ascii="Calibri" w:hAnsi="Calibri" w:cs="Calibri"/>
    </w:rPr>
  </w:style>
  <w:style w:type="paragraph" w:styleId="EndnoteText">
    <w:name w:val="endnote text"/>
    <w:basedOn w:val="Normal"/>
    <w:link w:val="EndnoteTextChar"/>
    <w:uiPriority w:val="99"/>
    <w:semiHidden/>
    <w:unhideWhenUsed/>
    <w:rsid w:val="00BF5E58"/>
    <w:rPr>
      <w:sz w:val="20"/>
      <w:szCs w:val="20"/>
    </w:rPr>
  </w:style>
  <w:style w:type="character" w:customStyle="1" w:styleId="EndnoteTextChar">
    <w:name w:val="Endnote Text Char"/>
    <w:basedOn w:val="DefaultParagraphFont"/>
    <w:link w:val="EndnoteText"/>
    <w:uiPriority w:val="99"/>
    <w:semiHidden/>
    <w:rsid w:val="00BF5E58"/>
    <w:rPr>
      <w:rFonts w:ascii="Calibri" w:hAnsi="Calibri" w:cs="Calibri"/>
      <w:sz w:val="20"/>
      <w:szCs w:val="20"/>
    </w:rPr>
  </w:style>
  <w:style w:type="character" w:styleId="EndnoteReference">
    <w:name w:val="endnote reference"/>
    <w:basedOn w:val="DefaultParagraphFont"/>
    <w:uiPriority w:val="99"/>
    <w:semiHidden/>
    <w:unhideWhenUsed/>
    <w:rsid w:val="00BF5E58"/>
    <w:rPr>
      <w:vertAlign w:val="superscript"/>
    </w:rPr>
  </w:style>
  <w:style w:type="character" w:styleId="CommentReference">
    <w:name w:val="annotation reference"/>
    <w:basedOn w:val="DefaultParagraphFont"/>
    <w:uiPriority w:val="99"/>
    <w:semiHidden/>
    <w:unhideWhenUsed/>
    <w:rsid w:val="004030CF"/>
    <w:rPr>
      <w:sz w:val="16"/>
      <w:szCs w:val="16"/>
    </w:rPr>
  </w:style>
  <w:style w:type="paragraph" w:styleId="CommentText">
    <w:name w:val="annotation text"/>
    <w:basedOn w:val="Normal"/>
    <w:link w:val="CommentTextChar"/>
    <w:uiPriority w:val="99"/>
    <w:semiHidden/>
    <w:unhideWhenUsed/>
    <w:rsid w:val="004030CF"/>
    <w:rPr>
      <w:sz w:val="20"/>
      <w:szCs w:val="20"/>
    </w:rPr>
  </w:style>
  <w:style w:type="character" w:customStyle="1" w:styleId="CommentTextChar">
    <w:name w:val="Comment Text Char"/>
    <w:basedOn w:val="DefaultParagraphFont"/>
    <w:link w:val="CommentText"/>
    <w:uiPriority w:val="99"/>
    <w:semiHidden/>
    <w:rsid w:val="004030C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4030CF"/>
    <w:rPr>
      <w:b/>
      <w:bCs/>
    </w:rPr>
  </w:style>
  <w:style w:type="character" w:customStyle="1" w:styleId="CommentSubjectChar">
    <w:name w:val="Comment Subject Char"/>
    <w:basedOn w:val="CommentTextChar"/>
    <w:link w:val="CommentSubject"/>
    <w:uiPriority w:val="99"/>
    <w:semiHidden/>
    <w:rsid w:val="004030CF"/>
    <w:rPr>
      <w:rFonts w:ascii="Calibri" w:hAnsi="Calibri" w:cs="Calibri"/>
      <w:b/>
      <w:bCs/>
      <w:sz w:val="20"/>
      <w:szCs w:val="20"/>
    </w:rPr>
  </w:style>
  <w:style w:type="paragraph" w:styleId="BalloonText">
    <w:name w:val="Balloon Text"/>
    <w:basedOn w:val="Normal"/>
    <w:link w:val="BalloonTextChar"/>
    <w:uiPriority w:val="99"/>
    <w:semiHidden/>
    <w:unhideWhenUsed/>
    <w:rsid w:val="004030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0CF"/>
    <w:rPr>
      <w:rFonts w:ascii="Segoe UI" w:hAnsi="Segoe UI" w:cs="Segoe UI"/>
      <w:sz w:val="18"/>
      <w:szCs w:val="18"/>
    </w:rPr>
  </w:style>
  <w:style w:type="character" w:customStyle="1" w:styleId="Heading1Char">
    <w:name w:val="Heading 1 Char"/>
    <w:basedOn w:val="DefaultParagraphFont"/>
    <w:link w:val="Heading1"/>
    <w:uiPriority w:val="9"/>
    <w:rsid w:val="005454F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454F8"/>
    <w:pPr>
      <w:spacing w:line="259" w:lineRule="auto"/>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54132">
      <w:bodyDiv w:val="1"/>
      <w:marLeft w:val="0"/>
      <w:marRight w:val="0"/>
      <w:marTop w:val="0"/>
      <w:marBottom w:val="0"/>
      <w:divBdr>
        <w:top w:val="none" w:sz="0" w:space="0" w:color="auto"/>
        <w:left w:val="none" w:sz="0" w:space="0" w:color="auto"/>
        <w:bottom w:val="none" w:sz="0" w:space="0" w:color="auto"/>
        <w:right w:val="none" w:sz="0" w:space="0" w:color="auto"/>
      </w:divBdr>
    </w:div>
    <w:div w:id="63843306">
      <w:bodyDiv w:val="1"/>
      <w:marLeft w:val="0"/>
      <w:marRight w:val="0"/>
      <w:marTop w:val="0"/>
      <w:marBottom w:val="0"/>
      <w:divBdr>
        <w:top w:val="none" w:sz="0" w:space="0" w:color="auto"/>
        <w:left w:val="none" w:sz="0" w:space="0" w:color="auto"/>
        <w:bottom w:val="none" w:sz="0" w:space="0" w:color="auto"/>
        <w:right w:val="none" w:sz="0" w:space="0" w:color="auto"/>
      </w:divBdr>
    </w:div>
    <w:div w:id="80489515">
      <w:bodyDiv w:val="1"/>
      <w:marLeft w:val="0"/>
      <w:marRight w:val="0"/>
      <w:marTop w:val="0"/>
      <w:marBottom w:val="0"/>
      <w:divBdr>
        <w:top w:val="none" w:sz="0" w:space="0" w:color="auto"/>
        <w:left w:val="none" w:sz="0" w:space="0" w:color="auto"/>
        <w:bottom w:val="none" w:sz="0" w:space="0" w:color="auto"/>
        <w:right w:val="none" w:sz="0" w:space="0" w:color="auto"/>
      </w:divBdr>
    </w:div>
    <w:div w:id="90048324">
      <w:bodyDiv w:val="1"/>
      <w:marLeft w:val="0"/>
      <w:marRight w:val="0"/>
      <w:marTop w:val="0"/>
      <w:marBottom w:val="0"/>
      <w:divBdr>
        <w:top w:val="none" w:sz="0" w:space="0" w:color="auto"/>
        <w:left w:val="none" w:sz="0" w:space="0" w:color="auto"/>
        <w:bottom w:val="none" w:sz="0" w:space="0" w:color="auto"/>
        <w:right w:val="none" w:sz="0" w:space="0" w:color="auto"/>
      </w:divBdr>
    </w:div>
    <w:div w:id="151873057">
      <w:bodyDiv w:val="1"/>
      <w:marLeft w:val="0"/>
      <w:marRight w:val="0"/>
      <w:marTop w:val="0"/>
      <w:marBottom w:val="0"/>
      <w:divBdr>
        <w:top w:val="none" w:sz="0" w:space="0" w:color="auto"/>
        <w:left w:val="none" w:sz="0" w:space="0" w:color="auto"/>
        <w:bottom w:val="none" w:sz="0" w:space="0" w:color="auto"/>
        <w:right w:val="none" w:sz="0" w:space="0" w:color="auto"/>
      </w:divBdr>
    </w:div>
    <w:div w:id="158666618">
      <w:bodyDiv w:val="1"/>
      <w:marLeft w:val="0"/>
      <w:marRight w:val="0"/>
      <w:marTop w:val="0"/>
      <w:marBottom w:val="0"/>
      <w:divBdr>
        <w:top w:val="none" w:sz="0" w:space="0" w:color="auto"/>
        <w:left w:val="none" w:sz="0" w:space="0" w:color="auto"/>
        <w:bottom w:val="none" w:sz="0" w:space="0" w:color="auto"/>
        <w:right w:val="none" w:sz="0" w:space="0" w:color="auto"/>
      </w:divBdr>
    </w:div>
    <w:div w:id="185674963">
      <w:bodyDiv w:val="1"/>
      <w:marLeft w:val="0"/>
      <w:marRight w:val="0"/>
      <w:marTop w:val="0"/>
      <w:marBottom w:val="0"/>
      <w:divBdr>
        <w:top w:val="none" w:sz="0" w:space="0" w:color="auto"/>
        <w:left w:val="none" w:sz="0" w:space="0" w:color="auto"/>
        <w:bottom w:val="none" w:sz="0" w:space="0" w:color="auto"/>
        <w:right w:val="none" w:sz="0" w:space="0" w:color="auto"/>
      </w:divBdr>
    </w:div>
    <w:div w:id="223106228">
      <w:bodyDiv w:val="1"/>
      <w:marLeft w:val="0"/>
      <w:marRight w:val="0"/>
      <w:marTop w:val="0"/>
      <w:marBottom w:val="0"/>
      <w:divBdr>
        <w:top w:val="none" w:sz="0" w:space="0" w:color="auto"/>
        <w:left w:val="none" w:sz="0" w:space="0" w:color="auto"/>
        <w:bottom w:val="none" w:sz="0" w:space="0" w:color="auto"/>
        <w:right w:val="none" w:sz="0" w:space="0" w:color="auto"/>
      </w:divBdr>
    </w:div>
    <w:div w:id="232594170">
      <w:bodyDiv w:val="1"/>
      <w:marLeft w:val="0"/>
      <w:marRight w:val="0"/>
      <w:marTop w:val="0"/>
      <w:marBottom w:val="0"/>
      <w:divBdr>
        <w:top w:val="none" w:sz="0" w:space="0" w:color="auto"/>
        <w:left w:val="none" w:sz="0" w:space="0" w:color="auto"/>
        <w:bottom w:val="none" w:sz="0" w:space="0" w:color="auto"/>
        <w:right w:val="none" w:sz="0" w:space="0" w:color="auto"/>
      </w:divBdr>
    </w:div>
    <w:div w:id="263879632">
      <w:bodyDiv w:val="1"/>
      <w:marLeft w:val="0"/>
      <w:marRight w:val="0"/>
      <w:marTop w:val="0"/>
      <w:marBottom w:val="0"/>
      <w:divBdr>
        <w:top w:val="none" w:sz="0" w:space="0" w:color="auto"/>
        <w:left w:val="none" w:sz="0" w:space="0" w:color="auto"/>
        <w:bottom w:val="none" w:sz="0" w:space="0" w:color="auto"/>
        <w:right w:val="none" w:sz="0" w:space="0" w:color="auto"/>
      </w:divBdr>
    </w:div>
    <w:div w:id="284846825">
      <w:bodyDiv w:val="1"/>
      <w:marLeft w:val="0"/>
      <w:marRight w:val="0"/>
      <w:marTop w:val="0"/>
      <w:marBottom w:val="0"/>
      <w:divBdr>
        <w:top w:val="none" w:sz="0" w:space="0" w:color="auto"/>
        <w:left w:val="none" w:sz="0" w:space="0" w:color="auto"/>
        <w:bottom w:val="none" w:sz="0" w:space="0" w:color="auto"/>
        <w:right w:val="none" w:sz="0" w:space="0" w:color="auto"/>
      </w:divBdr>
    </w:div>
    <w:div w:id="305474014">
      <w:bodyDiv w:val="1"/>
      <w:marLeft w:val="0"/>
      <w:marRight w:val="0"/>
      <w:marTop w:val="0"/>
      <w:marBottom w:val="0"/>
      <w:divBdr>
        <w:top w:val="none" w:sz="0" w:space="0" w:color="auto"/>
        <w:left w:val="none" w:sz="0" w:space="0" w:color="auto"/>
        <w:bottom w:val="none" w:sz="0" w:space="0" w:color="auto"/>
        <w:right w:val="none" w:sz="0" w:space="0" w:color="auto"/>
      </w:divBdr>
    </w:div>
    <w:div w:id="395006888">
      <w:bodyDiv w:val="1"/>
      <w:marLeft w:val="0"/>
      <w:marRight w:val="0"/>
      <w:marTop w:val="0"/>
      <w:marBottom w:val="0"/>
      <w:divBdr>
        <w:top w:val="none" w:sz="0" w:space="0" w:color="auto"/>
        <w:left w:val="none" w:sz="0" w:space="0" w:color="auto"/>
        <w:bottom w:val="none" w:sz="0" w:space="0" w:color="auto"/>
        <w:right w:val="none" w:sz="0" w:space="0" w:color="auto"/>
      </w:divBdr>
    </w:div>
    <w:div w:id="396979583">
      <w:bodyDiv w:val="1"/>
      <w:marLeft w:val="0"/>
      <w:marRight w:val="0"/>
      <w:marTop w:val="0"/>
      <w:marBottom w:val="0"/>
      <w:divBdr>
        <w:top w:val="none" w:sz="0" w:space="0" w:color="auto"/>
        <w:left w:val="none" w:sz="0" w:space="0" w:color="auto"/>
        <w:bottom w:val="none" w:sz="0" w:space="0" w:color="auto"/>
        <w:right w:val="none" w:sz="0" w:space="0" w:color="auto"/>
      </w:divBdr>
    </w:div>
    <w:div w:id="407315509">
      <w:bodyDiv w:val="1"/>
      <w:marLeft w:val="0"/>
      <w:marRight w:val="0"/>
      <w:marTop w:val="0"/>
      <w:marBottom w:val="0"/>
      <w:divBdr>
        <w:top w:val="none" w:sz="0" w:space="0" w:color="auto"/>
        <w:left w:val="none" w:sz="0" w:space="0" w:color="auto"/>
        <w:bottom w:val="none" w:sz="0" w:space="0" w:color="auto"/>
        <w:right w:val="none" w:sz="0" w:space="0" w:color="auto"/>
      </w:divBdr>
    </w:div>
    <w:div w:id="417096628">
      <w:bodyDiv w:val="1"/>
      <w:marLeft w:val="0"/>
      <w:marRight w:val="0"/>
      <w:marTop w:val="0"/>
      <w:marBottom w:val="0"/>
      <w:divBdr>
        <w:top w:val="none" w:sz="0" w:space="0" w:color="auto"/>
        <w:left w:val="none" w:sz="0" w:space="0" w:color="auto"/>
        <w:bottom w:val="none" w:sz="0" w:space="0" w:color="auto"/>
        <w:right w:val="none" w:sz="0" w:space="0" w:color="auto"/>
      </w:divBdr>
    </w:div>
    <w:div w:id="459491403">
      <w:bodyDiv w:val="1"/>
      <w:marLeft w:val="0"/>
      <w:marRight w:val="0"/>
      <w:marTop w:val="0"/>
      <w:marBottom w:val="0"/>
      <w:divBdr>
        <w:top w:val="none" w:sz="0" w:space="0" w:color="auto"/>
        <w:left w:val="none" w:sz="0" w:space="0" w:color="auto"/>
        <w:bottom w:val="none" w:sz="0" w:space="0" w:color="auto"/>
        <w:right w:val="none" w:sz="0" w:space="0" w:color="auto"/>
      </w:divBdr>
    </w:div>
    <w:div w:id="499808406">
      <w:bodyDiv w:val="1"/>
      <w:marLeft w:val="0"/>
      <w:marRight w:val="0"/>
      <w:marTop w:val="0"/>
      <w:marBottom w:val="0"/>
      <w:divBdr>
        <w:top w:val="none" w:sz="0" w:space="0" w:color="auto"/>
        <w:left w:val="none" w:sz="0" w:space="0" w:color="auto"/>
        <w:bottom w:val="none" w:sz="0" w:space="0" w:color="auto"/>
        <w:right w:val="none" w:sz="0" w:space="0" w:color="auto"/>
      </w:divBdr>
    </w:div>
    <w:div w:id="508374365">
      <w:bodyDiv w:val="1"/>
      <w:marLeft w:val="0"/>
      <w:marRight w:val="0"/>
      <w:marTop w:val="0"/>
      <w:marBottom w:val="0"/>
      <w:divBdr>
        <w:top w:val="none" w:sz="0" w:space="0" w:color="auto"/>
        <w:left w:val="none" w:sz="0" w:space="0" w:color="auto"/>
        <w:bottom w:val="none" w:sz="0" w:space="0" w:color="auto"/>
        <w:right w:val="none" w:sz="0" w:space="0" w:color="auto"/>
      </w:divBdr>
    </w:div>
    <w:div w:id="515846475">
      <w:bodyDiv w:val="1"/>
      <w:marLeft w:val="0"/>
      <w:marRight w:val="0"/>
      <w:marTop w:val="0"/>
      <w:marBottom w:val="0"/>
      <w:divBdr>
        <w:top w:val="none" w:sz="0" w:space="0" w:color="auto"/>
        <w:left w:val="none" w:sz="0" w:space="0" w:color="auto"/>
        <w:bottom w:val="none" w:sz="0" w:space="0" w:color="auto"/>
        <w:right w:val="none" w:sz="0" w:space="0" w:color="auto"/>
      </w:divBdr>
    </w:div>
    <w:div w:id="519468177">
      <w:bodyDiv w:val="1"/>
      <w:marLeft w:val="0"/>
      <w:marRight w:val="0"/>
      <w:marTop w:val="0"/>
      <w:marBottom w:val="0"/>
      <w:divBdr>
        <w:top w:val="none" w:sz="0" w:space="0" w:color="auto"/>
        <w:left w:val="none" w:sz="0" w:space="0" w:color="auto"/>
        <w:bottom w:val="none" w:sz="0" w:space="0" w:color="auto"/>
        <w:right w:val="none" w:sz="0" w:space="0" w:color="auto"/>
      </w:divBdr>
    </w:div>
    <w:div w:id="538051900">
      <w:bodyDiv w:val="1"/>
      <w:marLeft w:val="0"/>
      <w:marRight w:val="0"/>
      <w:marTop w:val="0"/>
      <w:marBottom w:val="0"/>
      <w:divBdr>
        <w:top w:val="none" w:sz="0" w:space="0" w:color="auto"/>
        <w:left w:val="none" w:sz="0" w:space="0" w:color="auto"/>
        <w:bottom w:val="none" w:sz="0" w:space="0" w:color="auto"/>
        <w:right w:val="none" w:sz="0" w:space="0" w:color="auto"/>
      </w:divBdr>
    </w:div>
    <w:div w:id="543058003">
      <w:bodyDiv w:val="1"/>
      <w:marLeft w:val="0"/>
      <w:marRight w:val="0"/>
      <w:marTop w:val="0"/>
      <w:marBottom w:val="0"/>
      <w:divBdr>
        <w:top w:val="none" w:sz="0" w:space="0" w:color="auto"/>
        <w:left w:val="none" w:sz="0" w:space="0" w:color="auto"/>
        <w:bottom w:val="none" w:sz="0" w:space="0" w:color="auto"/>
        <w:right w:val="none" w:sz="0" w:space="0" w:color="auto"/>
      </w:divBdr>
    </w:div>
    <w:div w:id="556816683">
      <w:bodyDiv w:val="1"/>
      <w:marLeft w:val="0"/>
      <w:marRight w:val="0"/>
      <w:marTop w:val="0"/>
      <w:marBottom w:val="0"/>
      <w:divBdr>
        <w:top w:val="none" w:sz="0" w:space="0" w:color="auto"/>
        <w:left w:val="none" w:sz="0" w:space="0" w:color="auto"/>
        <w:bottom w:val="none" w:sz="0" w:space="0" w:color="auto"/>
        <w:right w:val="none" w:sz="0" w:space="0" w:color="auto"/>
      </w:divBdr>
    </w:div>
    <w:div w:id="574513306">
      <w:bodyDiv w:val="1"/>
      <w:marLeft w:val="0"/>
      <w:marRight w:val="0"/>
      <w:marTop w:val="0"/>
      <w:marBottom w:val="0"/>
      <w:divBdr>
        <w:top w:val="none" w:sz="0" w:space="0" w:color="auto"/>
        <w:left w:val="none" w:sz="0" w:space="0" w:color="auto"/>
        <w:bottom w:val="none" w:sz="0" w:space="0" w:color="auto"/>
        <w:right w:val="none" w:sz="0" w:space="0" w:color="auto"/>
      </w:divBdr>
    </w:div>
    <w:div w:id="576012341">
      <w:bodyDiv w:val="1"/>
      <w:marLeft w:val="0"/>
      <w:marRight w:val="0"/>
      <w:marTop w:val="0"/>
      <w:marBottom w:val="0"/>
      <w:divBdr>
        <w:top w:val="none" w:sz="0" w:space="0" w:color="auto"/>
        <w:left w:val="none" w:sz="0" w:space="0" w:color="auto"/>
        <w:bottom w:val="none" w:sz="0" w:space="0" w:color="auto"/>
        <w:right w:val="none" w:sz="0" w:space="0" w:color="auto"/>
      </w:divBdr>
    </w:div>
    <w:div w:id="604970666">
      <w:bodyDiv w:val="1"/>
      <w:marLeft w:val="0"/>
      <w:marRight w:val="0"/>
      <w:marTop w:val="0"/>
      <w:marBottom w:val="0"/>
      <w:divBdr>
        <w:top w:val="none" w:sz="0" w:space="0" w:color="auto"/>
        <w:left w:val="none" w:sz="0" w:space="0" w:color="auto"/>
        <w:bottom w:val="none" w:sz="0" w:space="0" w:color="auto"/>
        <w:right w:val="none" w:sz="0" w:space="0" w:color="auto"/>
      </w:divBdr>
    </w:div>
    <w:div w:id="612245257">
      <w:bodyDiv w:val="1"/>
      <w:marLeft w:val="0"/>
      <w:marRight w:val="0"/>
      <w:marTop w:val="0"/>
      <w:marBottom w:val="0"/>
      <w:divBdr>
        <w:top w:val="none" w:sz="0" w:space="0" w:color="auto"/>
        <w:left w:val="none" w:sz="0" w:space="0" w:color="auto"/>
        <w:bottom w:val="none" w:sz="0" w:space="0" w:color="auto"/>
        <w:right w:val="none" w:sz="0" w:space="0" w:color="auto"/>
      </w:divBdr>
    </w:div>
    <w:div w:id="614946700">
      <w:bodyDiv w:val="1"/>
      <w:marLeft w:val="0"/>
      <w:marRight w:val="0"/>
      <w:marTop w:val="0"/>
      <w:marBottom w:val="0"/>
      <w:divBdr>
        <w:top w:val="none" w:sz="0" w:space="0" w:color="auto"/>
        <w:left w:val="none" w:sz="0" w:space="0" w:color="auto"/>
        <w:bottom w:val="none" w:sz="0" w:space="0" w:color="auto"/>
        <w:right w:val="none" w:sz="0" w:space="0" w:color="auto"/>
      </w:divBdr>
    </w:div>
    <w:div w:id="623730756">
      <w:bodyDiv w:val="1"/>
      <w:marLeft w:val="0"/>
      <w:marRight w:val="0"/>
      <w:marTop w:val="0"/>
      <w:marBottom w:val="0"/>
      <w:divBdr>
        <w:top w:val="none" w:sz="0" w:space="0" w:color="auto"/>
        <w:left w:val="none" w:sz="0" w:space="0" w:color="auto"/>
        <w:bottom w:val="none" w:sz="0" w:space="0" w:color="auto"/>
        <w:right w:val="none" w:sz="0" w:space="0" w:color="auto"/>
      </w:divBdr>
    </w:div>
    <w:div w:id="648052590">
      <w:bodyDiv w:val="1"/>
      <w:marLeft w:val="0"/>
      <w:marRight w:val="0"/>
      <w:marTop w:val="0"/>
      <w:marBottom w:val="0"/>
      <w:divBdr>
        <w:top w:val="none" w:sz="0" w:space="0" w:color="auto"/>
        <w:left w:val="none" w:sz="0" w:space="0" w:color="auto"/>
        <w:bottom w:val="none" w:sz="0" w:space="0" w:color="auto"/>
        <w:right w:val="none" w:sz="0" w:space="0" w:color="auto"/>
      </w:divBdr>
    </w:div>
    <w:div w:id="707997266">
      <w:bodyDiv w:val="1"/>
      <w:marLeft w:val="0"/>
      <w:marRight w:val="0"/>
      <w:marTop w:val="0"/>
      <w:marBottom w:val="0"/>
      <w:divBdr>
        <w:top w:val="none" w:sz="0" w:space="0" w:color="auto"/>
        <w:left w:val="none" w:sz="0" w:space="0" w:color="auto"/>
        <w:bottom w:val="none" w:sz="0" w:space="0" w:color="auto"/>
        <w:right w:val="none" w:sz="0" w:space="0" w:color="auto"/>
      </w:divBdr>
    </w:div>
    <w:div w:id="734623342">
      <w:bodyDiv w:val="1"/>
      <w:marLeft w:val="0"/>
      <w:marRight w:val="0"/>
      <w:marTop w:val="0"/>
      <w:marBottom w:val="0"/>
      <w:divBdr>
        <w:top w:val="none" w:sz="0" w:space="0" w:color="auto"/>
        <w:left w:val="none" w:sz="0" w:space="0" w:color="auto"/>
        <w:bottom w:val="none" w:sz="0" w:space="0" w:color="auto"/>
        <w:right w:val="none" w:sz="0" w:space="0" w:color="auto"/>
      </w:divBdr>
    </w:div>
    <w:div w:id="737438154">
      <w:bodyDiv w:val="1"/>
      <w:marLeft w:val="0"/>
      <w:marRight w:val="0"/>
      <w:marTop w:val="0"/>
      <w:marBottom w:val="0"/>
      <w:divBdr>
        <w:top w:val="none" w:sz="0" w:space="0" w:color="auto"/>
        <w:left w:val="none" w:sz="0" w:space="0" w:color="auto"/>
        <w:bottom w:val="none" w:sz="0" w:space="0" w:color="auto"/>
        <w:right w:val="none" w:sz="0" w:space="0" w:color="auto"/>
      </w:divBdr>
    </w:div>
    <w:div w:id="766732942">
      <w:bodyDiv w:val="1"/>
      <w:marLeft w:val="0"/>
      <w:marRight w:val="0"/>
      <w:marTop w:val="0"/>
      <w:marBottom w:val="0"/>
      <w:divBdr>
        <w:top w:val="none" w:sz="0" w:space="0" w:color="auto"/>
        <w:left w:val="none" w:sz="0" w:space="0" w:color="auto"/>
        <w:bottom w:val="none" w:sz="0" w:space="0" w:color="auto"/>
        <w:right w:val="none" w:sz="0" w:space="0" w:color="auto"/>
      </w:divBdr>
    </w:div>
    <w:div w:id="772819642">
      <w:bodyDiv w:val="1"/>
      <w:marLeft w:val="0"/>
      <w:marRight w:val="0"/>
      <w:marTop w:val="0"/>
      <w:marBottom w:val="0"/>
      <w:divBdr>
        <w:top w:val="none" w:sz="0" w:space="0" w:color="auto"/>
        <w:left w:val="none" w:sz="0" w:space="0" w:color="auto"/>
        <w:bottom w:val="none" w:sz="0" w:space="0" w:color="auto"/>
        <w:right w:val="none" w:sz="0" w:space="0" w:color="auto"/>
      </w:divBdr>
    </w:div>
    <w:div w:id="784470412">
      <w:bodyDiv w:val="1"/>
      <w:marLeft w:val="0"/>
      <w:marRight w:val="0"/>
      <w:marTop w:val="0"/>
      <w:marBottom w:val="0"/>
      <w:divBdr>
        <w:top w:val="none" w:sz="0" w:space="0" w:color="auto"/>
        <w:left w:val="none" w:sz="0" w:space="0" w:color="auto"/>
        <w:bottom w:val="none" w:sz="0" w:space="0" w:color="auto"/>
        <w:right w:val="none" w:sz="0" w:space="0" w:color="auto"/>
      </w:divBdr>
    </w:div>
    <w:div w:id="807481077">
      <w:bodyDiv w:val="1"/>
      <w:marLeft w:val="0"/>
      <w:marRight w:val="0"/>
      <w:marTop w:val="0"/>
      <w:marBottom w:val="0"/>
      <w:divBdr>
        <w:top w:val="none" w:sz="0" w:space="0" w:color="auto"/>
        <w:left w:val="none" w:sz="0" w:space="0" w:color="auto"/>
        <w:bottom w:val="none" w:sz="0" w:space="0" w:color="auto"/>
        <w:right w:val="none" w:sz="0" w:space="0" w:color="auto"/>
      </w:divBdr>
    </w:div>
    <w:div w:id="872154503">
      <w:bodyDiv w:val="1"/>
      <w:marLeft w:val="0"/>
      <w:marRight w:val="0"/>
      <w:marTop w:val="0"/>
      <w:marBottom w:val="0"/>
      <w:divBdr>
        <w:top w:val="none" w:sz="0" w:space="0" w:color="auto"/>
        <w:left w:val="none" w:sz="0" w:space="0" w:color="auto"/>
        <w:bottom w:val="none" w:sz="0" w:space="0" w:color="auto"/>
        <w:right w:val="none" w:sz="0" w:space="0" w:color="auto"/>
      </w:divBdr>
    </w:div>
    <w:div w:id="877812662">
      <w:bodyDiv w:val="1"/>
      <w:marLeft w:val="0"/>
      <w:marRight w:val="0"/>
      <w:marTop w:val="0"/>
      <w:marBottom w:val="0"/>
      <w:divBdr>
        <w:top w:val="none" w:sz="0" w:space="0" w:color="auto"/>
        <w:left w:val="none" w:sz="0" w:space="0" w:color="auto"/>
        <w:bottom w:val="none" w:sz="0" w:space="0" w:color="auto"/>
        <w:right w:val="none" w:sz="0" w:space="0" w:color="auto"/>
      </w:divBdr>
    </w:div>
    <w:div w:id="893396273">
      <w:bodyDiv w:val="1"/>
      <w:marLeft w:val="0"/>
      <w:marRight w:val="0"/>
      <w:marTop w:val="0"/>
      <w:marBottom w:val="0"/>
      <w:divBdr>
        <w:top w:val="none" w:sz="0" w:space="0" w:color="auto"/>
        <w:left w:val="none" w:sz="0" w:space="0" w:color="auto"/>
        <w:bottom w:val="none" w:sz="0" w:space="0" w:color="auto"/>
        <w:right w:val="none" w:sz="0" w:space="0" w:color="auto"/>
      </w:divBdr>
    </w:div>
    <w:div w:id="902331619">
      <w:bodyDiv w:val="1"/>
      <w:marLeft w:val="0"/>
      <w:marRight w:val="0"/>
      <w:marTop w:val="0"/>
      <w:marBottom w:val="0"/>
      <w:divBdr>
        <w:top w:val="none" w:sz="0" w:space="0" w:color="auto"/>
        <w:left w:val="none" w:sz="0" w:space="0" w:color="auto"/>
        <w:bottom w:val="none" w:sz="0" w:space="0" w:color="auto"/>
        <w:right w:val="none" w:sz="0" w:space="0" w:color="auto"/>
      </w:divBdr>
    </w:div>
    <w:div w:id="904877793">
      <w:bodyDiv w:val="1"/>
      <w:marLeft w:val="0"/>
      <w:marRight w:val="0"/>
      <w:marTop w:val="0"/>
      <w:marBottom w:val="0"/>
      <w:divBdr>
        <w:top w:val="none" w:sz="0" w:space="0" w:color="auto"/>
        <w:left w:val="none" w:sz="0" w:space="0" w:color="auto"/>
        <w:bottom w:val="none" w:sz="0" w:space="0" w:color="auto"/>
        <w:right w:val="none" w:sz="0" w:space="0" w:color="auto"/>
      </w:divBdr>
    </w:div>
    <w:div w:id="959989564">
      <w:bodyDiv w:val="1"/>
      <w:marLeft w:val="0"/>
      <w:marRight w:val="0"/>
      <w:marTop w:val="0"/>
      <w:marBottom w:val="0"/>
      <w:divBdr>
        <w:top w:val="none" w:sz="0" w:space="0" w:color="auto"/>
        <w:left w:val="none" w:sz="0" w:space="0" w:color="auto"/>
        <w:bottom w:val="none" w:sz="0" w:space="0" w:color="auto"/>
        <w:right w:val="none" w:sz="0" w:space="0" w:color="auto"/>
      </w:divBdr>
    </w:div>
    <w:div w:id="1004556818">
      <w:bodyDiv w:val="1"/>
      <w:marLeft w:val="0"/>
      <w:marRight w:val="0"/>
      <w:marTop w:val="0"/>
      <w:marBottom w:val="0"/>
      <w:divBdr>
        <w:top w:val="none" w:sz="0" w:space="0" w:color="auto"/>
        <w:left w:val="none" w:sz="0" w:space="0" w:color="auto"/>
        <w:bottom w:val="none" w:sz="0" w:space="0" w:color="auto"/>
        <w:right w:val="none" w:sz="0" w:space="0" w:color="auto"/>
      </w:divBdr>
    </w:div>
    <w:div w:id="1043945556">
      <w:bodyDiv w:val="1"/>
      <w:marLeft w:val="0"/>
      <w:marRight w:val="0"/>
      <w:marTop w:val="0"/>
      <w:marBottom w:val="0"/>
      <w:divBdr>
        <w:top w:val="none" w:sz="0" w:space="0" w:color="auto"/>
        <w:left w:val="none" w:sz="0" w:space="0" w:color="auto"/>
        <w:bottom w:val="none" w:sz="0" w:space="0" w:color="auto"/>
        <w:right w:val="none" w:sz="0" w:space="0" w:color="auto"/>
      </w:divBdr>
    </w:div>
    <w:div w:id="1046684306">
      <w:bodyDiv w:val="1"/>
      <w:marLeft w:val="0"/>
      <w:marRight w:val="0"/>
      <w:marTop w:val="0"/>
      <w:marBottom w:val="0"/>
      <w:divBdr>
        <w:top w:val="none" w:sz="0" w:space="0" w:color="auto"/>
        <w:left w:val="none" w:sz="0" w:space="0" w:color="auto"/>
        <w:bottom w:val="none" w:sz="0" w:space="0" w:color="auto"/>
        <w:right w:val="none" w:sz="0" w:space="0" w:color="auto"/>
      </w:divBdr>
    </w:div>
    <w:div w:id="1084105912">
      <w:bodyDiv w:val="1"/>
      <w:marLeft w:val="0"/>
      <w:marRight w:val="0"/>
      <w:marTop w:val="0"/>
      <w:marBottom w:val="0"/>
      <w:divBdr>
        <w:top w:val="none" w:sz="0" w:space="0" w:color="auto"/>
        <w:left w:val="none" w:sz="0" w:space="0" w:color="auto"/>
        <w:bottom w:val="none" w:sz="0" w:space="0" w:color="auto"/>
        <w:right w:val="none" w:sz="0" w:space="0" w:color="auto"/>
      </w:divBdr>
    </w:div>
    <w:div w:id="1086608430">
      <w:bodyDiv w:val="1"/>
      <w:marLeft w:val="0"/>
      <w:marRight w:val="0"/>
      <w:marTop w:val="0"/>
      <w:marBottom w:val="0"/>
      <w:divBdr>
        <w:top w:val="none" w:sz="0" w:space="0" w:color="auto"/>
        <w:left w:val="none" w:sz="0" w:space="0" w:color="auto"/>
        <w:bottom w:val="none" w:sz="0" w:space="0" w:color="auto"/>
        <w:right w:val="none" w:sz="0" w:space="0" w:color="auto"/>
      </w:divBdr>
    </w:div>
    <w:div w:id="1107896174">
      <w:bodyDiv w:val="1"/>
      <w:marLeft w:val="0"/>
      <w:marRight w:val="0"/>
      <w:marTop w:val="0"/>
      <w:marBottom w:val="0"/>
      <w:divBdr>
        <w:top w:val="none" w:sz="0" w:space="0" w:color="auto"/>
        <w:left w:val="none" w:sz="0" w:space="0" w:color="auto"/>
        <w:bottom w:val="none" w:sz="0" w:space="0" w:color="auto"/>
        <w:right w:val="none" w:sz="0" w:space="0" w:color="auto"/>
      </w:divBdr>
    </w:div>
    <w:div w:id="1141965587">
      <w:bodyDiv w:val="1"/>
      <w:marLeft w:val="0"/>
      <w:marRight w:val="0"/>
      <w:marTop w:val="0"/>
      <w:marBottom w:val="0"/>
      <w:divBdr>
        <w:top w:val="none" w:sz="0" w:space="0" w:color="auto"/>
        <w:left w:val="none" w:sz="0" w:space="0" w:color="auto"/>
        <w:bottom w:val="none" w:sz="0" w:space="0" w:color="auto"/>
        <w:right w:val="none" w:sz="0" w:space="0" w:color="auto"/>
      </w:divBdr>
    </w:div>
    <w:div w:id="1196230108">
      <w:bodyDiv w:val="1"/>
      <w:marLeft w:val="0"/>
      <w:marRight w:val="0"/>
      <w:marTop w:val="0"/>
      <w:marBottom w:val="0"/>
      <w:divBdr>
        <w:top w:val="none" w:sz="0" w:space="0" w:color="auto"/>
        <w:left w:val="none" w:sz="0" w:space="0" w:color="auto"/>
        <w:bottom w:val="none" w:sz="0" w:space="0" w:color="auto"/>
        <w:right w:val="none" w:sz="0" w:space="0" w:color="auto"/>
      </w:divBdr>
    </w:div>
    <w:div w:id="1241402216">
      <w:bodyDiv w:val="1"/>
      <w:marLeft w:val="0"/>
      <w:marRight w:val="0"/>
      <w:marTop w:val="0"/>
      <w:marBottom w:val="0"/>
      <w:divBdr>
        <w:top w:val="none" w:sz="0" w:space="0" w:color="auto"/>
        <w:left w:val="none" w:sz="0" w:space="0" w:color="auto"/>
        <w:bottom w:val="none" w:sz="0" w:space="0" w:color="auto"/>
        <w:right w:val="none" w:sz="0" w:space="0" w:color="auto"/>
      </w:divBdr>
    </w:div>
    <w:div w:id="1242981103">
      <w:bodyDiv w:val="1"/>
      <w:marLeft w:val="0"/>
      <w:marRight w:val="0"/>
      <w:marTop w:val="0"/>
      <w:marBottom w:val="0"/>
      <w:divBdr>
        <w:top w:val="none" w:sz="0" w:space="0" w:color="auto"/>
        <w:left w:val="none" w:sz="0" w:space="0" w:color="auto"/>
        <w:bottom w:val="none" w:sz="0" w:space="0" w:color="auto"/>
        <w:right w:val="none" w:sz="0" w:space="0" w:color="auto"/>
      </w:divBdr>
    </w:div>
    <w:div w:id="1311717060">
      <w:bodyDiv w:val="1"/>
      <w:marLeft w:val="0"/>
      <w:marRight w:val="0"/>
      <w:marTop w:val="0"/>
      <w:marBottom w:val="0"/>
      <w:divBdr>
        <w:top w:val="none" w:sz="0" w:space="0" w:color="auto"/>
        <w:left w:val="none" w:sz="0" w:space="0" w:color="auto"/>
        <w:bottom w:val="none" w:sz="0" w:space="0" w:color="auto"/>
        <w:right w:val="none" w:sz="0" w:space="0" w:color="auto"/>
      </w:divBdr>
    </w:div>
    <w:div w:id="1330329041">
      <w:bodyDiv w:val="1"/>
      <w:marLeft w:val="0"/>
      <w:marRight w:val="0"/>
      <w:marTop w:val="0"/>
      <w:marBottom w:val="0"/>
      <w:divBdr>
        <w:top w:val="none" w:sz="0" w:space="0" w:color="auto"/>
        <w:left w:val="none" w:sz="0" w:space="0" w:color="auto"/>
        <w:bottom w:val="none" w:sz="0" w:space="0" w:color="auto"/>
        <w:right w:val="none" w:sz="0" w:space="0" w:color="auto"/>
      </w:divBdr>
    </w:div>
    <w:div w:id="1331786059">
      <w:bodyDiv w:val="1"/>
      <w:marLeft w:val="0"/>
      <w:marRight w:val="0"/>
      <w:marTop w:val="0"/>
      <w:marBottom w:val="0"/>
      <w:divBdr>
        <w:top w:val="none" w:sz="0" w:space="0" w:color="auto"/>
        <w:left w:val="none" w:sz="0" w:space="0" w:color="auto"/>
        <w:bottom w:val="none" w:sz="0" w:space="0" w:color="auto"/>
        <w:right w:val="none" w:sz="0" w:space="0" w:color="auto"/>
      </w:divBdr>
    </w:div>
    <w:div w:id="1506823859">
      <w:bodyDiv w:val="1"/>
      <w:marLeft w:val="0"/>
      <w:marRight w:val="0"/>
      <w:marTop w:val="0"/>
      <w:marBottom w:val="0"/>
      <w:divBdr>
        <w:top w:val="none" w:sz="0" w:space="0" w:color="auto"/>
        <w:left w:val="none" w:sz="0" w:space="0" w:color="auto"/>
        <w:bottom w:val="none" w:sz="0" w:space="0" w:color="auto"/>
        <w:right w:val="none" w:sz="0" w:space="0" w:color="auto"/>
      </w:divBdr>
    </w:div>
    <w:div w:id="1575048676">
      <w:bodyDiv w:val="1"/>
      <w:marLeft w:val="0"/>
      <w:marRight w:val="0"/>
      <w:marTop w:val="0"/>
      <w:marBottom w:val="0"/>
      <w:divBdr>
        <w:top w:val="none" w:sz="0" w:space="0" w:color="auto"/>
        <w:left w:val="none" w:sz="0" w:space="0" w:color="auto"/>
        <w:bottom w:val="none" w:sz="0" w:space="0" w:color="auto"/>
        <w:right w:val="none" w:sz="0" w:space="0" w:color="auto"/>
      </w:divBdr>
    </w:div>
    <w:div w:id="1644191182">
      <w:bodyDiv w:val="1"/>
      <w:marLeft w:val="0"/>
      <w:marRight w:val="0"/>
      <w:marTop w:val="0"/>
      <w:marBottom w:val="0"/>
      <w:divBdr>
        <w:top w:val="none" w:sz="0" w:space="0" w:color="auto"/>
        <w:left w:val="none" w:sz="0" w:space="0" w:color="auto"/>
        <w:bottom w:val="none" w:sz="0" w:space="0" w:color="auto"/>
        <w:right w:val="none" w:sz="0" w:space="0" w:color="auto"/>
      </w:divBdr>
    </w:div>
    <w:div w:id="1644582666">
      <w:bodyDiv w:val="1"/>
      <w:marLeft w:val="0"/>
      <w:marRight w:val="0"/>
      <w:marTop w:val="0"/>
      <w:marBottom w:val="0"/>
      <w:divBdr>
        <w:top w:val="none" w:sz="0" w:space="0" w:color="auto"/>
        <w:left w:val="none" w:sz="0" w:space="0" w:color="auto"/>
        <w:bottom w:val="none" w:sz="0" w:space="0" w:color="auto"/>
        <w:right w:val="none" w:sz="0" w:space="0" w:color="auto"/>
      </w:divBdr>
    </w:div>
    <w:div w:id="1679506596">
      <w:bodyDiv w:val="1"/>
      <w:marLeft w:val="0"/>
      <w:marRight w:val="0"/>
      <w:marTop w:val="0"/>
      <w:marBottom w:val="0"/>
      <w:divBdr>
        <w:top w:val="none" w:sz="0" w:space="0" w:color="auto"/>
        <w:left w:val="none" w:sz="0" w:space="0" w:color="auto"/>
        <w:bottom w:val="none" w:sz="0" w:space="0" w:color="auto"/>
        <w:right w:val="none" w:sz="0" w:space="0" w:color="auto"/>
      </w:divBdr>
    </w:div>
    <w:div w:id="1808470815">
      <w:bodyDiv w:val="1"/>
      <w:marLeft w:val="0"/>
      <w:marRight w:val="0"/>
      <w:marTop w:val="0"/>
      <w:marBottom w:val="0"/>
      <w:divBdr>
        <w:top w:val="none" w:sz="0" w:space="0" w:color="auto"/>
        <w:left w:val="none" w:sz="0" w:space="0" w:color="auto"/>
        <w:bottom w:val="none" w:sz="0" w:space="0" w:color="auto"/>
        <w:right w:val="none" w:sz="0" w:space="0" w:color="auto"/>
      </w:divBdr>
    </w:div>
    <w:div w:id="1874614325">
      <w:bodyDiv w:val="1"/>
      <w:marLeft w:val="0"/>
      <w:marRight w:val="0"/>
      <w:marTop w:val="0"/>
      <w:marBottom w:val="0"/>
      <w:divBdr>
        <w:top w:val="none" w:sz="0" w:space="0" w:color="auto"/>
        <w:left w:val="none" w:sz="0" w:space="0" w:color="auto"/>
        <w:bottom w:val="none" w:sz="0" w:space="0" w:color="auto"/>
        <w:right w:val="none" w:sz="0" w:space="0" w:color="auto"/>
      </w:divBdr>
    </w:div>
    <w:div w:id="1925528808">
      <w:bodyDiv w:val="1"/>
      <w:marLeft w:val="0"/>
      <w:marRight w:val="0"/>
      <w:marTop w:val="0"/>
      <w:marBottom w:val="0"/>
      <w:divBdr>
        <w:top w:val="none" w:sz="0" w:space="0" w:color="auto"/>
        <w:left w:val="none" w:sz="0" w:space="0" w:color="auto"/>
        <w:bottom w:val="none" w:sz="0" w:space="0" w:color="auto"/>
        <w:right w:val="none" w:sz="0" w:space="0" w:color="auto"/>
      </w:divBdr>
    </w:div>
    <w:div w:id="1944803888">
      <w:bodyDiv w:val="1"/>
      <w:marLeft w:val="0"/>
      <w:marRight w:val="0"/>
      <w:marTop w:val="0"/>
      <w:marBottom w:val="0"/>
      <w:divBdr>
        <w:top w:val="none" w:sz="0" w:space="0" w:color="auto"/>
        <w:left w:val="none" w:sz="0" w:space="0" w:color="auto"/>
        <w:bottom w:val="none" w:sz="0" w:space="0" w:color="auto"/>
        <w:right w:val="none" w:sz="0" w:space="0" w:color="auto"/>
      </w:divBdr>
    </w:div>
    <w:div w:id="1983775960">
      <w:bodyDiv w:val="1"/>
      <w:marLeft w:val="0"/>
      <w:marRight w:val="0"/>
      <w:marTop w:val="0"/>
      <w:marBottom w:val="0"/>
      <w:divBdr>
        <w:top w:val="none" w:sz="0" w:space="0" w:color="auto"/>
        <w:left w:val="none" w:sz="0" w:space="0" w:color="auto"/>
        <w:bottom w:val="none" w:sz="0" w:space="0" w:color="auto"/>
        <w:right w:val="none" w:sz="0" w:space="0" w:color="auto"/>
      </w:divBdr>
    </w:div>
    <w:div w:id="2012633365">
      <w:bodyDiv w:val="1"/>
      <w:marLeft w:val="0"/>
      <w:marRight w:val="0"/>
      <w:marTop w:val="0"/>
      <w:marBottom w:val="0"/>
      <w:divBdr>
        <w:top w:val="none" w:sz="0" w:space="0" w:color="auto"/>
        <w:left w:val="none" w:sz="0" w:space="0" w:color="auto"/>
        <w:bottom w:val="none" w:sz="0" w:space="0" w:color="auto"/>
        <w:right w:val="none" w:sz="0" w:space="0" w:color="auto"/>
      </w:divBdr>
    </w:div>
    <w:div w:id="2056269418">
      <w:bodyDiv w:val="1"/>
      <w:marLeft w:val="0"/>
      <w:marRight w:val="0"/>
      <w:marTop w:val="0"/>
      <w:marBottom w:val="0"/>
      <w:divBdr>
        <w:top w:val="none" w:sz="0" w:space="0" w:color="auto"/>
        <w:left w:val="none" w:sz="0" w:space="0" w:color="auto"/>
        <w:bottom w:val="none" w:sz="0" w:space="0" w:color="auto"/>
        <w:right w:val="none" w:sz="0" w:space="0" w:color="auto"/>
      </w:divBdr>
    </w:div>
    <w:div w:id="2070836634">
      <w:bodyDiv w:val="1"/>
      <w:marLeft w:val="0"/>
      <w:marRight w:val="0"/>
      <w:marTop w:val="0"/>
      <w:marBottom w:val="0"/>
      <w:divBdr>
        <w:top w:val="none" w:sz="0" w:space="0" w:color="auto"/>
        <w:left w:val="none" w:sz="0" w:space="0" w:color="auto"/>
        <w:bottom w:val="none" w:sz="0" w:space="0" w:color="auto"/>
        <w:right w:val="none" w:sz="0" w:space="0" w:color="auto"/>
      </w:divBdr>
    </w:div>
    <w:div w:id="2088336783">
      <w:bodyDiv w:val="1"/>
      <w:marLeft w:val="0"/>
      <w:marRight w:val="0"/>
      <w:marTop w:val="0"/>
      <w:marBottom w:val="0"/>
      <w:divBdr>
        <w:top w:val="none" w:sz="0" w:space="0" w:color="auto"/>
        <w:left w:val="none" w:sz="0" w:space="0" w:color="auto"/>
        <w:bottom w:val="none" w:sz="0" w:space="0" w:color="auto"/>
        <w:right w:val="none" w:sz="0" w:space="0" w:color="auto"/>
      </w:divBdr>
    </w:div>
    <w:div w:id="214121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sr-Latn-ME"/>
              <a:t>Kretanje glavnih kategorija prihoda budžeta </a:t>
            </a:r>
          </a:p>
          <a:p>
            <a:pPr>
              <a:defRPr/>
            </a:pPr>
            <a:r>
              <a:rPr lang="sr-Latn-ME"/>
              <a:t>(mil.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4"/>
          <c:order val="4"/>
          <c:tx>
            <c:strRef>
              <c:f>'Analitika 2024'!$G$7:$G$9</c:f>
              <c:strCache>
                <c:ptCount val="3"/>
                <c:pt idx="1">
                  <c:v>Ostvarenje 2024</c:v>
                </c:pt>
                <c:pt idx="2">
                  <c:v>mil.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'Analitika 2024'!$B$10:$B$15</c:f>
              <c:strCache>
                <c:ptCount val="6"/>
                <c:pt idx="0">
                  <c:v>Prihodi budžeta</c:v>
                </c:pt>
                <c:pt idx="1">
                  <c:v>Porez na dohodak fizičkih lica</c:v>
                </c:pt>
                <c:pt idx="2">
                  <c:v>Porez na dobit pravnih lica</c:v>
                </c:pt>
                <c:pt idx="3">
                  <c:v>Porez na dodatu vrijednost</c:v>
                </c:pt>
                <c:pt idx="4">
                  <c:v>Akcize</c:v>
                </c:pt>
                <c:pt idx="5">
                  <c:v>Doprinosi</c:v>
                </c:pt>
              </c:strCache>
            </c:strRef>
          </c:cat>
          <c:val>
            <c:numRef>
              <c:f>'Analitika 2024'!$G$10:$G$15</c:f>
              <c:numCache>
                <c:formatCode>#,##0.0,,</c:formatCode>
                <c:ptCount val="6"/>
                <c:pt idx="0">
                  <c:v>2497740217.1399999</c:v>
                </c:pt>
                <c:pt idx="1">
                  <c:v>75042420.800000012</c:v>
                </c:pt>
                <c:pt idx="2">
                  <c:v>207402331.92999998</c:v>
                </c:pt>
                <c:pt idx="3">
                  <c:v>1111019384.1800001</c:v>
                </c:pt>
                <c:pt idx="4">
                  <c:v>337968075.03000003</c:v>
                </c:pt>
                <c:pt idx="5">
                  <c:v>522331030.34000003</c:v>
                </c:pt>
              </c:numCache>
            </c:numRef>
          </c:val>
          <c:extLst>
            <c:ext xmlns:c16="http://schemas.microsoft.com/office/drawing/2014/chart" uri="{C3380CC4-5D6E-409C-BE32-E72D297353CC}">
              <c16:uniqueId val="{00000000-327E-4F3D-AA89-C73526605B44}"/>
            </c:ext>
          </c:extLst>
        </c:ser>
        <c:ser>
          <c:idx val="5"/>
          <c:order val="5"/>
          <c:tx>
            <c:strRef>
              <c:f>'Analitika 2024'!$H$7:$H$9</c:f>
              <c:strCache>
                <c:ptCount val="3"/>
                <c:pt idx="1">
                  <c:v>Plan</c:v>
                </c:pt>
                <c:pt idx="2">
                  <c:v>mil.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'Analitika 2024'!$B$10:$B$15</c:f>
              <c:strCache>
                <c:ptCount val="6"/>
                <c:pt idx="0">
                  <c:v>Prihodi budžeta</c:v>
                </c:pt>
                <c:pt idx="1">
                  <c:v>Porez na dohodak fizičkih lica</c:v>
                </c:pt>
                <c:pt idx="2">
                  <c:v>Porez na dobit pravnih lica</c:v>
                </c:pt>
                <c:pt idx="3">
                  <c:v>Porez na dodatu vrijednost</c:v>
                </c:pt>
                <c:pt idx="4">
                  <c:v>Akcize</c:v>
                </c:pt>
                <c:pt idx="5">
                  <c:v>Doprinosi</c:v>
                </c:pt>
              </c:strCache>
            </c:strRef>
          </c:cat>
          <c:val>
            <c:numRef>
              <c:f>'Analitika 2024'!$H$10:$H$15</c:f>
              <c:numCache>
                <c:formatCode>#,##0.0,,</c:formatCode>
                <c:ptCount val="6"/>
                <c:pt idx="0">
                  <c:v>2490144210.0842605</c:v>
                </c:pt>
                <c:pt idx="1">
                  <c:v>73728558.031277031</c:v>
                </c:pt>
                <c:pt idx="2">
                  <c:v>203981060.27767196</c:v>
                </c:pt>
                <c:pt idx="3">
                  <c:v>1101045381.253499</c:v>
                </c:pt>
                <c:pt idx="4">
                  <c:v>333342242.12707788</c:v>
                </c:pt>
                <c:pt idx="5">
                  <c:v>515260332.30289525</c:v>
                </c:pt>
              </c:numCache>
            </c:numRef>
          </c:val>
          <c:extLst>
            <c:ext xmlns:c16="http://schemas.microsoft.com/office/drawing/2014/chart" uri="{C3380CC4-5D6E-409C-BE32-E72D297353CC}">
              <c16:uniqueId val="{00000001-327E-4F3D-AA89-C73526605B44}"/>
            </c:ext>
          </c:extLst>
        </c:ser>
        <c:ser>
          <c:idx val="6"/>
          <c:order val="6"/>
          <c:tx>
            <c:strRef>
              <c:f>'Analitika 2024'!$I$7:$I$9</c:f>
              <c:strCache>
                <c:ptCount val="3"/>
                <c:pt idx="1">
                  <c:v>Jan - Nov 2023</c:v>
                </c:pt>
                <c:pt idx="2">
                  <c:v>mil. €</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'Analitika 2024'!$B$10:$B$15</c:f>
              <c:strCache>
                <c:ptCount val="6"/>
                <c:pt idx="0">
                  <c:v>Prihodi budžeta</c:v>
                </c:pt>
                <c:pt idx="1">
                  <c:v>Porez na dohodak fizičkih lica</c:v>
                </c:pt>
                <c:pt idx="2">
                  <c:v>Porez na dobit pravnih lica</c:v>
                </c:pt>
                <c:pt idx="3">
                  <c:v>Porez na dodatu vrijednost</c:v>
                </c:pt>
                <c:pt idx="4">
                  <c:v>Akcize</c:v>
                </c:pt>
                <c:pt idx="5">
                  <c:v>Doprinosi</c:v>
                </c:pt>
              </c:strCache>
            </c:strRef>
          </c:cat>
          <c:val>
            <c:numRef>
              <c:f>'Analitika 2024'!$I$10:$I$15</c:f>
              <c:numCache>
                <c:formatCode>#,##0.0,,</c:formatCode>
                <c:ptCount val="6"/>
                <c:pt idx="0">
                  <c:v>2312654262.8600001</c:v>
                </c:pt>
                <c:pt idx="1">
                  <c:v>55813473.740000002</c:v>
                </c:pt>
                <c:pt idx="2">
                  <c:v>146826819.96000001</c:v>
                </c:pt>
                <c:pt idx="3">
                  <c:v>971337653.3900001</c:v>
                </c:pt>
                <c:pt idx="4">
                  <c:v>294627441.06</c:v>
                </c:pt>
                <c:pt idx="5">
                  <c:v>486644745.66000003</c:v>
                </c:pt>
              </c:numCache>
            </c:numRef>
          </c:val>
          <c:extLst>
            <c:ext xmlns:c16="http://schemas.microsoft.com/office/drawing/2014/chart" uri="{C3380CC4-5D6E-409C-BE32-E72D297353CC}">
              <c16:uniqueId val="{00000002-327E-4F3D-AA89-C73526605B44}"/>
            </c:ext>
          </c:extLst>
        </c:ser>
        <c:dLbls>
          <c:showLegendKey val="0"/>
          <c:showVal val="0"/>
          <c:showCatName val="0"/>
          <c:showSerName val="0"/>
          <c:showPercent val="0"/>
          <c:showBubbleSize val="0"/>
        </c:dLbls>
        <c:gapWidth val="115"/>
        <c:overlap val="-20"/>
        <c:axId val="91154656"/>
        <c:axId val="127777232"/>
        <c:extLst>
          <c:ext xmlns:c15="http://schemas.microsoft.com/office/drawing/2012/chart" uri="{02D57815-91ED-43cb-92C2-25804820EDAC}">
            <c15:filteredBarSeries>
              <c15:ser>
                <c:idx val="0"/>
                <c:order val="0"/>
                <c:tx>
                  <c:strRef>
                    <c:extLst>
                      <c:ext uri="{02D57815-91ED-43cb-92C2-25804820EDAC}">
                        <c15:formulaRef>
                          <c15:sqref>'Analitika 2024'!$C$7:$C$9</c15:sqref>
                        </c15:formulaRef>
                      </c:ext>
                    </c:extLst>
                    <c:strCache>
                      <c:ptCount val="3"/>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extLst>
                      <c:ext uri="{02D57815-91ED-43cb-92C2-25804820EDAC}">
                        <c15:formulaRef>
                          <c15:sqref>'Analitika 2024'!$B$10:$B$15</c15:sqref>
                        </c15:formulaRef>
                      </c:ext>
                    </c:extLst>
                    <c:strCache>
                      <c:ptCount val="6"/>
                      <c:pt idx="0">
                        <c:v>Prihodi budžeta</c:v>
                      </c:pt>
                      <c:pt idx="1">
                        <c:v>Porez na dohodak fizičkih lica</c:v>
                      </c:pt>
                      <c:pt idx="2">
                        <c:v>Porez na dobit pravnih lica</c:v>
                      </c:pt>
                      <c:pt idx="3">
                        <c:v>Porez na dodatu vrijednost</c:v>
                      </c:pt>
                      <c:pt idx="4">
                        <c:v>Akcize</c:v>
                      </c:pt>
                      <c:pt idx="5">
                        <c:v>Doprinosi</c:v>
                      </c:pt>
                    </c:strCache>
                  </c:strRef>
                </c:cat>
                <c:val>
                  <c:numRef>
                    <c:extLst>
                      <c:ext uri="{02D57815-91ED-43cb-92C2-25804820EDAC}">
                        <c15:formulaRef>
                          <c15:sqref>'Analitika 2024'!$C$10:$C$15</c15:sqref>
                        </c15:formulaRef>
                      </c:ext>
                    </c:extLst>
                    <c:numCache>
                      <c:formatCode>General</c:formatCode>
                      <c:ptCount val="6"/>
                    </c:numCache>
                  </c:numRef>
                </c:val>
                <c:extLst>
                  <c:ext xmlns:c16="http://schemas.microsoft.com/office/drawing/2014/chart" uri="{C3380CC4-5D6E-409C-BE32-E72D297353CC}">
                    <c16:uniqueId val="{00000003-327E-4F3D-AA89-C73526605B4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'Analitika 2024'!$D$7:$D$9</c15:sqref>
                        </c15:formulaRef>
                      </c:ext>
                    </c:extLst>
                    <c:strCache>
                      <c:ptCount val="3"/>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extLst xmlns:c15="http://schemas.microsoft.com/office/drawing/2012/chart">
                      <c:ext xmlns:c15="http://schemas.microsoft.com/office/drawing/2012/chart" uri="{02D57815-91ED-43cb-92C2-25804820EDAC}">
                        <c15:formulaRef>
                          <c15:sqref>'Analitika 2024'!$B$10:$B$15</c15:sqref>
                        </c15:formulaRef>
                      </c:ext>
                    </c:extLst>
                    <c:strCache>
                      <c:ptCount val="6"/>
                      <c:pt idx="0">
                        <c:v>Prihodi budžeta</c:v>
                      </c:pt>
                      <c:pt idx="1">
                        <c:v>Porez na dohodak fizičkih lica</c:v>
                      </c:pt>
                      <c:pt idx="2">
                        <c:v>Porez na dobit pravnih lica</c:v>
                      </c:pt>
                      <c:pt idx="3">
                        <c:v>Porez na dodatu vrijednost</c:v>
                      </c:pt>
                      <c:pt idx="4">
                        <c:v>Akcize</c:v>
                      </c:pt>
                      <c:pt idx="5">
                        <c:v>Doprinosi</c:v>
                      </c:pt>
                    </c:strCache>
                  </c:strRef>
                </c:cat>
                <c:val>
                  <c:numRef>
                    <c:extLst xmlns:c15="http://schemas.microsoft.com/office/drawing/2012/chart">
                      <c:ext xmlns:c15="http://schemas.microsoft.com/office/drawing/2012/chart" uri="{02D57815-91ED-43cb-92C2-25804820EDAC}">
                        <c15:formulaRef>
                          <c15:sqref>'Analitika 2024'!$D$10:$D$15</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4-327E-4F3D-AA89-C73526605B4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'Analitika 2024'!$E$7:$E$9</c15:sqref>
                        </c15:formulaRef>
                      </c:ext>
                    </c:extLst>
                    <c:strCache>
                      <c:ptCount val="3"/>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extLst xmlns:c15="http://schemas.microsoft.com/office/drawing/2012/chart">
                      <c:ext xmlns:c15="http://schemas.microsoft.com/office/drawing/2012/chart" uri="{02D57815-91ED-43cb-92C2-25804820EDAC}">
                        <c15:formulaRef>
                          <c15:sqref>'Analitika 2024'!$B$10:$B$15</c15:sqref>
                        </c15:formulaRef>
                      </c:ext>
                    </c:extLst>
                    <c:strCache>
                      <c:ptCount val="6"/>
                      <c:pt idx="0">
                        <c:v>Prihodi budžeta</c:v>
                      </c:pt>
                      <c:pt idx="1">
                        <c:v>Porez na dohodak fizičkih lica</c:v>
                      </c:pt>
                      <c:pt idx="2">
                        <c:v>Porez na dobit pravnih lica</c:v>
                      </c:pt>
                      <c:pt idx="3">
                        <c:v>Porez na dodatu vrijednost</c:v>
                      </c:pt>
                      <c:pt idx="4">
                        <c:v>Akcize</c:v>
                      </c:pt>
                      <c:pt idx="5">
                        <c:v>Doprinosi</c:v>
                      </c:pt>
                    </c:strCache>
                  </c:strRef>
                </c:cat>
                <c:val>
                  <c:numRef>
                    <c:extLst xmlns:c15="http://schemas.microsoft.com/office/drawing/2012/chart">
                      <c:ext xmlns:c15="http://schemas.microsoft.com/office/drawing/2012/chart" uri="{02D57815-91ED-43cb-92C2-25804820EDAC}">
                        <c15:formulaRef>
                          <c15:sqref>'Analitika 2024'!$E$10:$E$15</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5-327E-4F3D-AA89-C73526605B4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'Analitika 2024'!$F$7:$F$9</c15:sqref>
                        </c15:formulaRef>
                      </c:ext>
                    </c:extLst>
                    <c:strCache>
                      <c:ptCount val="3"/>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extLst xmlns:c15="http://schemas.microsoft.com/office/drawing/2012/chart">
                      <c:ext xmlns:c15="http://schemas.microsoft.com/office/drawing/2012/chart" uri="{02D57815-91ED-43cb-92C2-25804820EDAC}">
                        <c15:formulaRef>
                          <c15:sqref>'Analitika 2024'!$B$10:$B$15</c15:sqref>
                        </c15:formulaRef>
                      </c:ext>
                    </c:extLst>
                    <c:strCache>
                      <c:ptCount val="6"/>
                      <c:pt idx="0">
                        <c:v>Prihodi budžeta</c:v>
                      </c:pt>
                      <c:pt idx="1">
                        <c:v>Porez na dohodak fizičkih lica</c:v>
                      </c:pt>
                      <c:pt idx="2">
                        <c:v>Porez na dobit pravnih lica</c:v>
                      </c:pt>
                      <c:pt idx="3">
                        <c:v>Porez na dodatu vrijednost</c:v>
                      </c:pt>
                      <c:pt idx="4">
                        <c:v>Akcize</c:v>
                      </c:pt>
                      <c:pt idx="5">
                        <c:v>Doprinosi</c:v>
                      </c:pt>
                    </c:strCache>
                  </c:strRef>
                </c:cat>
                <c:val>
                  <c:numRef>
                    <c:extLst xmlns:c15="http://schemas.microsoft.com/office/drawing/2012/chart">
                      <c:ext xmlns:c15="http://schemas.microsoft.com/office/drawing/2012/chart" uri="{02D57815-91ED-43cb-92C2-25804820EDAC}">
                        <c15:formulaRef>
                          <c15:sqref>'Analitika 2024'!$F$10:$F$15</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6-327E-4F3D-AA89-C73526605B44}"/>
                  </c:ext>
                </c:extLst>
              </c15:ser>
            </c15:filteredBarSeries>
          </c:ext>
        </c:extLst>
      </c:barChart>
      <c:catAx>
        <c:axId val="9115465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777232"/>
        <c:crosses val="autoZero"/>
        <c:auto val="1"/>
        <c:lblAlgn val="ctr"/>
        <c:lblOffset val="100"/>
        <c:noMultiLvlLbl val="0"/>
      </c:catAx>
      <c:valAx>
        <c:axId val="12777723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15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4</Pages>
  <Words>1072</Words>
  <Characters>6114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Stanisic</dc:creator>
  <cp:keywords/>
  <dc:description/>
  <cp:lastModifiedBy>Milica Rahovic</cp:lastModifiedBy>
  <cp:revision>20</cp:revision>
  <dcterms:created xsi:type="dcterms:W3CDTF">2024-12-20T11:34:00Z</dcterms:created>
  <dcterms:modified xsi:type="dcterms:W3CDTF">2024-12-31T10:50:00Z</dcterms:modified>
</cp:coreProperties>
</file>