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52550E">
      <w:pPr>
        <w:pStyle w:val="2zakon"/>
        <w:rPr>
          <w:rFonts w:ascii="Tahoma" w:hAnsi="Tahoma" w:cs="Tahoma"/>
        </w:rPr>
      </w:pPr>
      <w:bookmarkStart w:id="0" w:name="_GoBack"/>
      <w:bookmarkEnd w:id="0"/>
      <w:r>
        <w:rPr>
          <w:rFonts w:ascii="Tahoma" w:hAnsi="Tahoma" w:cs="Tahoma"/>
        </w:rPr>
        <w:t>Odluk</w:t>
      </w:r>
      <w:r>
        <w:rPr>
          <w:rFonts w:ascii="Tahoma" w:hAnsi="Tahoma" w:cs="Tahoma"/>
          <w:lang w:val="hr-HR"/>
        </w:rPr>
        <w:t>a</w:t>
      </w:r>
      <w:r>
        <w:rPr>
          <w:rFonts w:ascii="Tahoma" w:hAnsi="Tahoma" w:cs="Tahoma"/>
        </w:rPr>
        <w:t xml:space="preserve"> o obrazovanju Savjeta za prava lica sa invaliditetom</w:t>
      </w:r>
    </w:p>
    <w:p w:rsidR="00000000" w:rsidRDefault="0052550E">
      <w:pPr>
        <w:pStyle w:val="3mesto"/>
        <w:rPr>
          <w:rFonts w:ascii="Tahoma" w:hAnsi="Tahoma" w:cs="Tahoma"/>
        </w:rPr>
      </w:pPr>
      <w:r>
        <w:rPr>
          <w:rFonts w:ascii="Tahoma" w:hAnsi="Tahoma" w:cs="Tahoma"/>
        </w:rPr>
        <w:t xml:space="preserve">Odluka je objavljena u "Službenom listu CG", br. </w:t>
      </w:r>
      <w:hyperlink r:id="rId4" w:history="1">
        <w:r>
          <w:rPr>
            <w:rStyle w:val="Hyperlink"/>
            <w:rFonts w:ascii="Tahoma" w:hAnsi="Tahoma" w:cs="Tahoma"/>
            <w:color w:val="CC0000"/>
          </w:rPr>
          <w:t>35/2024</w:t>
        </w:r>
      </w:hyperlink>
      <w:r>
        <w:rPr>
          <w:rFonts w:ascii="Tahoma" w:hAnsi="Tahoma" w:cs="Tahoma"/>
        </w:rPr>
        <w:t xml:space="preserve"> i </w:t>
      </w:r>
      <w:hyperlink r:id="rId5" w:history="1">
        <w:r>
          <w:rPr>
            <w:rStyle w:val="Hyperlink"/>
            <w:rFonts w:ascii="Tahoma" w:hAnsi="Tahoma" w:cs="Tahoma"/>
          </w:rPr>
          <w:t>105/2024</w:t>
        </w:r>
      </w:hyperlink>
      <w:r>
        <w:rPr>
          <w:rFonts w:ascii="Tahoma" w:hAnsi="Tahoma" w:cs="Tahoma"/>
        </w:rPr>
        <w:t>.</w:t>
      </w:r>
    </w:p>
    <w:p w:rsidR="00000000" w:rsidRDefault="0052550E">
      <w:pPr>
        <w:jc w:val="center"/>
        <w:divId w:val="1710297770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1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 xml:space="preserve">Ovom odlukom obrazuje se Savjet za prava lica sa </w:t>
      </w:r>
      <w:r>
        <w:rPr>
          <w:rFonts w:ascii="Tahoma" w:hAnsi="Tahoma" w:cs="Tahoma"/>
        </w:rPr>
        <w:t>invaliditetom (u daljem tekstu: Savjet) i utvrđuju njegov sastav i zadaci.</w:t>
      </w:r>
    </w:p>
    <w:p w:rsidR="00000000" w:rsidRDefault="0052550E">
      <w:pPr>
        <w:jc w:val="center"/>
        <w:divId w:val="1107190817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2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Izrazi koji se u ovoj odluci koriste za fizička lica u muškom rodu podrazumijevaju iste izraze u ženskom rodu.</w:t>
      </w:r>
    </w:p>
    <w:p w:rsidR="00000000" w:rsidRDefault="0052550E">
      <w:pPr>
        <w:jc w:val="center"/>
        <w:divId w:val="1855919967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3 ﻿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Savjet ima predsjednika, potpredsjednika i 21 člana.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P</w:t>
      </w:r>
      <w:r>
        <w:rPr>
          <w:rFonts w:ascii="Tahoma" w:hAnsi="Tahoma" w:cs="Tahoma"/>
        </w:rPr>
        <w:t>redsjednik Savjeta je ministar ljudskih i manjinskih prava.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Potpredsjednik Savjeta se bira iz reda članova Savjeta iz stava 4 tačka 18 ovog člana.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Članovi Savjeta su: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1) ministar rada, zapošljavanja i socijalnog dijaloga;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2) ministar socijalnog staranja, b</w:t>
      </w:r>
      <w:r>
        <w:rPr>
          <w:rFonts w:ascii="Tahoma" w:hAnsi="Tahoma" w:cs="Tahoma"/>
        </w:rPr>
        <w:t>rige o porodici i demografije;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3) ministar zdravlja;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4) ministar unutrašnjih poslova;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5) ministar pravde;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6) ministar javne uprave;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7) ministar finansija;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8) ministar prosvjete, nauke i inovacija;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9) ministar kulture i medija;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10) ministar ekonomskog razvo</w:t>
      </w:r>
      <w:r>
        <w:rPr>
          <w:rFonts w:ascii="Tahoma" w:hAnsi="Tahoma" w:cs="Tahoma"/>
        </w:rPr>
        <w:t>ja;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11) ministar prostornog planiranja, urbanizma i državne imovine;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12) ministar sporta i mladih;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13) ministar saobraćaja;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14) sekretar Sekretarijata za zakonodavstvo;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15) generalni direktor Direktorata za zaštitu i jednakost lica sa invaliditetom u Minis</w:t>
      </w:r>
      <w:r>
        <w:rPr>
          <w:rFonts w:ascii="Tahoma" w:hAnsi="Tahoma" w:cs="Tahoma"/>
        </w:rPr>
        <w:t>tarstvu ljudskih i manjinskih prava;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16) direktor Zavoda za zapošljavanje Crne Gore;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17) predsjednik Paraolimpijskog komiteta Crne Gore;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 xml:space="preserve">18) pet članova koji su predstavnici organizacija lica sa </w:t>
      </w:r>
      <w:r>
        <w:rPr>
          <w:rFonts w:ascii="Tahoma" w:hAnsi="Tahoma" w:cs="Tahoma"/>
        </w:rPr>
        <w:t>invaliditetom kojima rukovode lica sa invaliditetom, odnosno čiji su članovi lica sa invaliditetom i/ili organizacije lica sa invaliditetom.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Članovi Savjeta iz stava 4 tačka 18 ovog člana biraju se u skladu sa propisom kojim se utvrđuju kriterijumi i postu</w:t>
      </w:r>
      <w:r>
        <w:rPr>
          <w:rFonts w:ascii="Tahoma" w:hAnsi="Tahoma" w:cs="Tahoma"/>
        </w:rPr>
        <w:t>pak izbora predstavnika nevladinih organizacija u radne grupe i druga radna tijela koje obrazuju ministarstva i organi uprave.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U slučaju odsustva ili spriječenosti predsjednika, Savjetom predsjedava potpredsjednik.</w:t>
      </w:r>
    </w:p>
    <w:p w:rsidR="00000000" w:rsidRDefault="0052550E">
      <w:pPr>
        <w:jc w:val="center"/>
        <w:divId w:val="1631207922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4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Stručne i administrativne poslove</w:t>
      </w:r>
      <w:r>
        <w:rPr>
          <w:rFonts w:ascii="Tahoma" w:hAnsi="Tahoma" w:cs="Tahoma"/>
        </w:rPr>
        <w:t xml:space="preserve"> za potrebe Savjeta obavljaju sekretar i zamjenik sekretara koji se određuju iz reda zaposlenih u Ministarstvu ljudskih i manjinskih prava.</w:t>
      </w:r>
    </w:p>
    <w:p w:rsidR="00000000" w:rsidRDefault="0052550E">
      <w:pPr>
        <w:jc w:val="center"/>
        <w:divId w:val="1083650485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5 ﻿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Predsjednika, potpredsjednika, članove, sekretara i zamjenika sekretara Savjeta Vlada Crne Gore (u daljem t</w:t>
      </w:r>
      <w:r>
        <w:rPr>
          <w:rFonts w:ascii="Tahoma" w:hAnsi="Tahoma" w:cs="Tahoma"/>
        </w:rPr>
        <w:t>ekstu: Vlada) imenuje posebnom odlukom, na period od četiri godine.</w:t>
      </w:r>
    </w:p>
    <w:p w:rsidR="00000000" w:rsidRDefault="0052550E">
      <w:pPr>
        <w:jc w:val="center"/>
        <w:divId w:val="1146044087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6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Savjet: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1) prati izvršavanje preuzetih obaveza Crne Gore koje proizilaze iz Konvencije Ujedinjenih nacija o pravima lica sa invaliditetom i drugih međunarodnih dokumenata koji se od</w:t>
      </w:r>
      <w:r>
        <w:rPr>
          <w:rFonts w:ascii="Tahoma" w:hAnsi="Tahoma" w:cs="Tahoma"/>
        </w:rPr>
        <w:t>nose na zaštitu prava lica sa invaliditetom;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2) prati primjenu propisa koji se odnose na zaštitu prava lica sa invaliditetom i daje inicijative za njihove izmjene i usvajanje novih propisa;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 xml:space="preserve">3) prati implementaciju strategija koje se odnose na ostvarivanje </w:t>
      </w:r>
      <w:r>
        <w:rPr>
          <w:rFonts w:ascii="Tahoma" w:hAnsi="Tahoma" w:cs="Tahoma"/>
        </w:rPr>
        <w:t>prava lica sa invaliditetom, zaštitu lica sa invaliditetom od diskriminacije i promociju jednakosti;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4) podnosi Vladi inicijative, predloge, mišljenja i analize koje se odnose na ostvarivanje prava lica sa invaliditetom u Crnoj Gori;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5) unapređuje međureso</w:t>
      </w:r>
      <w:r>
        <w:rPr>
          <w:rFonts w:ascii="Tahoma" w:hAnsi="Tahoma" w:cs="Tahoma"/>
        </w:rPr>
        <w:t>rni i multidisciplinarni pristup u promociji, prevenciji i zaštiti prava lica sa invaliditetom;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6) unapređuje saradnju nevladinih organizacija, organa državne uprave, lokalne uprave i lokalne samouprave u procesu zaštite prava lica sa invaliditetom;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7) upo</w:t>
      </w:r>
      <w:r>
        <w:rPr>
          <w:rFonts w:ascii="Tahoma" w:hAnsi="Tahoma" w:cs="Tahoma"/>
        </w:rPr>
        <w:t>znaje javnost sa pravima lica sa invaliditetom i obavještava o stanju prava lica sa invaliditetom u Crnoj Gori;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8) razmatra i druga pitanja od značaja za ostvarivanje prava lica sa invaliditetom.</w:t>
      </w:r>
    </w:p>
    <w:p w:rsidR="00000000" w:rsidRDefault="0052550E">
      <w:pPr>
        <w:jc w:val="center"/>
        <w:divId w:val="449591411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7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Predsjednik Savjeta može, po potrebi, pozivati na sje</w:t>
      </w:r>
      <w:r>
        <w:rPr>
          <w:rFonts w:ascii="Tahoma" w:hAnsi="Tahoma" w:cs="Tahoma"/>
        </w:rPr>
        <w:t>dnice Savjeta stručnjake, predstavnike akademske zajednice, organa državne uprave, lokalne uprave i lokalne samouprave i predstavnike domaćih i međunarodnih organizacija i institucija koje se bave zaštitom prava lica sa invaliditetom, čiji predstavnici nij</w:t>
      </w:r>
      <w:r>
        <w:rPr>
          <w:rFonts w:ascii="Tahoma" w:hAnsi="Tahoma" w:cs="Tahoma"/>
        </w:rPr>
        <w:t>esu članovi Savjeta i zatražiti podatke, objašnjenja i izvještaje u vezi sa pitanjima koja se odnose na realizaciju zadataka iz člana 6 ove odluke.</w:t>
      </w:r>
    </w:p>
    <w:p w:rsidR="00000000" w:rsidRDefault="0052550E">
      <w:pPr>
        <w:jc w:val="center"/>
        <w:divId w:val="1315642478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8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 xml:space="preserve">Savjet donosi Poslovnik o radu kojim se uređuju način rada Savjeta i druga pitanja od značaja za rad </w:t>
      </w:r>
      <w:r>
        <w:rPr>
          <w:rFonts w:ascii="Tahoma" w:hAnsi="Tahoma" w:cs="Tahoma"/>
        </w:rPr>
        <w:t>i ostvarivanje zadataka Savjeta.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Poslovnik o radu donosi se većinom glasova članova Savjeta.</w:t>
      </w:r>
    </w:p>
    <w:p w:rsidR="00000000" w:rsidRDefault="0052550E">
      <w:pPr>
        <w:jc w:val="center"/>
        <w:divId w:val="1266428329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lastRenderedPageBreak/>
        <w:t>Član 9 ﻿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Predsjedniku, potpredsjedniku, članovima, sekretaru i zamjeniku sekretara Savjeta pripada naknada za rad u skladu sa članom 2 Odluke o kriterijumima za ut</w:t>
      </w:r>
      <w:r>
        <w:rPr>
          <w:rFonts w:ascii="Tahoma" w:hAnsi="Tahoma" w:cs="Tahoma"/>
        </w:rPr>
        <w:t>vrđivanje visine naknade za rad člana radnog tijela ili drugog oblika rada ("Službeni list CG", br. 26/12, 27/13, 44/22 i 78/22).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Naknada iz stava 1 ovog člana za članove Savjeta iz člana 3 stav 4 tač. 1 do 16 ove odluke isplaćuje se iz budžetskih sredstav</w:t>
      </w:r>
      <w:r>
        <w:rPr>
          <w:rFonts w:ascii="Tahoma" w:hAnsi="Tahoma" w:cs="Tahoma"/>
        </w:rPr>
        <w:t>a organa državne uprave na čiji predlog su određeni, a naknada za predsjednika Savjeta i članove Savjeta iz člana 3 stav 4 tač. 17 i 18 ove odluke i sekretara i zamjenika sekretara Savjeta isplaćuje se iz budžetskih sredstava Ministarstva ljudskih i manjin</w:t>
      </w:r>
      <w:r>
        <w:rPr>
          <w:rFonts w:ascii="Tahoma" w:hAnsi="Tahoma" w:cs="Tahoma"/>
        </w:rPr>
        <w:t>skih prava.</w:t>
      </w:r>
    </w:p>
    <w:p w:rsidR="00000000" w:rsidRDefault="0052550E">
      <w:pPr>
        <w:jc w:val="center"/>
        <w:divId w:val="1958096029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10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Savjet jednom godišnje podnosi Vladi izvještaj o radu, koji se, nakon usvajanja, objavljuje na internet stranici Vlade.</w:t>
      </w:r>
    </w:p>
    <w:p w:rsidR="00000000" w:rsidRDefault="0052550E">
      <w:pPr>
        <w:jc w:val="center"/>
        <w:divId w:val="565649502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11</w:t>
      </w:r>
    </w:p>
    <w:p w:rsidR="00000000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 xml:space="preserve">Danom stupanja na snagu ove odluke prestaje da važi Odluka o </w:t>
      </w:r>
      <w:r>
        <w:rPr>
          <w:rFonts w:ascii="Tahoma" w:hAnsi="Tahoma" w:cs="Tahoma"/>
        </w:rPr>
        <w:t>obrazovanju Savjeta za prava lica sa invaliditetom ("Službeni list CG", broj 138/21).</w:t>
      </w:r>
    </w:p>
    <w:p w:rsidR="00000000" w:rsidRDefault="0052550E">
      <w:pPr>
        <w:jc w:val="center"/>
        <w:divId w:val="1058169108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12</w:t>
      </w:r>
    </w:p>
    <w:p w:rsidR="0052550E" w:rsidRDefault="005255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Ova odluka stupa na snagu osmog dana od dana objavljivanja u "Službenom listu Crne Gore".</w:t>
      </w:r>
    </w:p>
    <w:sectPr w:rsidR="005255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A3F"/>
    <w:rsid w:val="0052550E"/>
    <w:rsid w:val="00B6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3CAB4C-B260-46ED-9B32-C9E3A092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000080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1tekst">
    <w:name w:val="_1tekst"/>
    <w:basedOn w:val="Normal"/>
    <w:pPr>
      <w:ind w:left="150" w:right="150" w:firstLine="240"/>
      <w:jc w:val="both"/>
    </w:pPr>
    <w:rPr>
      <w:sz w:val="23"/>
      <w:szCs w:val="23"/>
    </w:rPr>
  </w:style>
  <w:style w:type="paragraph" w:customStyle="1" w:styleId="osnovnitekst">
    <w:name w:val="osnovnitekst"/>
    <w:basedOn w:val="Normal"/>
    <w:pPr>
      <w:spacing w:before="100" w:beforeAutospacing="1" w:after="100" w:afterAutospacing="1"/>
      <w:ind w:left="240" w:right="240"/>
    </w:pPr>
    <w:rPr>
      <w:b/>
      <w:bCs/>
      <w:color w:val="FF0000"/>
      <w:sz w:val="36"/>
      <w:szCs w:val="36"/>
    </w:rPr>
  </w:style>
  <w:style w:type="paragraph" w:customStyle="1" w:styleId="rasir">
    <w:name w:val="rasir"/>
    <w:basedOn w:val="Normal"/>
    <w:pPr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obrazac">
    <w:name w:val="obrazac"/>
    <w:basedOn w:val="Normal"/>
    <w:pPr>
      <w:spacing w:before="100" w:beforeAutospacing="1" w:after="100" w:afterAutospacing="1"/>
      <w:jc w:val="right"/>
    </w:pPr>
    <w:rPr>
      <w:b/>
      <w:bCs/>
    </w:rPr>
  </w:style>
  <w:style w:type="paragraph" w:customStyle="1" w:styleId="izmene">
    <w:name w:val="izmene"/>
    <w:basedOn w:val="Normal"/>
    <w:pPr>
      <w:shd w:val="clear" w:color="auto" w:fill="FFCCCC"/>
      <w:spacing w:before="100" w:beforeAutospacing="1" w:after="100" w:afterAutospacing="1"/>
      <w:ind w:firstLine="240"/>
    </w:pPr>
    <w:rPr>
      <w:b/>
      <w:bCs/>
      <w:color w:val="000080"/>
      <w:sz w:val="36"/>
      <w:szCs w:val="36"/>
    </w:rPr>
  </w:style>
  <w:style w:type="paragraph" w:customStyle="1" w:styleId="napomena">
    <w:name w:val="napomena"/>
    <w:basedOn w:val="Normal"/>
    <w:pPr>
      <w:shd w:val="clear" w:color="auto" w:fill="FFCCCC"/>
      <w:spacing w:before="100" w:beforeAutospacing="1" w:after="100" w:afterAutospacing="1"/>
      <w:ind w:firstLine="240"/>
    </w:pPr>
    <w:rPr>
      <w:b/>
      <w:bCs/>
      <w:color w:val="008080"/>
      <w:sz w:val="36"/>
      <w:szCs w:val="36"/>
    </w:rPr>
  </w:style>
  <w:style w:type="paragraph" w:customStyle="1" w:styleId="2zakon">
    <w:name w:val="_2zakon"/>
    <w:basedOn w:val="Normal"/>
    <w:pPr>
      <w:spacing w:before="100" w:beforeAutospacing="1" w:after="100" w:afterAutospacing="1"/>
      <w:jc w:val="center"/>
    </w:pPr>
    <w:rPr>
      <w:color w:val="0033CC"/>
      <w:sz w:val="42"/>
      <w:szCs w:val="42"/>
    </w:rPr>
  </w:style>
  <w:style w:type="paragraph" w:customStyle="1" w:styleId="6naslov">
    <w:name w:val="_6naslov"/>
    <w:basedOn w:val="Normal"/>
    <w:pPr>
      <w:spacing w:before="60" w:after="30"/>
      <w:jc w:val="center"/>
    </w:pPr>
    <w:rPr>
      <w:sz w:val="32"/>
      <w:szCs w:val="32"/>
    </w:rPr>
  </w:style>
  <w:style w:type="paragraph" w:customStyle="1" w:styleId="5nadnaslov">
    <w:name w:val="_5nadnaslov"/>
    <w:basedOn w:val="Normal"/>
    <w:pPr>
      <w:spacing w:before="240"/>
      <w:jc w:val="center"/>
    </w:pPr>
    <w:rPr>
      <w:b/>
      <w:bCs/>
      <w:sz w:val="33"/>
      <w:szCs w:val="33"/>
    </w:rPr>
  </w:style>
  <w:style w:type="paragraph" w:customStyle="1" w:styleId="7podnas">
    <w:name w:val="_7podnas"/>
    <w:basedOn w:val="Normal"/>
    <w:pPr>
      <w:spacing w:before="60"/>
      <w:jc w:val="center"/>
    </w:pPr>
    <w:rPr>
      <w:b/>
      <w:bCs/>
      <w:sz w:val="27"/>
      <w:szCs w:val="27"/>
    </w:rPr>
  </w:style>
  <w:style w:type="paragraph" w:customStyle="1" w:styleId="8podpodnas">
    <w:name w:val="_8podpodnas"/>
    <w:basedOn w:val="Normal"/>
    <w:pPr>
      <w:spacing w:before="240" w:after="240"/>
      <w:jc w:val="center"/>
    </w:pPr>
    <w:rPr>
      <w:i/>
      <w:iCs/>
      <w:sz w:val="27"/>
      <w:szCs w:val="27"/>
    </w:rPr>
  </w:style>
  <w:style w:type="paragraph" w:customStyle="1" w:styleId="odeljak">
    <w:name w:val="odeljak"/>
    <w:basedOn w:val="Normal"/>
    <w:pPr>
      <w:spacing w:before="240" w:after="240"/>
      <w:jc w:val="center"/>
    </w:pPr>
  </w:style>
  <w:style w:type="paragraph" w:customStyle="1" w:styleId="3mesto">
    <w:name w:val="_3mesto"/>
    <w:basedOn w:val="Normal"/>
    <w:pPr>
      <w:spacing w:before="100" w:beforeAutospacing="1" w:after="100" w:afterAutospacing="1"/>
      <w:ind w:left="375" w:right="375"/>
      <w:jc w:val="center"/>
    </w:pPr>
  </w:style>
  <w:style w:type="paragraph" w:customStyle="1" w:styleId="4clan">
    <w:name w:val="_4clan"/>
    <w:basedOn w:val="Normal"/>
    <w:pPr>
      <w:spacing w:before="240" w:after="240"/>
      <w:jc w:val="center"/>
    </w:pPr>
    <w:rPr>
      <w:b/>
      <w:bCs/>
    </w:rPr>
  </w:style>
  <w:style w:type="paragraph" w:customStyle="1" w:styleId="medjclan">
    <w:name w:val="medjclan"/>
    <w:basedOn w:val="Normal"/>
    <w:pPr>
      <w:spacing w:before="240" w:after="240"/>
      <w:jc w:val="center"/>
    </w:pPr>
    <w:rPr>
      <w:b/>
      <w:bCs/>
      <w:sz w:val="29"/>
      <w:szCs w:val="29"/>
    </w:rPr>
  </w:style>
  <w:style w:type="paragraph" w:customStyle="1" w:styleId="medjtekst">
    <w:name w:val="medjtekst"/>
    <w:basedOn w:val="Normal"/>
    <w:pPr>
      <w:ind w:left="525" w:right="525" w:firstLine="240"/>
      <w:jc w:val="both"/>
    </w:pPr>
    <w:rPr>
      <w:sz w:val="27"/>
      <w:szCs w:val="27"/>
    </w:rPr>
  </w:style>
  <w:style w:type="paragraph" w:customStyle="1" w:styleId="glava">
    <w:name w:val="glava"/>
    <w:basedOn w:val="Normal"/>
    <w:pPr>
      <w:spacing w:before="240" w:after="240"/>
      <w:jc w:val="center"/>
    </w:pPr>
    <w:rPr>
      <w:b/>
      <w:bCs/>
      <w:i/>
      <w:iCs/>
      <w:sz w:val="36"/>
      <w:szCs w:val="36"/>
    </w:rPr>
  </w:style>
  <w:style w:type="paragraph" w:customStyle="1" w:styleId="deo">
    <w:name w:val="deo"/>
    <w:basedOn w:val="Normal"/>
    <w:pPr>
      <w:spacing w:before="240" w:after="240"/>
      <w:jc w:val="center"/>
    </w:pPr>
    <w:rPr>
      <w:b/>
      <w:bCs/>
      <w:sz w:val="33"/>
      <w:szCs w:val="33"/>
    </w:rPr>
  </w:style>
  <w:style w:type="paragraph" w:customStyle="1" w:styleId="vidi">
    <w:name w:val="vidi"/>
    <w:basedOn w:val="Normal"/>
    <w:pPr>
      <w:ind w:right="1650"/>
    </w:pPr>
    <w:rPr>
      <w:b/>
      <w:bCs/>
      <w:color w:val="800000"/>
      <w:sz w:val="20"/>
      <w:szCs w:val="20"/>
    </w:rPr>
  </w:style>
  <w:style w:type="paragraph" w:customStyle="1" w:styleId="vidividi">
    <w:name w:val="vidi_vidi"/>
    <w:basedOn w:val="Normal"/>
    <w:rPr>
      <w:b/>
      <w:bCs/>
      <w:color w:val="800000"/>
      <w:sz w:val="20"/>
      <w:szCs w:val="20"/>
    </w:rPr>
  </w:style>
  <w:style w:type="paragraph" w:customStyle="1" w:styleId="nodis">
    <w:name w:val="nodis"/>
    <w:basedOn w:val="Normal"/>
    <w:pPr>
      <w:spacing w:before="100" w:beforeAutospacing="1" w:after="100" w:afterAutospacing="1"/>
    </w:pPr>
    <w:rPr>
      <w:vanish/>
    </w:rPr>
  </w:style>
  <w:style w:type="paragraph" w:customStyle="1" w:styleId="vlinkovi">
    <w:name w:val="vlinkovi"/>
    <w:basedOn w:val="Normal"/>
    <w:pPr>
      <w:ind w:left="375" w:right="375"/>
    </w:pPr>
    <w:rPr>
      <w:sz w:val="20"/>
      <w:szCs w:val="20"/>
    </w:rPr>
  </w:style>
  <w:style w:type="paragraph" w:customStyle="1" w:styleId="vlb">
    <w:name w:val="vlb"/>
    <w:basedOn w:val="Normal"/>
    <w:pPr>
      <w:spacing w:before="100" w:beforeAutospacing="1" w:after="100" w:afterAutospacing="1"/>
    </w:pPr>
    <w:rPr>
      <w:b/>
      <w:bCs/>
      <w:sz w:val="17"/>
      <w:szCs w:val="17"/>
    </w:rPr>
  </w:style>
  <w:style w:type="paragraph" w:customStyle="1" w:styleId="vlnowrap">
    <w:name w:val="vlnowrap"/>
    <w:basedOn w:val="Normal"/>
    <w:pPr>
      <w:spacing w:before="100" w:beforeAutospacing="1" w:after="100" w:afterAutospacing="1"/>
    </w:pPr>
    <w:rPr>
      <w:color w:val="000080"/>
    </w:rPr>
  </w:style>
  <w:style w:type="paragraph" w:customStyle="1" w:styleId="vlf">
    <w:name w:val="vlf"/>
    <w:basedOn w:val="Normal"/>
    <w:pPr>
      <w:shd w:val="clear" w:color="auto" w:fill="FFFFFF"/>
      <w:spacing w:before="75"/>
      <w:ind w:right="225"/>
    </w:pPr>
    <w:rPr>
      <w:b/>
      <w:bCs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203087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57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09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11267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8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4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216267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8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65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29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293533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04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91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1338038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0844327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745458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6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9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560104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57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2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062538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0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56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59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818357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1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65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2994131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7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8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64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741354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16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javascript:void(0)" TargetMode="External"/><Relationship Id="rId4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Knezevic</dc:creator>
  <cp:keywords/>
  <dc:description/>
  <cp:lastModifiedBy>Lidija Knezevic</cp:lastModifiedBy>
  <cp:revision>2</cp:revision>
  <dcterms:created xsi:type="dcterms:W3CDTF">2026-10-19T08:11:00Z</dcterms:created>
  <dcterms:modified xsi:type="dcterms:W3CDTF">2026-10-19T08:11:00Z</dcterms:modified>
</cp:coreProperties>
</file>