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4AA" w:rsidRPr="00E724AA" w:rsidRDefault="00C66BB6" w:rsidP="00E724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932815" cy="1054735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41C8" w:rsidRDefault="00B441C8" w:rsidP="00E724AA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CRNA GORA</w:t>
      </w:r>
    </w:p>
    <w:p w:rsidR="00E724AA" w:rsidRPr="00A1081D" w:rsidRDefault="00C66BB6" w:rsidP="00E724AA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1081D">
        <w:rPr>
          <w:rFonts w:ascii="Times New Roman" w:hAnsi="Times New Roman" w:cs="Times New Roman"/>
          <w:b/>
          <w:sz w:val="24"/>
          <w:szCs w:val="24"/>
          <w:lang w:val="it-IT"/>
        </w:rPr>
        <w:t>MINISTARSTVO PRAVDE</w:t>
      </w:r>
    </w:p>
    <w:p w:rsidR="00E724AA" w:rsidRPr="00A1081D" w:rsidRDefault="00E724AA" w:rsidP="00E724AA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E724AA" w:rsidRDefault="00E724AA" w:rsidP="00E724AA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A80E4B" w:rsidRPr="00A1081D" w:rsidRDefault="00A80E4B" w:rsidP="00E724AA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E724AA" w:rsidRPr="00A1081D" w:rsidRDefault="00E724AA" w:rsidP="00C3029A">
      <w:pPr>
        <w:spacing w:after="0" w:line="36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F5C71" w:rsidRPr="00A1081D" w:rsidRDefault="005F5C71" w:rsidP="00C3029A">
      <w:pPr>
        <w:spacing w:after="0" w:line="36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F5C71" w:rsidRPr="00A1081D" w:rsidRDefault="005F5C71" w:rsidP="00C3029A">
      <w:pPr>
        <w:spacing w:after="0" w:line="36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E724AA" w:rsidRPr="00A1081D" w:rsidRDefault="00E724AA" w:rsidP="00E724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F5C71" w:rsidRDefault="005F5C71" w:rsidP="00E724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F5C71">
        <w:rPr>
          <w:rFonts w:ascii="Times New Roman" w:hAnsi="Times New Roman" w:cs="Times New Roman"/>
          <w:b/>
          <w:sz w:val="24"/>
          <w:szCs w:val="24"/>
          <w:lang w:val="it-IT"/>
        </w:rPr>
        <w:t xml:space="preserve">IZVJEŠTAJ </w:t>
      </w:r>
    </w:p>
    <w:p w:rsidR="005F5C71" w:rsidRDefault="005F5C71" w:rsidP="00E724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F5C71" w:rsidRDefault="005F5C71" w:rsidP="00E724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F5C71">
        <w:rPr>
          <w:rFonts w:ascii="Times New Roman" w:hAnsi="Times New Roman" w:cs="Times New Roman"/>
          <w:b/>
          <w:sz w:val="24"/>
          <w:szCs w:val="24"/>
          <w:lang w:val="it-IT"/>
        </w:rPr>
        <w:t>O PRIMJENI INSTITUTA SPORAZUMA O PRIZNANJU KRIVICE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</w:p>
    <w:p w:rsidR="00E724AA" w:rsidRPr="005F5C71" w:rsidRDefault="005F5C71" w:rsidP="00E724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ZA PERIOD 2010-2015</w:t>
      </w:r>
    </w:p>
    <w:p w:rsidR="00E724AA" w:rsidRPr="005F5C71" w:rsidRDefault="00E724AA" w:rsidP="00E724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724AA" w:rsidRPr="005F5C71" w:rsidRDefault="00E724AA" w:rsidP="00E724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724AA" w:rsidRPr="005F5C71" w:rsidRDefault="00E724AA" w:rsidP="00E724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724AA" w:rsidRPr="005F5C71" w:rsidRDefault="00E724AA" w:rsidP="00E724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724AA" w:rsidRPr="005F5C71" w:rsidRDefault="00E724AA" w:rsidP="00E724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724AA" w:rsidRPr="005F5C71" w:rsidRDefault="00E724AA" w:rsidP="00E724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724AA" w:rsidRDefault="00E724AA" w:rsidP="00E724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80E4B" w:rsidRDefault="00A80E4B" w:rsidP="00E724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80E4B" w:rsidRPr="005F5C71" w:rsidRDefault="00A80E4B" w:rsidP="00E724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724AA" w:rsidRPr="005F5C71" w:rsidRDefault="00E724AA" w:rsidP="00E724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724AA" w:rsidRPr="005F5C71" w:rsidRDefault="00E724AA" w:rsidP="00E724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724AA" w:rsidRPr="005F5C71" w:rsidRDefault="00E724AA" w:rsidP="00E724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724AA" w:rsidRPr="005F5C71" w:rsidRDefault="00E724AA" w:rsidP="00E724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724AA" w:rsidRPr="005F5C71" w:rsidRDefault="00E724AA" w:rsidP="00E724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724AA" w:rsidRPr="005F5C71" w:rsidRDefault="00E724AA" w:rsidP="00E724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724AA" w:rsidRPr="005F5C71" w:rsidRDefault="00E724AA" w:rsidP="00E724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724AA" w:rsidRPr="005F5C71" w:rsidRDefault="00E724AA" w:rsidP="001F4C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724AA" w:rsidRPr="005F5C71" w:rsidRDefault="00E724AA" w:rsidP="00E724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F5C71" w:rsidRPr="005F5C71" w:rsidRDefault="005F5C71" w:rsidP="00C3029A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:rsidR="005F5C71" w:rsidRPr="005F5C71" w:rsidRDefault="005F5C71" w:rsidP="00C66BB6">
      <w:pPr>
        <w:spacing w:after="0" w:line="360" w:lineRule="auto"/>
        <w:jc w:val="center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Podgorica, septembar 2016. godine</w:t>
      </w:r>
    </w:p>
    <w:p w:rsidR="00A80E4B" w:rsidRDefault="00A80E4B" w:rsidP="00F31F58">
      <w:pPr>
        <w:spacing w:after="0" w:line="36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F5C71" w:rsidRPr="00F31F58" w:rsidRDefault="00F31F58" w:rsidP="00F31F58">
      <w:pPr>
        <w:spacing w:after="0" w:line="360" w:lineRule="auto"/>
        <w:jc w:val="center"/>
        <w:rPr>
          <w:rFonts w:ascii="Times New Roman" w:hAnsi="Times New Roman" w:cs="Times New Roman"/>
          <w:b/>
          <w:lang w:val="it-IT"/>
        </w:rPr>
      </w:pPr>
      <w:r w:rsidRPr="00F31F58">
        <w:rPr>
          <w:rFonts w:ascii="Times New Roman" w:hAnsi="Times New Roman" w:cs="Times New Roman"/>
          <w:b/>
          <w:lang w:val="it-IT"/>
        </w:rPr>
        <w:t>U</w:t>
      </w:r>
      <w:r>
        <w:rPr>
          <w:rFonts w:ascii="Times New Roman" w:hAnsi="Times New Roman" w:cs="Times New Roman"/>
          <w:b/>
          <w:lang w:val="it-IT"/>
        </w:rPr>
        <w:t xml:space="preserve"> </w:t>
      </w:r>
      <w:r w:rsidRPr="00F31F58">
        <w:rPr>
          <w:rFonts w:ascii="Times New Roman" w:hAnsi="Times New Roman" w:cs="Times New Roman"/>
          <w:b/>
          <w:lang w:val="it-IT"/>
        </w:rPr>
        <w:t>V</w:t>
      </w:r>
      <w:r>
        <w:rPr>
          <w:rFonts w:ascii="Times New Roman" w:hAnsi="Times New Roman" w:cs="Times New Roman"/>
          <w:b/>
          <w:lang w:val="it-IT"/>
        </w:rPr>
        <w:t xml:space="preserve"> </w:t>
      </w:r>
      <w:r w:rsidRPr="00F31F58">
        <w:rPr>
          <w:rFonts w:ascii="Times New Roman" w:hAnsi="Times New Roman" w:cs="Times New Roman"/>
          <w:b/>
          <w:lang w:val="it-IT"/>
        </w:rPr>
        <w:t>O</w:t>
      </w:r>
      <w:r>
        <w:rPr>
          <w:rFonts w:ascii="Times New Roman" w:hAnsi="Times New Roman" w:cs="Times New Roman"/>
          <w:b/>
          <w:lang w:val="it-IT"/>
        </w:rPr>
        <w:t xml:space="preserve"> </w:t>
      </w:r>
      <w:r w:rsidRPr="00F31F58">
        <w:rPr>
          <w:rFonts w:ascii="Times New Roman" w:hAnsi="Times New Roman" w:cs="Times New Roman"/>
          <w:b/>
          <w:lang w:val="it-IT"/>
        </w:rPr>
        <w:t>D</w:t>
      </w:r>
    </w:p>
    <w:p w:rsidR="00F31F58" w:rsidRDefault="00F31F58" w:rsidP="00C3029A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:rsidR="00F31F58" w:rsidRDefault="00F31F58" w:rsidP="00C3029A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:rsidR="00F31F58" w:rsidRDefault="00F31F58" w:rsidP="001F4C1B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F31F58">
        <w:rPr>
          <w:rFonts w:ascii="Times New Roman" w:hAnsi="Times New Roman" w:cs="Times New Roman"/>
          <w:lang w:val="it-IT"/>
        </w:rPr>
        <w:t>Institut Sporazuma o priznanju krivice po prvi put je uveden u procesno zakonodavstvo Crne Gore Zakonikom o krivičnom postupku (“Sl.list CG” br.57/09 od 18.08.2009.g.), koji je stupio na snagu 26.08.2009.godine.  Ovaj institut u naše krivično zakonodavstvo uveden je s ciljem da dovede do bržeg okončanja mnogih krivičnih postupaka i smanjenja troškova, a da se pri tom, ipak ne ugroze interesi zakonitosti i pravičnosti.</w:t>
      </w:r>
    </w:p>
    <w:p w:rsidR="00A1081D" w:rsidRPr="001F4C1B" w:rsidRDefault="00A1081D" w:rsidP="001F4C1B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Imajući u vidu značaj ovog instituta, Planom praćenja implementacije Zakona o izmjenama i dopunama Zakonika o krivičnom postupku, planirana je izrada Izvještaja o primjeni instituta sporazuma o priznanju krivice za petogodišnji period (2010-2015).</w:t>
      </w:r>
    </w:p>
    <w:p w:rsidR="00DA3F0E" w:rsidRPr="00A1081D" w:rsidRDefault="00DA3F0E" w:rsidP="001F4C1B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1F4C1B">
        <w:rPr>
          <w:rFonts w:ascii="Times New Roman" w:hAnsi="Times New Roman" w:cs="Times New Roman"/>
          <w:lang w:val="it-IT"/>
        </w:rPr>
        <w:t>Zakonik o krivičnom postupku u Glavi XX uređuje institut sporazuma o priznanju krivice, na način što propisuje uslove i postupak za njegovo zaključivanje.</w:t>
      </w:r>
      <w:r w:rsidR="001F4C1B" w:rsidRPr="001F4C1B">
        <w:rPr>
          <w:rFonts w:ascii="Times New Roman" w:hAnsi="Times New Roman" w:cs="Times New Roman"/>
          <w:lang w:val="it-IT"/>
        </w:rPr>
        <w:t xml:space="preserve"> </w:t>
      </w:r>
      <w:r w:rsidRPr="001F4C1B">
        <w:rPr>
          <w:rFonts w:ascii="Times New Roman" w:hAnsi="Times New Roman" w:cs="Times New Roman"/>
          <w:lang w:val="it-IT"/>
        </w:rPr>
        <w:t xml:space="preserve">Zaključenjem sporazumom o priznanju krivice osumnjičeni odnosno okrivljeni u potpunosti priznaje krivično djelo za koje se tereti, odnosno priznaje jedno ili više krivičnih djela učinjenih u sticaju koja su predmet optužbe. </w:t>
      </w:r>
      <w:r w:rsidRPr="00A1081D">
        <w:rPr>
          <w:rFonts w:ascii="Times New Roman" w:hAnsi="Times New Roman" w:cs="Times New Roman"/>
          <w:lang w:val="it-IT"/>
        </w:rPr>
        <w:t>Sporazumijevanje je moguće samo između državnog tužioca i osumnjičenog, odnosno okrivljenog, dakle nije moguće zaključiti sporazum sa drugim vrstama ovlašćenih tužilaca – privatnog tu</w:t>
      </w:r>
      <w:r w:rsidR="00E66882" w:rsidRPr="00A1081D">
        <w:rPr>
          <w:rFonts w:ascii="Times New Roman" w:hAnsi="Times New Roman" w:cs="Times New Roman"/>
          <w:lang w:val="it-IT"/>
        </w:rPr>
        <w:t xml:space="preserve">žioca i oštećenog kao tužioca.  </w:t>
      </w:r>
      <w:r w:rsidRPr="00A1081D">
        <w:rPr>
          <w:rFonts w:ascii="Times New Roman" w:hAnsi="Times New Roman" w:cs="Times New Roman"/>
          <w:lang w:val="it-IT"/>
        </w:rPr>
        <w:t>Predlog za zaključenje sporazuma o priznanju krivice državni tužilac može dati osumnjičenom, okrivljenom i braniocu odnosno osumnjičeni, okrivljeni i branilac mogu državnom tužiocu predložiti zaključenje takvog sporazuma.</w:t>
      </w:r>
      <w:r w:rsidRPr="00A1081D">
        <w:rPr>
          <w:lang w:val="it-IT"/>
        </w:rPr>
        <w:t xml:space="preserve"> </w:t>
      </w:r>
      <w:r w:rsidRPr="00A1081D">
        <w:rPr>
          <w:rFonts w:ascii="Times New Roman" w:hAnsi="Times New Roman" w:cs="Times New Roman"/>
          <w:lang w:val="it-IT"/>
        </w:rPr>
        <w:t>Sporazum o priznanju krivice može se zaključiti za krivična djela za koja se goni po službenoj dužnosti, osim krivičnih djela terorizma i ratnih zločina.</w:t>
      </w:r>
      <w:r w:rsidR="00C3029A" w:rsidRPr="00A1081D">
        <w:rPr>
          <w:rFonts w:ascii="Times New Roman" w:hAnsi="Times New Roman" w:cs="Times New Roman"/>
          <w:lang w:val="it-IT"/>
        </w:rPr>
        <w:t xml:space="preserve"> </w:t>
      </w:r>
      <w:r w:rsidR="00C3029A" w:rsidRPr="00C3029A">
        <w:rPr>
          <w:rFonts w:ascii="Times New Roman" w:hAnsi="Times New Roman" w:cs="Times New Roman"/>
          <w:lang w:val="it-IT"/>
        </w:rPr>
        <w:t>Ovo je novina koja je uvedena Zakonom o izmjenama i dopunama ZKP-a iz juna 2015.</w:t>
      </w:r>
    </w:p>
    <w:p w:rsidR="000B6090" w:rsidRPr="009E3FCB" w:rsidRDefault="00DA3F0E" w:rsidP="00F31F58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9E3FCB">
        <w:rPr>
          <w:rFonts w:ascii="Times New Roman" w:hAnsi="Times New Roman" w:cs="Times New Roman"/>
          <w:lang w:val="it-IT"/>
        </w:rPr>
        <w:t>Ranije važećim ZKP-om s</w:t>
      </w:r>
      <w:r w:rsidR="000B6090" w:rsidRPr="009E3FCB">
        <w:rPr>
          <w:rFonts w:ascii="Times New Roman" w:hAnsi="Times New Roman" w:cs="Times New Roman"/>
          <w:lang w:val="it-IT"/>
        </w:rPr>
        <w:t xml:space="preserve">porazumijevanje u smislu odredbi iz Glave XX </w:t>
      </w:r>
      <w:r w:rsidR="00C3029A" w:rsidRPr="009E3FCB">
        <w:rPr>
          <w:rFonts w:ascii="Times New Roman" w:hAnsi="Times New Roman" w:cs="Times New Roman"/>
          <w:lang w:val="it-IT"/>
        </w:rPr>
        <w:t xml:space="preserve">bilo </w:t>
      </w:r>
      <w:r w:rsidR="000B6090" w:rsidRPr="009E3FCB">
        <w:rPr>
          <w:rFonts w:ascii="Times New Roman" w:hAnsi="Times New Roman" w:cs="Times New Roman"/>
          <w:lang w:val="it-IT"/>
        </w:rPr>
        <w:t xml:space="preserve">je moguće samo između </w:t>
      </w:r>
      <w:r w:rsidR="00C3029A" w:rsidRPr="009E3FCB">
        <w:rPr>
          <w:rFonts w:ascii="Times New Roman" w:hAnsi="Times New Roman" w:cs="Times New Roman"/>
          <w:lang w:val="it-IT"/>
        </w:rPr>
        <w:t xml:space="preserve">državnog tužioca i okrivljenog </w:t>
      </w:r>
      <w:r w:rsidR="000B6090" w:rsidRPr="009E3FCB">
        <w:rPr>
          <w:rFonts w:ascii="Times New Roman" w:hAnsi="Times New Roman" w:cs="Times New Roman"/>
          <w:lang w:val="it-IT"/>
        </w:rPr>
        <w:t xml:space="preserve">i </w:t>
      </w:r>
      <w:r w:rsidR="00C3029A" w:rsidRPr="009E3FCB">
        <w:rPr>
          <w:rFonts w:ascii="Times New Roman" w:hAnsi="Times New Roman" w:cs="Times New Roman"/>
          <w:lang w:val="it-IT"/>
        </w:rPr>
        <w:t>to ako su u pitanju krivična</w:t>
      </w:r>
      <w:r w:rsidR="000B6090" w:rsidRPr="009E3FCB">
        <w:rPr>
          <w:rFonts w:ascii="Times New Roman" w:hAnsi="Times New Roman" w:cs="Times New Roman"/>
          <w:lang w:val="it-IT"/>
        </w:rPr>
        <w:t xml:space="preserve"> djela za koja je predvi</w:t>
      </w:r>
      <w:r w:rsidR="00C3029A" w:rsidRPr="009E3FCB">
        <w:rPr>
          <w:rFonts w:ascii="Times New Roman" w:hAnsi="Times New Roman" w:cs="Times New Roman"/>
          <w:lang w:val="it-IT"/>
        </w:rPr>
        <w:t>đena kazna zatvora do 10 godina</w:t>
      </w:r>
      <w:r w:rsidR="000B6090" w:rsidRPr="009E3FCB">
        <w:rPr>
          <w:rFonts w:ascii="Times New Roman" w:hAnsi="Times New Roman" w:cs="Times New Roman"/>
          <w:lang w:val="it-IT"/>
        </w:rPr>
        <w:t>. Ovakvo limitiranje sporazuma omogućava</w:t>
      </w:r>
      <w:r w:rsidR="00C3029A" w:rsidRPr="009E3FCB">
        <w:rPr>
          <w:rFonts w:ascii="Times New Roman" w:hAnsi="Times New Roman" w:cs="Times New Roman"/>
          <w:lang w:val="it-IT"/>
        </w:rPr>
        <w:t>lo je</w:t>
      </w:r>
      <w:r w:rsidR="000B6090" w:rsidRPr="009E3FCB">
        <w:rPr>
          <w:rFonts w:ascii="Times New Roman" w:hAnsi="Times New Roman" w:cs="Times New Roman"/>
          <w:lang w:val="it-IT"/>
        </w:rPr>
        <w:t xml:space="preserve"> da veliki b</w:t>
      </w:r>
      <w:r w:rsidR="00C3029A" w:rsidRPr="009E3FCB">
        <w:rPr>
          <w:rFonts w:ascii="Times New Roman" w:hAnsi="Times New Roman" w:cs="Times New Roman"/>
          <w:lang w:val="it-IT"/>
        </w:rPr>
        <w:t xml:space="preserve">roj krivičnih djela bude </w:t>
      </w:r>
      <w:r w:rsidR="000B6090" w:rsidRPr="009E3FCB">
        <w:rPr>
          <w:rFonts w:ascii="Times New Roman" w:hAnsi="Times New Roman" w:cs="Times New Roman"/>
          <w:lang w:val="it-IT"/>
        </w:rPr>
        <w:t>predmet</w:t>
      </w:r>
      <w:r w:rsidR="00C3029A" w:rsidRPr="009E3FCB">
        <w:rPr>
          <w:rFonts w:ascii="Times New Roman" w:hAnsi="Times New Roman" w:cs="Times New Roman"/>
          <w:lang w:val="it-IT"/>
        </w:rPr>
        <w:t xml:space="preserve"> sporazuma</w:t>
      </w:r>
      <w:r w:rsidR="000B6090" w:rsidRPr="009E3FCB">
        <w:rPr>
          <w:rFonts w:ascii="Times New Roman" w:hAnsi="Times New Roman" w:cs="Times New Roman"/>
          <w:lang w:val="it-IT"/>
        </w:rPr>
        <w:t xml:space="preserve">, ali da to ipak ne bude moguće za najteža krivična djela, što je </w:t>
      </w:r>
      <w:r w:rsidR="00C3029A" w:rsidRPr="009E3FCB">
        <w:rPr>
          <w:rFonts w:ascii="Times New Roman" w:hAnsi="Times New Roman" w:cs="Times New Roman"/>
          <w:lang w:val="it-IT"/>
        </w:rPr>
        <w:t xml:space="preserve">bilo </w:t>
      </w:r>
      <w:r w:rsidR="000B6090" w:rsidRPr="009E3FCB">
        <w:rPr>
          <w:rFonts w:ascii="Times New Roman" w:hAnsi="Times New Roman" w:cs="Times New Roman"/>
          <w:lang w:val="it-IT"/>
        </w:rPr>
        <w:t>opravdano činjenicom da se radi o po</w:t>
      </w:r>
      <w:r w:rsidR="00C3029A" w:rsidRPr="009E3FCB">
        <w:rPr>
          <w:rFonts w:ascii="Times New Roman" w:hAnsi="Times New Roman" w:cs="Times New Roman"/>
          <w:lang w:val="it-IT"/>
        </w:rPr>
        <w:t xml:space="preserve">tpuno novom zakonskom mehanizmu koji je </w:t>
      </w:r>
      <w:r w:rsidR="000B6090" w:rsidRPr="009E3FCB">
        <w:rPr>
          <w:rFonts w:ascii="Times New Roman" w:hAnsi="Times New Roman" w:cs="Times New Roman"/>
          <w:lang w:val="it-IT"/>
        </w:rPr>
        <w:t>zahtijeva</w:t>
      </w:r>
      <w:r w:rsidR="00C3029A" w:rsidRPr="009E3FCB">
        <w:rPr>
          <w:rFonts w:ascii="Times New Roman" w:hAnsi="Times New Roman" w:cs="Times New Roman"/>
          <w:lang w:val="it-IT"/>
        </w:rPr>
        <w:t>o određenu nužnu opreznost.</w:t>
      </w:r>
    </w:p>
    <w:p w:rsidR="00C66BB6" w:rsidRDefault="00C66BB6" w:rsidP="00C3029A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:rsidR="00A80E4B" w:rsidRDefault="00A80E4B" w:rsidP="00C3029A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:rsidR="00A80E4B" w:rsidRDefault="00A80E4B" w:rsidP="00C3029A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:rsidR="00A80E4B" w:rsidRDefault="00A80E4B" w:rsidP="00C3029A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:rsidR="00A80E4B" w:rsidRPr="009E3FCB" w:rsidRDefault="00A80E4B" w:rsidP="00C3029A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:rsidR="001F4C1B" w:rsidRDefault="00F31F58" w:rsidP="001F4C1B">
      <w:pPr>
        <w:spacing w:after="0" w:line="360" w:lineRule="auto"/>
        <w:jc w:val="center"/>
        <w:rPr>
          <w:rFonts w:ascii="Times New Roman" w:hAnsi="Times New Roman" w:cs="Times New Roman"/>
          <w:b/>
          <w:lang w:val="it-IT"/>
        </w:rPr>
      </w:pPr>
      <w:r w:rsidRPr="001F4C1B">
        <w:rPr>
          <w:rFonts w:ascii="Times New Roman" w:hAnsi="Times New Roman" w:cs="Times New Roman"/>
          <w:b/>
          <w:lang w:val="it-IT"/>
        </w:rPr>
        <w:lastRenderedPageBreak/>
        <w:t xml:space="preserve">STATISTIČKI PRIKAZ PRIMJENE SPORAZUMA O PRIZNANJU KRIVICE </w:t>
      </w:r>
    </w:p>
    <w:p w:rsidR="00C3029A" w:rsidRPr="001F4C1B" w:rsidRDefault="00F31F58" w:rsidP="001F4C1B">
      <w:pPr>
        <w:spacing w:after="0" w:line="360" w:lineRule="auto"/>
        <w:jc w:val="center"/>
        <w:rPr>
          <w:rFonts w:ascii="Times New Roman" w:hAnsi="Times New Roman" w:cs="Times New Roman"/>
          <w:b/>
          <w:lang w:val="it-IT"/>
        </w:rPr>
      </w:pPr>
      <w:r w:rsidRPr="001F4C1B">
        <w:rPr>
          <w:rFonts w:ascii="Times New Roman" w:hAnsi="Times New Roman" w:cs="Times New Roman"/>
          <w:b/>
          <w:lang w:val="it-IT"/>
        </w:rPr>
        <w:t>ZA PERIOD 2010 -2015</w:t>
      </w:r>
    </w:p>
    <w:p w:rsidR="00662901" w:rsidRDefault="00662901" w:rsidP="00C3029A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:rsidR="00C3029A" w:rsidRPr="00C3029A" w:rsidRDefault="00C3029A" w:rsidP="001F4C1B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C3029A">
        <w:rPr>
          <w:rFonts w:ascii="Times New Roman" w:hAnsi="Times New Roman" w:cs="Times New Roman"/>
          <w:lang w:val="it-IT"/>
        </w:rPr>
        <w:t xml:space="preserve">Od februara </w:t>
      </w:r>
      <w:r w:rsidRPr="00662901">
        <w:rPr>
          <w:rFonts w:ascii="Times New Roman" w:hAnsi="Times New Roman" w:cs="Times New Roman"/>
          <w:b/>
          <w:lang w:val="it-IT"/>
        </w:rPr>
        <w:t>2010. godine</w:t>
      </w:r>
      <w:r w:rsidRPr="00C3029A">
        <w:rPr>
          <w:rFonts w:ascii="Times New Roman" w:hAnsi="Times New Roman" w:cs="Times New Roman"/>
          <w:lang w:val="it-IT"/>
        </w:rPr>
        <w:t>, kada je i počela primjena sporazuma o priznanju krivice</w:t>
      </w:r>
      <w:r w:rsidR="00662901">
        <w:rPr>
          <w:rFonts w:ascii="Times New Roman" w:hAnsi="Times New Roman" w:cs="Times New Roman"/>
          <w:lang w:val="it-IT"/>
        </w:rPr>
        <w:t>,</w:t>
      </w:r>
      <w:r w:rsidR="00662901" w:rsidRPr="00662901">
        <w:rPr>
          <w:lang w:val="it-IT"/>
        </w:rPr>
        <w:t xml:space="preserve"> </w:t>
      </w:r>
      <w:r w:rsidR="00662901" w:rsidRPr="00662901">
        <w:rPr>
          <w:rFonts w:ascii="Times New Roman" w:hAnsi="Times New Roman" w:cs="Times New Roman"/>
          <w:lang w:val="it-IT"/>
        </w:rPr>
        <w:t>tužioci su veoma oprezno ušli u njegovu primjenu. Tako su u 2010.</w:t>
      </w:r>
      <w:r w:rsidR="00A21DB6">
        <w:rPr>
          <w:rFonts w:ascii="Times New Roman" w:hAnsi="Times New Roman" w:cs="Times New Roman"/>
          <w:lang w:val="it-IT"/>
        </w:rPr>
        <w:t xml:space="preserve"> </w:t>
      </w:r>
      <w:r w:rsidR="00662901" w:rsidRPr="00662901">
        <w:rPr>
          <w:rFonts w:ascii="Times New Roman" w:hAnsi="Times New Roman" w:cs="Times New Roman"/>
          <w:lang w:val="it-IT"/>
        </w:rPr>
        <w:t xml:space="preserve">godini zaključili samo </w:t>
      </w:r>
      <w:r w:rsidR="00662901" w:rsidRPr="00662901">
        <w:rPr>
          <w:rFonts w:ascii="Times New Roman" w:hAnsi="Times New Roman" w:cs="Times New Roman"/>
          <w:b/>
          <w:lang w:val="it-IT"/>
        </w:rPr>
        <w:t>tri sporazuma o priznanju krivice.</w:t>
      </w:r>
      <w:r w:rsidR="00662901" w:rsidRPr="00662901">
        <w:rPr>
          <w:rFonts w:ascii="Times New Roman" w:hAnsi="Times New Roman" w:cs="Times New Roman"/>
          <w:lang w:val="it-IT"/>
        </w:rPr>
        <w:t xml:space="preserve"> Osim u tužilačkom oprezu, razloge za relativno mali broj zaključenih sporazuma treba tražiti i u činjenici, da tužilaštva nijesu imala ni prostorne uslove za primjenu ovog instituta.</w:t>
      </w:r>
    </w:p>
    <w:p w:rsidR="00662901" w:rsidRDefault="00662901" w:rsidP="001F4C1B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662901">
        <w:rPr>
          <w:rFonts w:ascii="Times New Roman" w:hAnsi="Times New Roman" w:cs="Times New Roman"/>
          <w:b/>
          <w:lang w:val="it-IT"/>
        </w:rPr>
        <w:t>U 2011. godini</w:t>
      </w:r>
      <w:r w:rsidRPr="00662901">
        <w:rPr>
          <w:rFonts w:ascii="Times New Roman" w:hAnsi="Times New Roman" w:cs="Times New Roman"/>
          <w:lang w:val="it-IT"/>
        </w:rPr>
        <w:t xml:space="preserve"> državni tužioci su zaključili </w:t>
      </w:r>
      <w:r w:rsidRPr="00662901">
        <w:rPr>
          <w:rFonts w:ascii="Times New Roman" w:hAnsi="Times New Roman" w:cs="Times New Roman"/>
          <w:b/>
          <w:lang w:val="it-IT"/>
        </w:rPr>
        <w:t>13 sporazuma o priznanju krivice</w:t>
      </w:r>
      <w:r w:rsidRPr="00662901">
        <w:rPr>
          <w:rFonts w:ascii="Times New Roman" w:hAnsi="Times New Roman" w:cs="Times New Roman"/>
          <w:lang w:val="it-IT"/>
        </w:rPr>
        <w:t xml:space="preserve"> – 10 više nego u prethodnoj godini. U 2011. godini vidan je napredak i u primjeni ovog načina alternativnog rješavanja krivičnih sporova, čime tužioci daju dalji doprinos efikasnosti krivičnog postupka kroz smanjenje broja krivičnih sporova pred sudom.</w:t>
      </w:r>
    </w:p>
    <w:p w:rsidR="00662901" w:rsidRPr="00662901" w:rsidRDefault="00662901" w:rsidP="00F31F58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662901">
        <w:rPr>
          <w:rFonts w:ascii="Times New Roman" w:hAnsi="Times New Roman" w:cs="Times New Roman"/>
          <w:b/>
          <w:lang w:val="it-IT"/>
        </w:rPr>
        <w:t>U 2012. godini</w:t>
      </w:r>
      <w:r w:rsidRPr="00662901">
        <w:rPr>
          <w:rFonts w:ascii="Times New Roman" w:hAnsi="Times New Roman" w:cs="Times New Roman"/>
          <w:lang w:val="it-IT"/>
        </w:rPr>
        <w:t xml:space="preserve"> državni tužioci su zaključili </w:t>
      </w:r>
      <w:r w:rsidRPr="00662901">
        <w:rPr>
          <w:rFonts w:ascii="Times New Roman" w:hAnsi="Times New Roman" w:cs="Times New Roman"/>
          <w:b/>
          <w:lang w:val="it-IT"/>
        </w:rPr>
        <w:t>22 sporazuma o priznanju krivice</w:t>
      </w:r>
      <w:r w:rsidRPr="00662901">
        <w:rPr>
          <w:rFonts w:ascii="Times New Roman" w:hAnsi="Times New Roman" w:cs="Times New Roman"/>
          <w:lang w:val="it-IT"/>
        </w:rPr>
        <w:t xml:space="preserve"> – 9 više nego u prethodnoj godini.</w:t>
      </w:r>
    </w:p>
    <w:p w:rsidR="001A7863" w:rsidRDefault="00662901" w:rsidP="00F31F58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662901">
        <w:rPr>
          <w:rFonts w:ascii="Times New Roman" w:hAnsi="Times New Roman" w:cs="Times New Roman"/>
          <w:b/>
          <w:lang w:val="it-IT"/>
        </w:rPr>
        <w:t>U 2013. godini</w:t>
      </w:r>
      <w:r w:rsidRPr="00662901">
        <w:rPr>
          <w:rFonts w:ascii="Times New Roman" w:hAnsi="Times New Roman" w:cs="Times New Roman"/>
          <w:lang w:val="it-IT"/>
        </w:rPr>
        <w:t xml:space="preserve"> državni tužioci su zaključili </w:t>
      </w:r>
      <w:r w:rsidRPr="00662901">
        <w:rPr>
          <w:rFonts w:ascii="Times New Roman" w:hAnsi="Times New Roman" w:cs="Times New Roman"/>
          <w:b/>
          <w:lang w:val="it-IT"/>
        </w:rPr>
        <w:t>14 sporazuma o priznanju krivice</w:t>
      </w:r>
      <w:r w:rsidRPr="00662901">
        <w:rPr>
          <w:rFonts w:ascii="Times New Roman" w:hAnsi="Times New Roman" w:cs="Times New Roman"/>
          <w:lang w:val="it-IT"/>
        </w:rPr>
        <w:t xml:space="preserve">. </w:t>
      </w:r>
      <w:r w:rsidR="002B5100">
        <w:rPr>
          <w:rFonts w:ascii="Times New Roman" w:hAnsi="Times New Roman" w:cs="Times New Roman"/>
          <w:lang w:val="it-IT"/>
        </w:rPr>
        <w:t xml:space="preserve">2013. godina, </w:t>
      </w:r>
      <w:r w:rsidRPr="00662901">
        <w:rPr>
          <w:rFonts w:ascii="Times New Roman" w:hAnsi="Times New Roman" w:cs="Times New Roman"/>
          <w:lang w:val="it-IT"/>
        </w:rPr>
        <w:t xml:space="preserve">kada su u pitanju krivična djela organizovanog kriminala i primjena sporazuma o priznanju krivice, </w:t>
      </w:r>
      <w:r w:rsidR="002B5100" w:rsidRPr="002B5100">
        <w:rPr>
          <w:rFonts w:ascii="Times New Roman" w:hAnsi="Times New Roman" w:cs="Times New Roman"/>
          <w:lang w:val="it-IT"/>
        </w:rPr>
        <w:t>bila</w:t>
      </w:r>
      <w:r w:rsidR="002B5100">
        <w:rPr>
          <w:rFonts w:ascii="Times New Roman" w:hAnsi="Times New Roman" w:cs="Times New Roman"/>
          <w:lang w:val="it-IT"/>
        </w:rPr>
        <w:t xml:space="preserve"> je karakteristična i po</w:t>
      </w:r>
      <w:r w:rsidR="002B5100" w:rsidRPr="002B5100">
        <w:rPr>
          <w:rFonts w:ascii="Times New Roman" w:hAnsi="Times New Roman" w:cs="Times New Roman"/>
          <w:lang w:val="it-IT"/>
        </w:rPr>
        <w:t xml:space="preserve"> </w:t>
      </w:r>
      <w:r w:rsidR="002B5100">
        <w:rPr>
          <w:rFonts w:ascii="Times New Roman" w:hAnsi="Times New Roman" w:cs="Times New Roman"/>
          <w:lang w:val="it-IT"/>
        </w:rPr>
        <w:t>različitim stavovima</w:t>
      </w:r>
      <w:r w:rsidRPr="00662901">
        <w:rPr>
          <w:rFonts w:ascii="Times New Roman" w:hAnsi="Times New Roman" w:cs="Times New Roman"/>
          <w:lang w:val="it-IT"/>
        </w:rPr>
        <w:t xml:space="preserve"> prakse viših sudova, pa je u dva predmeta sud zauzeo različit stav od kojih je u jednom slučaju usvojio sporazum o priznanju krivice, a u drugom sa sličnim činjeničnim i pravnim osnovom odbio, što je imalo za posljedicu veći oprez u pristupanju primjeni ovog instituta i smanjenje broja predmeta riješenih kroz ovaj alternativni način rješavanja predmeta. </w:t>
      </w:r>
    </w:p>
    <w:p w:rsidR="002B5100" w:rsidRPr="002B5100" w:rsidRDefault="002B5100" w:rsidP="00F31F58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2B5100">
        <w:rPr>
          <w:rFonts w:ascii="Times New Roman" w:hAnsi="Times New Roman" w:cs="Times New Roman"/>
          <w:b/>
          <w:lang w:val="it-IT"/>
        </w:rPr>
        <w:t>U 2014. godini</w:t>
      </w:r>
      <w:r w:rsidRPr="002B5100">
        <w:rPr>
          <w:rFonts w:ascii="Times New Roman" w:hAnsi="Times New Roman" w:cs="Times New Roman"/>
          <w:lang w:val="it-IT"/>
        </w:rPr>
        <w:t xml:space="preserve"> državni tužioci su zaključili </w:t>
      </w:r>
      <w:r w:rsidRPr="002B5100">
        <w:rPr>
          <w:rFonts w:ascii="Times New Roman" w:hAnsi="Times New Roman" w:cs="Times New Roman"/>
          <w:b/>
          <w:lang w:val="it-IT"/>
        </w:rPr>
        <w:t>15 sporazuma o priznanju krivice</w:t>
      </w:r>
      <w:r w:rsidRPr="002B5100">
        <w:rPr>
          <w:rFonts w:ascii="Times New Roman" w:hAnsi="Times New Roman" w:cs="Times New Roman"/>
          <w:lang w:val="it-IT"/>
        </w:rPr>
        <w:t xml:space="preserve">. </w:t>
      </w:r>
    </w:p>
    <w:p w:rsidR="002B5100" w:rsidRPr="005F5C71" w:rsidRDefault="002B5100" w:rsidP="00F31F58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2B5100">
        <w:rPr>
          <w:rFonts w:ascii="Times New Roman" w:hAnsi="Times New Roman" w:cs="Times New Roman"/>
          <w:b/>
          <w:lang w:val="it-IT"/>
        </w:rPr>
        <w:t>U 2015. godini</w:t>
      </w:r>
      <w:r>
        <w:rPr>
          <w:rFonts w:ascii="Times New Roman" w:hAnsi="Times New Roman" w:cs="Times New Roman"/>
          <w:lang w:val="it-IT"/>
        </w:rPr>
        <w:t xml:space="preserve"> državni tužioci su zaključili </w:t>
      </w:r>
      <w:r w:rsidRPr="002B5100">
        <w:rPr>
          <w:rFonts w:ascii="Times New Roman" w:hAnsi="Times New Roman" w:cs="Times New Roman"/>
          <w:b/>
          <w:lang w:val="it-IT"/>
        </w:rPr>
        <w:t>59 sporazuma o priznanju krivice</w:t>
      </w:r>
      <w:r w:rsidR="005F5C71">
        <w:rPr>
          <w:rFonts w:ascii="Times New Roman" w:hAnsi="Times New Roman" w:cs="Times New Roman"/>
          <w:b/>
          <w:lang w:val="it-IT"/>
        </w:rPr>
        <w:t xml:space="preserve">, </w:t>
      </w:r>
      <w:r w:rsidR="005F5C71" w:rsidRPr="005F5C71">
        <w:rPr>
          <w:rFonts w:ascii="Times New Roman" w:hAnsi="Times New Roman" w:cs="Times New Roman"/>
          <w:lang w:val="it-IT"/>
        </w:rPr>
        <w:t xml:space="preserve">od čega </w:t>
      </w:r>
      <w:r w:rsidR="005F5C71">
        <w:rPr>
          <w:rFonts w:ascii="Times New Roman" w:hAnsi="Times New Roman" w:cs="Times New Roman"/>
          <w:lang w:val="it-IT"/>
        </w:rPr>
        <w:t xml:space="preserve">su </w:t>
      </w:r>
      <w:r w:rsidR="005F5C71" w:rsidRPr="005F5C71">
        <w:rPr>
          <w:rFonts w:ascii="Times New Roman" w:hAnsi="Times New Roman" w:cs="Times New Roman"/>
          <w:lang w:val="it-IT"/>
        </w:rPr>
        <w:t xml:space="preserve">osnovna </w:t>
      </w:r>
      <w:r w:rsidR="005F5C71">
        <w:rPr>
          <w:rFonts w:ascii="Times New Roman" w:hAnsi="Times New Roman" w:cs="Times New Roman"/>
          <w:lang w:val="it-IT"/>
        </w:rPr>
        <w:t xml:space="preserve">i viša </w:t>
      </w:r>
      <w:r w:rsidR="005F5C71" w:rsidRPr="005F5C71">
        <w:rPr>
          <w:rFonts w:ascii="Times New Roman" w:hAnsi="Times New Roman" w:cs="Times New Roman"/>
          <w:lang w:val="it-IT"/>
        </w:rPr>
        <w:t xml:space="preserve">državna </w:t>
      </w:r>
      <w:r w:rsidR="005F5C71">
        <w:rPr>
          <w:rFonts w:ascii="Times New Roman" w:hAnsi="Times New Roman" w:cs="Times New Roman"/>
          <w:lang w:val="it-IT"/>
        </w:rPr>
        <w:t xml:space="preserve">tužilaštva zaključila 53 sporazuma, dok su u </w:t>
      </w:r>
      <w:r w:rsidR="005F5C71" w:rsidRPr="005F5C71">
        <w:rPr>
          <w:rFonts w:ascii="Times New Roman" w:hAnsi="Times New Roman" w:cs="Times New Roman"/>
          <w:lang w:val="it-IT"/>
        </w:rPr>
        <w:t>Specijalnom državnom tužilaštvu zaključena su 4 (četiri) sporazuma o priznanju krivice</w:t>
      </w:r>
      <w:r w:rsidRPr="005F5C71">
        <w:rPr>
          <w:rFonts w:ascii="Times New Roman" w:hAnsi="Times New Roman" w:cs="Times New Roman"/>
          <w:lang w:val="it-IT"/>
        </w:rPr>
        <w:t>.</w:t>
      </w:r>
    </w:p>
    <w:p w:rsidR="001A7863" w:rsidRDefault="001A7863" w:rsidP="00C302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1F4C1B" w:rsidRDefault="00F751AB" w:rsidP="00C302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noProof/>
          <w:lang w:val="en-GB" w:eastAsia="en-GB"/>
        </w:rPr>
        <w:drawing>
          <wp:inline distT="0" distB="0" distL="0" distR="0">
            <wp:extent cx="5886450" cy="230505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80E4B" w:rsidRDefault="00F31F58" w:rsidP="00A80E4B">
      <w:pPr>
        <w:spacing w:after="0" w:line="360" w:lineRule="auto"/>
        <w:jc w:val="center"/>
        <w:rPr>
          <w:rFonts w:ascii="Times New Roman" w:hAnsi="Times New Roman" w:cs="Times New Roman"/>
          <w:b/>
          <w:lang w:val="it-IT"/>
        </w:rPr>
      </w:pPr>
      <w:r w:rsidRPr="00A80E4B">
        <w:rPr>
          <w:rFonts w:ascii="Times New Roman" w:hAnsi="Times New Roman" w:cs="Times New Roman"/>
          <w:b/>
          <w:lang w:val="it-IT"/>
        </w:rPr>
        <w:lastRenderedPageBreak/>
        <w:t xml:space="preserve">ANALIZA SLUČAJEVA U KOJIMA SU ZAKLJUČENI </w:t>
      </w:r>
    </w:p>
    <w:p w:rsidR="002B5100" w:rsidRPr="00A80E4B" w:rsidRDefault="00F31F58" w:rsidP="00A80E4B">
      <w:pPr>
        <w:spacing w:after="0" w:line="360" w:lineRule="auto"/>
        <w:jc w:val="center"/>
        <w:rPr>
          <w:rFonts w:ascii="Times New Roman" w:hAnsi="Times New Roman" w:cs="Times New Roman"/>
          <w:b/>
          <w:lang w:val="it-IT"/>
        </w:rPr>
      </w:pPr>
      <w:r w:rsidRPr="00A80E4B">
        <w:rPr>
          <w:rFonts w:ascii="Times New Roman" w:hAnsi="Times New Roman" w:cs="Times New Roman"/>
          <w:b/>
          <w:lang w:val="it-IT"/>
        </w:rPr>
        <w:t>SPORAZUMI O PRIZNANJU KRIVICE U 2015. GODINI</w:t>
      </w:r>
    </w:p>
    <w:p w:rsidR="00B13CD9" w:rsidRDefault="00B13CD9" w:rsidP="00B13CD9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:rsidR="00F751AB" w:rsidRDefault="00F751AB" w:rsidP="00B13CD9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>
        <w:rPr>
          <w:noProof/>
          <w:lang w:val="en-GB" w:eastAsia="en-GB"/>
        </w:rPr>
        <w:drawing>
          <wp:inline distT="0" distB="0" distL="0" distR="0">
            <wp:extent cx="5943600" cy="3152522"/>
            <wp:effectExtent l="0" t="0" r="19050" b="1016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80E4B" w:rsidRDefault="00A80E4B" w:rsidP="00B13CD9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:rsidR="00B13CD9" w:rsidRDefault="00B13CD9" w:rsidP="00F31F58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U </w:t>
      </w:r>
      <w:r w:rsidRPr="003D2F01">
        <w:rPr>
          <w:rFonts w:ascii="Times New Roman" w:hAnsi="Times New Roman" w:cs="Times New Roman"/>
          <w:b/>
          <w:lang w:val="it-IT"/>
        </w:rPr>
        <w:t>Specijalnom državnom tužilaštvu zaključena su 4 (četiri) sporazuma</w:t>
      </w:r>
      <w:r w:rsidRPr="00B13CD9">
        <w:rPr>
          <w:rFonts w:ascii="Times New Roman" w:hAnsi="Times New Roman" w:cs="Times New Roman"/>
          <w:lang w:val="it-IT"/>
        </w:rPr>
        <w:t xml:space="preserve"> o prizn</w:t>
      </w:r>
      <w:r w:rsidR="003D2F01">
        <w:rPr>
          <w:rFonts w:ascii="Times New Roman" w:hAnsi="Times New Roman" w:cs="Times New Roman"/>
          <w:lang w:val="it-IT"/>
        </w:rPr>
        <w:t xml:space="preserve">anju krivice kada su okrivljenima stavljena na teret krivična djela: </w:t>
      </w:r>
      <w:r w:rsidR="003D2F01" w:rsidRPr="003D2F01">
        <w:rPr>
          <w:rFonts w:ascii="Times New Roman" w:hAnsi="Times New Roman" w:cs="Times New Roman"/>
          <w:b/>
          <w:lang w:val="it-IT"/>
        </w:rPr>
        <w:t>1)</w:t>
      </w:r>
      <w:r w:rsidR="003D2F01">
        <w:rPr>
          <w:rFonts w:ascii="Times New Roman" w:hAnsi="Times New Roman" w:cs="Times New Roman"/>
          <w:lang w:val="it-IT"/>
        </w:rPr>
        <w:t xml:space="preserve"> </w:t>
      </w:r>
      <w:r w:rsidR="003D2F01" w:rsidRPr="003D2F01">
        <w:rPr>
          <w:rFonts w:ascii="Times New Roman" w:hAnsi="Times New Roman" w:cs="Times New Roman"/>
          <w:b/>
          <w:lang w:val="it-IT"/>
        </w:rPr>
        <w:t>stvaranje kriminalne organizacije</w:t>
      </w:r>
      <w:r w:rsidR="003D2F01">
        <w:rPr>
          <w:rFonts w:ascii="Times New Roman" w:hAnsi="Times New Roman" w:cs="Times New Roman"/>
          <w:lang w:val="it-IT"/>
        </w:rPr>
        <w:t xml:space="preserve"> (čl. 401a st. 2 u vezi st. 1 u vezi st. 6</w:t>
      </w:r>
      <w:r w:rsidR="00A820F3">
        <w:rPr>
          <w:rFonts w:ascii="Times New Roman" w:hAnsi="Times New Roman" w:cs="Times New Roman"/>
          <w:lang w:val="it-IT"/>
        </w:rPr>
        <w:t>)</w:t>
      </w:r>
      <w:r w:rsidR="003D2F01">
        <w:rPr>
          <w:rFonts w:ascii="Times New Roman" w:hAnsi="Times New Roman" w:cs="Times New Roman"/>
          <w:lang w:val="it-IT"/>
        </w:rPr>
        <w:t xml:space="preserve"> i </w:t>
      </w:r>
      <w:r w:rsidR="003D2F01" w:rsidRPr="003D2F01">
        <w:rPr>
          <w:rFonts w:ascii="Times New Roman" w:hAnsi="Times New Roman" w:cs="Times New Roman"/>
          <w:lang w:val="it-IT"/>
        </w:rPr>
        <w:t xml:space="preserve">krivično djelo </w:t>
      </w:r>
      <w:r w:rsidR="003D2F01" w:rsidRPr="003D2F01">
        <w:rPr>
          <w:rFonts w:ascii="Times New Roman" w:hAnsi="Times New Roman" w:cs="Times New Roman"/>
          <w:b/>
          <w:lang w:val="it-IT"/>
        </w:rPr>
        <w:t>neovlašćena proizvodnja, držanje i stavljanje u promet opojnih droga</w:t>
      </w:r>
      <w:r w:rsidR="003D2F01" w:rsidRPr="003D2F01">
        <w:rPr>
          <w:rFonts w:ascii="Times New Roman" w:hAnsi="Times New Roman" w:cs="Times New Roman"/>
          <w:lang w:val="it-IT"/>
        </w:rPr>
        <w:t xml:space="preserve"> (čl. 300 stav 2 u vezi sa st. 1 KZCG).</w:t>
      </w:r>
      <w:r w:rsidR="003D2F01" w:rsidRPr="003D2F01">
        <w:rPr>
          <w:lang w:val="it-IT"/>
        </w:rPr>
        <w:t xml:space="preserve"> </w:t>
      </w:r>
      <w:r w:rsidR="003D2F01" w:rsidRPr="003D2F01">
        <w:rPr>
          <w:rFonts w:ascii="Times New Roman" w:hAnsi="Times New Roman" w:cs="Times New Roman"/>
          <w:lang w:val="it-IT"/>
        </w:rPr>
        <w:t xml:space="preserve">Izrečena </w:t>
      </w:r>
      <w:r w:rsidR="003D2F01">
        <w:rPr>
          <w:rFonts w:ascii="Times New Roman" w:hAnsi="Times New Roman" w:cs="Times New Roman"/>
          <w:lang w:val="it-IT"/>
        </w:rPr>
        <w:t>jedinstvena kazna za ova krivična djela</w:t>
      </w:r>
      <w:r w:rsidR="003D2F01" w:rsidRPr="003D2F01">
        <w:rPr>
          <w:rFonts w:ascii="Times New Roman" w:hAnsi="Times New Roman" w:cs="Times New Roman"/>
          <w:lang w:val="it-IT"/>
        </w:rPr>
        <w:t xml:space="preserve">  je  kazna zatvora </w:t>
      </w:r>
      <w:r w:rsidR="003D2F01">
        <w:rPr>
          <w:rFonts w:ascii="Times New Roman" w:hAnsi="Times New Roman" w:cs="Times New Roman"/>
          <w:lang w:val="it-IT"/>
        </w:rPr>
        <w:t xml:space="preserve">u trajanju od jedne godine i šest mjeseci; </w:t>
      </w:r>
      <w:r w:rsidR="003D2F01" w:rsidRPr="003D2F01">
        <w:rPr>
          <w:rFonts w:ascii="Times New Roman" w:hAnsi="Times New Roman" w:cs="Times New Roman"/>
          <w:b/>
          <w:lang w:val="it-IT"/>
        </w:rPr>
        <w:t>2)</w:t>
      </w:r>
      <w:r w:rsidR="003D2F01" w:rsidRPr="003D2F01">
        <w:rPr>
          <w:lang w:val="it-IT"/>
        </w:rPr>
        <w:t xml:space="preserve"> </w:t>
      </w:r>
      <w:r w:rsidR="003D2F01" w:rsidRPr="003D2F01">
        <w:rPr>
          <w:rFonts w:ascii="Times New Roman" w:hAnsi="Times New Roman" w:cs="Times New Roman"/>
          <w:b/>
          <w:lang w:val="it-IT"/>
        </w:rPr>
        <w:t xml:space="preserve">stvaranje kriminalne organizacije </w:t>
      </w:r>
      <w:r w:rsidR="003D2F01" w:rsidRPr="00A820F3">
        <w:rPr>
          <w:rFonts w:ascii="Times New Roman" w:hAnsi="Times New Roman" w:cs="Times New Roman"/>
          <w:lang w:val="it-IT"/>
        </w:rPr>
        <w:t>(čl. 401a st. 2 u vezi st. 1 u vezi st. 6</w:t>
      </w:r>
      <w:r w:rsidR="00A820F3" w:rsidRPr="00A820F3">
        <w:rPr>
          <w:rFonts w:ascii="Times New Roman" w:hAnsi="Times New Roman" w:cs="Times New Roman"/>
          <w:lang w:val="it-IT"/>
        </w:rPr>
        <w:t>)</w:t>
      </w:r>
      <w:r w:rsidR="003D2F01" w:rsidRPr="00A820F3">
        <w:rPr>
          <w:rFonts w:ascii="Times New Roman" w:hAnsi="Times New Roman" w:cs="Times New Roman"/>
          <w:lang w:val="it-IT"/>
        </w:rPr>
        <w:t xml:space="preserve"> </w:t>
      </w:r>
      <w:r w:rsidR="003D2F01" w:rsidRPr="003D2F01">
        <w:rPr>
          <w:rFonts w:ascii="Times New Roman" w:hAnsi="Times New Roman" w:cs="Times New Roman"/>
          <w:b/>
          <w:lang w:val="it-IT"/>
        </w:rPr>
        <w:t xml:space="preserve">i krivično djelo neovlašćena proizvodnja, držanje i stavljanje u promet opojnih droga </w:t>
      </w:r>
      <w:r w:rsidR="003D2F01" w:rsidRPr="00A820F3">
        <w:rPr>
          <w:rFonts w:ascii="Times New Roman" w:hAnsi="Times New Roman" w:cs="Times New Roman"/>
          <w:lang w:val="it-IT"/>
        </w:rPr>
        <w:t>(čl. 300 st. 1 KZCG).</w:t>
      </w:r>
      <w:r w:rsidR="003D2F01" w:rsidRPr="003D2F01">
        <w:rPr>
          <w:rFonts w:ascii="Times New Roman" w:hAnsi="Times New Roman" w:cs="Times New Roman"/>
          <w:b/>
          <w:lang w:val="it-IT"/>
        </w:rPr>
        <w:t xml:space="preserve"> </w:t>
      </w:r>
      <w:r w:rsidR="003D2F01" w:rsidRPr="003D2F01">
        <w:rPr>
          <w:rFonts w:ascii="Times New Roman" w:hAnsi="Times New Roman" w:cs="Times New Roman"/>
          <w:lang w:val="it-IT"/>
        </w:rPr>
        <w:t xml:space="preserve">Izrečena jedinstvena kazna za ova krivična djela  je  </w:t>
      </w:r>
      <w:r w:rsidR="00A820F3">
        <w:rPr>
          <w:rFonts w:ascii="Times New Roman" w:hAnsi="Times New Roman" w:cs="Times New Roman"/>
          <w:lang w:val="it-IT"/>
        </w:rPr>
        <w:t xml:space="preserve">u trajanju od dvije godine i dva mjeseca; </w:t>
      </w:r>
      <w:r w:rsidR="00A820F3" w:rsidRPr="00A820F3">
        <w:rPr>
          <w:rFonts w:ascii="Times New Roman" w:hAnsi="Times New Roman" w:cs="Times New Roman"/>
          <w:b/>
          <w:lang w:val="it-IT"/>
        </w:rPr>
        <w:t>3)</w:t>
      </w:r>
      <w:r w:rsidR="00A820F3" w:rsidRPr="00A820F3">
        <w:rPr>
          <w:b/>
          <w:lang w:val="it-IT"/>
        </w:rPr>
        <w:t xml:space="preserve"> </w:t>
      </w:r>
      <w:r w:rsidR="00A820F3" w:rsidRPr="00A820F3">
        <w:rPr>
          <w:rFonts w:ascii="Times New Roman" w:hAnsi="Times New Roman" w:cs="Times New Roman"/>
          <w:b/>
          <w:lang w:val="it-IT"/>
        </w:rPr>
        <w:t>stvaranje kriminalne organizacije</w:t>
      </w:r>
      <w:r w:rsidR="00A820F3" w:rsidRPr="00A820F3">
        <w:rPr>
          <w:rFonts w:ascii="Times New Roman" w:hAnsi="Times New Roman" w:cs="Times New Roman"/>
          <w:lang w:val="it-IT"/>
        </w:rPr>
        <w:t xml:space="preserve"> (čl. 401a st. 2 u vezi st. 1 u vezi st. 6</w:t>
      </w:r>
      <w:r w:rsidR="00A820F3">
        <w:rPr>
          <w:rFonts w:ascii="Times New Roman" w:hAnsi="Times New Roman" w:cs="Times New Roman"/>
          <w:lang w:val="it-IT"/>
        </w:rPr>
        <w:t>)</w:t>
      </w:r>
      <w:r w:rsidR="00A820F3" w:rsidRPr="00A820F3">
        <w:rPr>
          <w:rFonts w:ascii="Times New Roman" w:hAnsi="Times New Roman" w:cs="Times New Roman"/>
          <w:lang w:val="it-IT"/>
        </w:rPr>
        <w:t xml:space="preserve"> i </w:t>
      </w:r>
      <w:r w:rsidR="00A820F3" w:rsidRPr="00A820F3">
        <w:rPr>
          <w:rFonts w:ascii="Times New Roman" w:hAnsi="Times New Roman" w:cs="Times New Roman"/>
          <w:b/>
          <w:lang w:val="it-IT"/>
        </w:rPr>
        <w:t>krivično djelo neovlašćena proizvodnja, držanje i stavljanje u promet opojnih droga</w:t>
      </w:r>
      <w:r w:rsidR="00A820F3">
        <w:rPr>
          <w:rFonts w:ascii="Times New Roman" w:hAnsi="Times New Roman" w:cs="Times New Roman"/>
          <w:lang w:val="it-IT"/>
        </w:rPr>
        <w:t xml:space="preserve"> (čl. 300 st.</w:t>
      </w:r>
      <w:r w:rsidR="00A820F3" w:rsidRPr="00A820F3">
        <w:rPr>
          <w:rFonts w:ascii="Times New Roman" w:hAnsi="Times New Roman" w:cs="Times New Roman"/>
          <w:lang w:val="it-IT"/>
        </w:rPr>
        <w:t xml:space="preserve"> 1 KZCG). Izrečena jedinstve</w:t>
      </w:r>
      <w:r w:rsidR="00A820F3">
        <w:rPr>
          <w:rFonts w:ascii="Times New Roman" w:hAnsi="Times New Roman" w:cs="Times New Roman"/>
          <w:lang w:val="it-IT"/>
        </w:rPr>
        <w:t xml:space="preserve">na kazna za ova krivična djela </w:t>
      </w:r>
      <w:r w:rsidR="00A820F3" w:rsidRPr="00A820F3">
        <w:rPr>
          <w:rFonts w:ascii="Times New Roman" w:hAnsi="Times New Roman" w:cs="Times New Roman"/>
          <w:lang w:val="it-IT"/>
        </w:rPr>
        <w:t>u trajanju od jedne godine</w:t>
      </w:r>
      <w:r w:rsidR="00A820F3">
        <w:rPr>
          <w:rFonts w:ascii="Times New Roman" w:hAnsi="Times New Roman" w:cs="Times New Roman"/>
          <w:lang w:val="it-IT"/>
        </w:rPr>
        <w:t xml:space="preserve">; </w:t>
      </w:r>
      <w:r w:rsidR="00F31F58">
        <w:rPr>
          <w:rFonts w:ascii="Times New Roman" w:hAnsi="Times New Roman" w:cs="Times New Roman"/>
          <w:lang w:val="it-IT"/>
        </w:rPr>
        <w:t xml:space="preserve"> </w:t>
      </w:r>
      <w:r w:rsidR="00A820F3" w:rsidRPr="00A820F3">
        <w:rPr>
          <w:rFonts w:ascii="Times New Roman" w:hAnsi="Times New Roman" w:cs="Times New Roman"/>
          <w:b/>
          <w:lang w:val="it-IT"/>
        </w:rPr>
        <w:t>4)</w:t>
      </w:r>
      <w:r w:rsidR="00A820F3" w:rsidRPr="00A820F3">
        <w:rPr>
          <w:rFonts w:ascii="Times New Roman" w:hAnsi="Times New Roman" w:cs="Times New Roman"/>
          <w:lang w:val="it-IT"/>
        </w:rPr>
        <w:t xml:space="preserve"> </w:t>
      </w:r>
      <w:r w:rsidR="00A820F3" w:rsidRPr="00A820F3">
        <w:rPr>
          <w:rFonts w:ascii="Times New Roman" w:hAnsi="Times New Roman" w:cs="Times New Roman"/>
          <w:b/>
          <w:lang w:val="it-IT"/>
        </w:rPr>
        <w:t>stvaranje kriminalne organizacije</w:t>
      </w:r>
      <w:r w:rsidR="00A820F3" w:rsidRPr="00A820F3">
        <w:rPr>
          <w:rFonts w:ascii="Times New Roman" w:hAnsi="Times New Roman" w:cs="Times New Roman"/>
          <w:lang w:val="it-IT"/>
        </w:rPr>
        <w:t xml:space="preserve"> (čl. 401a st. 2 u vezi st. 1 u vezi st. 6</w:t>
      </w:r>
      <w:r w:rsidR="00A820F3">
        <w:rPr>
          <w:rFonts w:ascii="Times New Roman" w:hAnsi="Times New Roman" w:cs="Times New Roman"/>
          <w:lang w:val="it-IT"/>
        </w:rPr>
        <w:t>)</w:t>
      </w:r>
      <w:r w:rsidR="00A820F3" w:rsidRPr="00A820F3">
        <w:rPr>
          <w:rFonts w:ascii="Times New Roman" w:hAnsi="Times New Roman" w:cs="Times New Roman"/>
          <w:lang w:val="it-IT"/>
        </w:rPr>
        <w:t xml:space="preserve"> i </w:t>
      </w:r>
      <w:r w:rsidR="00A820F3" w:rsidRPr="00A820F3">
        <w:rPr>
          <w:rFonts w:ascii="Times New Roman" w:hAnsi="Times New Roman" w:cs="Times New Roman"/>
          <w:b/>
          <w:lang w:val="it-IT"/>
        </w:rPr>
        <w:t>krivično djelo neovlašćena proizvodnja, držanje i stavljanje u promet opojnih droga</w:t>
      </w:r>
      <w:r w:rsidR="00A820F3">
        <w:rPr>
          <w:rFonts w:ascii="Times New Roman" w:hAnsi="Times New Roman" w:cs="Times New Roman"/>
          <w:lang w:val="it-IT"/>
        </w:rPr>
        <w:t xml:space="preserve"> (čl. 300 st.</w:t>
      </w:r>
      <w:r w:rsidR="00A820F3" w:rsidRPr="00A820F3">
        <w:rPr>
          <w:rFonts w:ascii="Times New Roman" w:hAnsi="Times New Roman" w:cs="Times New Roman"/>
          <w:lang w:val="it-IT"/>
        </w:rPr>
        <w:t xml:space="preserve"> 1 KZCG). Izrečena jedinstvena kazna za ova krivična djela u trajanju od jedne godine</w:t>
      </w:r>
      <w:r w:rsidR="00A820F3">
        <w:rPr>
          <w:rFonts w:ascii="Times New Roman" w:hAnsi="Times New Roman" w:cs="Times New Roman"/>
          <w:lang w:val="it-IT"/>
        </w:rPr>
        <w:t>.</w:t>
      </w:r>
    </w:p>
    <w:p w:rsidR="00A820F3" w:rsidRDefault="00A820F3" w:rsidP="00F31F58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A820F3">
        <w:rPr>
          <w:rFonts w:ascii="Times New Roman" w:hAnsi="Times New Roman" w:cs="Times New Roman"/>
          <w:lang w:val="it-IT"/>
        </w:rPr>
        <w:t xml:space="preserve">U </w:t>
      </w:r>
      <w:r w:rsidRPr="00A820F3">
        <w:rPr>
          <w:rFonts w:ascii="Times New Roman" w:hAnsi="Times New Roman" w:cs="Times New Roman"/>
          <w:b/>
          <w:lang w:val="it-IT"/>
        </w:rPr>
        <w:t>Višem drž</w:t>
      </w:r>
      <w:r>
        <w:rPr>
          <w:rFonts w:ascii="Times New Roman" w:hAnsi="Times New Roman" w:cs="Times New Roman"/>
          <w:b/>
          <w:lang w:val="it-IT"/>
        </w:rPr>
        <w:t>avnom tužilaštvu u Podgorici</w:t>
      </w:r>
      <w:r w:rsidRPr="00A820F3">
        <w:rPr>
          <w:rFonts w:ascii="Times New Roman" w:hAnsi="Times New Roman" w:cs="Times New Roman"/>
          <w:b/>
          <w:lang w:val="it-IT"/>
        </w:rPr>
        <w:t xml:space="preserve"> zaključen je 1 (jedan)</w:t>
      </w:r>
      <w:r w:rsidRPr="00A820F3">
        <w:rPr>
          <w:rFonts w:ascii="Times New Roman" w:hAnsi="Times New Roman" w:cs="Times New Roman"/>
          <w:lang w:val="it-IT"/>
        </w:rPr>
        <w:t xml:space="preserve"> sporazum o priznanju krivice kada je okrivljenom stavljeno na teret krivično djelo</w:t>
      </w:r>
      <w:r w:rsidRPr="00A820F3">
        <w:rPr>
          <w:lang w:val="it-IT"/>
        </w:rPr>
        <w:t xml:space="preserve"> </w:t>
      </w:r>
      <w:r w:rsidRPr="00A820F3">
        <w:rPr>
          <w:rFonts w:ascii="Times New Roman" w:hAnsi="Times New Roman" w:cs="Times New Roman"/>
          <w:b/>
          <w:lang w:val="it-IT"/>
        </w:rPr>
        <w:t>neovlašćena proizvodnja, držanje i stavljanje u promet opojnih droga</w:t>
      </w:r>
      <w:r w:rsidRPr="00A820F3">
        <w:rPr>
          <w:rFonts w:ascii="Times New Roman" w:hAnsi="Times New Roman" w:cs="Times New Roman"/>
          <w:lang w:val="it-IT"/>
        </w:rPr>
        <w:t xml:space="preserve"> (čl. 300 stav 2 u vezi sa st. 1 KZCG)</w:t>
      </w:r>
      <w:r>
        <w:rPr>
          <w:rFonts w:ascii="Times New Roman" w:hAnsi="Times New Roman" w:cs="Times New Roman"/>
          <w:lang w:val="it-IT"/>
        </w:rPr>
        <w:t>.</w:t>
      </w:r>
      <w:r w:rsidRPr="00A820F3">
        <w:rPr>
          <w:lang w:val="it-IT"/>
        </w:rPr>
        <w:t xml:space="preserve"> </w:t>
      </w:r>
      <w:r w:rsidRPr="00A820F3">
        <w:rPr>
          <w:rFonts w:ascii="Times New Roman" w:hAnsi="Times New Roman" w:cs="Times New Roman"/>
          <w:lang w:val="it-IT"/>
        </w:rPr>
        <w:t xml:space="preserve">Izrečena kazna za ovo krivično djelo  je  </w:t>
      </w:r>
      <w:r w:rsidRPr="00A820F3">
        <w:rPr>
          <w:rFonts w:ascii="Times New Roman" w:hAnsi="Times New Roman" w:cs="Times New Roman"/>
          <w:lang w:val="it-IT"/>
        </w:rPr>
        <w:lastRenderedPageBreak/>
        <w:t xml:space="preserve">kazna zatvora </w:t>
      </w:r>
      <w:r>
        <w:rPr>
          <w:rFonts w:ascii="Times New Roman" w:hAnsi="Times New Roman" w:cs="Times New Roman"/>
          <w:lang w:val="it-IT"/>
        </w:rPr>
        <w:t>u trajanju od jedne godine i 10 (deset) mjeseci</w:t>
      </w:r>
      <w:r w:rsidRPr="00A820F3">
        <w:rPr>
          <w:rFonts w:ascii="Times New Roman" w:hAnsi="Times New Roman" w:cs="Times New Roman"/>
          <w:lang w:val="it-IT"/>
        </w:rPr>
        <w:t xml:space="preserve"> i mjera bezbjednosti kojom se od okrivljenog trajno oduzima opojna droga.</w:t>
      </w:r>
    </w:p>
    <w:p w:rsidR="00B13CD9" w:rsidRDefault="00B13CD9" w:rsidP="00F31F58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U </w:t>
      </w:r>
      <w:r w:rsidRPr="002D1A1F">
        <w:rPr>
          <w:rFonts w:ascii="Times New Roman" w:hAnsi="Times New Roman" w:cs="Times New Roman"/>
          <w:b/>
          <w:lang w:val="it-IT"/>
        </w:rPr>
        <w:t>Višem državnom tužilaštvu u</w:t>
      </w:r>
      <w:r>
        <w:rPr>
          <w:rFonts w:ascii="Times New Roman" w:hAnsi="Times New Roman" w:cs="Times New Roman"/>
          <w:lang w:val="it-IT"/>
        </w:rPr>
        <w:t xml:space="preserve"> </w:t>
      </w:r>
      <w:r w:rsidRPr="00B13CD9">
        <w:rPr>
          <w:rFonts w:ascii="Times New Roman" w:hAnsi="Times New Roman" w:cs="Times New Roman"/>
          <w:b/>
          <w:lang w:val="it-IT"/>
        </w:rPr>
        <w:t>Bijelom Polju zaključen je 1 (jedan)</w:t>
      </w:r>
      <w:r>
        <w:rPr>
          <w:rFonts w:ascii="Times New Roman" w:hAnsi="Times New Roman" w:cs="Times New Roman"/>
          <w:lang w:val="it-IT"/>
        </w:rPr>
        <w:t xml:space="preserve"> sporazum</w:t>
      </w:r>
      <w:r w:rsidRPr="00B13CD9">
        <w:rPr>
          <w:rFonts w:ascii="Times New Roman" w:hAnsi="Times New Roman" w:cs="Times New Roman"/>
          <w:lang w:val="it-IT"/>
        </w:rPr>
        <w:t xml:space="preserve"> o prizna</w:t>
      </w:r>
      <w:r>
        <w:rPr>
          <w:rFonts w:ascii="Times New Roman" w:hAnsi="Times New Roman" w:cs="Times New Roman"/>
          <w:lang w:val="it-IT"/>
        </w:rPr>
        <w:t>nju krivice kada je okrivljenom</w:t>
      </w:r>
      <w:r w:rsidRPr="00B13CD9">
        <w:rPr>
          <w:rFonts w:ascii="Times New Roman" w:hAnsi="Times New Roman" w:cs="Times New Roman"/>
          <w:lang w:val="it-IT"/>
        </w:rPr>
        <w:t xml:space="preserve"> stavljeno na teret </w:t>
      </w:r>
      <w:r w:rsidRPr="00B13CD9">
        <w:rPr>
          <w:rFonts w:ascii="Times New Roman" w:hAnsi="Times New Roman" w:cs="Times New Roman"/>
          <w:b/>
          <w:lang w:val="it-IT"/>
        </w:rPr>
        <w:t>krivično djelo neovlašćena proizvodnja, držanje i stavljanje u promet op</w:t>
      </w:r>
      <w:r>
        <w:rPr>
          <w:rFonts w:ascii="Times New Roman" w:hAnsi="Times New Roman" w:cs="Times New Roman"/>
          <w:b/>
          <w:lang w:val="it-IT"/>
        </w:rPr>
        <w:t>ojnih droga (čl. 300 stav 2 u vezi sa st. 1</w:t>
      </w:r>
      <w:r w:rsidRPr="00B13CD9">
        <w:rPr>
          <w:rFonts w:ascii="Times New Roman" w:hAnsi="Times New Roman" w:cs="Times New Roman"/>
          <w:b/>
          <w:lang w:val="it-IT"/>
        </w:rPr>
        <w:t xml:space="preserve"> KZCG).</w:t>
      </w:r>
      <w:r>
        <w:rPr>
          <w:rFonts w:ascii="Times New Roman" w:hAnsi="Times New Roman" w:cs="Times New Roman"/>
          <w:lang w:val="it-IT"/>
        </w:rPr>
        <w:t xml:space="preserve"> Izrečena kazna za ovo krivično djelo</w:t>
      </w:r>
      <w:r w:rsidRPr="00B13CD9">
        <w:rPr>
          <w:rFonts w:ascii="Times New Roman" w:hAnsi="Times New Roman" w:cs="Times New Roman"/>
          <w:lang w:val="it-IT"/>
        </w:rPr>
        <w:t xml:space="preserve">  je  k</w:t>
      </w:r>
      <w:r>
        <w:rPr>
          <w:rFonts w:ascii="Times New Roman" w:hAnsi="Times New Roman" w:cs="Times New Roman"/>
          <w:lang w:val="it-IT"/>
        </w:rPr>
        <w:t>azna zatvora u trajanju od jedne</w:t>
      </w:r>
      <w:r w:rsidRPr="00B13CD9">
        <w:rPr>
          <w:rFonts w:ascii="Times New Roman" w:hAnsi="Times New Roman" w:cs="Times New Roman"/>
          <w:lang w:val="it-IT"/>
        </w:rPr>
        <w:t xml:space="preserve"> godine</w:t>
      </w:r>
      <w:r>
        <w:rPr>
          <w:rFonts w:ascii="Times New Roman" w:hAnsi="Times New Roman" w:cs="Times New Roman"/>
          <w:lang w:val="it-IT"/>
        </w:rPr>
        <w:t xml:space="preserve"> i dva mjeseca</w:t>
      </w:r>
      <w:r w:rsidRPr="00B13CD9">
        <w:rPr>
          <w:rFonts w:ascii="Times New Roman" w:hAnsi="Times New Roman" w:cs="Times New Roman"/>
          <w:lang w:val="it-IT"/>
        </w:rPr>
        <w:t xml:space="preserve"> i mjera bezbjednosti kojom se od okrivljen</w:t>
      </w:r>
      <w:r>
        <w:rPr>
          <w:rFonts w:ascii="Times New Roman" w:hAnsi="Times New Roman" w:cs="Times New Roman"/>
          <w:lang w:val="it-IT"/>
        </w:rPr>
        <w:t>og trajno oduzima opojna droga.</w:t>
      </w:r>
    </w:p>
    <w:p w:rsidR="005750AE" w:rsidRPr="005750AE" w:rsidRDefault="002D1A1F" w:rsidP="00F31F58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A74D07">
        <w:rPr>
          <w:rFonts w:ascii="Times New Roman" w:hAnsi="Times New Roman" w:cs="Times New Roman"/>
          <w:lang w:val="it-IT"/>
        </w:rPr>
        <w:t xml:space="preserve">U </w:t>
      </w:r>
      <w:r w:rsidRPr="00A74D07">
        <w:rPr>
          <w:rFonts w:ascii="Times New Roman" w:hAnsi="Times New Roman" w:cs="Times New Roman"/>
          <w:b/>
          <w:lang w:val="it-IT"/>
        </w:rPr>
        <w:t>Osnovnom državnom tužilaštvu u Podgorici zaključeno je 9 (devet) sporazuma</w:t>
      </w:r>
      <w:r w:rsidRPr="00A74D07">
        <w:rPr>
          <w:rFonts w:ascii="Times New Roman" w:hAnsi="Times New Roman" w:cs="Times New Roman"/>
          <w:lang w:val="it-IT"/>
        </w:rPr>
        <w:t xml:space="preserve"> o priznanju krivice kada su okrivljenima stavljena na teret </w:t>
      </w:r>
      <w:r w:rsidR="00A74D07">
        <w:rPr>
          <w:rFonts w:ascii="Times New Roman" w:hAnsi="Times New Roman" w:cs="Times New Roman"/>
          <w:lang w:val="it-IT"/>
        </w:rPr>
        <w:t xml:space="preserve">sljedeća </w:t>
      </w:r>
      <w:r w:rsidRPr="00A74D07">
        <w:rPr>
          <w:rFonts w:ascii="Times New Roman" w:hAnsi="Times New Roman" w:cs="Times New Roman"/>
          <w:lang w:val="it-IT"/>
        </w:rPr>
        <w:t>krivična djela:</w:t>
      </w:r>
      <w:r w:rsidR="00A74D07" w:rsidRPr="00A74D07">
        <w:rPr>
          <w:lang w:val="it-IT"/>
        </w:rPr>
        <w:t xml:space="preserve"> </w:t>
      </w:r>
      <w:r w:rsidR="00A74D07" w:rsidRPr="00A74D07">
        <w:rPr>
          <w:rFonts w:ascii="Times New Roman" w:hAnsi="Times New Roman" w:cs="Times New Roman"/>
          <w:b/>
          <w:lang w:val="it-IT"/>
        </w:rPr>
        <w:t>U prvom slučaju okrivljenima je stavljeno na teret krivično djelo nedozvoljeno držanje oružja i eksplozivnih materija</w:t>
      </w:r>
      <w:r w:rsidR="00A74D07" w:rsidRPr="00A74D07">
        <w:rPr>
          <w:rFonts w:ascii="Times New Roman" w:hAnsi="Times New Roman" w:cs="Times New Roman"/>
          <w:lang w:val="it-IT"/>
        </w:rPr>
        <w:t xml:space="preserve"> (član 403 stav 1 KZCG). Za ovo krivično djelo okrivljenima je izrečena kazna rada u javnom interesu (120 i 180 časova). </w:t>
      </w:r>
      <w:r w:rsidR="00A74D07" w:rsidRPr="00A74D07">
        <w:rPr>
          <w:rFonts w:ascii="Times New Roman" w:hAnsi="Times New Roman" w:cs="Times New Roman"/>
          <w:b/>
          <w:lang w:val="it-IT"/>
        </w:rPr>
        <w:t>U drugom slučaju okrivljenom se stavljaju na teret krivična djela nedozvoljeno držanje oružja i eksplozivnih materija</w:t>
      </w:r>
      <w:r w:rsidR="00A74D07" w:rsidRPr="00A74D07">
        <w:rPr>
          <w:rFonts w:ascii="Times New Roman" w:hAnsi="Times New Roman" w:cs="Times New Roman"/>
          <w:lang w:val="it-IT"/>
        </w:rPr>
        <w:t xml:space="preserve"> (član 403 stav 1 KZCG), </w:t>
      </w:r>
      <w:r w:rsidR="00A74D07" w:rsidRPr="00A74D07">
        <w:rPr>
          <w:rFonts w:ascii="Times New Roman" w:hAnsi="Times New Roman" w:cs="Times New Roman"/>
          <w:b/>
          <w:lang w:val="it-IT"/>
        </w:rPr>
        <w:t>ugrožavanje sigurnosti</w:t>
      </w:r>
      <w:r w:rsidR="00A74D07" w:rsidRPr="00A74D07">
        <w:rPr>
          <w:rFonts w:ascii="Times New Roman" w:hAnsi="Times New Roman" w:cs="Times New Roman"/>
          <w:lang w:val="it-IT"/>
        </w:rPr>
        <w:t xml:space="preserve"> (član 168 stav 2 KZCG) i </w:t>
      </w:r>
      <w:r w:rsidR="00A74D07" w:rsidRPr="00A74D07">
        <w:rPr>
          <w:rFonts w:ascii="Times New Roman" w:hAnsi="Times New Roman" w:cs="Times New Roman"/>
          <w:b/>
          <w:lang w:val="it-IT"/>
        </w:rPr>
        <w:t xml:space="preserve">laka tjelesna povreda </w:t>
      </w:r>
      <w:r w:rsidR="00A74D07" w:rsidRPr="00A74D07">
        <w:rPr>
          <w:rFonts w:ascii="Times New Roman" w:hAnsi="Times New Roman" w:cs="Times New Roman"/>
          <w:lang w:val="it-IT"/>
        </w:rPr>
        <w:t xml:space="preserve">(član 152 stav 2). Za ovo krivično djelo okrivljenom je izrečena jedinstvena kazna zatvora u trajanju od jedne godine. </w:t>
      </w:r>
      <w:r w:rsidR="00A74D07" w:rsidRPr="00A74D07">
        <w:rPr>
          <w:rFonts w:ascii="Times New Roman" w:hAnsi="Times New Roman" w:cs="Times New Roman"/>
          <w:b/>
          <w:lang w:val="it-IT"/>
        </w:rPr>
        <w:t>U trećem slučaju okrivljenom se stavlja na teret krivično djelo napad na službeno lice u vršenju službene dužnosti</w:t>
      </w:r>
      <w:r w:rsidR="00A74D07" w:rsidRPr="00A74D07">
        <w:rPr>
          <w:rFonts w:ascii="Times New Roman" w:hAnsi="Times New Roman" w:cs="Times New Roman"/>
          <w:lang w:val="it-IT"/>
        </w:rPr>
        <w:t xml:space="preserve"> (član 376 stav 1 KZCG). Za ovo krivično djelo okrivljenom je izrečena kazna zatvora u trajanju od osam mjeseci. </w:t>
      </w:r>
      <w:r w:rsidR="00A74D07" w:rsidRPr="00A74D07">
        <w:rPr>
          <w:rFonts w:ascii="Times New Roman" w:hAnsi="Times New Roman" w:cs="Times New Roman"/>
          <w:b/>
          <w:lang w:val="it-IT"/>
        </w:rPr>
        <w:t>U četvrtom slučaju okrivljenom se stavlja na teret krivično djelo teška tjelesna povreda</w:t>
      </w:r>
      <w:r w:rsidR="00A74D07" w:rsidRPr="00A74D07">
        <w:rPr>
          <w:rFonts w:ascii="Times New Roman" w:hAnsi="Times New Roman" w:cs="Times New Roman"/>
          <w:lang w:val="it-IT"/>
        </w:rPr>
        <w:t xml:space="preserve"> (član 151 stav 1 KZCG). Za ovo krivično djelo okrivljenom je izrečena kazna zatvora u trajanju od pet mjeseci. </w:t>
      </w:r>
      <w:r w:rsidR="00A74D07" w:rsidRPr="00A74D07">
        <w:rPr>
          <w:rFonts w:ascii="Times New Roman" w:hAnsi="Times New Roman" w:cs="Times New Roman"/>
          <w:b/>
          <w:lang w:val="it-IT"/>
        </w:rPr>
        <w:t>U petom slučaju okrivljenom se stavlja na teret krivično djelo teško djelo protiv bezbjednosti saobraćaja</w:t>
      </w:r>
      <w:r w:rsidR="00A74D07" w:rsidRPr="00A74D07">
        <w:rPr>
          <w:rFonts w:ascii="Times New Roman" w:hAnsi="Times New Roman" w:cs="Times New Roman"/>
          <w:lang w:val="it-IT"/>
        </w:rPr>
        <w:t xml:space="preserve"> (član 348 stav 3 u vezi stave 1 KZCG).  Za ovo krivično djelo okrivljenom je izrečena novčana kazna (1.200 eura). </w:t>
      </w:r>
      <w:r w:rsidR="00A74D07" w:rsidRPr="00A74D07">
        <w:rPr>
          <w:rFonts w:ascii="Times New Roman" w:hAnsi="Times New Roman" w:cs="Times New Roman"/>
          <w:b/>
          <w:lang w:val="it-IT"/>
        </w:rPr>
        <w:t>U šestom slučaju okrivljenom se stavlja na teret krivično djelo falsifikovanje isprave</w:t>
      </w:r>
      <w:r w:rsidR="00A74D07" w:rsidRPr="00A74D07">
        <w:rPr>
          <w:rFonts w:ascii="Times New Roman" w:hAnsi="Times New Roman" w:cs="Times New Roman"/>
          <w:lang w:val="it-IT"/>
        </w:rPr>
        <w:t xml:space="preserve"> (član 412 stav 2 u vezi stave 1 KZCG). Za ovo krivično djelo okrivljenom je izrečena uslovna osuda (6 mjeseci zatvora). </w:t>
      </w:r>
      <w:r w:rsidR="00A74D07" w:rsidRPr="00A74D07">
        <w:rPr>
          <w:rFonts w:ascii="Times New Roman" w:hAnsi="Times New Roman" w:cs="Times New Roman"/>
          <w:b/>
          <w:lang w:val="it-IT"/>
        </w:rPr>
        <w:t>U sedmom slučaju prvom okrivljenom se stavljaju na teret krivična djela kriminalno udruživanje</w:t>
      </w:r>
      <w:r w:rsidR="00A74D07" w:rsidRPr="00A74D07">
        <w:rPr>
          <w:rFonts w:ascii="Times New Roman" w:hAnsi="Times New Roman" w:cs="Times New Roman"/>
          <w:lang w:val="it-IT"/>
        </w:rPr>
        <w:t xml:space="preserve"> (član 401 stav 1 KZCG), </w:t>
      </w:r>
      <w:r w:rsidR="00A74D07" w:rsidRPr="00A74D07">
        <w:rPr>
          <w:rFonts w:ascii="Times New Roman" w:hAnsi="Times New Roman" w:cs="Times New Roman"/>
          <w:b/>
          <w:lang w:val="it-IT"/>
        </w:rPr>
        <w:t>nedozvoljeno držanje oružja i eksplozivnih materija</w:t>
      </w:r>
      <w:r w:rsidR="00A74D07" w:rsidRPr="00A74D07">
        <w:rPr>
          <w:rFonts w:ascii="Times New Roman" w:hAnsi="Times New Roman" w:cs="Times New Roman"/>
          <w:lang w:val="it-IT"/>
        </w:rPr>
        <w:t xml:space="preserve"> (član 403 stav 1 KZCG), a drugom i trećem </w:t>
      </w:r>
      <w:r w:rsidR="00A74D07" w:rsidRPr="00A74D07">
        <w:rPr>
          <w:rFonts w:ascii="Times New Roman" w:hAnsi="Times New Roman" w:cs="Times New Roman"/>
          <w:b/>
          <w:lang w:val="it-IT"/>
        </w:rPr>
        <w:t>okrivljenom posredovanje u vršenju prostitucije</w:t>
      </w:r>
      <w:r w:rsidR="00A74D07" w:rsidRPr="00A74D07">
        <w:rPr>
          <w:rFonts w:ascii="Times New Roman" w:hAnsi="Times New Roman" w:cs="Times New Roman"/>
          <w:lang w:val="it-IT"/>
        </w:rPr>
        <w:t xml:space="preserve"> (član 210 stav 1 KZCG).  Za ova krivična djela prvom okrivljenom je izrečena jedinstvena kazna zatvora u trajanju od pet mjeseci i mjera bezbjednosti, a drugom i trećem okrivljenom su izrečene novčane kazne (po 1.5000 eura). </w:t>
      </w:r>
      <w:r w:rsidR="00A74D07" w:rsidRPr="00A74D07">
        <w:rPr>
          <w:rFonts w:ascii="Times New Roman" w:hAnsi="Times New Roman" w:cs="Times New Roman"/>
          <w:b/>
          <w:lang w:val="it-IT"/>
        </w:rPr>
        <w:t>U osmom slučaju okrivljenim se stavlja na teret krivično djelo napad na službeno lice u vršenju službene dužnosti</w:t>
      </w:r>
      <w:r w:rsidR="00A74D07" w:rsidRPr="00A74D07">
        <w:rPr>
          <w:rFonts w:ascii="Times New Roman" w:hAnsi="Times New Roman" w:cs="Times New Roman"/>
          <w:lang w:val="it-IT"/>
        </w:rPr>
        <w:t xml:space="preserve"> (član 376 stav 3 u vezi sa stavom 1 i 2, u vezi sa članom 23 stav 2 KZCG). Za ovo krivično djelo okrivljenima je izrečena uslovna osuda (6 mjeseca zatvora). </w:t>
      </w:r>
      <w:r w:rsidR="005750AE" w:rsidRPr="005750AE">
        <w:rPr>
          <w:rFonts w:ascii="Times New Roman" w:hAnsi="Times New Roman" w:cs="Times New Roman"/>
          <w:b/>
          <w:lang w:val="it-IT"/>
        </w:rPr>
        <w:t>U devetom slučaju okrivljenim licima (14 lica)</w:t>
      </w:r>
      <w:r w:rsidR="005750AE" w:rsidRPr="005750AE">
        <w:rPr>
          <w:rFonts w:ascii="Times New Roman" w:hAnsi="Times New Roman" w:cs="Times New Roman"/>
          <w:lang w:val="it-IT"/>
        </w:rPr>
        <w:t xml:space="preserve"> je kao saizvršiocima stavljeno na teret krivično djelo </w:t>
      </w:r>
      <w:r w:rsidR="005750AE" w:rsidRPr="005750AE">
        <w:rPr>
          <w:rFonts w:ascii="Times New Roman" w:hAnsi="Times New Roman" w:cs="Times New Roman"/>
          <w:b/>
          <w:lang w:val="it-IT"/>
        </w:rPr>
        <w:t>nedozvoljeni prelaz državne grani</w:t>
      </w:r>
      <w:r w:rsidR="005750AE">
        <w:rPr>
          <w:rFonts w:ascii="Times New Roman" w:hAnsi="Times New Roman" w:cs="Times New Roman"/>
          <w:b/>
          <w:lang w:val="it-IT"/>
        </w:rPr>
        <w:t>c</w:t>
      </w:r>
      <w:r w:rsidR="005750AE" w:rsidRPr="005750AE">
        <w:rPr>
          <w:rFonts w:ascii="Times New Roman" w:hAnsi="Times New Roman" w:cs="Times New Roman"/>
          <w:b/>
          <w:lang w:val="it-IT"/>
        </w:rPr>
        <w:t>e i krijumčarenje ljudi</w:t>
      </w:r>
      <w:r w:rsidR="005750AE" w:rsidRPr="005750AE">
        <w:rPr>
          <w:rFonts w:ascii="Times New Roman" w:hAnsi="Times New Roman" w:cs="Times New Roman"/>
          <w:lang w:val="it-IT"/>
        </w:rPr>
        <w:t xml:space="preserve"> (čl. 405 st. 3 u vezi st. 2 u vezi čl. 23 KZCG). Za ovo krivično djelo okrivljenima su izrečene sljedeće kazne: </w:t>
      </w:r>
      <w:r w:rsidR="005750AE" w:rsidRPr="005750AE">
        <w:rPr>
          <w:rFonts w:ascii="Times New Roman" w:hAnsi="Times New Roman" w:cs="Times New Roman"/>
          <w:b/>
          <w:lang w:val="it-IT"/>
        </w:rPr>
        <w:t>1)</w:t>
      </w:r>
      <w:r w:rsidR="005750AE" w:rsidRPr="005750AE">
        <w:rPr>
          <w:rFonts w:ascii="Times New Roman" w:hAnsi="Times New Roman" w:cs="Times New Roman"/>
          <w:lang w:val="it-IT"/>
        </w:rPr>
        <w:t xml:space="preserve"> kazna zatvora od 1 godine i 5 mjeseci; </w:t>
      </w:r>
      <w:r w:rsidR="005750AE" w:rsidRPr="005750AE">
        <w:rPr>
          <w:rFonts w:ascii="Times New Roman" w:hAnsi="Times New Roman" w:cs="Times New Roman"/>
          <w:b/>
          <w:lang w:val="it-IT"/>
        </w:rPr>
        <w:t>2)</w:t>
      </w:r>
      <w:r w:rsidR="005750AE" w:rsidRPr="005750AE">
        <w:rPr>
          <w:rFonts w:ascii="Times New Roman" w:hAnsi="Times New Roman" w:cs="Times New Roman"/>
          <w:lang w:val="it-IT"/>
        </w:rPr>
        <w:t xml:space="preserve"> kazna zatvora u trajanju od 9 (devet) </w:t>
      </w:r>
      <w:r w:rsidR="005750AE" w:rsidRPr="005750AE">
        <w:rPr>
          <w:rFonts w:ascii="Times New Roman" w:hAnsi="Times New Roman" w:cs="Times New Roman"/>
          <w:lang w:val="it-IT"/>
        </w:rPr>
        <w:lastRenderedPageBreak/>
        <w:t xml:space="preserve">mjeseci; </w:t>
      </w:r>
      <w:r w:rsidR="005750AE" w:rsidRPr="005750AE">
        <w:rPr>
          <w:rFonts w:ascii="Times New Roman" w:hAnsi="Times New Roman" w:cs="Times New Roman"/>
          <w:b/>
          <w:lang w:val="it-IT"/>
        </w:rPr>
        <w:t>3)</w:t>
      </w:r>
      <w:r w:rsidR="005750AE" w:rsidRPr="005750AE">
        <w:rPr>
          <w:rFonts w:ascii="Times New Roman" w:hAnsi="Times New Roman" w:cs="Times New Roman"/>
          <w:lang w:val="it-IT"/>
        </w:rPr>
        <w:t xml:space="preserve"> kazna zatvora u trajanju od 8 (osam) mjeseci; </w:t>
      </w:r>
      <w:r w:rsidR="005750AE" w:rsidRPr="005750AE">
        <w:rPr>
          <w:rFonts w:ascii="Times New Roman" w:hAnsi="Times New Roman" w:cs="Times New Roman"/>
          <w:b/>
          <w:lang w:val="it-IT"/>
        </w:rPr>
        <w:t>4)</w:t>
      </w:r>
      <w:r w:rsidR="005750AE" w:rsidRPr="005750AE">
        <w:rPr>
          <w:rFonts w:ascii="Times New Roman" w:hAnsi="Times New Roman" w:cs="Times New Roman"/>
          <w:lang w:val="it-IT"/>
        </w:rPr>
        <w:t xml:space="preserve"> kazna zatvora u trajanju od 10 (deset) mjesci; </w:t>
      </w:r>
      <w:r w:rsidR="005750AE" w:rsidRPr="005750AE">
        <w:rPr>
          <w:rFonts w:ascii="Times New Roman" w:hAnsi="Times New Roman" w:cs="Times New Roman"/>
          <w:b/>
          <w:lang w:val="it-IT"/>
        </w:rPr>
        <w:t>5)</w:t>
      </w:r>
      <w:r w:rsidR="005750AE" w:rsidRPr="005750AE">
        <w:rPr>
          <w:rFonts w:ascii="Times New Roman" w:hAnsi="Times New Roman" w:cs="Times New Roman"/>
          <w:lang w:val="it-IT"/>
        </w:rPr>
        <w:t xml:space="preserve"> jedinstvena kazna zatvora u trajanju od 10 (deset) mjeseci; </w:t>
      </w:r>
      <w:r w:rsidR="005750AE" w:rsidRPr="005750AE">
        <w:rPr>
          <w:rFonts w:ascii="Times New Roman" w:hAnsi="Times New Roman" w:cs="Times New Roman"/>
          <w:b/>
          <w:lang w:val="it-IT"/>
        </w:rPr>
        <w:t>6)</w:t>
      </w:r>
      <w:r w:rsidR="005750AE" w:rsidRPr="005750AE">
        <w:rPr>
          <w:rFonts w:ascii="Times New Roman" w:hAnsi="Times New Roman" w:cs="Times New Roman"/>
          <w:lang w:val="it-IT"/>
        </w:rPr>
        <w:t xml:space="preserve"> kazna zatvora u trajanju od 1 jedne godine; </w:t>
      </w:r>
      <w:r w:rsidR="005750AE" w:rsidRPr="005750AE">
        <w:rPr>
          <w:rFonts w:ascii="Times New Roman" w:hAnsi="Times New Roman" w:cs="Times New Roman"/>
          <w:b/>
          <w:lang w:val="it-IT"/>
        </w:rPr>
        <w:t>7)</w:t>
      </w:r>
      <w:r w:rsidR="005750AE" w:rsidRPr="005750AE">
        <w:rPr>
          <w:rFonts w:ascii="Times New Roman" w:hAnsi="Times New Roman" w:cs="Times New Roman"/>
          <w:lang w:val="it-IT"/>
        </w:rPr>
        <w:t xml:space="preserve"> kazna zatvora u trajanju od 1 jedne godine; </w:t>
      </w:r>
      <w:r w:rsidR="005750AE" w:rsidRPr="005750AE">
        <w:rPr>
          <w:rFonts w:ascii="Times New Roman" w:hAnsi="Times New Roman" w:cs="Times New Roman"/>
          <w:b/>
          <w:lang w:val="it-IT"/>
        </w:rPr>
        <w:t>8)</w:t>
      </w:r>
      <w:r w:rsidR="005750AE" w:rsidRPr="005750AE">
        <w:rPr>
          <w:rFonts w:ascii="Times New Roman" w:hAnsi="Times New Roman" w:cs="Times New Roman"/>
          <w:lang w:val="it-IT"/>
        </w:rPr>
        <w:t xml:space="preserve"> kazna zatvora u trajanju od 9 (devet) mjeseci; </w:t>
      </w:r>
      <w:r w:rsidR="005750AE" w:rsidRPr="005750AE">
        <w:rPr>
          <w:rFonts w:ascii="Times New Roman" w:hAnsi="Times New Roman" w:cs="Times New Roman"/>
          <w:b/>
          <w:lang w:val="it-IT"/>
        </w:rPr>
        <w:t>9)</w:t>
      </w:r>
      <w:r w:rsidR="005750AE" w:rsidRPr="005750AE">
        <w:rPr>
          <w:rFonts w:ascii="Times New Roman" w:hAnsi="Times New Roman" w:cs="Times New Roman"/>
          <w:lang w:val="it-IT"/>
        </w:rPr>
        <w:t xml:space="preserve"> kazna zatvora u trajanju od 8 (osam) mjeseci; </w:t>
      </w:r>
      <w:r w:rsidR="005750AE" w:rsidRPr="005750AE">
        <w:rPr>
          <w:rFonts w:ascii="Times New Roman" w:hAnsi="Times New Roman" w:cs="Times New Roman"/>
          <w:b/>
          <w:lang w:val="it-IT"/>
        </w:rPr>
        <w:t>10)</w:t>
      </w:r>
      <w:r w:rsidR="005750AE" w:rsidRPr="005750AE">
        <w:rPr>
          <w:rFonts w:ascii="Times New Roman" w:hAnsi="Times New Roman" w:cs="Times New Roman"/>
          <w:lang w:val="it-IT"/>
        </w:rPr>
        <w:t xml:space="preserve"> kazna zatvora od 1 godine; </w:t>
      </w:r>
      <w:r w:rsidR="005750AE" w:rsidRPr="005750AE">
        <w:rPr>
          <w:rFonts w:ascii="Times New Roman" w:hAnsi="Times New Roman" w:cs="Times New Roman"/>
          <w:b/>
          <w:lang w:val="it-IT"/>
        </w:rPr>
        <w:t>11)</w:t>
      </w:r>
      <w:r w:rsidR="005750AE" w:rsidRPr="005750AE">
        <w:rPr>
          <w:rFonts w:ascii="Times New Roman" w:hAnsi="Times New Roman" w:cs="Times New Roman"/>
          <w:lang w:val="it-IT"/>
        </w:rPr>
        <w:t xml:space="preserve"> kazna zatvora od 1 godine; </w:t>
      </w:r>
      <w:r w:rsidR="005750AE" w:rsidRPr="005750AE">
        <w:rPr>
          <w:rFonts w:ascii="Times New Roman" w:hAnsi="Times New Roman" w:cs="Times New Roman"/>
          <w:b/>
          <w:lang w:val="it-IT"/>
        </w:rPr>
        <w:t>12)</w:t>
      </w:r>
      <w:r w:rsidR="005750AE" w:rsidRPr="005750AE">
        <w:rPr>
          <w:rFonts w:ascii="Times New Roman" w:hAnsi="Times New Roman" w:cs="Times New Roman"/>
          <w:lang w:val="it-IT"/>
        </w:rPr>
        <w:t xml:space="preserve"> kazna zatvora u trajanju od 10 (deset) mjeseci; </w:t>
      </w:r>
      <w:r w:rsidR="005750AE" w:rsidRPr="005750AE">
        <w:rPr>
          <w:rFonts w:ascii="Times New Roman" w:hAnsi="Times New Roman" w:cs="Times New Roman"/>
          <w:b/>
          <w:lang w:val="it-IT"/>
        </w:rPr>
        <w:t>13)</w:t>
      </w:r>
      <w:r w:rsidR="005750AE" w:rsidRPr="005750AE">
        <w:rPr>
          <w:rFonts w:ascii="Times New Roman" w:hAnsi="Times New Roman" w:cs="Times New Roman"/>
          <w:lang w:val="it-IT"/>
        </w:rPr>
        <w:t xml:space="preserve"> jedinstvena kazna zatvora u trajanju od 1 godine i 3 mjeseca; </w:t>
      </w:r>
      <w:r w:rsidR="005750AE" w:rsidRPr="005750AE">
        <w:rPr>
          <w:rFonts w:ascii="Times New Roman" w:hAnsi="Times New Roman" w:cs="Times New Roman"/>
          <w:b/>
          <w:lang w:val="it-IT"/>
        </w:rPr>
        <w:t>14)</w:t>
      </w:r>
      <w:r w:rsidR="005750AE" w:rsidRPr="005750AE">
        <w:rPr>
          <w:rFonts w:ascii="Times New Roman" w:hAnsi="Times New Roman" w:cs="Times New Roman"/>
          <w:lang w:val="it-IT"/>
        </w:rPr>
        <w:t xml:space="preserve"> jedinstvena kazna zatvora u trajanju od 1 godine i 4 mjeseca.</w:t>
      </w:r>
    </w:p>
    <w:p w:rsidR="00056614" w:rsidRPr="00056614" w:rsidRDefault="00056614" w:rsidP="00F31F58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056614">
        <w:rPr>
          <w:rFonts w:ascii="Times New Roman" w:hAnsi="Times New Roman" w:cs="Times New Roman"/>
          <w:lang w:val="it-IT"/>
        </w:rPr>
        <w:t xml:space="preserve">U </w:t>
      </w:r>
      <w:r w:rsidRPr="00056614">
        <w:rPr>
          <w:rFonts w:ascii="Times New Roman" w:hAnsi="Times New Roman" w:cs="Times New Roman"/>
          <w:b/>
          <w:lang w:val="it-IT"/>
        </w:rPr>
        <w:t>Osnovnom državnom tužilaštvu u Baru zaključen je jedan sporazum</w:t>
      </w:r>
      <w:r w:rsidRPr="00056614">
        <w:rPr>
          <w:rFonts w:ascii="Times New Roman" w:hAnsi="Times New Roman" w:cs="Times New Roman"/>
          <w:lang w:val="it-IT"/>
        </w:rPr>
        <w:t xml:space="preserve"> o priznanju krivice. Okrivljenom je stavljeno na teret krivično djelo </w:t>
      </w:r>
      <w:r w:rsidRPr="00056614">
        <w:rPr>
          <w:rFonts w:ascii="Times New Roman" w:hAnsi="Times New Roman" w:cs="Times New Roman"/>
          <w:b/>
          <w:lang w:val="it-IT"/>
        </w:rPr>
        <w:t>nedozvoljeno držanje oružja i eksplozivnih materija</w:t>
      </w:r>
      <w:r w:rsidRPr="00056614">
        <w:rPr>
          <w:rFonts w:ascii="Times New Roman" w:hAnsi="Times New Roman" w:cs="Times New Roman"/>
          <w:lang w:val="it-IT"/>
        </w:rPr>
        <w:t xml:space="preserve"> (član 403 stav 1 KZCG). Za ovo krivično djelo okrivljenom je izrečena uslovna osuda (3 mjeseca zatvora).</w:t>
      </w:r>
    </w:p>
    <w:p w:rsidR="00056614" w:rsidRPr="00056614" w:rsidRDefault="00056614" w:rsidP="00F31F58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056614">
        <w:rPr>
          <w:rFonts w:ascii="Times New Roman" w:hAnsi="Times New Roman" w:cs="Times New Roman"/>
          <w:lang w:val="it-IT"/>
        </w:rPr>
        <w:t xml:space="preserve">U </w:t>
      </w:r>
      <w:r w:rsidRPr="00056614">
        <w:rPr>
          <w:rFonts w:ascii="Times New Roman" w:hAnsi="Times New Roman" w:cs="Times New Roman"/>
          <w:b/>
          <w:lang w:val="it-IT"/>
        </w:rPr>
        <w:t>Osnovnom državnom tužilaštvu u Kotoru</w:t>
      </w:r>
      <w:r w:rsidRPr="00056614">
        <w:rPr>
          <w:rFonts w:ascii="Times New Roman" w:hAnsi="Times New Roman" w:cs="Times New Roman"/>
          <w:lang w:val="it-IT"/>
        </w:rPr>
        <w:t xml:space="preserve"> </w:t>
      </w:r>
      <w:r w:rsidRPr="00056614">
        <w:rPr>
          <w:rFonts w:ascii="Times New Roman" w:hAnsi="Times New Roman" w:cs="Times New Roman"/>
          <w:b/>
          <w:lang w:val="it-IT"/>
        </w:rPr>
        <w:t>zaključeno je 6 (šest) sporazuma</w:t>
      </w:r>
      <w:r w:rsidRPr="00056614">
        <w:rPr>
          <w:rFonts w:ascii="Times New Roman" w:hAnsi="Times New Roman" w:cs="Times New Roman"/>
          <w:lang w:val="it-IT"/>
        </w:rPr>
        <w:t xml:space="preserve"> o priznanju krivice. U prvom slučaju okrivljenom je stavljeno na teret </w:t>
      </w:r>
      <w:r w:rsidRPr="00056614">
        <w:rPr>
          <w:rFonts w:ascii="Times New Roman" w:hAnsi="Times New Roman" w:cs="Times New Roman"/>
          <w:b/>
          <w:lang w:val="it-IT"/>
        </w:rPr>
        <w:t>krivično djelo nasilničko ponašanje</w:t>
      </w:r>
      <w:r w:rsidRPr="00056614">
        <w:rPr>
          <w:rFonts w:ascii="Times New Roman" w:hAnsi="Times New Roman" w:cs="Times New Roman"/>
          <w:lang w:val="it-IT"/>
        </w:rPr>
        <w:t xml:space="preserve"> (član 399 KZCG). Za ovo krivično djelo okrivljenom je izrečena uslovna osuda (6 mjeseci zatvora). U drugom slučaju okrivljenima je stavljeno na teret krivično djelo </w:t>
      </w:r>
      <w:r w:rsidRPr="00056614">
        <w:rPr>
          <w:rFonts w:ascii="Times New Roman" w:hAnsi="Times New Roman" w:cs="Times New Roman"/>
          <w:b/>
          <w:lang w:val="it-IT"/>
        </w:rPr>
        <w:t>posredovanje u vršenju prostitucije</w:t>
      </w:r>
      <w:r w:rsidRPr="00056614">
        <w:rPr>
          <w:rFonts w:ascii="Times New Roman" w:hAnsi="Times New Roman" w:cs="Times New Roman"/>
          <w:lang w:val="it-IT"/>
        </w:rPr>
        <w:t xml:space="preserve"> (član 210 stav 1 KZCG). Za ovo krivično djelo prvom okrivljenom je izrečena novčana kazna (600 eura), a drugom okrivljenom uslovna osuda (6 mjeseci zatvora). U trećem slučaju okrivljenima su stavljena na teret krivična djela </w:t>
      </w:r>
      <w:r w:rsidRPr="00056614">
        <w:rPr>
          <w:rFonts w:ascii="Times New Roman" w:hAnsi="Times New Roman" w:cs="Times New Roman"/>
          <w:b/>
          <w:lang w:val="it-IT"/>
        </w:rPr>
        <w:t>posredovanje u vršenju prostitucije</w:t>
      </w:r>
      <w:r w:rsidRPr="00056614">
        <w:rPr>
          <w:rFonts w:ascii="Times New Roman" w:hAnsi="Times New Roman" w:cs="Times New Roman"/>
          <w:lang w:val="it-IT"/>
        </w:rPr>
        <w:t xml:space="preserve"> (član 210 stav 1 KZCG) i </w:t>
      </w:r>
      <w:r w:rsidRPr="00056614">
        <w:rPr>
          <w:rFonts w:ascii="Times New Roman" w:hAnsi="Times New Roman" w:cs="Times New Roman"/>
          <w:b/>
          <w:lang w:val="it-IT"/>
        </w:rPr>
        <w:t>nedozvoljeno držanje oružja i eksplozivnih materija</w:t>
      </w:r>
      <w:r w:rsidRPr="00056614">
        <w:rPr>
          <w:rFonts w:ascii="Times New Roman" w:hAnsi="Times New Roman" w:cs="Times New Roman"/>
          <w:lang w:val="it-IT"/>
        </w:rPr>
        <w:t xml:space="preserve"> (član 403 stav 1 KZCG). Za ovo krivično djelo prvom okrivljenom je izrečena jedinstvena kazna zatvora u trajanju od 100 dana i mjera bezbjednosti, a drugom i trećem okrivljenom kazne zatvora u trajanju po 30 dana. U četvrtom slučaju okrivljenima je stavljeno na teret krivično djelo </w:t>
      </w:r>
      <w:r w:rsidRPr="00056614">
        <w:rPr>
          <w:rFonts w:ascii="Times New Roman" w:hAnsi="Times New Roman" w:cs="Times New Roman"/>
          <w:b/>
          <w:lang w:val="it-IT"/>
        </w:rPr>
        <w:t>posredovanje u vršenju prostitucije</w:t>
      </w:r>
      <w:r w:rsidRPr="00056614">
        <w:rPr>
          <w:rFonts w:ascii="Times New Roman" w:hAnsi="Times New Roman" w:cs="Times New Roman"/>
          <w:lang w:val="it-IT"/>
        </w:rPr>
        <w:t xml:space="preserve"> (član 210 stav 1 KZCG). Za ovo krivično djelo okrivljenima su izrečene uslovne osude (30 dana zatvora). U petom slučaju okrivljenom je stavljeno na teret krivično djelo </w:t>
      </w:r>
      <w:r w:rsidRPr="00056614">
        <w:rPr>
          <w:rFonts w:ascii="Times New Roman" w:hAnsi="Times New Roman" w:cs="Times New Roman"/>
          <w:b/>
          <w:lang w:val="it-IT"/>
        </w:rPr>
        <w:t>posredovanje u vršenju prostitucije</w:t>
      </w:r>
      <w:r w:rsidRPr="00056614">
        <w:rPr>
          <w:rFonts w:ascii="Times New Roman" w:hAnsi="Times New Roman" w:cs="Times New Roman"/>
          <w:lang w:val="it-IT"/>
        </w:rPr>
        <w:t xml:space="preserve"> (član 210 stav 1 KZCG). Za ovo krivično djelo okrivljenom je izrečena novčana kazna (2.5000 eura). U šestom slučaju okrivljenom je stavljeno na teret krivično </w:t>
      </w:r>
      <w:r w:rsidRPr="00056614">
        <w:rPr>
          <w:rFonts w:ascii="Times New Roman" w:hAnsi="Times New Roman" w:cs="Times New Roman"/>
          <w:b/>
          <w:lang w:val="it-IT"/>
        </w:rPr>
        <w:t>djelo teška krađa</w:t>
      </w:r>
      <w:r w:rsidRPr="00056614">
        <w:rPr>
          <w:rFonts w:ascii="Times New Roman" w:hAnsi="Times New Roman" w:cs="Times New Roman"/>
          <w:lang w:val="it-IT"/>
        </w:rPr>
        <w:t xml:space="preserve"> (član 240 stav 1 KZCG). Za ovo krivično djelo okrivljenom je izrečena kazna zatvora u trajanju od tri mjeseca.</w:t>
      </w:r>
    </w:p>
    <w:p w:rsidR="00056614" w:rsidRPr="00056614" w:rsidRDefault="00056614" w:rsidP="00F31F58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056614">
        <w:rPr>
          <w:rFonts w:ascii="Times New Roman" w:hAnsi="Times New Roman" w:cs="Times New Roman"/>
          <w:lang w:val="it-IT"/>
        </w:rPr>
        <w:t xml:space="preserve">U </w:t>
      </w:r>
      <w:r w:rsidRPr="00056614">
        <w:rPr>
          <w:rFonts w:ascii="Times New Roman" w:hAnsi="Times New Roman" w:cs="Times New Roman"/>
          <w:b/>
          <w:lang w:val="it-IT"/>
        </w:rPr>
        <w:t xml:space="preserve">Osnovnom državnom tužilaštvu u Ulcinju zaključena su </w:t>
      </w:r>
      <w:r>
        <w:rPr>
          <w:rFonts w:ascii="Times New Roman" w:hAnsi="Times New Roman" w:cs="Times New Roman"/>
          <w:b/>
          <w:lang w:val="it-IT"/>
        </w:rPr>
        <w:t>2 (</w:t>
      </w:r>
      <w:r w:rsidRPr="00056614">
        <w:rPr>
          <w:rFonts w:ascii="Times New Roman" w:hAnsi="Times New Roman" w:cs="Times New Roman"/>
          <w:b/>
          <w:lang w:val="it-IT"/>
        </w:rPr>
        <w:t>dva</w:t>
      </w:r>
      <w:r>
        <w:rPr>
          <w:rFonts w:ascii="Times New Roman" w:hAnsi="Times New Roman" w:cs="Times New Roman"/>
          <w:b/>
          <w:lang w:val="it-IT"/>
        </w:rPr>
        <w:t>)</w:t>
      </w:r>
      <w:r w:rsidRPr="00056614">
        <w:rPr>
          <w:rFonts w:ascii="Times New Roman" w:hAnsi="Times New Roman" w:cs="Times New Roman"/>
          <w:b/>
          <w:lang w:val="it-IT"/>
        </w:rPr>
        <w:t xml:space="preserve"> sporazuma</w:t>
      </w:r>
      <w:r w:rsidRPr="00056614">
        <w:rPr>
          <w:rFonts w:ascii="Times New Roman" w:hAnsi="Times New Roman" w:cs="Times New Roman"/>
          <w:lang w:val="it-IT"/>
        </w:rPr>
        <w:t xml:space="preserve"> o priznanju krivice. U prvom slučaju okrivljenom je stavljeno na teret krivično djelo </w:t>
      </w:r>
      <w:r w:rsidRPr="00056614">
        <w:rPr>
          <w:rFonts w:ascii="Times New Roman" w:hAnsi="Times New Roman" w:cs="Times New Roman"/>
          <w:b/>
          <w:lang w:val="it-IT"/>
        </w:rPr>
        <w:t>napad na službeno lice u vršenju službene dužnosti</w:t>
      </w:r>
      <w:r w:rsidRPr="00056614">
        <w:rPr>
          <w:rFonts w:ascii="Times New Roman" w:hAnsi="Times New Roman" w:cs="Times New Roman"/>
          <w:lang w:val="it-IT"/>
        </w:rPr>
        <w:t xml:space="preserve"> (član 376 stav 1 KZCG). Za ovo krivično djelo okrivljenom je izrečena uslovna osuda (4 mjeseca zatvora). U drugom slučaju okrivljenom je stavljeno na teret krivično djelo </w:t>
      </w:r>
      <w:r w:rsidRPr="00056614">
        <w:rPr>
          <w:rFonts w:ascii="Times New Roman" w:hAnsi="Times New Roman" w:cs="Times New Roman"/>
          <w:b/>
          <w:lang w:val="it-IT"/>
        </w:rPr>
        <w:t>nasilje u porodici ili u porodičnoj zajednici</w:t>
      </w:r>
      <w:r w:rsidRPr="00056614">
        <w:rPr>
          <w:rFonts w:ascii="Times New Roman" w:hAnsi="Times New Roman" w:cs="Times New Roman"/>
          <w:lang w:val="it-IT"/>
        </w:rPr>
        <w:t xml:space="preserve"> (član 220 stav 3 u vezi stava 1 KZCG). Za ovo krivično djelo okrivljenom je izrečena uslovna osuda (6 mjeseci zatvora).</w:t>
      </w:r>
    </w:p>
    <w:p w:rsidR="00056614" w:rsidRPr="00B13CD9" w:rsidRDefault="00056614" w:rsidP="00F31F58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056614">
        <w:rPr>
          <w:rFonts w:ascii="Times New Roman" w:hAnsi="Times New Roman" w:cs="Times New Roman"/>
          <w:lang w:val="it-IT"/>
        </w:rPr>
        <w:t xml:space="preserve">U </w:t>
      </w:r>
      <w:r w:rsidRPr="00056614">
        <w:rPr>
          <w:rFonts w:ascii="Times New Roman" w:hAnsi="Times New Roman" w:cs="Times New Roman"/>
          <w:b/>
          <w:lang w:val="it-IT"/>
        </w:rPr>
        <w:t>Osnovnom državnom tužilaštvu u Herceg Novom</w:t>
      </w:r>
      <w:r w:rsidRPr="00056614">
        <w:rPr>
          <w:rFonts w:ascii="Times New Roman" w:hAnsi="Times New Roman" w:cs="Times New Roman"/>
          <w:lang w:val="it-IT"/>
        </w:rPr>
        <w:t xml:space="preserve"> </w:t>
      </w:r>
      <w:r w:rsidRPr="00056614">
        <w:rPr>
          <w:rFonts w:ascii="Times New Roman" w:hAnsi="Times New Roman" w:cs="Times New Roman"/>
          <w:b/>
          <w:lang w:val="it-IT"/>
        </w:rPr>
        <w:t>zaključena su 2 (dva) sporazuma</w:t>
      </w:r>
      <w:r w:rsidRPr="00056614">
        <w:rPr>
          <w:rFonts w:ascii="Times New Roman" w:hAnsi="Times New Roman" w:cs="Times New Roman"/>
          <w:lang w:val="it-IT"/>
        </w:rPr>
        <w:t xml:space="preserve"> o priznanju krivice. U prvom slučaju okrivljenom je stavljeno na teret krivično djelo </w:t>
      </w:r>
      <w:r w:rsidRPr="00056614">
        <w:rPr>
          <w:rFonts w:ascii="Times New Roman" w:hAnsi="Times New Roman" w:cs="Times New Roman"/>
          <w:b/>
          <w:lang w:val="it-IT"/>
        </w:rPr>
        <w:t xml:space="preserve">utaja poreza i </w:t>
      </w:r>
      <w:r w:rsidRPr="00056614">
        <w:rPr>
          <w:rFonts w:ascii="Times New Roman" w:hAnsi="Times New Roman" w:cs="Times New Roman"/>
          <w:b/>
          <w:lang w:val="it-IT"/>
        </w:rPr>
        <w:lastRenderedPageBreak/>
        <w:t>doprinosa</w:t>
      </w:r>
      <w:r w:rsidRPr="00056614">
        <w:rPr>
          <w:rFonts w:ascii="Times New Roman" w:hAnsi="Times New Roman" w:cs="Times New Roman"/>
          <w:lang w:val="it-IT"/>
        </w:rPr>
        <w:t xml:space="preserve"> (član 264 stav 3 KZCG). Za ovo krivično djelo okrivljenom je izrečena uslovna osuda (6 mjeseci zatvora) i novčana kazna (1.000 eura). U drugom slučaju okrivljenom je stavljeno na teret krivično djelo </w:t>
      </w:r>
      <w:r w:rsidRPr="00056614">
        <w:rPr>
          <w:rFonts w:ascii="Times New Roman" w:hAnsi="Times New Roman" w:cs="Times New Roman"/>
          <w:b/>
          <w:lang w:val="it-IT"/>
        </w:rPr>
        <w:t>nedozvoljeno držanje oružja i eksplozivnih materija</w:t>
      </w:r>
      <w:r w:rsidRPr="00056614">
        <w:rPr>
          <w:rFonts w:ascii="Times New Roman" w:hAnsi="Times New Roman" w:cs="Times New Roman"/>
          <w:lang w:val="it-IT"/>
        </w:rPr>
        <w:t xml:space="preserve"> (član 403 stav 1 KZCG). Za ovo krivično djelo okrivljenom je izrečena uslovna osuda (3 mjeseca zatvora) i mjera bezbjednosti.</w:t>
      </w:r>
    </w:p>
    <w:p w:rsidR="00B13CD9" w:rsidRDefault="00B13CD9" w:rsidP="00250AE3">
      <w:pPr>
        <w:spacing w:after="0" w:line="360" w:lineRule="auto"/>
        <w:jc w:val="both"/>
        <w:rPr>
          <w:rFonts w:ascii="Times New Roman" w:hAnsi="Times New Roman" w:cs="Times New Roman"/>
          <w:b/>
          <w:lang w:val="it-IT"/>
        </w:rPr>
      </w:pPr>
    </w:p>
    <w:p w:rsidR="00A80E4B" w:rsidRDefault="00F31F58" w:rsidP="00A80E4B">
      <w:pPr>
        <w:spacing w:after="0" w:line="360" w:lineRule="auto"/>
        <w:jc w:val="center"/>
        <w:rPr>
          <w:rFonts w:ascii="Times New Roman" w:hAnsi="Times New Roman" w:cs="Times New Roman"/>
          <w:b/>
          <w:lang w:val="it-IT"/>
        </w:rPr>
      </w:pPr>
      <w:r w:rsidRPr="00A80E4B">
        <w:rPr>
          <w:rFonts w:ascii="Times New Roman" w:hAnsi="Times New Roman" w:cs="Times New Roman"/>
          <w:b/>
          <w:lang w:val="it-IT"/>
        </w:rPr>
        <w:t xml:space="preserve">STRUKTURA KRIVIČNIH DJELA ZA KOJA SU ZAKLJUČENI </w:t>
      </w:r>
    </w:p>
    <w:p w:rsidR="00F751AB" w:rsidRDefault="00F31F58" w:rsidP="00A80E4B">
      <w:pPr>
        <w:spacing w:after="0" w:line="360" w:lineRule="auto"/>
        <w:jc w:val="center"/>
        <w:rPr>
          <w:rFonts w:ascii="Times New Roman" w:hAnsi="Times New Roman" w:cs="Times New Roman"/>
          <w:b/>
          <w:lang w:val="it-IT"/>
        </w:rPr>
      </w:pPr>
      <w:r w:rsidRPr="00A80E4B">
        <w:rPr>
          <w:rFonts w:ascii="Times New Roman" w:hAnsi="Times New Roman" w:cs="Times New Roman"/>
          <w:b/>
          <w:lang w:val="it-IT"/>
        </w:rPr>
        <w:t>SPORAZUMI O PRIZNANJU KRIVICE</w:t>
      </w:r>
    </w:p>
    <w:p w:rsidR="00A80E4B" w:rsidRDefault="00A80E4B" w:rsidP="00A80E4B">
      <w:pPr>
        <w:spacing w:after="0" w:line="36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F751AB" w:rsidRDefault="00BC016D" w:rsidP="00250AE3">
      <w:pPr>
        <w:spacing w:after="0" w:line="360" w:lineRule="auto"/>
        <w:jc w:val="both"/>
        <w:rPr>
          <w:rFonts w:ascii="Times New Roman" w:hAnsi="Times New Roman" w:cs="Times New Roman"/>
          <w:b/>
          <w:lang w:val="it-IT"/>
        </w:rPr>
      </w:pPr>
      <w:r>
        <w:rPr>
          <w:noProof/>
          <w:lang w:val="en-GB" w:eastAsia="en-GB"/>
        </w:rPr>
        <w:drawing>
          <wp:inline distT="0" distB="0" distL="0" distR="0">
            <wp:extent cx="5886450" cy="4524375"/>
            <wp:effectExtent l="19050" t="0" r="1905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751AB" w:rsidRPr="00250AE3" w:rsidRDefault="00F751AB" w:rsidP="00250AE3">
      <w:pPr>
        <w:spacing w:after="0" w:line="360" w:lineRule="auto"/>
        <w:jc w:val="both"/>
        <w:rPr>
          <w:rFonts w:ascii="Times New Roman" w:hAnsi="Times New Roman" w:cs="Times New Roman"/>
          <w:b/>
          <w:lang w:val="it-IT"/>
        </w:rPr>
      </w:pPr>
    </w:p>
    <w:p w:rsidR="001A7863" w:rsidRPr="001F4C1B" w:rsidRDefault="00F31F58" w:rsidP="001F4C1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F4C1B">
        <w:rPr>
          <w:rFonts w:ascii="Times New Roman" w:hAnsi="Times New Roman" w:cs="Times New Roman"/>
          <w:b/>
          <w:sz w:val="24"/>
          <w:szCs w:val="24"/>
          <w:lang w:val="it-IT"/>
        </w:rPr>
        <w:t>EDUKACIJA ZA PERIOD 2009-2015</w:t>
      </w:r>
    </w:p>
    <w:p w:rsidR="001A7863" w:rsidRDefault="001A7863" w:rsidP="00C3029A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:rsidR="000B6090" w:rsidRPr="00B62803" w:rsidRDefault="001A7863" w:rsidP="00F31F58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662901">
        <w:rPr>
          <w:rFonts w:ascii="Times New Roman" w:hAnsi="Times New Roman" w:cs="Times New Roman"/>
          <w:lang w:val="it-IT"/>
        </w:rPr>
        <w:t xml:space="preserve">Centar za obuku u sudstvu i državnom tužilaštvu je u periodu od janura 2009. godine do decembra 2015. godine organizovao </w:t>
      </w:r>
      <w:r w:rsidRPr="002B5100">
        <w:rPr>
          <w:rFonts w:ascii="Times New Roman" w:hAnsi="Times New Roman" w:cs="Times New Roman"/>
          <w:b/>
          <w:lang w:val="it-IT"/>
        </w:rPr>
        <w:t>25 seminara i obuka</w:t>
      </w:r>
      <w:r w:rsidRPr="00662901">
        <w:rPr>
          <w:rFonts w:ascii="Times New Roman" w:hAnsi="Times New Roman" w:cs="Times New Roman"/>
          <w:lang w:val="it-IT"/>
        </w:rPr>
        <w:t xml:space="preserve"> čije su teme bile: “Sporazum o priznanju krivice”; “Sporazum o priznanju krivice i uloga advokata u istrazi prema novom ZKP-u”; „Prenošenje iskustva u pretkrivičnom postupku sa istražnog sudije na tužioca“; “Stručno usavršavanje o primjeni </w:t>
      </w:r>
      <w:r w:rsidRPr="00662901">
        <w:rPr>
          <w:rFonts w:ascii="Times New Roman" w:hAnsi="Times New Roman" w:cs="Times New Roman"/>
          <w:lang w:val="it-IT"/>
        </w:rPr>
        <w:lastRenderedPageBreak/>
        <w:t>Zakonika o krivičnom postupku”; “Obuka o pisanju podnesaka i odluka prema novim zahtjevima ZKP-a“; “Radionica za članove Advokatske komore”</w:t>
      </w:r>
      <w:r w:rsidR="00135BB6">
        <w:rPr>
          <w:rFonts w:ascii="Times New Roman" w:hAnsi="Times New Roman" w:cs="Times New Roman"/>
          <w:lang w:val="it-IT"/>
        </w:rPr>
        <w:t>;</w:t>
      </w:r>
      <w:r w:rsidRPr="00662901">
        <w:rPr>
          <w:rFonts w:ascii="Times New Roman" w:hAnsi="Times New Roman" w:cs="Times New Roman"/>
          <w:lang w:val="it-IT"/>
        </w:rPr>
        <w:t xml:space="preserve"> “Konferencija o široj primjeni sporazuma o priznanju krivice“</w:t>
      </w:r>
      <w:r w:rsidR="00135BB6">
        <w:rPr>
          <w:rFonts w:ascii="Times New Roman" w:hAnsi="Times New Roman" w:cs="Times New Roman"/>
          <w:lang w:val="it-IT"/>
        </w:rPr>
        <w:t>;</w:t>
      </w:r>
      <w:r w:rsidRPr="00662901">
        <w:rPr>
          <w:rFonts w:ascii="Times New Roman" w:hAnsi="Times New Roman" w:cs="Times New Roman"/>
          <w:lang w:val="it-IT"/>
        </w:rPr>
        <w:t xml:space="preserve"> „Primjena instituta sporazuma o priznanju krivice i odloženog krivičnog gonjenja''</w:t>
      </w:r>
      <w:r w:rsidR="00135BB6">
        <w:rPr>
          <w:rFonts w:ascii="Times New Roman" w:hAnsi="Times New Roman" w:cs="Times New Roman"/>
          <w:lang w:val="it-IT"/>
        </w:rPr>
        <w:t xml:space="preserve">; </w:t>
      </w:r>
      <w:r w:rsidRPr="00662901">
        <w:rPr>
          <w:rFonts w:ascii="Times New Roman" w:hAnsi="Times New Roman" w:cs="Times New Roman"/>
          <w:lang w:val="it-IT"/>
        </w:rPr>
        <w:t>„Aktuelna pitanja u vezi sa izmjenana i dopunama krivičnog zakonodavstva''. Centar je organizovao i studijsku  posjetu Bosni i Hercegovini i Republici Srpskoj na temu “S</w:t>
      </w:r>
      <w:r w:rsidR="00662901" w:rsidRPr="00662901">
        <w:rPr>
          <w:rFonts w:ascii="Times New Roman" w:hAnsi="Times New Roman" w:cs="Times New Roman"/>
          <w:lang w:val="it-IT"/>
        </w:rPr>
        <w:t>porazum o priznanju krivice.</w:t>
      </w:r>
      <w:r w:rsidR="00B62803" w:rsidRPr="00B62803">
        <w:rPr>
          <w:lang w:val="it-IT"/>
        </w:rPr>
        <w:t xml:space="preserve"> </w:t>
      </w:r>
      <w:r w:rsidR="00B62803" w:rsidRPr="00B62803">
        <w:rPr>
          <w:rFonts w:ascii="Times New Roman" w:hAnsi="Times New Roman" w:cs="Times New Roman"/>
          <w:lang w:val="it-IT"/>
        </w:rPr>
        <w:t xml:space="preserve">U navedenom periodu </w:t>
      </w:r>
      <w:r w:rsidR="00B62803">
        <w:rPr>
          <w:rFonts w:ascii="Times New Roman" w:hAnsi="Times New Roman" w:cs="Times New Roman"/>
          <w:lang w:val="it-IT"/>
        </w:rPr>
        <w:t xml:space="preserve">obukama je prisustvovalo </w:t>
      </w:r>
      <w:r w:rsidR="00B62803" w:rsidRPr="00B62803">
        <w:rPr>
          <w:rFonts w:ascii="Times New Roman" w:hAnsi="Times New Roman" w:cs="Times New Roman"/>
          <w:lang w:val="it-IT"/>
        </w:rPr>
        <w:t xml:space="preserve">ukupno </w:t>
      </w:r>
      <w:r w:rsidR="00B62803" w:rsidRPr="00B62803">
        <w:rPr>
          <w:rFonts w:ascii="Times New Roman" w:hAnsi="Times New Roman" w:cs="Times New Roman"/>
          <w:b/>
          <w:lang w:val="it-IT"/>
        </w:rPr>
        <w:t>127 sudija, 167 državnih tužilaca i 73 advokata</w:t>
      </w:r>
      <w:r w:rsidR="00B62803">
        <w:rPr>
          <w:rFonts w:ascii="Times New Roman" w:hAnsi="Times New Roman" w:cs="Times New Roman"/>
          <w:lang w:val="it-IT"/>
        </w:rPr>
        <w:t>.</w:t>
      </w:r>
    </w:p>
    <w:p w:rsidR="00C23E94" w:rsidRDefault="00C23E94" w:rsidP="00250AE3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:rsidR="003F1D18" w:rsidRDefault="003F1D18" w:rsidP="00A1081D">
      <w:pPr>
        <w:spacing w:after="0" w:line="360" w:lineRule="auto"/>
        <w:jc w:val="center"/>
        <w:rPr>
          <w:rFonts w:ascii="Times New Roman" w:hAnsi="Times New Roman" w:cs="Times New Roman"/>
          <w:b/>
          <w:lang w:val="it-IT"/>
        </w:rPr>
      </w:pPr>
      <w:r w:rsidRPr="003F1D18">
        <w:rPr>
          <w:rFonts w:ascii="Times New Roman" w:hAnsi="Times New Roman" w:cs="Times New Roman"/>
          <w:b/>
          <w:lang w:val="it-IT"/>
        </w:rPr>
        <w:t>ZAKLJUČAK</w:t>
      </w:r>
    </w:p>
    <w:p w:rsidR="003D7AF8" w:rsidRDefault="003D7AF8" w:rsidP="003D7AF8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:rsidR="003D7AF8" w:rsidRPr="003D7AF8" w:rsidRDefault="003D7AF8" w:rsidP="003D7AF8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en-GB"/>
        </w:rPr>
      </w:pPr>
      <w:bookmarkStart w:id="0" w:name="_GoBack"/>
      <w:bookmarkEnd w:id="0"/>
      <w:proofErr w:type="spellStart"/>
      <w:r w:rsidRPr="003D7AF8">
        <w:rPr>
          <w:rFonts w:ascii="Times New Roman" w:hAnsi="Times New Roman" w:cs="Times New Roman"/>
          <w:lang w:val="en-GB"/>
        </w:rPr>
        <w:t>Nesporan</w:t>
      </w:r>
      <w:proofErr w:type="spellEnd"/>
      <w:r w:rsidRPr="003D7AF8">
        <w:rPr>
          <w:rFonts w:ascii="Times New Roman" w:hAnsi="Times New Roman" w:cs="Times New Roman"/>
          <w:lang w:val="en-GB"/>
        </w:rPr>
        <w:t xml:space="preserve"> je trend </w:t>
      </w:r>
      <w:proofErr w:type="spellStart"/>
      <w:proofErr w:type="gramStart"/>
      <w:r w:rsidRPr="003D7AF8">
        <w:rPr>
          <w:rFonts w:ascii="Times New Roman" w:hAnsi="Times New Roman" w:cs="Times New Roman"/>
          <w:lang w:val="en-GB"/>
        </w:rPr>
        <w:t>rasta</w:t>
      </w:r>
      <w:proofErr w:type="spellEnd"/>
      <w:proofErr w:type="gramEnd"/>
      <w:r w:rsidRPr="003D7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D7AF8">
        <w:rPr>
          <w:rFonts w:ascii="Times New Roman" w:hAnsi="Times New Roman" w:cs="Times New Roman"/>
          <w:lang w:val="en-GB"/>
        </w:rPr>
        <w:t>primjene</w:t>
      </w:r>
      <w:proofErr w:type="spellEnd"/>
      <w:r w:rsidRPr="003D7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D7AF8">
        <w:rPr>
          <w:rFonts w:ascii="Times New Roman" w:hAnsi="Times New Roman" w:cs="Times New Roman"/>
          <w:lang w:val="en-GB"/>
        </w:rPr>
        <w:t>instituta</w:t>
      </w:r>
      <w:proofErr w:type="spellEnd"/>
      <w:r w:rsidRPr="003D7AF8">
        <w:rPr>
          <w:rFonts w:ascii="Times New Roman" w:hAnsi="Times New Roman" w:cs="Times New Roman"/>
          <w:lang w:val="en-GB"/>
        </w:rPr>
        <w:t xml:space="preserve"> o </w:t>
      </w:r>
      <w:proofErr w:type="spellStart"/>
      <w:r w:rsidRPr="003D7AF8">
        <w:rPr>
          <w:rFonts w:ascii="Times New Roman" w:hAnsi="Times New Roman" w:cs="Times New Roman"/>
          <w:lang w:val="en-GB"/>
        </w:rPr>
        <w:t>priznanju</w:t>
      </w:r>
      <w:proofErr w:type="spellEnd"/>
      <w:r w:rsidRPr="003D7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D7AF8">
        <w:rPr>
          <w:rFonts w:ascii="Times New Roman" w:hAnsi="Times New Roman" w:cs="Times New Roman"/>
          <w:lang w:val="en-GB"/>
        </w:rPr>
        <w:t>krivice</w:t>
      </w:r>
      <w:proofErr w:type="spellEnd"/>
      <w:r w:rsidRPr="003D7AF8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Pr="003D7AF8">
        <w:rPr>
          <w:rFonts w:ascii="Times New Roman" w:hAnsi="Times New Roman" w:cs="Times New Roman"/>
          <w:lang w:val="en-GB"/>
        </w:rPr>
        <w:t>praksi</w:t>
      </w:r>
      <w:proofErr w:type="spellEnd"/>
      <w:r w:rsidRPr="003D7AF8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Pr="003D7AF8">
        <w:rPr>
          <w:rFonts w:ascii="Times New Roman" w:hAnsi="Times New Roman" w:cs="Times New Roman"/>
          <w:lang w:val="en-GB"/>
        </w:rPr>
        <w:t>Primjena</w:t>
      </w:r>
      <w:proofErr w:type="spellEnd"/>
      <w:r w:rsidRPr="003D7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D7AF8">
        <w:rPr>
          <w:rFonts w:ascii="Times New Roman" w:hAnsi="Times New Roman" w:cs="Times New Roman"/>
          <w:lang w:val="en-GB"/>
        </w:rPr>
        <w:t>ovog</w:t>
      </w:r>
      <w:proofErr w:type="spellEnd"/>
      <w:r w:rsidRPr="003D7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D7AF8">
        <w:rPr>
          <w:rFonts w:ascii="Times New Roman" w:hAnsi="Times New Roman" w:cs="Times New Roman"/>
          <w:lang w:val="en-GB"/>
        </w:rPr>
        <w:t>instituta</w:t>
      </w:r>
      <w:proofErr w:type="spellEnd"/>
      <w:r w:rsidRPr="003D7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D7AF8">
        <w:rPr>
          <w:rFonts w:ascii="Times New Roman" w:hAnsi="Times New Roman" w:cs="Times New Roman"/>
          <w:lang w:val="en-GB"/>
        </w:rPr>
        <w:t>zaživjela</w:t>
      </w:r>
      <w:proofErr w:type="spellEnd"/>
      <w:r w:rsidRPr="003D7AF8">
        <w:rPr>
          <w:rFonts w:ascii="Times New Roman" w:hAnsi="Times New Roman" w:cs="Times New Roman"/>
          <w:lang w:val="en-GB"/>
        </w:rPr>
        <w:t xml:space="preserve"> je </w:t>
      </w:r>
      <w:proofErr w:type="spellStart"/>
      <w:proofErr w:type="gramStart"/>
      <w:r w:rsidRPr="003D7AF8">
        <w:rPr>
          <w:rFonts w:ascii="Times New Roman" w:hAnsi="Times New Roman" w:cs="Times New Roman"/>
          <w:lang w:val="en-GB"/>
        </w:rPr>
        <w:t>na</w:t>
      </w:r>
      <w:proofErr w:type="spellEnd"/>
      <w:proofErr w:type="gramEnd"/>
      <w:r w:rsidRPr="003D7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D7AF8">
        <w:rPr>
          <w:rFonts w:ascii="Times New Roman" w:hAnsi="Times New Roman" w:cs="Times New Roman"/>
          <w:lang w:val="en-GB"/>
        </w:rPr>
        <w:t>svim</w:t>
      </w:r>
      <w:proofErr w:type="spellEnd"/>
      <w:r w:rsidRPr="003D7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D7AF8">
        <w:rPr>
          <w:rFonts w:ascii="Times New Roman" w:hAnsi="Times New Roman" w:cs="Times New Roman"/>
          <w:lang w:val="en-GB"/>
        </w:rPr>
        <w:t>nivoima</w:t>
      </w:r>
      <w:proofErr w:type="spellEnd"/>
      <w:r w:rsidRPr="003D7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D7AF8">
        <w:rPr>
          <w:rFonts w:ascii="Times New Roman" w:hAnsi="Times New Roman" w:cs="Times New Roman"/>
          <w:lang w:val="en-GB"/>
        </w:rPr>
        <w:t>tužilaštva</w:t>
      </w:r>
      <w:proofErr w:type="spellEnd"/>
      <w:r w:rsidRPr="003D7AF8">
        <w:rPr>
          <w:rFonts w:ascii="Times New Roman" w:hAnsi="Times New Roman" w:cs="Times New Roman"/>
          <w:lang w:val="en-GB"/>
        </w:rPr>
        <w:t xml:space="preserve"> i </w:t>
      </w:r>
      <w:proofErr w:type="spellStart"/>
      <w:r w:rsidRPr="003D7AF8">
        <w:rPr>
          <w:rFonts w:ascii="Times New Roman" w:hAnsi="Times New Roman" w:cs="Times New Roman"/>
          <w:lang w:val="en-GB"/>
        </w:rPr>
        <w:t>ima</w:t>
      </w:r>
      <w:proofErr w:type="spellEnd"/>
      <w:r w:rsidRPr="003D7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D7AF8">
        <w:rPr>
          <w:rFonts w:ascii="Times New Roman" w:hAnsi="Times New Roman" w:cs="Times New Roman"/>
          <w:lang w:val="en-GB"/>
        </w:rPr>
        <w:t>sve</w:t>
      </w:r>
      <w:proofErr w:type="spellEnd"/>
      <w:r w:rsidRPr="003D7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D7AF8">
        <w:rPr>
          <w:rFonts w:ascii="Times New Roman" w:hAnsi="Times New Roman" w:cs="Times New Roman"/>
          <w:lang w:val="en-GB"/>
        </w:rPr>
        <w:t>veći</w:t>
      </w:r>
      <w:proofErr w:type="spellEnd"/>
      <w:r w:rsidRPr="003D7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D7AF8">
        <w:rPr>
          <w:rFonts w:ascii="Times New Roman" w:hAnsi="Times New Roman" w:cs="Times New Roman"/>
          <w:lang w:val="en-GB"/>
        </w:rPr>
        <w:t>domašaj</w:t>
      </w:r>
      <w:proofErr w:type="spellEnd"/>
      <w:r w:rsidRPr="003D7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D7AF8">
        <w:rPr>
          <w:rFonts w:ascii="Times New Roman" w:hAnsi="Times New Roman" w:cs="Times New Roman"/>
          <w:lang w:val="en-GB"/>
        </w:rPr>
        <w:t>upravo</w:t>
      </w:r>
      <w:proofErr w:type="spellEnd"/>
      <w:r w:rsidRPr="003D7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D7AF8">
        <w:rPr>
          <w:rFonts w:ascii="Times New Roman" w:hAnsi="Times New Roman" w:cs="Times New Roman"/>
          <w:lang w:val="en-GB"/>
        </w:rPr>
        <w:t>zbog</w:t>
      </w:r>
      <w:proofErr w:type="spellEnd"/>
      <w:r w:rsidRPr="003D7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D7AF8">
        <w:rPr>
          <w:rFonts w:ascii="Times New Roman" w:hAnsi="Times New Roman" w:cs="Times New Roman"/>
          <w:lang w:val="en-GB"/>
        </w:rPr>
        <w:t>svojih</w:t>
      </w:r>
      <w:proofErr w:type="spellEnd"/>
      <w:r w:rsidRPr="003D7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D7AF8">
        <w:rPr>
          <w:rFonts w:ascii="Times New Roman" w:hAnsi="Times New Roman" w:cs="Times New Roman"/>
          <w:lang w:val="en-GB"/>
        </w:rPr>
        <w:t>prednosti</w:t>
      </w:r>
      <w:proofErr w:type="spellEnd"/>
      <w:r w:rsidRPr="003D7AF8">
        <w:rPr>
          <w:rFonts w:ascii="Times New Roman" w:hAnsi="Times New Roman" w:cs="Times New Roman"/>
          <w:lang w:val="en-GB"/>
        </w:rPr>
        <w:t xml:space="preserve">, a to </w:t>
      </w:r>
      <w:proofErr w:type="spellStart"/>
      <w:r w:rsidRPr="003D7AF8">
        <w:rPr>
          <w:rFonts w:ascii="Times New Roman" w:hAnsi="Times New Roman" w:cs="Times New Roman"/>
          <w:lang w:val="en-GB"/>
        </w:rPr>
        <w:t>su</w:t>
      </w:r>
      <w:proofErr w:type="spellEnd"/>
      <w:r w:rsidRPr="003D7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D7AF8">
        <w:rPr>
          <w:rFonts w:ascii="Times New Roman" w:hAnsi="Times New Roman" w:cs="Times New Roman"/>
          <w:lang w:val="en-GB"/>
        </w:rPr>
        <w:t>povećanje</w:t>
      </w:r>
      <w:proofErr w:type="spellEnd"/>
      <w:r w:rsidRPr="003D7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D7AF8">
        <w:rPr>
          <w:rFonts w:ascii="Times New Roman" w:hAnsi="Times New Roman" w:cs="Times New Roman"/>
          <w:lang w:val="en-GB"/>
        </w:rPr>
        <w:t>efikasnosti</w:t>
      </w:r>
      <w:proofErr w:type="spellEnd"/>
      <w:r w:rsidRPr="003D7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D7AF8">
        <w:rPr>
          <w:rFonts w:ascii="Times New Roman" w:hAnsi="Times New Roman" w:cs="Times New Roman"/>
          <w:lang w:val="en-GB"/>
        </w:rPr>
        <w:t>krivičnog</w:t>
      </w:r>
      <w:proofErr w:type="spellEnd"/>
      <w:r w:rsidRPr="003D7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D7AF8">
        <w:rPr>
          <w:rFonts w:ascii="Times New Roman" w:hAnsi="Times New Roman" w:cs="Times New Roman"/>
          <w:lang w:val="en-GB"/>
        </w:rPr>
        <w:t>postupka</w:t>
      </w:r>
      <w:proofErr w:type="spellEnd"/>
      <w:r w:rsidRPr="003D7AF8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3D7AF8">
        <w:rPr>
          <w:rFonts w:ascii="Times New Roman" w:hAnsi="Times New Roman" w:cs="Times New Roman"/>
          <w:lang w:val="en-GB"/>
        </w:rPr>
        <w:t>smanjenje</w:t>
      </w:r>
      <w:proofErr w:type="spellEnd"/>
      <w:r w:rsidRPr="003D7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D7AF8">
        <w:rPr>
          <w:rFonts w:ascii="Times New Roman" w:hAnsi="Times New Roman" w:cs="Times New Roman"/>
          <w:lang w:val="en-GB"/>
        </w:rPr>
        <w:t>troškova</w:t>
      </w:r>
      <w:proofErr w:type="spellEnd"/>
      <w:r w:rsidRPr="003D7AF8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3D7AF8">
        <w:rPr>
          <w:rFonts w:ascii="Times New Roman" w:hAnsi="Times New Roman" w:cs="Times New Roman"/>
          <w:lang w:val="en-GB"/>
        </w:rPr>
        <w:t>brže</w:t>
      </w:r>
      <w:proofErr w:type="spellEnd"/>
      <w:r w:rsidRPr="003D7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D7AF8">
        <w:rPr>
          <w:rFonts w:ascii="Times New Roman" w:hAnsi="Times New Roman" w:cs="Times New Roman"/>
          <w:lang w:val="en-GB"/>
        </w:rPr>
        <w:t>rješavanje</w:t>
      </w:r>
      <w:proofErr w:type="spellEnd"/>
      <w:r w:rsidRPr="003D7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D7AF8">
        <w:rPr>
          <w:rFonts w:ascii="Times New Roman" w:hAnsi="Times New Roman" w:cs="Times New Roman"/>
          <w:lang w:val="en-GB"/>
        </w:rPr>
        <w:t>predmeta</w:t>
      </w:r>
      <w:proofErr w:type="spellEnd"/>
      <w:r w:rsidRPr="003D7AF8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3D7AF8">
        <w:rPr>
          <w:rFonts w:ascii="Times New Roman" w:hAnsi="Times New Roman" w:cs="Times New Roman"/>
          <w:lang w:val="en-GB"/>
        </w:rPr>
        <w:t>ušteda</w:t>
      </w:r>
      <w:proofErr w:type="spellEnd"/>
      <w:r w:rsidRPr="003D7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D7AF8">
        <w:rPr>
          <w:rFonts w:ascii="Times New Roman" w:hAnsi="Times New Roman" w:cs="Times New Roman"/>
          <w:lang w:val="en-GB"/>
        </w:rPr>
        <w:t>na</w:t>
      </w:r>
      <w:proofErr w:type="spellEnd"/>
      <w:r w:rsidRPr="003D7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D7AF8">
        <w:rPr>
          <w:rFonts w:ascii="Times New Roman" w:hAnsi="Times New Roman" w:cs="Times New Roman"/>
          <w:lang w:val="en-GB"/>
        </w:rPr>
        <w:t>vremenu</w:t>
      </w:r>
      <w:proofErr w:type="spellEnd"/>
      <w:r w:rsidRPr="003D7AF8">
        <w:rPr>
          <w:rFonts w:ascii="Times New Roman" w:hAnsi="Times New Roman" w:cs="Times New Roman"/>
          <w:lang w:val="en-GB"/>
        </w:rPr>
        <w:t xml:space="preserve">, i </w:t>
      </w:r>
      <w:proofErr w:type="spellStart"/>
      <w:r w:rsidRPr="003D7AF8">
        <w:rPr>
          <w:rFonts w:ascii="Times New Roman" w:hAnsi="Times New Roman" w:cs="Times New Roman"/>
          <w:lang w:val="en-GB"/>
        </w:rPr>
        <w:t>izbjegavanje</w:t>
      </w:r>
      <w:proofErr w:type="spellEnd"/>
      <w:r w:rsidRPr="003D7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D7AF8">
        <w:rPr>
          <w:rFonts w:ascii="Times New Roman" w:hAnsi="Times New Roman" w:cs="Times New Roman"/>
          <w:lang w:val="en-GB"/>
        </w:rPr>
        <w:t>nepotrebnih</w:t>
      </w:r>
      <w:proofErr w:type="spellEnd"/>
      <w:r w:rsidRPr="003D7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D7AF8">
        <w:rPr>
          <w:rFonts w:ascii="Times New Roman" w:hAnsi="Times New Roman" w:cs="Times New Roman"/>
          <w:lang w:val="en-GB"/>
        </w:rPr>
        <w:t>zakonskih</w:t>
      </w:r>
      <w:proofErr w:type="spellEnd"/>
      <w:r w:rsidRPr="003D7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D7AF8">
        <w:rPr>
          <w:rFonts w:ascii="Times New Roman" w:hAnsi="Times New Roman" w:cs="Times New Roman"/>
          <w:lang w:val="en-GB"/>
        </w:rPr>
        <w:t>formalnosti</w:t>
      </w:r>
      <w:proofErr w:type="spellEnd"/>
      <w:r w:rsidRPr="003D7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D7AF8">
        <w:rPr>
          <w:rFonts w:ascii="Times New Roman" w:hAnsi="Times New Roman" w:cs="Times New Roman"/>
          <w:lang w:val="en-GB"/>
        </w:rPr>
        <w:t>uz</w:t>
      </w:r>
      <w:proofErr w:type="spellEnd"/>
      <w:r w:rsidRPr="003D7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D7AF8">
        <w:rPr>
          <w:rFonts w:ascii="Times New Roman" w:hAnsi="Times New Roman" w:cs="Times New Roman"/>
          <w:lang w:val="en-GB"/>
        </w:rPr>
        <w:t>očuvanje</w:t>
      </w:r>
      <w:proofErr w:type="spellEnd"/>
      <w:r w:rsidRPr="003D7AF8">
        <w:rPr>
          <w:rFonts w:ascii="Times New Roman" w:hAnsi="Times New Roman" w:cs="Times New Roman"/>
          <w:lang w:val="en-GB"/>
        </w:rPr>
        <w:t xml:space="preserve"> i </w:t>
      </w:r>
      <w:proofErr w:type="spellStart"/>
      <w:r w:rsidRPr="003D7AF8">
        <w:rPr>
          <w:rFonts w:ascii="Times New Roman" w:hAnsi="Times New Roman" w:cs="Times New Roman"/>
          <w:lang w:val="en-GB"/>
        </w:rPr>
        <w:t>zaštitu</w:t>
      </w:r>
      <w:proofErr w:type="spellEnd"/>
      <w:r w:rsidRPr="003D7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D7AF8">
        <w:rPr>
          <w:rFonts w:ascii="Times New Roman" w:hAnsi="Times New Roman" w:cs="Times New Roman"/>
          <w:lang w:val="en-GB"/>
        </w:rPr>
        <w:t>osnovnih</w:t>
      </w:r>
      <w:proofErr w:type="spellEnd"/>
      <w:r w:rsidRPr="003D7AF8">
        <w:rPr>
          <w:rFonts w:ascii="Times New Roman" w:hAnsi="Times New Roman" w:cs="Times New Roman"/>
          <w:lang w:val="en-GB"/>
        </w:rPr>
        <w:t xml:space="preserve"> prava </w:t>
      </w:r>
      <w:proofErr w:type="spellStart"/>
      <w:r w:rsidRPr="003D7AF8">
        <w:rPr>
          <w:rFonts w:ascii="Times New Roman" w:hAnsi="Times New Roman" w:cs="Times New Roman"/>
          <w:lang w:val="en-GB"/>
        </w:rPr>
        <w:t>okrivljenog</w:t>
      </w:r>
      <w:proofErr w:type="spellEnd"/>
      <w:r w:rsidRPr="003D7AF8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3D7AF8">
        <w:rPr>
          <w:rFonts w:ascii="Times New Roman" w:hAnsi="Times New Roman" w:cs="Times New Roman"/>
          <w:lang w:val="en-GB"/>
        </w:rPr>
        <w:t>kao</w:t>
      </w:r>
      <w:proofErr w:type="spellEnd"/>
      <w:r w:rsidR="00135BB6">
        <w:rPr>
          <w:rFonts w:ascii="Times New Roman" w:hAnsi="Times New Roman" w:cs="Times New Roman"/>
          <w:lang w:val="en-GB"/>
        </w:rPr>
        <w:t xml:space="preserve"> i</w:t>
      </w:r>
      <w:r w:rsidRPr="003D7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D7AF8">
        <w:rPr>
          <w:rFonts w:ascii="Times New Roman" w:hAnsi="Times New Roman" w:cs="Times New Roman"/>
          <w:lang w:val="en-GB"/>
        </w:rPr>
        <w:t>ostalih</w:t>
      </w:r>
      <w:proofErr w:type="spellEnd"/>
      <w:r w:rsidRPr="003D7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D7AF8">
        <w:rPr>
          <w:rFonts w:ascii="Times New Roman" w:hAnsi="Times New Roman" w:cs="Times New Roman"/>
          <w:lang w:val="en-GB"/>
        </w:rPr>
        <w:t>subjekata</w:t>
      </w:r>
      <w:proofErr w:type="spellEnd"/>
      <w:r w:rsidRPr="003D7AF8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Pr="003D7AF8">
        <w:rPr>
          <w:rFonts w:ascii="Times New Roman" w:hAnsi="Times New Roman" w:cs="Times New Roman"/>
          <w:lang w:val="en-GB"/>
        </w:rPr>
        <w:t>krivičnom</w:t>
      </w:r>
      <w:proofErr w:type="spellEnd"/>
      <w:r w:rsidRPr="003D7AF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D7AF8">
        <w:rPr>
          <w:rFonts w:ascii="Times New Roman" w:hAnsi="Times New Roman" w:cs="Times New Roman"/>
          <w:lang w:val="en-GB"/>
        </w:rPr>
        <w:t>postupku</w:t>
      </w:r>
      <w:proofErr w:type="spellEnd"/>
      <w:r w:rsidRPr="003D7AF8">
        <w:rPr>
          <w:rFonts w:ascii="Times New Roman" w:hAnsi="Times New Roman" w:cs="Times New Roman"/>
          <w:lang w:val="en-GB"/>
        </w:rPr>
        <w:t>.</w:t>
      </w:r>
      <w:r w:rsidRPr="003D7AF8">
        <w:rPr>
          <w:rFonts w:ascii="Times New Roman" w:hAnsi="Times New Roman" w:cs="Times New Roman"/>
          <w:lang w:val="it-IT"/>
        </w:rPr>
        <w:t xml:space="preserve"> </w:t>
      </w:r>
    </w:p>
    <w:p w:rsidR="003B0B81" w:rsidRPr="00832BC3" w:rsidRDefault="003B0B81" w:rsidP="003B0B81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</w:p>
    <w:sectPr w:rsidR="003B0B81" w:rsidRPr="00832BC3" w:rsidSect="001A2C7E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84A" w:rsidRDefault="000A784A" w:rsidP="00056614">
      <w:pPr>
        <w:spacing w:after="0" w:line="240" w:lineRule="auto"/>
      </w:pPr>
      <w:r>
        <w:separator/>
      </w:r>
    </w:p>
  </w:endnote>
  <w:endnote w:type="continuationSeparator" w:id="0">
    <w:p w:rsidR="000A784A" w:rsidRDefault="000A784A" w:rsidP="00056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275" w:rsidRDefault="00D62275" w:rsidP="00D62275">
    <w:pPr>
      <w:pStyle w:val="Footer"/>
      <w:jc w:val="center"/>
    </w:pPr>
  </w:p>
  <w:p w:rsidR="00D62275" w:rsidRDefault="00D622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84A" w:rsidRDefault="000A784A" w:rsidP="00056614">
      <w:pPr>
        <w:spacing w:after="0" w:line="240" w:lineRule="auto"/>
      </w:pPr>
      <w:r>
        <w:separator/>
      </w:r>
    </w:p>
  </w:footnote>
  <w:footnote w:type="continuationSeparator" w:id="0">
    <w:p w:rsidR="000A784A" w:rsidRDefault="000A784A" w:rsidP="00056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05EA7"/>
    <w:multiLevelType w:val="hybridMultilevel"/>
    <w:tmpl w:val="81981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D367F"/>
    <w:multiLevelType w:val="multilevel"/>
    <w:tmpl w:val="D0AAA9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ADF4AF1"/>
    <w:multiLevelType w:val="multilevel"/>
    <w:tmpl w:val="823A6B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>
    <w:nsid w:val="117E40DF"/>
    <w:multiLevelType w:val="multilevel"/>
    <w:tmpl w:val="E24C0E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>
    <w:nsid w:val="11FF08D6"/>
    <w:multiLevelType w:val="hybridMultilevel"/>
    <w:tmpl w:val="5D4E0A0A"/>
    <w:lvl w:ilvl="0" w:tplc="0AC0AC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A5FE4"/>
    <w:multiLevelType w:val="multilevel"/>
    <w:tmpl w:val="F3FEFA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>
    <w:nsid w:val="493B13D1"/>
    <w:multiLevelType w:val="hybridMultilevel"/>
    <w:tmpl w:val="59907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FA603A"/>
    <w:multiLevelType w:val="multilevel"/>
    <w:tmpl w:val="EA3ED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24AA"/>
    <w:rsid w:val="0001356D"/>
    <w:rsid w:val="00056614"/>
    <w:rsid w:val="000A719E"/>
    <w:rsid w:val="000A784A"/>
    <w:rsid w:val="000B6090"/>
    <w:rsid w:val="000F4385"/>
    <w:rsid w:val="00113CE4"/>
    <w:rsid w:val="00125DF2"/>
    <w:rsid w:val="00132244"/>
    <w:rsid w:val="00135BB6"/>
    <w:rsid w:val="00155D96"/>
    <w:rsid w:val="001A2C7E"/>
    <w:rsid w:val="001A7863"/>
    <w:rsid w:val="001F4C1B"/>
    <w:rsid w:val="00212AF5"/>
    <w:rsid w:val="00250AE3"/>
    <w:rsid w:val="002B5100"/>
    <w:rsid w:val="002D1A1F"/>
    <w:rsid w:val="0033582F"/>
    <w:rsid w:val="003B0B81"/>
    <w:rsid w:val="003B7E1F"/>
    <w:rsid w:val="003C4EA7"/>
    <w:rsid w:val="003D2F01"/>
    <w:rsid w:val="003D7AF8"/>
    <w:rsid w:val="003F1D18"/>
    <w:rsid w:val="004227C9"/>
    <w:rsid w:val="005750AE"/>
    <w:rsid w:val="005F5C71"/>
    <w:rsid w:val="00610BB4"/>
    <w:rsid w:val="00650786"/>
    <w:rsid w:val="00662901"/>
    <w:rsid w:val="006970A1"/>
    <w:rsid w:val="006D2AC0"/>
    <w:rsid w:val="007A364A"/>
    <w:rsid w:val="00832BC3"/>
    <w:rsid w:val="008428FC"/>
    <w:rsid w:val="008E0FEA"/>
    <w:rsid w:val="008F395D"/>
    <w:rsid w:val="009C443A"/>
    <w:rsid w:val="009E3FCB"/>
    <w:rsid w:val="00A1081D"/>
    <w:rsid w:val="00A21DB6"/>
    <w:rsid w:val="00A74D07"/>
    <w:rsid w:val="00A80E4B"/>
    <w:rsid w:val="00A820F3"/>
    <w:rsid w:val="00B1166E"/>
    <w:rsid w:val="00B13CD9"/>
    <w:rsid w:val="00B441C8"/>
    <w:rsid w:val="00B62803"/>
    <w:rsid w:val="00B663EF"/>
    <w:rsid w:val="00B83756"/>
    <w:rsid w:val="00B879E2"/>
    <w:rsid w:val="00BC016D"/>
    <w:rsid w:val="00C01825"/>
    <w:rsid w:val="00C23E94"/>
    <w:rsid w:val="00C3029A"/>
    <w:rsid w:val="00C66B81"/>
    <w:rsid w:val="00C66BB6"/>
    <w:rsid w:val="00C73303"/>
    <w:rsid w:val="00C76C98"/>
    <w:rsid w:val="00CD251D"/>
    <w:rsid w:val="00D073D4"/>
    <w:rsid w:val="00D35C22"/>
    <w:rsid w:val="00D41967"/>
    <w:rsid w:val="00D62275"/>
    <w:rsid w:val="00DA3F0E"/>
    <w:rsid w:val="00E658B3"/>
    <w:rsid w:val="00E66882"/>
    <w:rsid w:val="00E724AA"/>
    <w:rsid w:val="00EB1B3E"/>
    <w:rsid w:val="00EF5782"/>
    <w:rsid w:val="00F0325C"/>
    <w:rsid w:val="00F31F58"/>
    <w:rsid w:val="00F444EA"/>
    <w:rsid w:val="00F751AB"/>
    <w:rsid w:val="00FE4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C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2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6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614"/>
  </w:style>
  <w:style w:type="paragraph" w:styleId="Footer">
    <w:name w:val="footer"/>
    <w:basedOn w:val="Normal"/>
    <w:link w:val="FooterChar"/>
    <w:uiPriority w:val="99"/>
    <w:unhideWhenUsed/>
    <w:rsid w:val="00056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614"/>
  </w:style>
  <w:style w:type="paragraph" w:styleId="BalloonText">
    <w:name w:val="Balloon Text"/>
    <w:basedOn w:val="Normal"/>
    <w:link w:val="BalloonTextChar"/>
    <w:uiPriority w:val="99"/>
    <w:semiHidden/>
    <w:unhideWhenUsed/>
    <w:rsid w:val="00F75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1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2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6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614"/>
  </w:style>
  <w:style w:type="paragraph" w:styleId="Footer">
    <w:name w:val="footer"/>
    <w:basedOn w:val="Normal"/>
    <w:link w:val="FooterChar"/>
    <w:uiPriority w:val="99"/>
    <w:unhideWhenUsed/>
    <w:rsid w:val="00056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614"/>
  </w:style>
  <w:style w:type="paragraph" w:styleId="BalloonText">
    <w:name w:val="Balloon Text"/>
    <w:basedOn w:val="Normal"/>
    <w:link w:val="BalloonTextChar"/>
    <w:uiPriority w:val="99"/>
    <w:semiHidden/>
    <w:unhideWhenUsed/>
    <w:rsid w:val="00F75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1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1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title>
      <c:tx>
        <c:rich>
          <a:bodyPr/>
          <a:lstStyle/>
          <a:p>
            <a:pPr>
              <a:defRPr/>
            </a:pPr>
            <a:r>
              <a:rPr lang="sr-Latn-ME" sz="1400">
                <a:latin typeface="Times New Roman" pitchFamily="18" charset="0"/>
                <a:cs typeface="Times New Roman" pitchFamily="18" charset="0"/>
              </a:rPr>
              <a:t>Broj</a:t>
            </a:r>
            <a:r>
              <a:rPr lang="sr-Latn-ME" sz="1400" baseline="0">
                <a:latin typeface="Times New Roman" pitchFamily="18" charset="0"/>
                <a:cs typeface="Times New Roman" pitchFamily="18" charset="0"/>
              </a:rPr>
              <a:t> sporazuma po godinama 2010 - 2015</a:t>
            </a:r>
            <a:endParaRPr lang="en-US" sz="1400">
              <a:latin typeface="Times New Roman" pitchFamily="18" charset="0"/>
              <a:cs typeface="Times New Roman" pitchFamily="18" charset="0"/>
            </a:endParaRP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Sheet1!$A$1</c:f>
              <c:strCache>
                <c:ptCount val="1"/>
                <c:pt idx="0">
                  <c:v>godina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Val val="1"/>
          </c:dLbls>
          <c:cat>
            <c:numRef>
              <c:f>Sheet1!$A$2:$A$7</c:f>
              <c:numCache>
                <c:formatCode>General</c:formatCode>
                <c:ptCount val="6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</c:numCache>
            </c:numRef>
          </c:cat>
          <c:val>
            <c:numRef>
              <c:f>Sheet1!$B$2:$B$7</c:f>
              <c:numCache>
                <c:formatCode>General</c:formatCode>
                <c:ptCount val="6"/>
                <c:pt idx="0">
                  <c:v>3</c:v>
                </c:pt>
                <c:pt idx="1">
                  <c:v>13</c:v>
                </c:pt>
                <c:pt idx="2">
                  <c:v>22</c:v>
                </c:pt>
                <c:pt idx="3">
                  <c:v>14</c:v>
                </c:pt>
                <c:pt idx="4">
                  <c:v>15</c:v>
                </c:pt>
                <c:pt idx="5">
                  <c:v>59</c:v>
                </c:pt>
              </c:numCache>
            </c:numRef>
          </c:val>
        </c:ser>
        <c:shape val="cylinder"/>
        <c:axId val="124999552"/>
        <c:axId val="127634432"/>
        <c:axId val="0"/>
      </c:bar3DChart>
      <c:catAx>
        <c:axId val="124999552"/>
        <c:scaling>
          <c:orientation val="minMax"/>
        </c:scaling>
        <c:axPos val="b"/>
        <c:numFmt formatCode="General" sourceLinked="1"/>
        <c:tickLblPos val="nextTo"/>
        <c:crossAx val="127634432"/>
        <c:crosses val="autoZero"/>
        <c:auto val="1"/>
        <c:lblAlgn val="ctr"/>
        <c:lblOffset val="100"/>
      </c:catAx>
      <c:valAx>
        <c:axId val="127634432"/>
        <c:scaling>
          <c:orientation val="minMax"/>
        </c:scaling>
        <c:axPos val="l"/>
        <c:majorGridlines/>
        <c:numFmt formatCode="General" sourceLinked="1"/>
        <c:tickLblPos val="nextTo"/>
        <c:crossAx val="124999552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title>
      <c:tx>
        <c:rich>
          <a:bodyPr/>
          <a:lstStyle/>
          <a:p>
            <a:pPr>
              <a:defRPr/>
            </a:pPr>
            <a:r>
              <a:rPr lang="sr-Latn-ME" sz="1100">
                <a:latin typeface="Times New Roman" pitchFamily="18" charset="0"/>
                <a:cs typeface="Times New Roman" pitchFamily="18" charset="0"/>
              </a:rPr>
              <a:t>ZAKLJUČENI SPORAZUMI PO TUŽILAŠTVIMA</a:t>
            </a:r>
            <a:endParaRPr lang="en-US" sz="11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8161916241031636"/>
          <c:y val="4.5351473922902542E-2"/>
        </c:manualLayout>
      </c:layout>
    </c:title>
    <c:view3D>
      <c:rAngAx val="1"/>
    </c:view3D>
    <c:plotArea>
      <c:layout/>
      <c:bar3DChart>
        <c:barDir val="col"/>
        <c:grouping val="clustered"/>
        <c:ser>
          <c:idx val="1"/>
          <c:order val="0"/>
          <c:tx>
            <c:strRef>
              <c:f>Sheet1!$G$23:$G$29</c:f>
              <c:strCache>
                <c:ptCount val="1"/>
                <c:pt idx="0">
                  <c:v>Specijalno državno tužilaštvo Više državno tužilaštvo u Podgorici Više državno tužilaštvo u Bijelom Polju Osnovno državno tužilastvo u Podgorici Osnovno državno tužilaštvo u Kotoru Osnovno državno tužilaštvo u Ulcinju Osnovno državno tužilaštvo u Herceg N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Val val="1"/>
          </c:dLbls>
          <c:cat>
            <c:strRef>
              <c:f>Sheet1!$G$23:$G$29</c:f>
              <c:strCache>
                <c:ptCount val="7"/>
                <c:pt idx="0">
                  <c:v>Specijalno državno tužilaštvo</c:v>
                </c:pt>
                <c:pt idx="1">
                  <c:v>Više državno tužilaštvo u Podgorici</c:v>
                </c:pt>
                <c:pt idx="2">
                  <c:v>Više državno tužilaštvo u Bijelom Polju</c:v>
                </c:pt>
                <c:pt idx="3">
                  <c:v>Osnovno državno tužilastvo u Podgorici</c:v>
                </c:pt>
                <c:pt idx="4">
                  <c:v>Osnovno državno tužilaštvo u Kotoru</c:v>
                </c:pt>
                <c:pt idx="5">
                  <c:v>Osnovno državno tužilaštvo u Ulcinju</c:v>
                </c:pt>
                <c:pt idx="6">
                  <c:v>Osnovno državno tužilaštvo u Herceg Novom</c:v>
                </c:pt>
              </c:strCache>
            </c:strRef>
          </c:cat>
          <c:val>
            <c:numRef>
              <c:f>Sheet1!$H$23:$H$29</c:f>
              <c:numCache>
                <c:formatCode>General</c:formatCode>
                <c:ptCount val="7"/>
                <c:pt idx="0">
                  <c:v>4</c:v>
                </c:pt>
                <c:pt idx="1">
                  <c:v>1</c:v>
                </c:pt>
                <c:pt idx="2">
                  <c:v>1</c:v>
                </c:pt>
                <c:pt idx="3">
                  <c:v>9</c:v>
                </c:pt>
                <c:pt idx="4">
                  <c:v>6</c:v>
                </c:pt>
                <c:pt idx="5">
                  <c:v>2</c:v>
                </c:pt>
                <c:pt idx="6">
                  <c:v>2</c:v>
                </c:pt>
              </c:numCache>
            </c:numRef>
          </c:val>
        </c:ser>
        <c:shape val="cylinder"/>
        <c:axId val="129124608"/>
        <c:axId val="129127168"/>
        <c:axId val="0"/>
      </c:bar3DChart>
      <c:catAx>
        <c:axId val="129124608"/>
        <c:scaling>
          <c:orientation val="minMax"/>
        </c:scaling>
        <c:axPos val="b"/>
        <c:tickLblPos val="nextTo"/>
        <c:crossAx val="129127168"/>
        <c:crosses val="autoZero"/>
        <c:auto val="1"/>
        <c:lblAlgn val="ctr"/>
        <c:lblOffset val="100"/>
      </c:catAx>
      <c:valAx>
        <c:axId val="129127168"/>
        <c:scaling>
          <c:orientation val="minMax"/>
        </c:scaling>
        <c:axPos val="l"/>
        <c:majorGridlines/>
        <c:numFmt formatCode="General" sourceLinked="1"/>
        <c:tickLblPos val="nextTo"/>
        <c:crossAx val="129124608"/>
        <c:crosses val="autoZero"/>
        <c:crossBetween val="between"/>
      </c:valAx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title>
      <c:tx>
        <c:rich>
          <a:bodyPr/>
          <a:lstStyle/>
          <a:p>
            <a:pPr>
              <a:defRPr/>
            </a:pPr>
            <a:r>
              <a:rPr lang="en-US" sz="1100">
                <a:latin typeface="Times New Roman" pitchFamily="18" charset="0"/>
                <a:cs typeface="Times New Roman" pitchFamily="18" charset="0"/>
              </a:rPr>
              <a:t>S</a:t>
            </a:r>
            <a:r>
              <a:rPr lang="sr-Latn-ME" sz="1100">
                <a:latin typeface="Times New Roman" pitchFamily="18" charset="0"/>
                <a:cs typeface="Times New Roman" pitchFamily="18" charset="0"/>
              </a:rPr>
              <a:t>TRUKTURA</a:t>
            </a:r>
            <a:r>
              <a:rPr lang="sr-Latn-ME" sz="1100" baseline="0">
                <a:latin typeface="Times New Roman" pitchFamily="18" charset="0"/>
                <a:cs typeface="Times New Roman" pitchFamily="18" charset="0"/>
              </a:rPr>
              <a:t> KRIVIČNIH DJELA U 2015.GODINI</a:t>
            </a:r>
            <a:endParaRPr lang="en-US" sz="1100">
              <a:latin typeface="Times New Roman" pitchFamily="18" charset="0"/>
              <a:cs typeface="Times New Roman" pitchFamily="18" charset="0"/>
            </a:endParaRP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.16321406623722867"/>
          <c:w val="1"/>
          <c:h val="0.40982350886655738"/>
        </c:manualLayout>
      </c:layout>
      <c:pie3DChart>
        <c:varyColors val="1"/>
        <c:ser>
          <c:idx val="1"/>
          <c:order val="0"/>
          <c:tx>
            <c:strRef>
              <c:f>Sheet1!$G$2:$G$15</c:f>
              <c:strCache>
                <c:ptCount val="1"/>
                <c:pt idx="0">
                  <c:v>stvaranje kriminalne organizacije i neovlašćena proizvodnja, držanje i stavljanje u promet opojnih droga čl.401‚a i čl. 300 neovlašćena proizvodnja, držanje i stavljanje u promet opojnih droga čl. 300 nedozvoljeno držanje oružja i eksplozivnih materija čl</c:v>
                </c:pt>
              </c:strCache>
            </c:strRef>
          </c:tx>
          <c:explosion val="25"/>
          <c:dPt>
            <c:idx val="0"/>
            <c:spPr>
              <a:solidFill>
                <a:srgbClr val="FFFF00"/>
              </a:solidFill>
            </c:spPr>
          </c:dPt>
          <c:dPt>
            <c:idx val="1"/>
            <c:spPr>
              <a:solidFill>
                <a:srgbClr val="0000FF"/>
              </a:solidFill>
            </c:spPr>
          </c:dPt>
          <c:dPt>
            <c:idx val="2"/>
            <c:spPr>
              <a:solidFill>
                <a:srgbClr val="7030A0"/>
              </a:solidFill>
            </c:spPr>
          </c:dPt>
          <c:dPt>
            <c:idx val="3"/>
            <c:spPr>
              <a:solidFill>
                <a:srgbClr val="FF0000"/>
              </a:solidFill>
            </c:spPr>
          </c:dPt>
          <c:dPt>
            <c:idx val="10"/>
            <c:spPr>
              <a:solidFill>
                <a:srgbClr val="00B050"/>
              </a:solidFill>
            </c:spPr>
          </c:dPt>
          <c:dLbls>
            <c:dLbl>
              <c:idx val="11"/>
              <c:layout>
                <c:manualLayout>
                  <c:x val="2.6922901027242031E-2"/>
                  <c:y val="2.5949032467400459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Val val="1"/>
            <c:showLeaderLines val="1"/>
          </c:dLbls>
          <c:cat>
            <c:strRef>
              <c:f>Sheet1!$G$2:$G$15</c:f>
              <c:strCache>
                <c:ptCount val="14"/>
                <c:pt idx="0">
                  <c:v>stvaranje kriminalne organizacije i neovlašćena proizvodnja, držanje i stavljanje u promet opojnih droga čl.401‚a i čl. 300</c:v>
                </c:pt>
                <c:pt idx="1">
                  <c:v>neovlašćena proizvodnja, držanje i stavljanje u promet opojnih droga čl. 300</c:v>
                </c:pt>
                <c:pt idx="2">
                  <c:v>nedozvoljeno držanje oružja i eksplozivnih materija član 403 </c:v>
                </c:pt>
                <c:pt idx="3">
                  <c:v>napad na službeno lice u vršenju službene dužnosti član 376 </c:v>
                </c:pt>
                <c:pt idx="4">
                  <c:v>teška tjelesna povreda član 151 </c:v>
                </c:pt>
                <c:pt idx="5">
                  <c:v>teško djelo protiv bezbjednosti saobraćaja član 348 </c:v>
                </c:pt>
                <c:pt idx="6">
                  <c:v>falsifikovanje isprave član 412 </c:v>
                </c:pt>
                <c:pt idx="7">
                  <c:v>kriminalno udruživanje član 401 / nedozvoljeno držanje oružja i eksplozivnih materija član 403 </c:v>
                </c:pt>
                <c:pt idx="8">
                  <c:v>nedozvoljeni prelaz državne granice i krijumčarenje ljudi čl. 405 st. 3 u vezi st. 2 u vezi čl. 23 KZCG</c:v>
                </c:pt>
                <c:pt idx="9">
                  <c:v>nasilničko ponašanje član 399 </c:v>
                </c:pt>
                <c:pt idx="10">
                  <c:v>posredovanje u vršenju prostitucije član 210 </c:v>
                </c:pt>
                <c:pt idx="11">
                  <c:v>teška krađa član 240 </c:v>
                </c:pt>
                <c:pt idx="12">
                  <c:v>nasilje u porodici ili u porodičnoj zajednici član 220 </c:v>
                </c:pt>
                <c:pt idx="13">
                  <c:v>utaja poreza i doprinosa član 264</c:v>
                </c:pt>
              </c:strCache>
            </c:strRef>
          </c:cat>
          <c:val>
            <c:numRef>
              <c:f>Sheet1!$H$2:$H$15</c:f>
              <c:numCache>
                <c:formatCode>General</c:formatCode>
                <c:ptCount val="14"/>
                <c:pt idx="0">
                  <c:v>4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4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</c:numCache>
            </c:numRef>
          </c:val>
        </c:ser>
      </c:pie3DChart>
    </c:plotArea>
    <c:legend>
      <c:legendPos val="b"/>
      <c:layout>
        <c:manualLayout>
          <c:xMode val="edge"/>
          <c:yMode val="edge"/>
          <c:x val="0"/>
          <c:y val="0.6287012516192364"/>
          <c:w val="0.99221397129088007"/>
          <c:h val="0.37129874838076482"/>
        </c:manualLayout>
      </c:layout>
      <c:txPr>
        <a:bodyPr/>
        <a:lstStyle/>
        <a:p>
          <a:pPr rtl="0">
            <a:defRPr sz="800"/>
          </a:pPr>
          <a:endParaRPr lang="en-US"/>
        </a:p>
      </c:txPr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DE819-6BA2-451A-9763-1B9E26ED3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2129</Words>
  <Characters>12141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Merima Bakovic</dc:creator>
  <cp:lastModifiedBy>enesa.hasanagic</cp:lastModifiedBy>
  <cp:revision>8</cp:revision>
  <cp:lastPrinted>2017-02-28T10:45:00Z</cp:lastPrinted>
  <dcterms:created xsi:type="dcterms:W3CDTF">2017-02-27T15:54:00Z</dcterms:created>
  <dcterms:modified xsi:type="dcterms:W3CDTF">2017-02-28T10:52:00Z</dcterms:modified>
</cp:coreProperties>
</file>