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80B4" w14:textId="2CD83C4E" w:rsidR="00C86076" w:rsidRPr="00E41CC6" w:rsidRDefault="00C86076" w:rsidP="00C86076">
      <w:pPr>
        <w:pStyle w:val="N03Y"/>
        <w:spacing w:before="0" w:after="0"/>
        <w:jc w:val="right"/>
        <w:rPr>
          <w:rFonts w:ascii="Arial" w:hAnsi="Arial" w:cs="Arial"/>
          <w:color w:val="auto"/>
          <w:sz w:val="24"/>
          <w:szCs w:val="24"/>
          <w:u w:val="single"/>
          <w:lang w:val="sr-Latn-ME"/>
        </w:rPr>
      </w:pPr>
      <w:r>
        <w:rPr>
          <w:rFonts w:ascii="Arial" w:hAnsi="Arial" w:cs="Arial"/>
          <w:color w:val="auto"/>
          <w:sz w:val="24"/>
          <w:szCs w:val="24"/>
          <w:u w:val="single"/>
          <w:lang w:val="sr-Latn-ME"/>
        </w:rPr>
        <w:t>NACRT</w:t>
      </w:r>
    </w:p>
    <w:p w14:paraId="4D5D58C6" w14:textId="5B647804" w:rsidR="00C86076" w:rsidRDefault="00C86076" w:rsidP="00C86076">
      <w:pPr>
        <w:pStyle w:val="N03Y"/>
        <w:spacing w:before="0" w:after="0"/>
        <w:jc w:val="right"/>
        <w:rPr>
          <w:rFonts w:ascii="Arial" w:hAnsi="Arial" w:cs="Arial"/>
          <w:color w:val="auto"/>
          <w:sz w:val="24"/>
          <w:szCs w:val="24"/>
          <w:u w:val="single"/>
          <w:lang w:val="sr-Latn-ME"/>
        </w:rPr>
      </w:pPr>
    </w:p>
    <w:p w14:paraId="385D27EA" w14:textId="68D11C83" w:rsidR="009B5446" w:rsidRDefault="009B5446" w:rsidP="00C86076">
      <w:pPr>
        <w:pStyle w:val="N03Y"/>
        <w:spacing w:before="0" w:after="0"/>
        <w:jc w:val="right"/>
        <w:rPr>
          <w:rFonts w:ascii="Arial" w:hAnsi="Arial" w:cs="Arial"/>
          <w:color w:val="auto"/>
          <w:sz w:val="24"/>
          <w:szCs w:val="24"/>
          <w:u w:val="single"/>
          <w:lang w:val="sr-Latn-ME"/>
        </w:rPr>
      </w:pPr>
    </w:p>
    <w:p w14:paraId="393FCBFF" w14:textId="77777777" w:rsidR="009B5446" w:rsidRPr="00E41CC6" w:rsidRDefault="009B5446" w:rsidP="00C86076">
      <w:pPr>
        <w:pStyle w:val="N03Y"/>
        <w:spacing w:before="0" w:after="0"/>
        <w:jc w:val="right"/>
        <w:rPr>
          <w:rFonts w:ascii="Arial" w:hAnsi="Arial" w:cs="Arial"/>
          <w:color w:val="auto"/>
          <w:sz w:val="24"/>
          <w:szCs w:val="24"/>
          <w:u w:val="single"/>
          <w:lang w:val="sr-Latn-ME"/>
        </w:rPr>
      </w:pPr>
    </w:p>
    <w:p w14:paraId="1123868A" w14:textId="77777777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  <w:r w:rsidRPr="00E41CC6">
        <w:rPr>
          <w:rFonts w:ascii="Arial" w:hAnsi="Arial" w:cs="Arial"/>
          <w:color w:val="auto"/>
          <w:sz w:val="24"/>
          <w:szCs w:val="24"/>
          <w:lang w:val="sr-Latn-ME"/>
        </w:rPr>
        <w:t>ZAKON</w:t>
      </w:r>
    </w:p>
    <w:p w14:paraId="1AED111C" w14:textId="77777777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13B622C3" w14:textId="59E176B0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  <w:r w:rsidRPr="00E41CC6">
        <w:rPr>
          <w:rFonts w:ascii="Arial" w:hAnsi="Arial" w:cs="Arial"/>
          <w:color w:val="auto"/>
          <w:sz w:val="24"/>
          <w:szCs w:val="24"/>
          <w:lang w:val="sr-Latn-ME"/>
        </w:rPr>
        <w:t>O IZMJEN</w:t>
      </w:r>
      <w:r>
        <w:rPr>
          <w:rFonts w:ascii="Arial" w:hAnsi="Arial" w:cs="Arial"/>
          <w:color w:val="auto"/>
          <w:sz w:val="24"/>
          <w:szCs w:val="24"/>
          <w:lang w:val="sr-Latn-ME"/>
        </w:rPr>
        <w:t>I</w:t>
      </w:r>
      <w:r w:rsidR="00C21CAF" w:rsidRPr="00C21CAF">
        <w:rPr>
          <w:rFonts w:ascii="Arial" w:hAnsi="Arial" w:cs="Arial"/>
          <w:color w:val="auto"/>
          <w:sz w:val="24"/>
          <w:szCs w:val="24"/>
          <w:lang w:val="sr-Latn-ME"/>
        </w:rPr>
        <w:t xml:space="preserve"> </w:t>
      </w:r>
      <w:r w:rsidR="00C21CAF">
        <w:rPr>
          <w:rFonts w:ascii="Arial" w:hAnsi="Arial" w:cs="Arial"/>
          <w:color w:val="auto"/>
          <w:sz w:val="24"/>
          <w:szCs w:val="24"/>
          <w:lang w:val="sr-Latn-ME"/>
        </w:rPr>
        <w:t xml:space="preserve">I </w:t>
      </w:r>
      <w:r w:rsidR="00C21CAF" w:rsidRPr="00E41CC6">
        <w:rPr>
          <w:rFonts w:ascii="Arial" w:hAnsi="Arial" w:cs="Arial"/>
          <w:color w:val="auto"/>
          <w:sz w:val="24"/>
          <w:szCs w:val="24"/>
          <w:lang w:val="sr-Latn-ME"/>
        </w:rPr>
        <w:t>DOPUN</w:t>
      </w:r>
      <w:r w:rsidR="00C21CAF">
        <w:rPr>
          <w:rFonts w:ascii="Arial" w:hAnsi="Arial" w:cs="Arial"/>
          <w:color w:val="auto"/>
          <w:sz w:val="24"/>
          <w:szCs w:val="24"/>
          <w:lang w:val="sr-Latn-ME"/>
        </w:rPr>
        <w:t>I</w:t>
      </w:r>
    </w:p>
    <w:p w14:paraId="4D60402C" w14:textId="62EF4D1B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  <w:r w:rsidRPr="00E41CC6">
        <w:rPr>
          <w:rFonts w:ascii="Arial" w:hAnsi="Arial" w:cs="Arial"/>
          <w:color w:val="auto"/>
          <w:sz w:val="24"/>
          <w:szCs w:val="24"/>
          <w:lang w:val="sr-Latn-ME"/>
        </w:rPr>
        <w:t xml:space="preserve">ZAKONA O </w:t>
      </w:r>
      <w:r>
        <w:rPr>
          <w:rFonts w:ascii="Arial" w:hAnsi="Arial" w:cs="Arial"/>
          <w:color w:val="auto"/>
          <w:sz w:val="24"/>
          <w:szCs w:val="24"/>
          <w:lang w:val="sr-Latn-ME"/>
        </w:rPr>
        <w:t>FINANSIJSKIM KONGLOMERATIMA</w:t>
      </w:r>
      <w:r w:rsidRPr="002432A3">
        <w:rPr>
          <w:rFonts w:ascii="Cambria Math" w:hAnsi="Cambria Math" w:cs="Cambria Math"/>
          <w:color w:val="auto"/>
          <w:sz w:val="24"/>
          <w:szCs w:val="24"/>
          <w:vertAlign w:val="superscript"/>
          <w:lang w:val="sr-Latn-ME"/>
        </w:rPr>
        <w:t>∗</w:t>
      </w:r>
    </w:p>
    <w:p w14:paraId="008AADB5" w14:textId="77777777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6336A46F" w14:textId="77777777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424F328F" w14:textId="77777777" w:rsidR="00C86076" w:rsidRPr="0091151E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E41CC6">
        <w:rPr>
          <w:rFonts w:ascii="Arial" w:hAnsi="Arial" w:cs="Arial"/>
          <w:color w:val="auto"/>
          <w:sz w:val="24"/>
          <w:szCs w:val="24"/>
          <w:lang w:val="sr-Latn-ME"/>
        </w:rPr>
        <w:t>Član 1</w:t>
      </w:r>
    </w:p>
    <w:p w14:paraId="73535D08" w14:textId="77777777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6024E7E0" w14:textId="26B6BF9F" w:rsidR="00C86076" w:rsidRDefault="00C86076" w:rsidP="00C86076">
      <w:pPr>
        <w:pStyle w:val="N03Y"/>
        <w:spacing w:before="0" w:after="0"/>
        <w:ind w:firstLine="72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</w:pPr>
      <w:r w:rsidRPr="00E41CC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U Zakonu o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finansijskim konglomeratima</w:t>
      </w:r>
      <w:r w:rsidRPr="00E41CC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(„Službeni list CG", br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oj </w:t>
      </w:r>
      <w:r w:rsidRPr="00E41CC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24/25) 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poslije člana 39 dodaje se novi član koji glasi:</w:t>
      </w:r>
    </w:p>
    <w:p w14:paraId="3FB86AC0" w14:textId="20E41407" w:rsidR="00C86076" w:rsidRDefault="00C86076" w:rsidP="00C86076">
      <w:pPr>
        <w:pStyle w:val="N03Y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</w:pPr>
    </w:p>
    <w:p w14:paraId="65F108A3" w14:textId="4793821B" w:rsidR="00C86076" w:rsidRPr="00C86076" w:rsidRDefault="00C86076" w:rsidP="00C86076">
      <w:pPr>
        <w:pStyle w:val="N01X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„</w:t>
      </w:r>
      <w:r w:rsidRPr="00C86076">
        <w:rPr>
          <w:rFonts w:ascii="Arial" w:hAnsi="Arial" w:cs="Arial"/>
          <w:lang w:val="sr-Latn-ME"/>
        </w:rPr>
        <w:t>Dostupnost informacija na Jedinstvenoj evropskoj pristupnoj tački</w:t>
      </w:r>
    </w:p>
    <w:p w14:paraId="6AE53B0A" w14:textId="77777777" w:rsidR="00C86076" w:rsidRPr="00C86076" w:rsidRDefault="00C86076" w:rsidP="00C86076">
      <w:pPr>
        <w:pStyle w:val="N01X"/>
        <w:rPr>
          <w:rFonts w:ascii="Arial" w:hAnsi="Arial" w:cs="Arial"/>
          <w:lang w:val="sr-Latn-ME"/>
        </w:rPr>
      </w:pPr>
      <w:r w:rsidRPr="00C86076">
        <w:rPr>
          <w:rFonts w:ascii="Arial" w:hAnsi="Arial" w:cs="Arial"/>
          <w:lang w:val="sr-Latn-ME"/>
        </w:rPr>
        <w:t>Član 39a</w:t>
      </w:r>
    </w:p>
    <w:p w14:paraId="7716E910" w14:textId="4565546B" w:rsidR="00C86076" w:rsidRPr="00C86076" w:rsidRDefault="00C86076" w:rsidP="00C86076">
      <w:pPr>
        <w:pStyle w:val="N01X"/>
        <w:numPr>
          <w:ilvl w:val="0"/>
          <w:numId w:val="1"/>
        </w:numPr>
        <w:ind w:left="284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 xml:space="preserve">Koordinator </w:t>
      </w:r>
      <w:r w:rsidR="00684A52">
        <w:rPr>
          <w:rFonts w:ascii="Arial" w:hAnsi="Arial" w:cs="Arial"/>
          <w:b w:val="0"/>
          <w:bCs w:val="0"/>
          <w:lang w:val="sr-Latn-ME"/>
        </w:rPr>
        <w:t>kao</w:t>
      </w:r>
      <w:r w:rsidR="00684A52" w:rsidRPr="00C86076">
        <w:rPr>
          <w:rFonts w:ascii="Arial" w:hAnsi="Arial" w:cs="Arial"/>
          <w:b w:val="0"/>
          <w:bCs w:val="0"/>
          <w:lang w:val="sr-Latn-ME"/>
        </w:rPr>
        <w:t xml:space="preserve"> </w:t>
      </w:r>
      <w:r w:rsidRPr="00C86076">
        <w:rPr>
          <w:rFonts w:ascii="Arial" w:hAnsi="Arial" w:cs="Arial"/>
          <w:b w:val="0"/>
          <w:bCs w:val="0"/>
          <w:lang w:val="sr-Latn-ME"/>
        </w:rPr>
        <w:t>imenovano tijelo dostavlja informacij</w:t>
      </w:r>
      <w:r w:rsidR="00684A52">
        <w:rPr>
          <w:rFonts w:ascii="Arial" w:hAnsi="Arial" w:cs="Arial"/>
          <w:b w:val="0"/>
          <w:bCs w:val="0"/>
          <w:lang w:val="sr-Latn-ME"/>
        </w:rPr>
        <w:t>e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 Jedinstvenoj evropskoj pristupnoj tački (u daljem tekstu: ESAP), uspostavljenoj u skladu sa Regulativom (EU) 2023/2859.</w:t>
      </w:r>
    </w:p>
    <w:p w14:paraId="44F80386" w14:textId="286C1999" w:rsidR="00C86076" w:rsidRPr="00C86076" w:rsidRDefault="00C86076" w:rsidP="00C86076">
      <w:pPr>
        <w:pStyle w:val="N01X"/>
        <w:numPr>
          <w:ilvl w:val="0"/>
          <w:numId w:val="1"/>
        </w:numPr>
        <w:ind w:left="284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 xml:space="preserve">Kada regulisani subjekt javno objavljuje informacije iz člana 24 stav 6 ovog zakona, dužan je da, istovremeno sa objavljivanjem, te informacije dostavi koordinatoru radi </w:t>
      </w:r>
      <w:r w:rsidR="000223B1">
        <w:rPr>
          <w:rFonts w:ascii="Arial" w:hAnsi="Arial" w:cs="Arial"/>
          <w:b w:val="0"/>
          <w:bCs w:val="0"/>
          <w:lang w:val="sr-Latn-ME"/>
        </w:rPr>
        <w:t xml:space="preserve">njihovog </w:t>
      </w:r>
      <w:r w:rsidRPr="00C86076">
        <w:rPr>
          <w:rFonts w:ascii="Arial" w:hAnsi="Arial" w:cs="Arial"/>
          <w:b w:val="0"/>
          <w:bCs w:val="0"/>
          <w:lang w:val="sr-Latn-ME"/>
        </w:rPr>
        <w:t>dostavljanja ESAP-u.</w:t>
      </w:r>
    </w:p>
    <w:p w14:paraId="79ABF721" w14:textId="767709DF" w:rsidR="00C86076" w:rsidRPr="00C86076" w:rsidRDefault="00C86076" w:rsidP="00C86076">
      <w:pPr>
        <w:pStyle w:val="N01X"/>
        <w:numPr>
          <w:ilvl w:val="0"/>
          <w:numId w:val="1"/>
        </w:numPr>
        <w:spacing w:before="0" w:after="0"/>
        <w:ind w:left="284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 xml:space="preserve">Regulisani subjekt je dužan da obezbijedi da informacije iz stava </w:t>
      </w:r>
      <w:r w:rsidR="003F7F80">
        <w:rPr>
          <w:rFonts w:ascii="Arial" w:hAnsi="Arial" w:cs="Arial"/>
          <w:b w:val="0"/>
          <w:bCs w:val="0"/>
          <w:lang w:val="sr-Latn-ME"/>
        </w:rPr>
        <w:t>2</w:t>
      </w:r>
      <w:r w:rsidR="003F7F80" w:rsidRPr="00C86076">
        <w:rPr>
          <w:rFonts w:ascii="Arial" w:hAnsi="Arial" w:cs="Arial"/>
          <w:b w:val="0"/>
          <w:bCs w:val="0"/>
          <w:lang w:val="sr-Latn-ME"/>
        </w:rPr>
        <w:t xml:space="preserve"> </w:t>
      </w:r>
      <w:r w:rsidRPr="00C86076">
        <w:rPr>
          <w:rFonts w:ascii="Arial" w:hAnsi="Arial" w:cs="Arial"/>
          <w:b w:val="0"/>
          <w:bCs w:val="0"/>
          <w:lang w:val="sr-Latn-ME"/>
        </w:rPr>
        <w:t>ovog člana:</w:t>
      </w:r>
    </w:p>
    <w:p w14:paraId="5534A9D1" w14:textId="7B39BC5D" w:rsidR="00C86076" w:rsidRPr="00C86076" w:rsidRDefault="00C86076" w:rsidP="00C86076">
      <w:pPr>
        <w:pStyle w:val="N01X"/>
        <w:spacing w:before="0" w:after="0"/>
        <w:ind w:left="567" w:hanging="283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>1)</w:t>
      </w:r>
      <w:r w:rsidRPr="00C86076">
        <w:rPr>
          <w:rFonts w:ascii="Arial" w:hAnsi="Arial" w:cs="Arial"/>
          <w:b w:val="0"/>
          <w:bCs w:val="0"/>
          <w:lang w:val="sr-Latn-ME"/>
        </w:rPr>
        <w:tab/>
      </w:r>
      <w:r w:rsidR="000223B1">
        <w:rPr>
          <w:rFonts w:ascii="Arial" w:hAnsi="Arial" w:cs="Arial"/>
          <w:b w:val="0"/>
          <w:bCs w:val="0"/>
          <w:lang w:val="sr-Latn-ME"/>
        </w:rPr>
        <w:t>dostavi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 u formatu iz kojeg se mogu izdvojiti podaci u skladu sa članom 2 tačka 3 Regulative (EU) 2023/2859</w:t>
      </w:r>
      <w:r w:rsidRPr="00C86076">
        <w:rPr>
          <w:rFonts w:ascii="Arial" w:hAnsi="Arial" w:cs="Arial"/>
        </w:rPr>
        <w:t xml:space="preserve"> </w:t>
      </w:r>
      <w:r w:rsidRPr="00C86076">
        <w:rPr>
          <w:rFonts w:ascii="Arial" w:hAnsi="Arial" w:cs="Arial"/>
          <w:b w:val="0"/>
          <w:bCs w:val="0"/>
          <w:lang w:val="sr-Latn-ME"/>
        </w:rPr>
        <w:t>ili, ako je to propisano pravom Evropske unije, u mašinski čitljivom formatu u skladu sa članom 2 tačka 4 Regulative (EU) 2023/2859;</w:t>
      </w:r>
    </w:p>
    <w:p w14:paraId="6063A871" w14:textId="70FC2415" w:rsidR="00C86076" w:rsidRPr="00C86076" w:rsidRDefault="00C86076" w:rsidP="00C86076">
      <w:pPr>
        <w:pStyle w:val="N01X"/>
        <w:spacing w:before="0" w:after="0"/>
        <w:ind w:left="567" w:hanging="283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>2)</w:t>
      </w:r>
      <w:r w:rsidRPr="00C86076">
        <w:rPr>
          <w:rFonts w:ascii="Arial" w:hAnsi="Arial" w:cs="Arial"/>
          <w:b w:val="0"/>
          <w:bCs w:val="0"/>
          <w:lang w:val="sr-Latn-ME"/>
        </w:rPr>
        <w:tab/>
      </w:r>
      <w:r w:rsidR="00684A52">
        <w:rPr>
          <w:rFonts w:ascii="Arial" w:hAnsi="Arial" w:cs="Arial"/>
          <w:b w:val="0"/>
          <w:bCs w:val="0"/>
          <w:lang w:val="sr-Latn-ME"/>
        </w:rPr>
        <w:t>prate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 sljedeći metapodaci:</w:t>
      </w:r>
    </w:p>
    <w:p w14:paraId="6A41D801" w14:textId="0D2E7C7A" w:rsidR="00C86076" w:rsidRPr="00C86076" w:rsidRDefault="00C86076" w:rsidP="00C86076">
      <w:pPr>
        <w:pStyle w:val="N01X"/>
        <w:numPr>
          <w:ilvl w:val="0"/>
          <w:numId w:val="2"/>
        </w:numPr>
        <w:spacing w:before="0" w:after="0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>naziv regulisanog subjekta na koji se podaci odnose;</w:t>
      </w:r>
    </w:p>
    <w:p w14:paraId="7B08A036" w14:textId="3C5E1E6E" w:rsidR="00C86076" w:rsidRPr="00C86076" w:rsidRDefault="00C86076" w:rsidP="00C86076">
      <w:pPr>
        <w:pStyle w:val="N01X"/>
        <w:numPr>
          <w:ilvl w:val="0"/>
          <w:numId w:val="2"/>
        </w:numPr>
        <w:spacing w:before="0" w:after="0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>identifikacioni broj pravnog lica regulisan</w:t>
      </w:r>
      <w:r w:rsidR="00156302">
        <w:rPr>
          <w:rFonts w:ascii="Arial" w:hAnsi="Arial" w:cs="Arial"/>
          <w:b w:val="0"/>
          <w:bCs w:val="0"/>
          <w:lang w:val="sr-Latn-ME"/>
        </w:rPr>
        <w:t>og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 subjekt</w:t>
      </w:r>
      <w:r w:rsidR="00156302">
        <w:rPr>
          <w:rFonts w:ascii="Arial" w:hAnsi="Arial" w:cs="Arial"/>
          <w:b w:val="0"/>
          <w:bCs w:val="0"/>
          <w:lang w:val="sr-Latn-ME"/>
        </w:rPr>
        <w:t>a</w:t>
      </w:r>
      <w:r w:rsidRPr="00C86076">
        <w:rPr>
          <w:rFonts w:ascii="Arial" w:hAnsi="Arial" w:cs="Arial"/>
          <w:b w:val="0"/>
          <w:bCs w:val="0"/>
          <w:lang w:val="sr-Latn-ME"/>
        </w:rPr>
        <w:t>, u skladu sa članom 7 stav 4 tačka b Regulative (EU) 2023/2859;</w:t>
      </w:r>
    </w:p>
    <w:p w14:paraId="14F72F81" w14:textId="77777777" w:rsidR="00C86076" w:rsidRPr="00C86076" w:rsidRDefault="00C86076" w:rsidP="00C86076">
      <w:pPr>
        <w:pStyle w:val="N01X"/>
        <w:numPr>
          <w:ilvl w:val="0"/>
          <w:numId w:val="2"/>
        </w:numPr>
        <w:spacing w:before="0" w:after="0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>veličina regulisanog subjekta po kategorijama, u skladu sa članom 7 stav 4 tačka d Regulative (EU) 2023/2859;</w:t>
      </w:r>
    </w:p>
    <w:p w14:paraId="69E63350" w14:textId="77777777" w:rsidR="00C86076" w:rsidRPr="00C86076" w:rsidRDefault="00C86076" w:rsidP="00C86076">
      <w:pPr>
        <w:pStyle w:val="N01X"/>
        <w:numPr>
          <w:ilvl w:val="0"/>
          <w:numId w:val="2"/>
        </w:numPr>
        <w:spacing w:before="0" w:after="0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>vrsta informacija koja je klasifikovana u skladu sa članom 7 stav 4 tačka c Regulative (EU) 2023/2859;</w:t>
      </w:r>
    </w:p>
    <w:p w14:paraId="3F4B80E5" w14:textId="3881F499" w:rsidR="00C86076" w:rsidRPr="00C86076" w:rsidRDefault="00C86076" w:rsidP="00C86076">
      <w:pPr>
        <w:pStyle w:val="N01X"/>
        <w:numPr>
          <w:ilvl w:val="0"/>
          <w:numId w:val="2"/>
        </w:numPr>
        <w:spacing w:before="0" w:after="0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>naznaka da li informacije</w:t>
      </w:r>
      <w:r w:rsidR="00684A52">
        <w:rPr>
          <w:rFonts w:ascii="Arial" w:hAnsi="Arial" w:cs="Arial"/>
          <w:b w:val="0"/>
          <w:bCs w:val="0"/>
          <w:lang w:val="sr-Latn-ME"/>
        </w:rPr>
        <w:t xml:space="preserve"> iz al.1 do 4 ov</w:t>
      </w:r>
      <w:r w:rsidR="00156302">
        <w:rPr>
          <w:rFonts w:ascii="Arial" w:hAnsi="Arial" w:cs="Arial"/>
          <w:b w:val="0"/>
          <w:bCs w:val="0"/>
          <w:lang w:val="sr-Latn-ME"/>
        </w:rPr>
        <w:t xml:space="preserve">e tačke </w:t>
      </w:r>
      <w:r w:rsidRPr="00C86076">
        <w:rPr>
          <w:rFonts w:ascii="Arial" w:hAnsi="Arial" w:cs="Arial"/>
          <w:b w:val="0"/>
          <w:bCs w:val="0"/>
          <w:lang w:val="sr-Latn-ME"/>
        </w:rPr>
        <w:t>sadrže podatke</w:t>
      </w:r>
      <w:r w:rsidR="00156302">
        <w:rPr>
          <w:rFonts w:ascii="Arial" w:hAnsi="Arial" w:cs="Arial"/>
          <w:b w:val="0"/>
          <w:bCs w:val="0"/>
          <w:lang w:val="sr-Latn-ME"/>
        </w:rPr>
        <w:t xml:space="preserve"> o ličnosti</w:t>
      </w:r>
      <w:r w:rsidRPr="00C86076">
        <w:rPr>
          <w:rFonts w:ascii="Arial" w:hAnsi="Arial" w:cs="Arial"/>
          <w:b w:val="0"/>
          <w:bCs w:val="0"/>
          <w:lang w:val="sr-Latn-ME"/>
        </w:rPr>
        <w:t>.</w:t>
      </w:r>
    </w:p>
    <w:p w14:paraId="4E9C9C32" w14:textId="6C91742F" w:rsidR="00C86076" w:rsidRPr="00C86076" w:rsidRDefault="00C86076" w:rsidP="00C86076">
      <w:pPr>
        <w:pStyle w:val="N01X"/>
        <w:numPr>
          <w:ilvl w:val="0"/>
          <w:numId w:val="1"/>
        </w:numPr>
        <w:ind w:left="284"/>
        <w:jc w:val="both"/>
        <w:rPr>
          <w:rFonts w:ascii="Arial" w:hAnsi="Arial" w:cs="Arial"/>
          <w:b w:val="0"/>
          <w:bCs w:val="0"/>
          <w:lang w:val="sr-Latn-ME"/>
        </w:rPr>
      </w:pPr>
      <w:r w:rsidRPr="00C86076">
        <w:rPr>
          <w:rFonts w:ascii="Arial" w:hAnsi="Arial" w:cs="Arial"/>
          <w:b w:val="0"/>
          <w:bCs w:val="0"/>
          <w:lang w:val="sr-Latn-ME"/>
        </w:rPr>
        <w:t xml:space="preserve">Regulisani subjekt je dužan da pribavi identifikacioni broj pravnog lica prije dostavljanja informacija u skladu sa stavom </w:t>
      </w:r>
      <w:r w:rsidR="00156302">
        <w:rPr>
          <w:rFonts w:ascii="Arial" w:hAnsi="Arial" w:cs="Arial"/>
          <w:b w:val="0"/>
          <w:bCs w:val="0"/>
          <w:lang w:val="sr-Latn-ME"/>
        </w:rPr>
        <w:t>3</w:t>
      </w:r>
      <w:r w:rsidR="00156302" w:rsidRPr="00C86076">
        <w:rPr>
          <w:rFonts w:ascii="Arial" w:hAnsi="Arial" w:cs="Arial"/>
          <w:b w:val="0"/>
          <w:bCs w:val="0"/>
          <w:lang w:val="sr-Latn-ME"/>
        </w:rPr>
        <w:t xml:space="preserve"> </w:t>
      </w:r>
      <w:r w:rsidRPr="00C86076">
        <w:rPr>
          <w:rFonts w:ascii="Arial" w:hAnsi="Arial" w:cs="Arial"/>
          <w:b w:val="0"/>
          <w:bCs w:val="0"/>
          <w:lang w:val="sr-Latn-ME"/>
        </w:rPr>
        <w:t>tačka 2 alineja 2 ovog člana.</w:t>
      </w:r>
    </w:p>
    <w:p w14:paraId="697CE15D" w14:textId="181305F5" w:rsidR="00C86076" w:rsidRDefault="00C86076" w:rsidP="00C86076">
      <w:pPr>
        <w:pStyle w:val="N01X"/>
        <w:numPr>
          <w:ilvl w:val="0"/>
          <w:numId w:val="1"/>
        </w:numPr>
        <w:ind w:left="284"/>
        <w:jc w:val="both"/>
        <w:rPr>
          <w:rFonts w:ascii="Arial" w:hAnsi="Arial" w:cs="Arial"/>
          <w:b w:val="0"/>
          <w:bCs w:val="0"/>
          <w:lang w:val="sr-Latn-ME"/>
        </w:rPr>
      </w:pPr>
      <w:bookmarkStart w:id="0" w:name="_Hlk215011585"/>
      <w:r>
        <w:rPr>
          <w:rFonts w:ascii="Arial" w:hAnsi="Arial" w:cs="Arial"/>
          <w:b w:val="0"/>
          <w:bCs w:val="0"/>
          <w:lang w:val="sr-Latn-ME"/>
        </w:rPr>
        <w:t xml:space="preserve">Koordinator je </w:t>
      </w:r>
      <w:r w:rsidRPr="00C86076">
        <w:rPr>
          <w:rFonts w:ascii="Arial" w:hAnsi="Arial" w:cs="Arial"/>
          <w:b w:val="0"/>
          <w:bCs w:val="0"/>
          <w:lang w:val="sr-Latn-ME"/>
        </w:rPr>
        <w:t>duž</w:t>
      </w:r>
      <w:r>
        <w:rPr>
          <w:rFonts w:ascii="Arial" w:hAnsi="Arial" w:cs="Arial"/>
          <w:b w:val="0"/>
          <w:bCs w:val="0"/>
          <w:lang w:val="sr-Latn-ME"/>
        </w:rPr>
        <w:t>an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 </w:t>
      </w:r>
      <w:r w:rsidR="00DE1234">
        <w:rPr>
          <w:rFonts w:ascii="Arial" w:hAnsi="Arial" w:cs="Arial"/>
          <w:b w:val="0"/>
          <w:bCs w:val="0"/>
          <w:lang w:val="sr-Latn-ME"/>
        </w:rPr>
        <w:t xml:space="preserve">da 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obezbijedi </w:t>
      </w:r>
      <w:r>
        <w:rPr>
          <w:rFonts w:ascii="Arial" w:hAnsi="Arial" w:cs="Arial"/>
          <w:b w:val="0"/>
          <w:bCs w:val="0"/>
          <w:lang w:val="sr-Latn-ME"/>
        </w:rPr>
        <w:t>da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 </w:t>
      </w:r>
      <w:r>
        <w:rPr>
          <w:rFonts w:ascii="Arial" w:hAnsi="Arial" w:cs="Arial"/>
          <w:b w:val="0"/>
          <w:bCs w:val="0"/>
          <w:lang w:val="sr-Latn-ME"/>
        </w:rPr>
        <w:t xml:space="preserve">su </w:t>
      </w:r>
      <w:r w:rsidRPr="00C86076">
        <w:rPr>
          <w:rFonts w:ascii="Arial" w:hAnsi="Arial" w:cs="Arial"/>
          <w:b w:val="0"/>
          <w:bCs w:val="0"/>
          <w:lang w:val="sr-Latn-ME"/>
        </w:rPr>
        <w:t>informacij</w:t>
      </w:r>
      <w:r w:rsidR="00DE1234">
        <w:rPr>
          <w:rFonts w:ascii="Arial" w:hAnsi="Arial" w:cs="Arial"/>
          <w:b w:val="0"/>
          <w:bCs w:val="0"/>
          <w:lang w:val="sr-Latn-ME"/>
        </w:rPr>
        <w:t>e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 iz stava </w:t>
      </w:r>
      <w:r w:rsidR="007E6ABE">
        <w:rPr>
          <w:rFonts w:ascii="Arial" w:hAnsi="Arial" w:cs="Arial"/>
          <w:b w:val="0"/>
          <w:bCs w:val="0"/>
          <w:lang w:val="sr-Latn-ME"/>
        </w:rPr>
        <w:t>2</w:t>
      </w:r>
      <w:r w:rsidR="00156302" w:rsidRPr="00C86076">
        <w:rPr>
          <w:rFonts w:ascii="Arial" w:hAnsi="Arial" w:cs="Arial"/>
          <w:b w:val="0"/>
          <w:bCs w:val="0"/>
          <w:lang w:val="sr-Latn-ME"/>
        </w:rPr>
        <w:t xml:space="preserve"> </w:t>
      </w:r>
      <w:r w:rsidRPr="00C86076">
        <w:rPr>
          <w:rFonts w:ascii="Arial" w:hAnsi="Arial" w:cs="Arial"/>
          <w:b w:val="0"/>
          <w:bCs w:val="0"/>
          <w:lang w:val="sr-Latn-ME"/>
        </w:rPr>
        <w:t>ovog člana</w:t>
      </w:r>
      <w:r>
        <w:rPr>
          <w:rFonts w:ascii="Arial" w:hAnsi="Arial" w:cs="Arial"/>
          <w:b w:val="0"/>
          <w:bCs w:val="0"/>
          <w:lang w:val="sr-Latn-ME"/>
        </w:rPr>
        <w:t xml:space="preserve"> </w:t>
      </w:r>
      <w:r w:rsidRPr="00C86076">
        <w:rPr>
          <w:rFonts w:ascii="Arial" w:hAnsi="Arial" w:cs="Arial"/>
          <w:b w:val="0"/>
          <w:bCs w:val="0"/>
          <w:lang w:val="sr-Latn-ME"/>
        </w:rPr>
        <w:t>dostupn</w:t>
      </w:r>
      <w:r>
        <w:rPr>
          <w:rFonts w:ascii="Arial" w:hAnsi="Arial" w:cs="Arial"/>
          <w:b w:val="0"/>
          <w:bCs w:val="0"/>
          <w:lang w:val="sr-Latn-ME"/>
        </w:rPr>
        <w:t xml:space="preserve">e </w:t>
      </w:r>
      <w:r w:rsidR="00DE1234">
        <w:rPr>
          <w:rFonts w:ascii="Arial" w:hAnsi="Arial" w:cs="Arial"/>
          <w:b w:val="0"/>
          <w:bCs w:val="0"/>
          <w:lang w:val="sr-Latn-ME"/>
        </w:rPr>
        <w:t xml:space="preserve">na </w:t>
      </w:r>
      <w:r w:rsidRPr="00C86076">
        <w:rPr>
          <w:rFonts w:ascii="Arial" w:hAnsi="Arial" w:cs="Arial"/>
          <w:b w:val="0"/>
          <w:bCs w:val="0"/>
          <w:lang w:val="sr-Latn-ME"/>
        </w:rPr>
        <w:t xml:space="preserve">ESAP-u i da ispunjavaju uslove iz stava </w:t>
      </w:r>
      <w:r w:rsidR="007E6ABE">
        <w:rPr>
          <w:rFonts w:ascii="Arial" w:hAnsi="Arial" w:cs="Arial"/>
          <w:b w:val="0"/>
          <w:bCs w:val="0"/>
          <w:lang w:val="sr-Latn-ME"/>
        </w:rPr>
        <w:t>3</w:t>
      </w:r>
      <w:r w:rsidR="007E6ABE" w:rsidRPr="00C86076">
        <w:rPr>
          <w:rFonts w:ascii="Arial" w:hAnsi="Arial" w:cs="Arial"/>
          <w:b w:val="0"/>
          <w:bCs w:val="0"/>
          <w:lang w:val="sr-Latn-ME"/>
        </w:rPr>
        <w:t xml:space="preserve"> </w:t>
      </w:r>
      <w:r w:rsidRPr="00C86076">
        <w:rPr>
          <w:rFonts w:ascii="Arial" w:hAnsi="Arial" w:cs="Arial"/>
          <w:b w:val="0"/>
          <w:bCs w:val="0"/>
          <w:lang w:val="sr-Latn-ME"/>
        </w:rPr>
        <w:t>ovog člana</w:t>
      </w:r>
      <w:bookmarkEnd w:id="0"/>
      <w:r w:rsidRPr="00C86076">
        <w:rPr>
          <w:rFonts w:ascii="Arial" w:hAnsi="Arial" w:cs="Arial"/>
          <w:b w:val="0"/>
          <w:bCs w:val="0"/>
          <w:lang w:val="sr-Latn-ME"/>
        </w:rPr>
        <w:t>.</w:t>
      </w:r>
      <w:r>
        <w:rPr>
          <w:rFonts w:ascii="Arial" w:hAnsi="Arial" w:cs="Arial"/>
          <w:b w:val="0"/>
          <w:bCs w:val="0"/>
          <w:lang w:val="sr-Latn-ME"/>
        </w:rPr>
        <w:t>“</w:t>
      </w:r>
    </w:p>
    <w:p w14:paraId="0625D277" w14:textId="7407D8FF" w:rsidR="00C86076" w:rsidRDefault="00C86076" w:rsidP="00C86076">
      <w:pPr>
        <w:pStyle w:val="N01X"/>
        <w:ind w:left="-76"/>
        <w:jc w:val="both"/>
        <w:rPr>
          <w:rFonts w:ascii="Arial" w:hAnsi="Arial" w:cs="Arial"/>
          <w:b w:val="0"/>
          <w:bCs w:val="0"/>
          <w:lang w:val="sr-Latn-ME"/>
        </w:rPr>
      </w:pPr>
    </w:p>
    <w:p w14:paraId="6C1CB08F" w14:textId="4C34315E" w:rsidR="00C86076" w:rsidRDefault="00C86076" w:rsidP="00C86076">
      <w:pPr>
        <w:pStyle w:val="N01X"/>
        <w:ind w:left="-76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>Član 2</w:t>
      </w:r>
    </w:p>
    <w:p w14:paraId="0956D066" w14:textId="40554230" w:rsidR="00C86076" w:rsidRDefault="00C86076" w:rsidP="00C86076">
      <w:pPr>
        <w:pStyle w:val="N01X"/>
        <w:ind w:firstLine="720"/>
        <w:jc w:val="left"/>
        <w:rPr>
          <w:rFonts w:ascii="Arial" w:hAnsi="Arial" w:cs="Arial"/>
          <w:b w:val="0"/>
          <w:bCs w:val="0"/>
          <w:lang w:val="sr-Latn-ME"/>
        </w:rPr>
      </w:pPr>
      <w:r>
        <w:rPr>
          <w:rFonts w:ascii="Arial" w:hAnsi="Arial" w:cs="Arial"/>
          <w:b w:val="0"/>
          <w:bCs w:val="0"/>
          <w:lang w:val="sr-Latn-ME"/>
        </w:rPr>
        <w:t>U članu 43 stav 1 poslije riječi: „</w:t>
      </w:r>
      <w:r w:rsidRPr="00C86076">
        <w:rPr>
          <w:rFonts w:ascii="Arial" w:hAnsi="Arial" w:cs="Arial"/>
          <w:b w:val="0"/>
          <w:bCs w:val="0"/>
          <w:lang w:val="sr-Latn-ME"/>
        </w:rPr>
        <w:t>čl. 35, 36 i 37</w:t>
      </w:r>
      <w:r>
        <w:rPr>
          <w:rFonts w:ascii="Arial" w:hAnsi="Arial" w:cs="Arial"/>
          <w:b w:val="0"/>
          <w:bCs w:val="0"/>
          <w:lang w:val="sr-Latn-ME"/>
        </w:rPr>
        <w:t>“ veznik „i“ zamjenjuje se zarezom, a poslije riječi: „</w:t>
      </w:r>
      <w:r w:rsidRPr="00C86076">
        <w:rPr>
          <w:rFonts w:ascii="Arial" w:hAnsi="Arial" w:cs="Arial"/>
          <w:b w:val="0"/>
          <w:bCs w:val="0"/>
          <w:lang w:val="sr-Latn-ME"/>
        </w:rPr>
        <w:t>člana 38 stav 2</w:t>
      </w:r>
      <w:r>
        <w:rPr>
          <w:rFonts w:ascii="Arial" w:hAnsi="Arial" w:cs="Arial"/>
          <w:b w:val="0"/>
          <w:bCs w:val="0"/>
          <w:lang w:val="sr-Latn-ME"/>
        </w:rPr>
        <w:t>“ dodaju se riječi: „i člana 39a“.</w:t>
      </w:r>
    </w:p>
    <w:p w14:paraId="5DC3E071" w14:textId="3E8626CB" w:rsidR="00C86076" w:rsidRDefault="00C86076" w:rsidP="00C86076">
      <w:pPr>
        <w:pStyle w:val="N01X"/>
        <w:ind w:left="-76"/>
        <w:jc w:val="left"/>
        <w:rPr>
          <w:rFonts w:ascii="Arial" w:hAnsi="Arial" w:cs="Arial"/>
          <w:b w:val="0"/>
          <w:bCs w:val="0"/>
          <w:lang w:val="sr-Latn-ME"/>
        </w:rPr>
      </w:pPr>
    </w:p>
    <w:p w14:paraId="3B8B081F" w14:textId="7346E579" w:rsidR="00C86076" w:rsidRDefault="00C86076" w:rsidP="00C86076">
      <w:pPr>
        <w:pStyle w:val="N01X"/>
        <w:ind w:left="-76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Član 3</w:t>
      </w:r>
    </w:p>
    <w:p w14:paraId="01DE398A" w14:textId="1F612BA0" w:rsidR="00C86076" w:rsidRDefault="00C86076" w:rsidP="00C86076">
      <w:pPr>
        <w:pStyle w:val="N01X"/>
        <w:ind w:left="-76"/>
        <w:jc w:val="both"/>
        <w:rPr>
          <w:rFonts w:ascii="Arial" w:hAnsi="Arial" w:cs="Arial"/>
          <w:b w:val="0"/>
          <w:bCs w:val="0"/>
          <w:lang w:val="sr-Latn-ME"/>
        </w:rPr>
      </w:pPr>
      <w:r>
        <w:rPr>
          <w:rFonts w:ascii="Arial" w:hAnsi="Arial" w:cs="Arial"/>
          <w:b w:val="0"/>
          <w:bCs w:val="0"/>
          <w:lang w:val="sr-Latn-ME"/>
        </w:rPr>
        <w:tab/>
      </w:r>
      <w:r>
        <w:rPr>
          <w:rFonts w:ascii="Arial" w:hAnsi="Arial" w:cs="Arial"/>
          <w:b w:val="0"/>
          <w:bCs w:val="0"/>
          <w:lang w:val="sr-Latn-ME"/>
        </w:rPr>
        <w:tab/>
      </w:r>
      <w:r w:rsidRPr="00C86076">
        <w:rPr>
          <w:rFonts w:ascii="Arial" w:hAnsi="Arial" w:cs="Arial"/>
          <w:b w:val="0"/>
          <w:bCs w:val="0"/>
          <w:lang w:val="sr-Latn-ME"/>
        </w:rPr>
        <w:t>Ovaj zakon stupa na snagu osmog dana od dana objavljivanja u "Službenom listu Crne Gore".</w:t>
      </w:r>
    </w:p>
    <w:p w14:paraId="6DD34EC5" w14:textId="5E81DDDD" w:rsidR="00C21CAF" w:rsidRDefault="00C21CAF" w:rsidP="00C86076">
      <w:pPr>
        <w:pStyle w:val="N01X"/>
        <w:ind w:left="-76"/>
        <w:jc w:val="both"/>
        <w:rPr>
          <w:rFonts w:ascii="Arial" w:hAnsi="Arial" w:cs="Arial"/>
          <w:b w:val="0"/>
          <w:bCs w:val="0"/>
          <w:lang w:val="sr-Latn-ME"/>
        </w:rPr>
      </w:pPr>
    </w:p>
    <w:p w14:paraId="3FE511E7" w14:textId="77777777" w:rsidR="00C21CAF" w:rsidRPr="00C21CAF" w:rsidRDefault="00C21CAF" w:rsidP="00C21CAF">
      <w:pPr>
        <w:pStyle w:val="N01X"/>
        <w:ind w:left="-76"/>
        <w:jc w:val="both"/>
        <w:rPr>
          <w:rFonts w:ascii="Arial" w:hAnsi="Arial" w:cs="Arial"/>
          <w:b w:val="0"/>
          <w:bCs w:val="0"/>
          <w:lang w:val="sr-Latn-ME"/>
        </w:rPr>
      </w:pPr>
      <w:r w:rsidRPr="00C21CAF">
        <w:rPr>
          <w:rFonts w:ascii="Arial" w:hAnsi="Arial" w:cs="Arial"/>
          <w:b w:val="0"/>
          <w:bCs w:val="0"/>
          <w:lang w:val="sr-Latn-ME"/>
        </w:rPr>
        <w:t>___________________________</w:t>
      </w:r>
    </w:p>
    <w:p w14:paraId="372962B1" w14:textId="70D5D2F6" w:rsidR="00C21CAF" w:rsidRPr="00BB355A" w:rsidRDefault="00C21CAF" w:rsidP="00C21CAF">
      <w:pPr>
        <w:pStyle w:val="N01X"/>
        <w:ind w:left="-76"/>
        <w:jc w:val="both"/>
        <w:rPr>
          <w:rFonts w:ascii="Arial" w:hAnsi="Arial" w:cs="Arial"/>
          <w:b w:val="0"/>
          <w:bCs w:val="0"/>
          <w:sz w:val="22"/>
          <w:szCs w:val="22"/>
          <w:lang w:val="sr-Latn-ME"/>
        </w:rPr>
      </w:pPr>
      <w:r w:rsidRPr="00BB355A">
        <w:rPr>
          <w:rFonts w:ascii="Cambria Math" w:hAnsi="Cambria Math" w:cs="Cambria Math"/>
          <w:b w:val="0"/>
          <w:bCs w:val="0"/>
          <w:sz w:val="22"/>
          <w:szCs w:val="22"/>
          <w:lang w:val="sr-Latn-ME"/>
        </w:rPr>
        <w:t xml:space="preserve">∗ </w:t>
      </w:r>
      <w:r w:rsidRPr="00BB355A">
        <w:rPr>
          <w:rFonts w:ascii="Arial" w:hAnsi="Arial" w:cs="Arial"/>
          <w:b w:val="0"/>
          <w:bCs w:val="0"/>
          <w:sz w:val="22"/>
          <w:szCs w:val="22"/>
          <w:lang w:val="sr-Latn-ME"/>
        </w:rPr>
        <w:t>U ovaj zakon prenijete su odredbe DIREKTIVE (EU) 2023/2864 Evropskog parlamenta i Savjeta od 13. decembra 2023. o izmjeni određenih direktiva u pogledu uspostavljanja i funkcionisanja Jedinstvene evropske pristupne tačke</w:t>
      </w:r>
    </w:p>
    <w:p w14:paraId="08D8CD37" w14:textId="39D43802" w:rsidR="00C21CAF" w:rsidRPr="00DE1234" w:rsidRDefault="00C21CAF">
      <w:pPr>
        <w:rPr>
          <w:lang w:val="sr-Latn-ME"/>
        </w:rPr>
      </w:pPr>
      <w:r>
        <w:br w:type="page"/>
      </w:r>
    </w:p>
    <w:p w14:paraId="73CEC7B1" w14:textId="77777777" w:rsidR="00C21CAF" w:rsidRPr="00C21CAF" w:rsidRDefault="00C21CAF" w:rsidP="00C21C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C21CAF">
        <w:rPr>
          <w:rFonts w:ascii="Arial" w:eastAsia="Times New Roman" w:hAnsi="Arial" w:cs="Arial"/>
          <w:b/>
          <w:sz w:val="24"/>
          <w:szCs w:val="24"/>
          <w:lang w:val="sr-Latn-ME"/>
        </w:rPr>
        <w:lastRenderedPageBreak/>
        <w:t>OBRAZLOŽENJE</w:t>
      </w:r>
    </w:p>
    <w:p w14:paraId="5ECFC810" w14:textId="77777777" w:rsidR="00C21CAF" w:rsidRPr="00C21CAF" w:rsidRDefault="00C21CAF" w:rsidP="00C21C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643AE3E7" w14:textId="77777777" w:rsidR="00C21CAF" w:rsidRPr="00C21CAF" w:rsidRDefault="00C21CAF" w:rsidP="00C21C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424609CE" w14:textId="77777777" w:rsidR="00C21CAF" w:rsidRPr="00C21CAF" w:rsidRDefault="00C21CAF" w:rsidP="00C21C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C21CAF">
        <w:rPr>
          <w:rFonts w:ascii="Arial" w:eastAsia="Times New Roman" w:hAnsi="Arial" w:cs="Arial"/>
          <w:b/>
          <w:sz w:val="24"/>
          <w:szCs w:val="24"/>
          <w:lang w:val="sr-Latn-ME"/>
        </w:rPr>
        <w:t>I. Ustavni osnov za donošenje zakona</w:t>
      </w:r>
    </w:p>
    <w:p w14:paraId="13F30B77" w14:textId="77777777" w:rsidR="00C21CAF" w:rsidRPr="00C21CAF" w:rsidRDefault="00C21CAF" w:rsidP="00C21C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6E0B8FB9" w14:textId="24D2959F" w:rsidR="00C21CAF" w:rsidRPr="00C21CAF" w:rsidRDefault="00C21CAF" w:rsidP="00C21C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C21CAF">
        <w:rPr>
          <w:rFonts w:ascii="Arial" w:eastAsia="Times New Roman" w:hAnsi="Arial" w:cs="Arial"/>
          <w:sz w:val="24"/>
          <w:szCs w:val="24"/>
          <w:lang w:val="sr-Latn-ME"/>
        </w:rPr>
        <w:tab/>
        <w:t>Ustavni osnov za donošenje Zakona o izmjen</w:t>
      </w:r>
      <w:r>
        <w:rPr>
          <w:rFonts w:ascii="Arial" w:eastAsia="Times New Roman" w:hAnsi="Arial" w:cs="Arial"/>
          <w:sz w:val="24"/>
          <w:szCs w:val="24"/>
          <w:lang w:val="sr-Latn-ME"/>
        </w:rPr>
        <w:t>i</w:t>
      </w:r>
      <w:r w:rsidRPr="00C21CAF">
        <w:rPr>
          <w:rFonts w:ascii="Arial" w:eastAsia="Times New Roman" w:hAnsi="Arial" w:cs="Arial"/>
          <w:sz w:val="24"/>
          <w:szCs w:val="24"/>
          <w:lang w:val="sr-Latn-ME"/>
        </w:rPr>
        <w:t xml:space="preserve"> i dopun</w:t>
      </w:r>
      <w:r>
        <w:rPr>
          <w:rFonts w:ascii="Arial" w:eastAsia="Times New Roman" w:hAnsi="Arial" w:cs="Arial"/>
          <w:sz w:val="24"/>
          <w:szCs w:val="24"/>
          <w:lang w:val="sr-Latn-ME"/>
        </w:rPr>
        <w:t>i</w:t>
      </w:r>
      <w:r w:rsidRPr="00C21CAF">
        <w:rPr>
          <w:rFonts w:ascii="Arial" w:eastAsia="Times New Roman" w:hAnsi="Arial" w:cs="Arial"/>
          <w:sz w:val="24"/>
          <w:szCs w:val="24"/>
          <w:lang w:val="sr-Latn-ME"/>
        </w:rPr>
        <w:t xml:space="preserve"> Zakona o </w:t>
      </w:r>
      <w:r>
        <w:rPr>
          <w:rFonts w:ascii="Arial" w:eastAsia="Times New Roman" w:hAnsi="Arial" w:cs="Arial"/>
          <w:sz w:val="24"/>
          <w:szCs w:val="24"/>
          <w:lang w:val="sr-Latn-ME"/>
        </w:rPr>
        <w:t>finansijskim konglomeratima</w:t>
      </w:r>
      <w:r w:rsidRPr="00C21CAF">
        <w:rPr>
          <w:rFonts w:ascii="Arial" w:eastAsia="Times New Roman" w:hAnsi="Arial" w:cs="Arial"/>
          <w:sz w:val="24"/>
          <w:szCs w:val="24"/>
          <w:lang w:val="sr-Latn-ME"/>
        </w:rPr>
        <w:t xml:space="preserve"> sadržan je u odredbama člana 16 tačka 5 Ustava Crne Gore, kojim je propisano da se zakonom, u skladu sa Ustavom, uređuju druga pitanja od interesa za Crnu Goru.  </w:t>
      </w:r>
    </w:p>
    <w:p w14:paraId="4C958E96" w14:textId="77777777" w:rsidR="00C21CAF" w:rsidRPr="00C21CAF" w:rsidRDefault="00C21CAF" w:rsidP="00C21C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208BFD5E" w14:textId="77777777" w:rsidR="00C21CAF" w:rsidRPr="00C21CAF" w:rsidRDefault="00C21CAF" w:rsidP="00C21C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3583AFB4" w14:textId="77777777" w:rsidR="00C21CAF" w:rsidRPr="00C21CAF" w:rsidRDefault="00C21CAF" w:rsidP="00C21C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C21CAF">
        <w:rPr>
          <w:rFonts w:ascii="Arial" w:eastAsia="Times New Roman" w:hAnsi="Arial" w:cs="Arial"/>
          <w:b/>
          <w:sz w:val="24"/>
          <w:szCs w:val="24"/>
          <w:lang w:val="sr-Latn-ME"/>
        </w:rPr>
        <w:t>II. Razlozi za donošenje zakona</w:t>
      </w:r>
    </w:p>
    <w:p w14:paraId="1D75652B" w14:textId="3DC2BDD1" w:rsidR="00D56AC2" w:rsidRPr="00C21CAF" w:rsidRDefault="00D56AC2">
      <w:pPr>
        <w:rPr>
          <w:rFonts w:ascii="Arial" w:eastAsia="Times New Roman" w:hAnsi="Arial" w:cs="Arial"/>
          <w:sz w:val="24"/>
          <w:szCs w:val="24"/>
          <w:lang w:val="sr-Latn-ME"/>
        </w:rPr>
      </w:pPr>
    </w:p>
    <w:p w14:paraId="6D270E21" w14:textId="77777777" w:rsidR="00281B13" w:rsidRDefault="00C21CAF" w:rsidP="00C21CAF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C21CAF">
        <w:rPr>
          <w:rFonts w:ascii="Arial" w:eastAsia="Times New Roman" w:hAnsi="Arial" w:cs="Arial"/>
          <w:sz w:val="24"/>
          <w:szCs w:val="24"/>
          <w:lang w:val="sr-Latn-ME"/>
        </w:rPr>
        <w:tab/>
        <w:t>Zakon o finansijskim konglomeratima (</w:t>
      </w:r>
      <w:r>
        <w:rPr>
          <w:rFonts w:ascii="Arial" w:eastAsia="Times New Roman" w:hAnsi="Arial" w:cs="Arial"/>
          <w:sz w:val="24"/>
          <w:szCs w:val="24"/>
          <w:lang w:val="sr-Latn-ME"/>
        </w:rPr>
        <w:t>„Službeni list CG“, broj 24/25</w:t>
      </w:r>
      <w:r w:rsidRPr="00C21CAF">
        <w:rPr>
          <w:rFonts w:ascii="Arial" w:eastAsia="Times New Roman" w:hAnsi="Arial" w:cs="Arial"/>
          <w:sz w:val="24"/>
          <w:szCs w:val="24"/>
          <w:lang w:val="sr-Latn-ME"/>
        </w:rPr>
        <w:t>)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– u daljem tekstu: Zakon, u </w:t>
      </w:r>
      <w:r w:rsidR="00281B13">
        <w:rPr>
          <w:rFonts w:ascii="Arial" w:eastAsia="Times New Roman" w:hAnsi="Arial" w:cs="Arial"/>
          <w:sz w:val="24"/>
          <w:szCs w:val="24"/>
          <w:lang w:val="sr-Latn-ME"/>
        </w:rPr>
        <w:t>najvećoj mjeri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je usklađen sa trenutno važećom pravnom tekovinom Evropske unije</w:t>
      </w:r>
      <w:r w:rsidR="00281B13">
        <w:rPr>
          <w:rFonts w:ascii="Arial" w:eastAsia="Times New Roman" w:hAnsi="Arial" w:cs="Arial"/>
          <w:sz w:val="24"/>
          <w:szCs w:val="24"/>
          <w:lang w:val="sr-Latn-ME"/>
        </w:rPr>
        <w:t xml:space="preserve">. </w:t>
      </w:r>
    </w:p>
    <w:p w14:paraId="72F8D895" w14:textId="31FE8FCB" w:rsidR="00C21CAF" w:rsidRDefault="00281B13" w:rsidP="00281B13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Izmjena i dopuna koje se predlažu Nacrtom zakona o izmjeni i dopuni </w:t>
      </w:r>
      <w:r w:rsidRPr="00C21CAF">
        <w:rPr>
          <w:rFonts w:ascii="Arial" w:eastAsia="Times New Roman" w:hAnsi="Arial" w:cs="Arial"/>
          <w:sz w:val="24"/>
          <w:szCs w:val="24"/>
          <w:lang w:val="sr-Latn-ME"/>
        </w:rPr>
        <w:t>Zakon</w:t>
      </w:r>
      <w:r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Pr="00C21CAF">
        <w:rPr>
          <w:rFonts w:ascii="Arial" w:eastAsia="Times New Roman" w:hAnsi="Arial" w:cs="Arial"/>
          <w:sz w:val="24"/>
          <w:szCs w:val="24"/>
          <w:lang w:val="sr-Latn-ME"/>
        </w:rPr>
        <w:t xml:space="preserve"> o finansijskim konglomeratima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(u daljem tekstu: Nacrt zakona) prvenstveno se odnose na usklađivanje sa Direktivom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(EU) 2023/2864 Evropskog parlamenta i Savjeta od 13. decembra 2023. o izmjeni određenih direktiva u pogledu uspostavljanja i funkcionisanja Jedinstvene evropske pristupne tačke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, i to u dijelu kojim se mijenja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Direktiva 2002/87/EZ Evropskog parlamenta i Savjeta od 16. decembra 2002. godine o dodatnoj superviziji kreditnih institucija, osiguravajućih društava i investicionih društava u finansijskom konglomeratu</w:t>
      </w:r>
      <w:r>
        <w:rPr>
          <w:rFonts w:ascii="Arial" w:eastAsia="Times New Roman" w:hAnsi="Arial" w:cs="Arial"/>
          <w:sz w:val="24"/>
          <w:szCs w:val="24"/>
          <w:lang w:val="sr-Latn-ME"/>
        </w:rPr>
        <w:t>.</w:t>
      </w:r>
    </w:p>
    <w:p w14:paraId="385F1136" w14:textId="3620D10A" w:rsidR="00281B13" w:rsidRPr="00281B13" w:rsidRDefault="00281B13" w:rsidP="00281B13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281B13">
        <w:rPr>
          <w:rFonts w:ascii="Arial" w:eastAsia="Times New Roman" w:hAnsi="Arial" w:cs="Arial"/>
          <w:sz w:val="24"/>
          <w:szCs w:val="24"/>
          <w:lang w:val="sr-Latn-ME"/>
        </w:rPr>
        <w:t>Direktiva (EU) 2023/2864</w:t>
      </w:r>
      <w:r>
        <w:rPr>
          <w:rFonts w:ascii="Arial" w:eastAsia="Times New Roman" w:hAnsi="Arial" w:cs="Arial"/>
          <w:sz w:val="24"/>
          <w:szCs w:val="24"/>
          <w:lang w:val="sr-Latn-ME"/>
        </w:rPr>
        <w:t>, zajedno sa Regulativom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(EU) 2023/2859 Evropskog parlamenta i Savjeta od 13. decembra 2023. godine o uspostav</w:t>
      </w:r>
      <w:r>
        <w:rPr>
          <w:rFonts w:ascii="Arial" w:eastAsia="Times New Roman" w:hAnsi="Arial" w:cs="Arial"/>
          <w:sz w:val="24"/>
          <w:szCs w:val="24"/>
          <w:lang w:val="sr-Latn-ME"/>
        </w:rPr>
        <w:t>ljanju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ME"/>
        </w:rPr>
        <w:t>J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edinstvene evropske pristupne tačke za centralizovan pristup javno dostupnim informacijama relevantnim za finansijske usluge, tržišta kapitala i održivost</w:t>
      </w:r>
      <w:r>
        <w:rPr>
          <w:rFonts w:ascii="Arial" w:eastAsia="Times New Roman" w:hAnsi="Arial" w:cs="Arial"/>
          <w:sz w:val="24"/>
          <w:szCs w:val="24"/>
          <w:lang w:val="sr-Latn-ME"/>
        </w:rPr>
        <w:t>,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predstavljaju zakonodavni paket od velikog značaja za tržište kapitala Evropske unije, održivo finansiranje i razvoj digitalnih finansija.</w:t>
      </w:r>
    </w:p>
    <w:p w14:paraId="2D808DE3" w14:textId="483CD5C4" w:rsidR="00281B13" w:rsidRPr="00281B13" w:rsidRDefault="00281B13" w:rsidP="00281B13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Informacije o finansijskim uslugama, tržištima kapitala i održivosti trenutno 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nijesu centralizovano dostupne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u EU, pa 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su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investitori </w:t>
      </w:r>
      <w:r>
        <w:rPr>
          <w:rFonts w:ascii="Arial" w:eastAsia="Times New Roman" w:hAnsi="Arial" w:cs="Arial"/>
          <w:sz w:val="24"/>
          <w:szCs w:val="24"/>
          <w:lang w:val="sr-Latn-ME"/>
        </w:rPr>
        <w:t>pri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mora</w:t>
      </w:r>
      <w:r>
        <w:rPr>
          <w:rFonts w:ascii="Arial" w:eastAsia="Times New Roman" w:hAnsi="Arial" w:cs="Arial"/>
          <w:sz w:val="24"/>
          <w:szCs w:val="24"/>
          <w:lang w:val="sr-Latn-ME"/>
        </w:rPr>
        <w:t>ni da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pretraž</w:t>
      </w:r>
      <w:r>
        <w:rPr>
          <w:rFonts w:ascii="Arial" w:eastAsia="Times New Roman" w:hAnsi="Arial" w:cs="Arial"/>
          <w:sz w:val="24"/>
          <w:szCs w:val="24"/>
          <w:lang w:val="sr-Latn-ME"/>
        </w:rPr>
        <w:t>uju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više izvora, što značajno otežava pristup informacijama i povećava troškove.</w:t>
      </w:r>
    </w:p>
    <w:p w14:paraId="41830664" w14:textId="303129BB" w:rsidR="00281B13" w:rsidRPr="00281B13" w:rsidRDefault="00281B13" w:rsidP="00281B13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281B13">
        <w:rPr>
          <w:rFonts w:ascii="Arial" w:eastAsia="Times New Roman" w:hAnsi="Arial" w:cs="Arial"/>
          <w:sz w:val="24"/>
          <w:szCs w:val="24"/>
          <w:lang w:val="sr-Latn-ME"/>
        </w:rPr>
        <w:t>Cilj uspostav</w:t>
      </w:r>
      <w:r>
        <w:rPr>
          <w:rFonts w:ascii="Arial" w:eastAsia="Times New Roman" w:hAnsi="Arial" w:cs="Arial"/>
          <w:sz w:val="24"/>
          <w:szCs w:val="24"/>
          <w:lang w:val="sr-Latn-ME"/>
        </w:rPr>
        <w:t>ljanja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7F47FD">
        <w:rPr>
          <w:rFonts w:ascii="Arial" w:eastAsia="Times New Roman" w:hAnsi="Arial" w:cs="Arial"/>
          <w:sz w:val="24"/>
          <w:szCs w:val="24"/>
          <w:lang w:val="sr-Latn-ME"/>
        </w:rPr>
        <w:t>J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edinstvene evropske pristupne tačke (ESAP) je da se tržišta kapitala EU učine atraktivnijim omogućavajući centralizovan pristup informacijama potrebnim za donošenje informisanih investicionih odluka. Informacije će </w:t>
      </w:r>
      <w:r w:rsidR="007F47FD">
        <w:rPr>
          <w:rFonts w:ascii="Arial" w:eastAsia="Times New Roman" w:hAnsi="Arial" w:cs="Arial"/>
          <w:sz w:val="24"/>
          <w:szCs w:val="24"/>
          <w:lang w:val="sr-Latn-ME"/>
        </w:rPr>
        <w:t xml:space="preserve">od januara 2030. godine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biti dostupne na jednom mjestu, uz jednostavno i besplatno korišćenje, što povećava vidljivost evropskih društava i njihovih finansijskih proizvoda unutar globalne investicione zajednice.</w:t>
      </w:r>
    </w:p>
    <w:p w14:paraId="5A99121A" w14:textId="77777777" w:rsidR="00281B13" w:rsidRPr="00281B13" w:rsidRDefault="00281B13" w:rsidP="00281B13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F4F2E27" w14:textId="2A1FE676" w:rsidR="00281B13" w:rsidRPr="00281B13" w:rsidRDefault="007F47FD" w:rsidP="007F47FD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lastRenderedPageBreak/>
        <w:t xml:space="preserve">U suštini,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ESAP </w:t>
      </w:r>
      <w:r>
        <w:rPr>
          <w:rFonts w:ascii="Arial" w:eastAsia="Times New Roman" w:hAnsi="Arial" w:cs="Arial"/>
          <w:sz w:val="24"/>
          <w:szCs w:val="24"/>
          <w:lang w:val="sr-Latn-ME"/>
        </w:rPr>
        <w:t>je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baz</w:t>
      </w:r>
      <w:r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za centralizovano prikupljanje, pretraživanje i korišćenje finansijskih i nefinansijskih podataka, uključujući podatke o održivosti, koji su već javno dostupni na osnovu drugih propisa EU.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Države članice EU dužne su da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zakonski omoguć</w:t>
      </w:r>
      <w:r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prikupljanje i dostavljanje podataka u standardizovanom formatu</w:t>
      </w:r>
      <w:r>
        <w:rPr>
          <w:rFonts w:ascii="Arial" w:eastAsia="Times New Roman" w:hAnsi="Arial" w:cs="Arial"/>
          <w:sz w:val="24"/>
          <w:szCs w:val="24"/>
          <w:lang w:val="sr-Latn-ME"/>
        </w:rPr>
        <w:t>, kao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da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>imen</w:t>
      </w:r>
      <w:r>
        <w:rPr>
          <w:rFonts w:ascii="Arial" w:eastAsia="Times New Roman" w:hAnsi="Arial" w:cs="Arial"/>
          <w:sz w:val="24"/>
          <w:szCs w:val="24"/>
          <w:lang w:val="sr-Latn-ME"/>
        </w:rPr>
        <w:t>uju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nadležno tijelo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(ili nadležna tijela)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za prikupljanje informacija, koje će biti odgovorno za njihovo prikupljanje i prosljeđivanje u ESAP.</w:t>
      </w:r>
      <w:r w:rsidR="00B92BE5" w:rsidRPr="00B92BE5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B92BE5" w:rsidRPr="00281B13">
        <w:rPr>
          <w:rFonts w:ascii="Arial" w:eastAsia="Times New Roman" w:hAnsi="Arial" w:cs="Arial"/>
          <w:sz w:val="24"/>
          <w:szCs w:val="24"/>
          <w:lang w:val="sr-Latn-ME"/>
        </w:rPr>
        <w:t>Na ovaj način se o</w:t>
      </w:r>
      <w:r w:rsidR="00B92BE5">
        <w:rPr>
          <w:rFonts w:ascii="Arial" w:eastAsia="Times New Roman" w:hAnsi="Arial" w:cs="Arial"/>
          <w:sz w:val="24"/>
          <w:szCs w:val="24"/>
          <w:lang w:val="sr-Latn-ME"/>
        </w:rPr>
        <w:t>bezbjeđuje</w:t>
      </w:r>
      <w:r w:rsidR="00B92BE5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ujednačen</w:t>
      </w:r>
      <w:r w:rsidR="00B92BE5">
        <w:rPr>
          <w:rFonts w:ascii="Arial" w:eastAsia="Times New Roman" w:hAnsi="Arial" w:cs="Arial"/>
          <w:sz w:val="24"/>
          <w:szCs w:val="24"/>
          <w:lang w:val="sr-Latn-ME"/>
        </w:rPr>
        <w:t>ost</w:t>
      </w:r>
      <w:r w:rsidR="00B92BE5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i </w:t>
      </w:r>
      <w:r w:rsidR="00B92BE5">
        <w:rPr>
          <w:rFonts w:ascii="Arial" w:eastAsia="Times New Roman" w:hAnsi="Arial" w:cs="Arial"/>
          <w:sz w:val="24"/>
          <w:szCs w:val="24"/>
          <w:lang w:val="sr-Latn-ME"/>
        </w:rPr>
        <w:t>u</w:t>
      </w:r>
      <w:r w:rsidR="00B92BE5" w:rsidRPr="00281B13">
        <w:rPr>
          <w:rFonts w:ascii="Arial" w:eastAsia="Times New Roman" w:hAnsi="Arial" w:cs="Arial"/>
          <w:sz w:val="24"/>
          <w:szCs w:val="24"/>
          <w:lang w:val="sr-Latn-ME"/>
        </w:rPr>
        <w:t>porediv</w:t>
      </w:r>
      <w:r w:rsidR="00B92BE5">
        <w:rPr>
          <w:rFonts w:ascii="Arial" w:eastAsia="Times New Roman" w:hAnsi="Arial" w:cs="Arial"/>
          <w:sz w:val="24"/>
          <w:szCs w:val="24"/>
          <w:lang w:val="sr-Latn-ME"/>
        </w:rPr>
        <w:t>ost</w:t>
      </w:r>
      <w:r w:rsidR="00B92BE5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dostav</w:t>
      </w:r>
      <w:r w:rsidR="00B92BE5">
        <w:rPr>
          <w:rFonts w:ascii="Arial" w:eastAsia="Times New Roman" w:hAnsi="Arial" w:cs="Arial"/>
          <w:sz w:val="24"/>
          <w:szCs w:val="24"/>
          <w:lang w:val="sr-Latn-ME"/>
        </w:rPr>
        <w:t>ljenih</w:t>
      </w:r>
      <w:r w:rsidR="00B92BE5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podataka.</w:t>
      </w:r>
    </w:p>
    <w:p w14:paraId="769B1869" w14:textId="3B2CAEE1" w:rsidR="00281B13" w:rsidRPr="00281B13" w:rsidRDefault="00281B13" w:rsidP="00281B13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Predloženim </w:t>
      </w:r>
      <w:r w:rsidR="007F47FD">
        <w:rPr>
          <w:rFonts w:ascii="Arial" w:eastAsia="Times New Roman" w:hAnsi="Arial" w:cs="Arial"/>
          <w:sz w:val="24"/>
          <w:szCs w:val="24"/>
          <w:lang w:val="sr-Latn-ME"/>
        </w:rPr>
        <w:t>Nacrtom zakona</w:t>
      </w:r>
      <w:r w:rsidR="00B92BE5">
        <w:rPr>
          <w:rFonts w:ascii="Arial" w:eastAsia="Times New Roman" w:hAnsi="Arial" w:cs="Arial"/>
          <w:sz w:val="24"/>
          <w:szCs w:val="24"/>
          <w:lang w:val="sr-Latn-ME"/>
        </w:rPr>
        <w:t xml:space="preserve"> se, u cilju potpunog usklađivanja sa Direktivom (EU) 2023/2864, a kao preduslov za zatvaranje Pregovaračkog poglavlja 9</w:t>
      </w:r>
      <w:r w:rsidR="00B92BE5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,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definišu ključni standardi </w:t>
      </w:r>
      <w:r w:rsidR="007F47FD">
        <w:rPr>
          <w:rFonts w:ascii="Arial" w:eastAsia="Times New Roman" w:hAnsi="Arial" w:cs="Arial"/>
          <w:sz w:val="24"/>
          <w:szCs w:val="24"/>
          <w:lang w:val="sr-Latn-ME"/>
        </w:rPr>
        <w:t xml:space="preserve">za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dostav</w:t>
      </w:r>
      <w:r w:rsidR="007F47FD">
        <w:rPr>
          <w:rFonts w:ascii="Arial" w:eastAsia="Times New Roman" w:hAnsi="Arial" w:cs="Arial"/>
          <w:sz w:val="24"/>
          <w:szCs w:val="24"/>
          <w:lang w:val="sr-Latn-ME"/>
        </w:rPr>
        <w:t>ljanje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7F47FD">
        <w:rPr>
          <w:rFonts w:ascii="Arial" w:eastAsia="Times New Roman" w:hAnsi="Arial" w:cs="Arial"/>
          <w:sz w:val="24"/>
          <w:szCs w:val="24"/>
          <w:lang w:val="sr-Latn-ME"/>
        </w:rPr>
        <w:t>informacija ESAP-u</w:t>
      </w:r>
      <w:r w:rsidR="00B92BE5">
        <w:rPr>
          <w:rFonts w:ascii="Arial" w:eastAsia="Times New Roman" w:hAnsi="Arial" w:cs="Arial"/>
          <w:sz w:val="24"/>
          <w:szCs w:val="24"/>
          <w:lang w:val="sr-Latn-ME"/>
        </w:rPr>
        <w:t xml:space="preserve"> u oblasti poslovanja finansijskih konglomerata u Crnoj Gori.</w:t>
      </w:r>
    </w:p>
    <w:p w14:paraId="2D51CE01" w14:textId="77777777" w:rsidR="005F5B2D" w:rsidRDefault="005F5B2D" w:rsidP="005F5B2D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14:paraId="1FA8244E" w14:textId="0CDA49E7" w:rsidR="005F5B2D" w:rsidRPr="005F5B2D" w:rsidRDefault="005F5B2D" w:rsidP="005F5B2D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5F5B2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III. Usaglašenost sa pravnom tekovinom Evropske Unije i potvrđenim međunarodnim konvencijama</w:t>
      </w:r>
    </w:p>
    <w:p w14:paraId="20166533" w14:textId="268EF486" w:rsidR="005F5B2D" w:rsidRDefault="005F5B2D" w:rsidP="005F5B2D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5F5B2D">
        <w:rPr>
          <w:rFonts w:ascii="Arial" w:eastAsia="Times New Roman" w:hAnsi="Arial" w:cs="Arial"/>
          <w:sz w:val="24"/>
          <w:szCs w:val="24"/>
          <w:lang w:val="sr-Latn-ME"/>
        </w:rPr>
        <w:t>Predloženim zakonom izvršeno je potpuno usklađivanje sa</w:t>
      </w:r>
      <w:r w:rsidRPr="005F5B2D">
        <w:t xml:space="preserve"> </w:t>
      </w:r>
      <w:r w:rsidRPr="005F5B2D">
        <w:rPr>
          <w:rFonts w:ascii="Arial" w:eastAsia="Times New Roman" w:hAnsi="Arial" w:cs="Arial"/>
          <w:sz w:val="24"/>
          <w:szCs w:val="24"/>
          <w:lang w:val="sr-Latn-ME"/>
        </w:rPr>
        <w:t>D</w:t>
      </w:r>
      <w:r>
        <w:rPr>
          <w:rFonts w:ascii="Arial" w:eastAsia="Times New Roman" w:hAnsi="Arial" w:cs="Arial"/>
          <w:sz w:val="24"/>
          <w:szCs w:val="24"/>
          <w:lang w:val="sr-Latn-ME"/>
        </w:rPr>
        <w:t>irektivom</w:t>
      </w:r>
      <w:r w:rsidRPr="005F5B2D">
        <w:rPr>
          <w:rFonts w:ascii="Arial" w:eastAsia="Times New Roman" w:hAnsi="Arial" w:cs="Arial"/>
          <w:sz w:val="24"/>
          <w:szCs w:val="24"/>
          <w:lang w:val="sr-Latn-ME"/>
        </w:rPr>
        <w:t xml:space="preserve"> (EU) 2023/2864 Evropskog parlamenta i Savjeta od 13. decembra 2023. o izmjeni određenih direktiva u pogledu uspostavljanja i funkcionisanja Jedinstvene evropske pristupne tačke</w:t>
      </w:r>
      <w:r>
        <w:rPr>
          <w:rFonts w:ascii="Arial" w:eastAsia="Times New Roman" w:hAnsi="Arial" w:cs="Arial"/>
          <w:sz w:val="24"/>
          <w:szCs w:val="24"/>
          <w:lang w:val="sr-Latn-ME"/>
        </w:rPr>
        <w:t>.</w:t>
      </w:r>
    </w:p>
    <w:p w14:paraId="55477A2B" w14:textId="32269405" w:rsidR="005F5B2D" w:rsidRDefault="005F5B2D" w:rsidP="005F5B2D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828888E" w14:textId="77777777" w:rsidR="005F5B2D" w:rsidRPr="005F5B2D" w:rsidRDefault="005F5B2D" w:rsidP="005F5B2D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5F5B2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IV. Objašnjenje osnovnih pravnih instituta</w:t>
      </w:r>
    </w:p>
    <w:p w14:paraId="247B1CD7" w14:textId="291613ED" w:rsidR="005F5B2D" w:rsidRDefault="005F5B2D" w:rsidP="005F5B2D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5F5B2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Članom 1 Nacrta zakona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se poslije člana 39 Zakona dodaje novi član 39a kojim se kao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>imenov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ano tijelo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za prikupljanje i prosljeđivanje </w:t>
      </w:r>
      <w:r w:rsidR="007F47FD" w:rsidRPr="00281B13">
        <w:rPr>
          <w:rFonts w:ascii="Arial" w:eastAsia="Times New Roman" w:hAnsi="Arial" w:cs="Arial"/>
          <w:sz w:val="24"/>
          <w:szCs w:val="24"/>
          <w:lang w:val="sr-Latn-ME"/>
        </w:rPr>
        <w:t>informacija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ESAP-u utvrđuje koordinator, odnosno </w:t>
      </w:r>
      <w:r w:rsidRPr="005F5B2D">
        <w:rPr>
          <w:rFonts w:ascii="Arial" w:eastAsia="Times New Roman" w:hAnsi="Arial" w:cs="Arial"/>
          <w:sz w:val="24"/>
          <w:szCs w:val="24"/>
          <w:lang w:val="sr-Latn-ME"/>
        </w:rPr>
        <w:t>mjerodavni nadležni organ nadležan za sprovođenje dodatne supervizije, odnosno nadzora nad regulisanim subjektima u finansijskom konglomeratu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. </w:t>
      </w:r>
    </w:p>
    <w:p w14:paraId="70DB94B4" w14:textId="77777777" w:rsidR="00A04990" w:rsidRDefault="00281B13" w:rsidP="005F5B2D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281B13">
        <w:rPr>
          <w:rFonts w:ascii="Arial" w:eastAsia="Times New Roman" w:hAnsi="Arial" w:cs="Arial"/>
          <w:sz w:val="24"/>
          <w:szCs w:val="24"/>
          <w:lang w:val="sr-Latn-ME"/>
        </w:rPr>
        <w:t>Reguli</w:t>
      </w:r>
      <w:r w:rsidR="007F47FD">
        <w:rPr>
          <w:rFonts w:ascii="Arial" w:eastAsia="Times New Roman" w:hAnsi="Arial" w:cs="Arial"/>
          <w:sz w:val="24"/>
          <w:szCs w:val="24"/>
          <w:lang w:val="sr-Latn-ME"/>
        </w:rPr>
        <w:t>s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ani subjekti s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obavez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uju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, kada javno objavljuju određene informacije, istovremeno </w:t>
      </w:r>
      <w:r w:rsidR="007F47FD">
        <w:rPr>
          <w:rFonts w:ascii="Arial" w:eastAsia="Times New Roman" w:hAnsi="Arial" w:cs="Arial"/>
          <w:sz w:val="24"/>
          <w:szCs w:val="24"/>
          <w:lang w:val="sr-Latn-ME"/>
        </w:rPr>
        <w:t xml:space="preserve">da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ih dostav</w:t>
      </w:r>
      <w:r w:rsidR="00B92BE5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koordinatoru,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koj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i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je duž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>n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 xml:space="preserve"> da te informacije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stavi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na raspolaganje ESAP-u na automatizovan način. Podaci se moraju dostaviti u formatu iz kojeg se mogu izdvojiti ili, ako je propisano pravom EU, u 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mašinski</w:t>
      </w:r>
      <w:r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čitljivom formatu</w:t>
      </w:r>
      <w:r w:rsidR="008E6A0A">
        <w:rPr>
          <w:rFonts w:ascii="Arial" w:eastAsia="Times New Roman" w:hAnsi="Arial" w:cs="Arial"/>
          <w:sz w:val="24"/>
          <w:szCs w:val="24"/>
          <w:lang w:val="sr-Latn-ME"/>
        </w:rPr>
        <w:t xml:space="preserve">. </w:t>
      </w:r>
    </w:p>
    <w:p w14:paraId="0389902A" w14:textId="5E5EAB39" w:rsidR="00281B13" w:rsidRPr="00281B13" w:rsidRDefault="008E6A0A" w:rsidP="005F5B2D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Takođe je propisan i zahtjev za d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ostavljanj</w:t>
      </w:r>
      <w:r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 xml:space="preserve"> i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>obavezn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ih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metapoda</w:t>
      </w:r>
      <w:r>
        <w:rPr>
          <w:rFonts w:ascii="Arial" w:eastAsia="Times New Roman" w:hAnsi="Arial" w:cs="Arial"/>
          <w:sz w:val="24"/>
          <w:szCs w:val="24"/>
          <w:lang w:val="sr-Latn-ME"/>
        </w:rPr>
        <w:t>ta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>k</w:t>
      </w:r>
      <w:r w:rsidR="005F5B2D">
        <w:rPr>
          <w:rFonts w:ascii="Arial" w:eastAsia="Times New Roman" w:hAnsi="Arial" w:cs="Arial"/>
          <w:sz w:val="24"/>
          <w:szCs w:val="24"/>
          <w:lang w:val="sr-Latn-ME"/>
        </w:rPr>
        <w:t>a</w:t>
      </w:r>
      <w:r>
        <w:rPr>
          <w:rFonts w:ascii="Arial" w:eastAsia="Times New Roman" w:hAnsi="Arial" w:cs="Arial"/>
          <w:sz w:val="24"/>
          <w:szCs w:val="24"/>
          <w:lang w:val="sr-Latn-ME"/>
        </w:rPr>
        <w:t>, odnosno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sv</w:t>
      </w:r>
      <w:r>
        <w:rPr>
          <w:rFonts w:ascii="Arial" w:eastAsia="Times New Roman" w:hAnsi="Arial" w:cs="Arial"/>
          <w:sz w:val="24"/>
          <w:szCs w:val="24"/>
          <w:lang w:val="sr-Latn-ME"/>
        </w:rPr>
        <w:t>ih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naziv</w:t>
      </w:r>
      <w:r>
        <w:rPr>
          <w:rFonts w:ascii="Arial" w:eastAsia="Times New Roman" w:hAnsi="Arial" w:cs="Arial"/>
          <w:sz w:val="24"/>
          <w:szCs w:val="24"/>
          <w:lang w:val="sr-Latn-ME"/>
        </w:rPr>
        <w:t>a regulisanih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subjekta, identifikac</w:t>
      </w:r>
      <w:r>
        <w:rPr>
          <w:rFonts w:ascii="Arial" w:eastAsia="Times New Roman" w:hAnsi="Arial" w:cs="Arial"/>
          <w:sz w:val="24"/>
          <w:szCs w:val="24"/>
          <w:lang w:val="sr-Latn-ME"/>
        </w:rPr>
        <w:t>ioni broj pravnog lica za taj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subjek</w:t>
      </w:r>
      <w:r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t, veličinu 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regulisanog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subjekta po kategorijama, vrstu informacija i oznaku 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da li dostavljene informacije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>sadrže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>lične podatke.</w:t>
      </w:r>
    </w:p>
    <w:p w14:paraId="0DDF3359" w14:textId="318F5514" w:rsidR="00281B13" w:rsidRDefault="00A04990" w:rsidP="00A04990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Ovim članom je propisano i da je koordinator, kao tijelo imenovano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za prikupljanje informacija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od regulisanih subjekata,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duž</w:t>
      </w:r>
      <w:r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>n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da obezbijedi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da informacije budu dostupne </w:t>
      </w:r>
      <w:r>
        <w:rPr>
          <w:rFonts w:ascii="Arial" w:eastAsia="Times New Roman" w:hAnsi="Arial" w:cs="Arial"/>
          <w:sz w:val="24"/>
          <w:szCs w:val="24"/>
          <w:lang w:val="sr-Latn-ME"/>
        </w:rPr>
        <w:t>na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 xml:space="preserve"> ESAP-u i da ispunjavaju 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sve </w:t>
      </w:r>
      <w:r w:rsidR="00281B13" w:rsidRPr="00281B13">
        <w:rPr>
          <w:rFonts w:ascii="Arial" w:eastAsia="Times New Roman" w:hAnsi="Arial" w:cs="Arial"/>
          <w:sz w:val="24"/>
          <w:szCs w:val="24"/>
          <w:lang w:val="sr-Latn-ME"/>
        </w:rPr>
        <w:t>propisane tehničke zahtjeve.</w:t>
      </w:r>
    </w:p>
    <w:p w14:paraId="407F42B1" w14:textId="643B15EC" w:rsidR="00A04990" w:rsidRDefault="00A04990" w:rsidP="00A04990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Obzirom da će informacije iz ESAP-a biti dostupne od januara  2030. godine, </w:t>
      </w:r>
      <w:r w:rsidRPr="004F0E1F">
        <w:rPr>
          <w:rFonts w:ascii="Arial" w:eastAsia="Times New Roman" w:hAnsi="Arial" w:cs="Arial"/>
          <w:b/>
          <w:sz w:val="24"/>
          <w:szCs w:val="24"/>
          <w:lang w:val="sr-Latn-ME"/>
        </w:rPr>
        <w:t>članom 2 Nacrta zakona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se p</w:t>
      </w:r>
      <w:r>
        <w:rPr>
          <w:rFonts w:ascii="Arial" w:hAnsi="Arial" w:cs="Arial"/>
          <w:sz w:val="24"/>
          <w:szCs w:val="24"/>
          <w:lang w:val="sr-Latn-ME"/>
        </w:rPr>
        <w:t>redlaže izmjena člana 43 Zakona kojim se propisuje odložena primjena pojedinih odredbi Zakona, a u svrhu da i odredbe novog člana 39a imaju odloženu primjen</w:t>
      </w:r>
      <w:r w:rsidR="00CB7F64">
        <w:rPr>
          <w:rFonts w:ascii="Arial" w:hAnsi="Arial" w:cs="Arial"/>
          <w:sz w:val="24"/>
          <w:szCs w:val="24"/>
          <w:lang w:val="sr-Latn-ME"/>
        </w:rPr>
        <w:t>u</w:t>
      </w:r>
      <w:r>
        <w:rPr>
          <w:rFonts w:ascii="Arial" w:hAnsi="Arial" w:cs="Arial"/>
          <w:sz w:val="24"/>
          <w:szCs w:val="24"/>
          <w:lang w:val="sr-Latn-ME"/>
        </w:rPr>
        <w:t xml:space="preserve"> od dana pristupanja Crne Gore Evropskoj uniji.</w:t>
      </w:r>
    </w:p>
    <w:p w14:paraId="35029522" w14:textId="69475895" w:rsidR="00A04990" w:rsidRPr="00DF12D0" w:rsidRDefault="00A04990" w:rsidP="00A04990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DF12D0">
        <w:rPr>
          <w:rFonts w:ascii="Arial" w:hAnsi="Arial" w:cs="Arial"/>
          <w:b/>
          <w:sz w:val="24"/>
          <w:szCs w:val="24"/>
          <w:lang w:val="sr-Latn-ME"/>
        </w:rPr>
        <w:lastRenderedPageBreak/>
        <w:t xml:space="preserve">Članom </w:t>
      </w:r>
      <w:r>
        <w:rPr>
          <w:rFonts w:ascii="Arial" w:hAnsi="Arial" w:cs="Arial"/>
          <w:b/>
          <w:sz w:val="24"/>
          <w:szCs w:val="24"/>
          <w:lang w:val="sr-Latn-ME"/>
        </w:rPr>
        <w:t>3 Nacrta zakona</w:t>
      </w:r>
      <w:r w:rsidRPr="00DF12D0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DF12D0">
        <w:rPr>
          <w:rFonts w:ascii="Arial" w:hAnsi="Arial" w:cs="Arial"/>
          <w:sz w:val="24"/>
          <w:szCs w:val="24"/>
          <w:lang w:val="sr-Latn-ME"/>
        </w:rPr>
        <w:t>predlaže se da ovaj zakon stup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DF12D0">
        <w:rPr>
          <w:rFonts w:ascii="Arial" w:hAnsi="Arial" w:cs="Arial"/>
          <w:sz w:val="24"/>
          <w:szCs w:val="24"/>
          <w:lang w:val="sr-Latn-ME"/>
        </w:rPr>
        <w:t xml:space="preserve"> na snagu osmog dana od dana objavljivanja u „Službenom listu Crne Gore“.</w:t>
      </w:r>
    </w:p>
    <w:p w14:paraId="07FEF3D8" w14:textId="77777777" w:rsidR="008560B5" w:rsidRDefault="008560B5" w:rsidP="0003478E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6E958CA" w14:textId="1717D2CE" w:rsidR="0003478E" w:rsidRPr="008560B5" w:rsidRDefault="0003478E" w:rsidP="0003478E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8560B5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V. Procjena finansijskih sredstava za sprovođenje zakona</w:t>
      </w:r>
    </w:p>
    <w:p w14:paraId="46FE6BA0" w14:textId="77777777" w:rsidR="0003478E" w:rsidRPr="0003478E" w:rsidRDefault="0003478E" w:rsidP="0003478E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3478E">
        <w:rPr>
          <w:rFonts w:ascii="Arial" w:eastAsia="Times New Roman" w:hAnsi="Arial" w:cs="Arial"/>
          <w:sz w:val="24"/>
          <w:szCs w:val="24"/>
          <w:lang w:val="sr-Latn-ME"/>
        </w:rPr>
        <w:t>Za sprovođenje ovog zakona nijesu potrebna finansijska sredstva iz budžeta Crne Gore.</w:t>
      </w:r>
    </w:p>
    <w:p w14:paraId="58DEA5CB" w14:textId="77777777" w:rsidR="0003478E" w:rsidRPr="0003478E" w:rsidRDefault="0003478E" w:rsidP="0003478E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08B5228" w14:textId="77777777" w:rsidR="0003478E" w:rsidRPr="008560B5" w:rsidRDefault="0003478E" w:rsidP="0003478E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8560B5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VI. Razlozi za donošenje zakona po hitnom postupku</w:t>
      </w:r>
    </w:p>
    <w:p w14:paraId="27915E90" w14:textId="2B003E72" w:rsidR="0003478E" w:rsidRPr="0003478E" w:rsidRDefault="0003478E" w:rsidP="008560B5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3478E">
        <w:rPr>
          <w:rFonts w:ascii="Arial" w:eastAsia="Times New Roman" w:hAnsi="Arial" w:cs="Arial"/>
          <w:sz w:val="24"/>
          <w:szCs w:val="24"/>
          <w:lang w:val="sr-Latn-ME"/>
        </w:rPr>
        <w:t xml:space="preserve">Ovaj zakon je potrebno donijeti po hitnom postupku, obzirom na </w:t>
      </w:r>
      <w:r w:rsidR="008560B5">
        <w:rPr>
          <w:rFonts w:ascii="Arial" w:eastAsia="Times New Roman" w:hAnsi="Arial" w:cs="Arial"/>
          <w:sz w:val="24"/>
          <w:szCs w:val="24"/>
          <w:lang w:val="sr-Latn-ME"/>
        </w:rPr>
        <w:t>potrebe</w:t>
      </w:r>
      <w:r w:rsidR="008560B5" w:rsidRPr="008560B5">
        <w:rPr>
          <w:rFonts w:ascii="Arial" w:eastAsia="Times New Roman" w:hAnsi="Arial" w:cs="Arial"/>
          <w:sz w:val="24"/>
          <w:szCs w:val="24"/>
          <w:lang w:val="sr-Latn-ME"/>
        </w:rPr>
        <w:t xml:space="preserve"> da se </w:t>
      </w:r>
      <w:r w:rsidR="008560B5">
        <w:rPr>
          <w:rFonts w:ascii="Arial" w:eastAsia="Times New Roman" w:hAnsi="Arial" w:cs="Arial"/>
          <w:sz w:val="24"/>
          <w:szCs w:val="24"/>
          <w:lang w:val="sr-Latn-ME"/>
        </w:rPr>
        <w:t xml:space="preserve">pošalju jasni signali o spremnosti Crne Gore za EU integracije i </w:t>
      </w:r>
      <w:r w:rsidR="008560B5" w:rsidRPr="008560B5">
        <w:rPr>
          <w:rFonts w:ascii="Arial" w:eastAsia="Times New Roman" w:hAnsi="Arial" w:cs="Arial"/>
          <w:sz w:val="24"/>
          <w:szCs w:val="24"/>
          <w:lang w:val="sr-Latn-ME"/>
        </w:rPr>
        <w:t>ostvari napre</w:t>
      </w:r>
      <w:r w:rsidR="008560B5">
        <w:rPr>
          <w:rFonts w:ascii="Arial" w:eastAsia="Times New Roman" w:hAnsi="Arial" w:cs="Arial"/>
          <w:sz w:val="24"/>
          <w:szCs w:val="24"/>
          <w:lang w:val="sr-Latn-ME"/>
        </w:rPr>
        <w:t>dak</w:t>
      </w:r>
      <w:r w:rsidR="008560B5" w:rsidRPr="008560B5">
        <w:rPr>
          <w:rFonts w:ascii="Arial" w:eastAsia="Times New Roman" w:hAnsi="Arial" w:cs="Arial"/>
          <w:sz w:val="24"/>
          <w:szCs w:val="24"/>
          <w:lang w:val="sr-Latn-ME"/>
        </w:rPr>
        <w:t xml:space="preserve"> u</w:t>
      </w:r>
      <w:r w:rsidR="008560B5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8560B5" w:rsidRPr="008560B5">
        <w:rPr>
          <w:rFonts w:ascii="Arial" w:eastAsia="Times New Roman" w:hAnsi="Arial" w:cs="Arial"/>
          <w:sz w:val="24"/>
          <w:szCs w:val="24"/>
          <w:lang w:val="sr-Latn-ME"/>
        </w:rPr>
        <w:t>pregovara</w:t>
      </w:r>
      <w:r w:rsidR="008560B5">
        <w:rPr>
          <w:rFonts w:ascii="Arial" w:eastAsia="Times New Roman" w:hAnsi="Arial" w:cs="Arial"/>
          <w:sz w:val="24"/>
          <w:szCs w:val="24"/>
          <w:lang w:val="sr-Latn-ME"/>
        </w:rPr>
        <w:t>č</w:t>
      </w:r>
      <w:r w:rsidR="008560B5" w:rsidRPr="008560B5">
        <w:rPr>
          <w:rFonts w:ascii="Arial" w:eastAsia="Times New Roman" w:hAnsi="Arial" w:cs="Arial"/>
          <w:sz w:val="24"/>
          <w:szCs w:val="24"/>
          <w:lang w:val="sr-Latn-ME"/>
        </w:rPr>
        <w:t>kom procesu</w:t>
      </w:r>
      <w:r w:rsidR="008560B5">
        <w:rPr>
          <w:rFonts w:ascii="Arial" w:eastAsia="Times New Roman" w:hAnsi="Arial" w:cs="Arial"/>
          <w:sz w:val="24"/>
          <w:szCs w:val="24"/>
          <w:lang w:val="sr-Latn-ME"/>
        </w:rPr>
        <w:t xml:space="preserve"> iz </w:t>
      </w:r>
      <w:r w:rsidRPr="0003478E">
        <w:rPr>
          <w:rFonts w:ascii="Arial" w:eastAsia="Times New Roman" w:hAnsi="Arial" w:cs="Arial"/>
          <w:sz w:val="24"/>
          <w:szCs w:val="24"/>
          <w:lang w:val="sr-Latn-ME"/>
        </w:rPr>
        <w:t>Poglavlja 9 – Finansijske usluge.</w:t>
      </w:r>
    </w:p>
    <w:p w14:paraId="3A60E99A" w14:textId="77777777" w:rsidR="008560B5" w:rsidRDefault="008560B5" w:rsidP="008560B5">
      <w:pPr>
        <w:rPr>
          <w:rFonts w:ascii="Arial" w:eastAsia="Times New Roman" w:hAnsi="Arial" w:cs="Arial"/>
          <w:sz w:val="24"/>
          <w:szCs w:val="24"/>
          <w:lang w:val="sr-Latn-ME"/>
        </w:rPr>
      </w:pPr>
    </w:p>
    <w:p w14:paraId="7F561EDD" w14:textId="38FA12C0" w:rsidR="008560B5" w:rsidRDefault="008560B5" w:rsidP="008560B5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DF12D0">
        <w:rPr>
          <w:rFonts w:ascii="Arial" w:hAnsi="Arial" w:cs="Arial"/>
          <w:b/>
          <w:sz w:val="24"/>
          <w:szCs w:val="24"/>
          <w:lang w:val="sr-Latn-ME"/>
        </w:rPr>
        <w:t xml:space="preserve">VII. Tekst odredaba Zakona o </w:t>
      </w:r>
      <w:r>
        <w:rPr>
          <w:rFonts w:ascii="Arial" w:hAnsi="Arial" w:cs="Arial"/>
          <w:b/>
          <w:sz w:val="24"/>
          <w:szCs w:val="24"/>
          <w:lang w:val="sr-Latn-ME"/>
        </w:rPr>
        <w:t>finansijskim konglomeratima</w:t>
      </w:r>
      <w:r w:rsidRPr="00DF12D0">
        <w:rPr>
          <w:rFonts w:ascii="Arial" w:hAnsi="Arial" w:cs="Arial"/>
          <w:b/>
          <w:sz w:val="24"/>
          <w:szCs w:val="24"/>
          <w:lang w:val="sr-Latn-ME"/>
        </w:rPr>
        <w:t xml:space="preserve"> („Službeni list CG“, br</w:t>
      </w:r>
      <w:r>
        <w:rPr>
          <w:rFonts w:ascii="Arial" w:hAnsi="Arial" w:cs="Arial"/>
          <w:b/>
          <w:sz w:val="24"/>
          <w:szCs w:val="24"/>
          <w:lang w:val="sr-Latn-ME"/>
        </w:rPr>
        <w:t>oj</w:t>
      </w:r>
      <w:r w:rsidRPr="00DF12D0">
        <w:rPr>
          <w:rFonts w:ascii="Arial" w:hAnsi="Arial" w:cs="Arial"/>
          <w:b/>
          <w:sz w:val="24"/>
          <w:szCs w:val="24"/>
          <w:lang w:val="sr-Latn-ME"/>
        </w:rPr>
        <w:t xml:space="preserve"> 24/25) čije izmjene i dopune se predlažu</w:t>
      </w:r>
    </w:p>
    <w:p w14:paraId="6CAE29E3" w14:textId="7089D702" w:rsidR="008560B5" w:rsidRDefault="008560B5" w:rsidP="008560B5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45125FD0" w14:textId="76197913" w:rsidR="008560B5" w:rsidRPr="008560B5" w:rsidRDefault="008560B5" w:rsidP="008560B5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8560B5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Odložena primjena</w:t>
      </w:r>
    </w:p>
    <w:p w14:paraId="2DBE3C3B" w14:textId="4A46BF58" w:rsidR="008560B5" w:rsidRPr="008560B5" w:rsidRDefault="008560B5" w:rsidP="008560B5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8560B5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Član 43</w:t>
      </w:r>
    </w:p>
    <w:p w14:paraId="730A5724" w14:textId="6CF27D4F" w:rsidR="008560B5" w:rsidRPr="008560B5" w:rsidRDefault="008560B5" w:rsidP="008560B5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8560B5">
        <w:rPr>
          <w:rFonts w:ascii="Arial" w:eastAsia="Times New Roman" w:hAnsi="Arial" w:cs="Arial"/>
          <w:sz w:val="24"/>
          <w:szCs w:val="24"/>
          <w:lang w:val="sr-Latn-ME"/>
        </w:rPr>
        <w:t>Odredbe člana 9 st. 3 i 4, člana 14 stav 3 tač. 2 i 3, člana 15 stav 3 tač. 2 i 4, člana 18 stav 1 tačka 2, člana 19 stav 4, člana 27 stav 1 tač. 4 do 9, stav 2 tač. 4 do 9, stav 3 tač. 4 do 9 i stav 5, člana 30 stav 5, člana 32 stav 6, stav 7 tačka 2 i stav 8, člana 34 st. 2 i 5, čl. 35, 36 i 37 i člana 38 stav 2 ovog zakona primjenjivaće se od dana pristupanja Crne Gore Evropskoj uniji.</w:t>
      </w:r>
    </w:p>
    <w:p w14:paraId="418DFE00" w14:textId="77777777" w:rsidR="00A04990" w:rsidRPr="00BB355A" w:rsidRDefault="00A04990" w:rsidP="00A04990">
      <w:pPr>
        <w:jc w:val="both"/>
        <w:rPr>
          <w:rFonts w:ascii="Arial" w:eastAsia="Times New Roman" w:hAnsi="Arial" w:cs="Arial"/>
          <w:sz w:val="24"/>
          <w:szCs w:val="24"/>
        </w:rPr>
      </w:pPr>
    </w:p>
    <w:sectPr w:rsidR="00A04990" w:rsidRPr="00BB355A" w:rsidSect="00DF7C3A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8485" w14:textId="77777777" w:rsidR="007E6EEB" w:rsidRDefault="007E6EEB" w:rsidP="00C86076">
      <w:pPr>
        <w:spacing w:after="0" w:line="240" w:lineRule="auto"/>
      </w:pPr>
      <w:r>
        <w:separator/>
      </w:r>
    </w:p>
  </w:endnote>
  <w:endnote w:type="continuationSeparator" w:id="0">
    <w:p w14:paraId="1EC3D38F" w14:textId="77777777" w:rsidR="007E6EEB" w:rsidRDefault="007E6EEB" w:rsidP="00C8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AC2A" w14:textId="77777777" w:rsidR="007E6EEB" w:rsidRDefault="007E6EEB" w:rsidP="00C86076">
      <w:pPr>
        <w:spacing w:after="0" w:line="240" w:lineRule="auto"/>
      </w:pPr>
      <w:r>
        <w:separator/>
      </w:r>
    </w:p>
  </w:footnote>
  <w:footnote w:type="continuationSeparator" w:id="0">
    <w:p w14:paraId="2DC74DE7" w14:textId="77777777" w:rsidR="007E6EEB" w:rsidRDefault="007E6EEB" w:rsidP="00C8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54D7"/>
    <w:multiLevelType w:val="hybridMultilevel"/>
    <w:tmpl w:val="C3F2D462"/>
    <w:lvl w:ilvl="0" w:tplc="2924D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5ECB"/>
    <w:multiLevelType w:val="hybridMultilevel"/>
    <w:tmpl w:val="CFD81EF0"/>
    <w:lvl w:ilvl="0" w:tplc="AACCC9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433312">
    <w:abstractNumId w:val="0"/>
  </w:num>
  <w:num w:numId="2" w16cid:durableId="183090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84"/>
    <w:rsid w:val="000223B1"/>
    <w:rsid w:val="0003478E"/>
    <w:rsid w:val="00156302"/>
    <w:rsid w:val="00180963"/>
    <w:rsid w:val="001851AA"/>
    <w:rsid w:val="001E670F"/>
    <w:rsid w:val="001F4E46"/>
    <w:rsid w:val="00220BA8"/>
    <w:rsid w:val="00281B13"/>
    <w:rsid w:val="003F7F80"/>
    <w:rsid w:val="00457F84"/>
    <w:rsid w:val="004F0E1F"/>
    <w:rsid w:val="005F5B2D"/>
    <w:rsid w:val="00684A52"/>
    <w:rsid w:val="007E6ABE"/>
    <w:rsid w:val="007E6EEB"/>
    <w:rsid w:val="007F47FD"/>
    <w:rsid w:val="008560B5"/>
    <w:rsid w:val="008E6A0A"/>
    <w:rsid w:val="009B5446"/>
    <w:rsid w:val="00A04990"/>
    <w:rsid w:val="00B123C1"/>
    <w:rsid w:val="00B92BE5"/>
    <w:rsid w:val="00BB355A"/>
    <w:rsid w:val="00C21CAF"/>
    <w:rsid w:val="00C86076"/>
    <w:rsid w:val="00CB7F64"/>
    <w:rsid w:val="00D34A7E"/>
    <w:rsid w:val="00D56AC2"/>
    <w:rsid w:val="00DE1234"/>
    <w:rsid w:val="00DF7C3A"/>
    <w:rsid w:val="00F13EC7"/>
    <w:rsid w:val="00F148D1"/>
    <w:rsid w:val="00F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072D7"/>
  <w15:chartTrackingRefBased/>
  <w15:docId w15:val="{885A59AA-CE8B-477F-A192-42F2F6AF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C86076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C86076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7081</Characters>
  <Application>Microsoft Office Word</Application>
  <DocSecurity>0</DocSecurity>
  <Lines>150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Joličić</dc:creator>
  <cp:keywords>[SEC=BEZ OZNAKE TAJNOSTI]</cp:keywords>
  <dc:description/>
  <cp:lastModifiedBy>Milan Remikovic</cp:lastModifiedBy>
  <cp:revision>4</cp:revision>
  <cp:lastPrinted>2025-11-28T07:01:00Z</cp:lastPrinted>
  <dcterms:created xsi:type="dcterms:W3CDTF">2025-11-28T07:38:00Z</dcterms:created>
  <dcterms:modified xsi:type="dcterms:W3CDTF">2025-12-02T07:50:00Z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8148D7CE54D54318899FB307771F5271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264D692C5C539B2845631D148B7934B08CAA5903</vt:lpwstr>
  </property>
  <property fmtid="{D5CDD505-2E9C-101B-9397-08002B2CF9AE}" pid="11" name="PM_OriginationTimeStamp">
    <vt:lpwstr>2025-11-28T07:30:06Z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E615EEBA4C0642F6C8E7508337BB1AF9</vt:lpwstr>
  </property>
  <property fmtid="{D5CDD505-2E9C-101B-9397-08002B2CF9AE}" pid="20" name="PM_Hash_Salt">
    <vt:lpwstr>62DC538BC868B41FE978317B2FCC89F2</vt:lpwstr>
  </property>
  <property fmtid="{D5CDD505-2E9C-101B-9397-08002B2CF9AE}" pid="21" name="PM_Hash_SHA1">
    <vt:lpwstr>E6A3F8ED328E2526ABD7A5C38A26823E944FDF83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