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F05C5" w14:textId="77777777" w:rsidR="000C70A6" w:rsidRPr="00B83578" w:rsidRDefault="000C70A6" w:rsidP="009E6C31">
      <w:pPr>
        <w:rPr>
          <w:rFonts w:cs="Arial"/>
        </w:rPr>
      </w:pPr>
    </w:p>
    <w:p w14:paraId="10B5C9B4" w14:textId="1A77FBD0" w:rsidR="000C70A6" w:rsidRPr="00B83578" w:rsidRDefault="003131C1" w:rsidP="009E6C31">
      <w:pPr>
        <w:rPr>
          <w:rFonts w:cs="Arial"/>
        </w:rPr>
      </w:pPr>
      <w:r>
        <w:rPr>
          <w:rFonts w:cs="Arial"/>
          <w:noProof/>
        </w:rPr>
        <w:drawing>
          <wp:inline distT="0" distB="0" distL="0" distR="0" wp14:anchorId="53C16B02" wp14:editId="3359E376">
            <wp:extent cx="5943600" cy="1085850"/>
            <wp:effectExtent l="0" t="0" r="0" b="0"/>
            <wp:docPr id="12522923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85850"/>
                    </a:xfrm>
                    <a:prstGeom prst="rect">
                      <a:avLst/>
                    </a:prstGeom>
                    <a:noFill/>
                    <a:ln>
                      <a:noFill/>
                    </a:ln>
                  </pic:spPr>
                </pic:pic>
              </a:graphicData>
            </a:graphic>
          </wp:inline>
        </w:drawing>
      </w:r>
    </w:p>
    <w:p w14:paraId="3D92BE83" w14:textId="77777777" w:rsidR="000C70A6" w:rsidRPr="00B83578" w:rsidRDefault="000C70A6" w:rsidP="009E6C31">
      <w:pPr>
        <w:rPr>
          <w:rFonts w:cs="Arial"/>
        </w:rPr>
      </w:pPr>
    </w:p>
    <w:p w14:paraId="3561D066" w14:textId="77777777" w:rsidR="000C70A6" w:rsidRPr="00B83578" w:rsidRDefault="000C70A6" w:rsidP="009E6C31">
      <w:pPr>
        <w:rPr>
          <w:rFonts w:cs="Arial"/>
        </w:rPr>
      </w:pPr>
    </w:p>
    <w:p w14:paraId="3448AFFA" w14:textId="15044D89" w:rsidR="005E7F6A" w:rsidRDefault="002806CA" w:rsidP="00087AEA">
      <w:pPr>
        <w:pStyle w:val="Title"/>
        <w:rPr>
          <w:rFonts w:ascii="Arial" w:hAnsi="Arial" w:cs="Arial"/>
        </w:rPr>
      </w:pPr>
      <w:bookmarkStart w:id="0" w:name="_Hlk180056212"/>
      <w:r>
        <w:rPr>
          <w:rFonts w:ascii="Arial" w:hAnsi="Arial" w:cs="Arial"/>
        </w:rPr>
        <w:t>Nacrt p</w:t>
      </w:r>
      <w:r w:rsidR="005E7F6A">
        <w:rPr>
          <w:rFonts w:ascii="Arial" w:hAnsi="Arial" w:cs="Arial"/>
        </w:rPr>
        <w:t>lan</w:t>
      </w:r>
      <w:r>
        <w:rPr>
          <w:rFonts w:ascii="Arial" w:hAnsi="Arial" w:cs="Arial"/>
        </w:rPr>
        <w:t>a</w:t>
      </w:r>
      <w:r w:rsidR="005E7F6A">
        <w:rPr>
          <w:rFonts w:ascii="Arial" w:hAnsi="Arial" w:cs="Arial"/>
        </w:rPr>
        <w:t xml:space="preserve"> aktivnosti za ispunjavanje zahtjeva kohezione politike</w:t>
      </w:r>
    </w:p>
    <w:p w14:paraId="69797E69" w14:textId="77777777" w:rsidR="00682ADE" w:rsidRDefault="00682ADE" w:rsidP="00087AEA">
      <w:pPr>
        <w:pStyle w:val="Title"/>
        <w:rPr>
          <w:rFonts w:ascii="Arial" w:hAnsi="Arial" w:cs="Arial"/>
        </w:rPr>
      </w:pPr>
    </w:p>
    <w:p w14:paraId="6E1B378A" w14:textId="38B0960F" w:rsidR="000C70A6" w:rsidRPr="00B83578" w:rsidRDefault="005E7F6A" w:rsidP="00087AEA">
      <w:pPr>
        <w:pStyle w:val="Title"/>
        <w:rPr>
          <w:rFonts w:ascii="Arial" w:hAnsi="Arial" w:cs="Arial"/>
        </w:rPr>
      </w:pPr>
      <w:r>
        <w:rPr>
          <w:rFonts w:ascii="Arial" w:hAnsi="Arial" w:cs="Arial"/>
        </w:rPr>
        <w:t>P</w:t>
      </w:r>
      <w:r w:rsidR="009933C2">
        <w:rPr>
          <w:rFonts w:ascii="Arial" w:hAnsi="Arial" w:cs="Arial"/>
        </w:rPr>
        <w:t xml:space="preserve">oglavlje 22 – Regionalna politika i koordinacija strukturnih instrumenata </w:t>
      </w:r>
    </w:p>
    <w:bookmarkEnd w:id="0"/>
    <w:p w14:paraId="06E73F3D" w14:textId="77777777" w:rsidR="000C70A6" w:rsidRPr="00B83578" w:rsidRDefault="000C70A6" w:rsidP="009E6C31">
      <w:pPr>
        <w:rPr>
          <w:rFonts w:cs="Arial"/>
        </w:rPr>
      </w:pPr>
    </w:p>
    <w:p w14:paraId="364F04AB" w14:textId="2907BDC8" w:rsidR="000C70A6" w:rsidRPr="00B83578" w:rsidRDefault="000C70A6" w:rsidP="009E6C31">
      <w:pPr>
        <w:jc w:val="left"/>
        <w:rPr>
          <w:rFonts w:cs="Arial"/>
        </w:rPr>
      </w:pPr>
      <w:r w:rsidRPr="00B83578">
        <w:rPr>
          <w:rFonts w:cs="Arial"/>
        </w:rPr>
        <w:br w:type="page"/>
      </w:r>
    </w:p>
    <w:p w14:paraId="647E24B4" w14:textId="1EE0A6FC" w:rsidR="53C1DCBA" w:rsidRPr="00B83578" w:rsidRDefault="53C1DCBA" w:rsidP="00C8755A">
      <w:pPr>
        <w:rPr>
          <w:rFonts w:cs="Arial"/>
        </w:rPr>
      </w:pPr>
    </w:p>
    <w:sdt>
      <w:sdtPr>
        <w:rPr>
          <w:rFonts w:eastAsiaTheme="minorEastAsia" w:cs="Arial"/>
          <w:color w:val="auto"/>
          <w:spacing w:val="0"/>
          <w:sz w:val="20"/>
          <w:szCs w:val="20"/>
        </w:rPr>
        <w:id w:val="-711810490"/>
        <w:docPartObj>
          <w:docPartGallery w:val="Table of Contents"/>
          <w:docPartUnique/>
        </w:docPartObj>
      </w:sdtPr>
      <w:sdtEndPr>
        <w:rPr>
          <w:b/>
          <w:bCs/>
        </w:rPr>
      </w:sdtEndPr>
      <w:sdtContent>
        <w:p w14:paraId="18B24B0E" w14:textId="70504FC8" w:rsidR="000C70A6" w:rsidRPr="00B83578" w:rsidRDefault="009933C2" w:rsidP="009E6C31">
          <w:pPr>
            <w:pStyle w:val="Subtitle"/>
            <w:rPr>
              <w:rFonts w:cs="Arial"/>
            </w:rPr>
          </w:pPr>
          <w:r>
            <w:rPr>
              <w:rFonts w:cs="Arial"/>
            </w:rPr>
            <w:t>Sadržaj</w:t>
          </w:r>
        </w:p>
        <w:p w14:paraId="054034D3" w14:textId="396E9EEB" w:rsidR="00E136F2" w:rsidRDefault="000C70A6">
          <w:pPr>
            <w:pStyle w:val="TOC1"/>
            <w:tabs>
              <w:tab w:val="left" w:pos="440"/>
              <w:tab w:val="right" w:leader="dot" w:pos="9350"/>
            </w:tabs>
            <w:rPr>
              <w:rFonts w:asciiTheme="minorHAnsi" w:eastAsiaTheme="minorEastAsia" w:hAnsiTheme="minorHAnsi"/>
              <w:noProof/>
              <w:kern w:val="0"/>
              <w:sz w:val="22"/>
              <w:lang w:val="en-US"/>
              <w14:ligatures w14:val="none"/>
            </w:rPr>
          </w:pPr>
          <w:r w:rsidRPr="00B83578">
            <w:rPr>
              <w:rFonts w:cs="Arial"/>
            </w:rPr>
            <w:fldChar w:fldCharType="begin"/>
          </w:r>
          <w:r w:rsidRPr="00B83578">
            <w:rPr>
              <w:rFonts w:cs="Arial"/>
            </w:rPr>
            <w:instrText xml:space="preserve"> TOC \o "1-3" \h \z \u </w:instrText>
          </w:r>
          <w:r w:rsidRPr="00B83578">
            <w:rPr>
              <w:rFonts w:cs="Arial"/>
            </w:rPr>
            <w:fldChar w:fldCharType="separate"/>
          </w:r>
          <w:hyperlink w:anchor="_Toc201700290" w:history="1">
            <w:r w:rsidR="00E136F2" w:rsidRPr="00862B00">
              <w:rPr>
                <w:rStyle w:val="Hyperlink"/>
                <w:noProof/>
              </w:rPr>
              <w:t>1</w:t>
            </w:r>
            <w:r w:rsidR="00E136F2">
              <w:rPr>
                <w:rFonts w:asciiTheme="minorHAnsi" w:eastAsiaTheme="minorEastAsia" w:hAnsiTheme="minorHAnsi"/>
                <w:noProof/>
                <w:kern w:val="0"/>
                <w:sz w:val="22"/>
                <w:lang w:val="en-US"/>
                <w14:ligatures w14:val="none"/>
              </w:rPr>
              <w:tab/>
            </w:r>
            <w:r w:rsidR="00E136F2" w:rsidRPr="00862B00">
              <w:rPr>
                <w:rStyle w:val="Hyperlink"/>
                <w:noProof/>
              </w:rPr>
              <w:t>Završno mjerilo 1</w:t>
            </w:r>
            <w:r w:rsidR="00E136F2">
              <w:rPr>
                <w:noProof/>
                <w:webHidden/>
              </w:rPr>
              <w:tab/>
            </w:r>
            <w:r w:rsidR="00E136F2">
              <w:rPr>
                <w:noProof/>
                <w:webHidden/>
              </w:rPr>
              <w:fldChar w:fldCharType="begin"/>
            </w:r>
            <w:r w:rsidR="00E136F2">
              <w:rPr>
                <w:noProof/>
                <w:webHidden/>
              </w:rPr>
              <w:instrText xml:space="preserve"> PAGEREF _Toc201700290 \h </w:instrText>
            </w:r>
            <w:r w:rsidR="00E136F2">
              <w:rPr>
                <w:noProof/>
                <w:webHidden/>
              </w:rPr>
            </w:r>
            <w:r w:rsidR="00E136F2">
              <w:rPr>
                <w:noProof/>
                <w:webHidden/>
              </w:rPr>
              <w:fldChar w:fldCharType="separate"/>
            </w:r>
            <w:r w:rsidR="00E136F2">
              <w:rPr>
                <w:noProof/>
                <w:webHidden/>
              </w:rPr>
              <w:t>12</w:t>
            </w:r>
            <w:r w:rsidR="00E136F2">
              <w:rPr>
                <w:noProof/>
                <w:webHidden/>
              </w:rPr>
              <w:fldChar w:fldCharType="end"/>
            </w:r>
          </w:hyperlink>
        </w:p>
        <w:p w14:paraId="0B37445E" w14:textId="0256EE1C"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291" w:history="1">
            <w:r w:rsidR="00E136F2" w:rsidRPr="00862B00">
              <w:rPr>
                <w:rStyle w:val="Hyperlink"/>
                <w:noProof/>
              </w:rPr>
              <w:t>1.1</w:t>
            </w:r>
            <w:r w:rsidR="00E136F2">
              <w:rPr>
                <w:rFonts w:asciiTheme="minorHAnsi" w:eastAsiaTheme="minorEastAsia" w:hAnsiTheme="minorHAnsi"/>
                <w:noProof/>
                <w:kern w:val="0"/>
                <w:sz w:val="22"/>
                <w:lang w:val="en-US"/>
                <w14:ligatures w14:val="none"/>
              </w:rPr>
              <w:tab/>
            </w:r>
            <w:r w:rsidR="00E136F2" w:rsidRPr="00862B00">
              <w:rPr>
                <w:rStyle w:val="Hyperlink"/>
                <w:noProof/>
              </w:rPr>
              <w:t>Faktori identifikovani za ocjenu zadovoljavajućeg nivoa implementacije sredstava EU pretpristupne podrške odobrenih za indirektno upravljanje</w:t>
            </w:r>
            <w:r w:rsidR="00E136F2">
              <w:rPr>
                <w:noProof/>
                <w:webHidden/>
              </w:rPr>
              <w:tab/>
            </w:r>
            <w:r w:rsidR="00E136F2">
              <w:rPr>
                <w:noProof/>
                <w:webHidden/>
              </w:rPr>
              <w:fldChar w:fldCharType="begin"/>
            </w:r>
            <w:r w:rsidR="00E136F2">
              <w:rPr>
                <w:noProof/>
                <w:webHidden/>
              </w:rPr>
              <w:instrText xml:space="preserve"> PAGEREF _Toc201700291 \h </w:instrText>
            </w:r>
            <w:r w:rsidR="00E136F2">
              <w:rPr>
                <w:noProof/>
                <w:webHidden/>
              </w:rPr>
            </w:r>
            <w:r w:rsidR="00E136F2">
              <w:rPr>
                <w:noProof/>
                <w:webHidden/>
              </w:rPr>
              <w:fldChar w:fldCharType="separate"/>
            </w:r>
            <w:r w:rsidR="00E136F2">
              <w:rPr>
                <w:noProof/>
                <w:webHidden/>
              </w:rPr>
              <w:t>12</w:t>
            </w:r>
            <w:r w:rsidR="00E136F2">
              <w:rPr>
                <w:noProof/>
                <w:webHidden/>
              </w:rPr>
              <w:fldChar w:fldCharType="end"/>
            </w:r>
          </w:hyperlink>
        </w:p>
        <w:p w14:paraId="62468916" w14:textId="0A24C6C2"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292" w:history="1">
            <w:r w:rsidR="00E136F2" w:rsidRPr="00862B00">
              <w:rPr>
                <w:rStyle w:val="Hyperlink"/>
                <w:noProof/>
              </w:rPr>
              <w:t>1.2</w:t>
            </w:r>
            <w:r w:rsidR="00E136F2">
              <w:rPr>
                <w:rFonts w:asciiTheme="minorHAnsi" w:eastAsiaTheme="minorEastAsia" w:hAnsiTheme="minorHAnsi"/>
                <w:noProof/>
                <w:kern w:val="0"/>
                <w:sz w:val="22"/>
                <w:lang w:val="en-US"/>
                <w14:ligatures w14:val="none"/>
              </w:rPr>
              <w:tab/>
            </w:r>
            <w:r w:rsidR="00E136F2" w:rsidRPr="00862B00">
              <w:rPr>
                <w:rStyle w:val="Hyperlink"/>
                <w:noProof/>
              </w:rPr>
              <w:t>Sažetak faktora procjene</w:t>
            </w:r>
            <w:r w:rsidR="00E136F2">
              <w:rPr>
                <w:noProof/>
                <w:webHidden/>
              </w:rPr>
              <w:tab/>
            </w:r>
            <w:r w:rsidR="00E136F2">
              <w:rPr>
                <w:noProof/>
                <w:webHidden/>
              </w:rPr>
              <w:fldChar w:fldCharType="begin"/>
            </w:r>
            <w:r w:rsidR="00E136F2">
              <w:rPr>
                <w:noProof/>
                <w:webHidden/>
              </w:rPr>
              <w:instrText xml:space="preserve"> PAGEREF _Toc201700292 \h </w:instrText>
            </w:r>
            <w:r w:rsidR="00E136F2">
              <w:rPr>
                <w:noProof/>
                <w:webHidden/>
              </w:rPr>
            </w:r>
            <w:r w:rsidR="00E136F2">
              <w:rPr>
                <w:noProof/>
                <w:webHidden/>
              </w:rPr>
              <w:fldChar w:fldCharType="separate"/>
            </w:r>
            <w:r w:rsidR="00E136F2">
              <w:rPr>
                <w:noProof/>
                <w:webHidden/>
              </w:rPr>
              <w:t>12</w:t>
            </w:r>
            <w:r w:rsidR="00E136F2">
              <w:rPr>
                <w:noProof/>
                <w:webHidden/>
              </w:rPr>
              <w:fldChar w:fldCharType="end"/>
            </w:r>
          </w:hyperlink>
        </w:p>
        <w:p w14:paraId="47060103" w14:textId="571ED352"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293" w:history="1">
            <w:r w:rsidR="00E136F2" w:rsidRPr="00862B00">
              <w:rPr>
                <w:rStyle w:val="Hyperlink"/>
                <w:noProof/>
              </w:rPr>
              <w:t>1.3</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_Toc201700293 \h </w:instrText>
            </w:r>
            <w:r w:rsidR="00E136F2">
              <w:rPr>
                <w:noProof/>
                <w:webHidden/>
              </w:rPr>
            </w:r>
            <w:r w:rsidR="00E136F2">
              <w:rPr>
                <w:noProof/>
                <w:webHidden/>
              </w:rPr>
              <w:fldChar w:fldCharType="separate"/>
            </w:r>
            <w:r w:rsidR="00E136F2">
              <w:rPr>
                <w:noProof/>
                <w:webHidden/>
              </w:rPr>
              <w:t>13</w:t>
            </w:r>
            <w:r w:rsidR="00E136F2">
              <w:rPr>
                <w:noProof/>
                <w:webHidden/>
              </w:rPr>
              <w:fldChar w:fldCharType="end"/>
            </w:r>
          </w:hyperlink>
        </w:p>
        <w:p w14:paraId="4C6198C5" w14:textId="631BD86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294" w:history="1">
            <w:r w:rsidR="00E136F2" w:rsidRPr="00862B00">
              <w:rPr>
                <w:rStyle w:val="Hyperlink"/>
                <w:noProof/>
              </w:rPr>
              <w:t>1.3.1</w:t>
            </w:r>
            <w:r w:rsidR="00E136F2">
              <w:rPr>
                <w:rFonts w:asciiTheme="minorHAnsi" w:eastAsiaTheme="minorEastAsia" w:hAnsiTheme="minorHAnsi"/>
                <w:noProof/>
                <w:kern w:val="0"/>
                <w:sz w:val="22"/>
                <w:lang w:val="en-US"/>
                <w14:ligatures w14:val="none"/>
              </w:rPr>
              <w:tab/>
            </w:r>
            <w:r w:rsidR="00E136F2" w:rsidRPr="00862B00">
              <w:rPr>
                <w:rStyle w:val="Hyperlink"/>
                <w:noProof/>
              </w:rPr>
              <w:t>Godišnji akcioni program za Crnu Goru za 2014. godinu</w:t>
            </w:r>
            <w:r w:rsidR="00E136F2">
              <w:rPr>
                <w:noProof/>
                <w:webHidden/>
              </w:rPr>
              <w:tab/>
            </w:r>
            <w:r w:rsidR="00E136F2">
              <w:rPr>
                <w:noProof/>
                <w:webHidden/>
              </w:rPr>
              <w:fldChar w:fldCharType="begin"/>
            </w:r>
            <w:r w:rsidR="00E136F2">
              <w:rPr>
                <w:noProof/>
                <w:webHidden/>
              </w:rPr>
              <w:instrText xml:space="preserve"> PAGEREF _Toc201700294 \h </w:instrText>
            </w:r>
            <w:r w:rsidR="00E136F2">
              <w:rPr>
                <w:noProof/>
                <w:webHidden/>
              </w:rPr>
            </w:r>
            <w:r w:rsidR="00E136F2">
              <w:rPr>
                <w:noProof/>
                <w:webHidden/>
              </w:rPr>
              <w:fldChar w:fldCharType="separate"/>
            </w:r>
            <w:r w:rsidR="00E136F2">
              <w:rPr>
                <w:noProof/>
                <w:webHidden/>
              </w:rPr>
              <w:t>13</w:t>
            </w:r>
            <w:r w:rsidR="00E136F2">
              <w:rPr>
                <w:noProof/>
                <w:webHidden/>
              </w:rPr>
              <w:fldChar w:fldCharType="end"/>
            </w:r>
          </w:hyperlink>
        </w:p>
        <w:p w14:paraId="572E9EBF" w14:textId="451D177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295" w:history="1">
            <w:r w:rsidR="00E136F2" w:rsidRPr="00862B00">
              <w:rPr>
                <w:rStyle w:val="Hyperlink"/>
                <w:noProof/>
              </w:rPr>
              <w:t>1.3.2</w:t>
            </w:r>
            <w:r w:rsidR="00E136F2">
              <w:rPr>
                <w:rFonts w:asciiTheme="minorHAnsi" w:eastAsiaTheme="minorEastAsia" w:hAnsiTheme="minorHAnsi"/>
                <w:noProof/>
                <w:kern w:val="0"/>
                <w:sz w:val="22"/>
                <w:lang w:val="en-US"/>
                <w14:ligatures w14:val="none"/>
              </w:rPr>
              <w:tab/>
            </w:r>
            <w:r w:rsidR="00E136F2" w:rsidRPr="00862B00">
              <w:rPr>
                <w:rStyle w:val="Hyperlink"/>
                <w:noProof/>
              </w:rPr>
              <w:t>Godišnji akcioni program za Crnu Goru za 2015. godinu</w:t>
            </w:r>
            <w:r w:rsidR="00E136F2">
              <w:rPr>
                <w:noProof/>
                <w:webHidden/>
              </w:rPr>
              <w:tab/>
            </w:r>
            <w:r w:rsidR="00E136F2">
              <w:rPr>
                <w:noProof/>
                <w:webHidden/>
              </w:rPr>
              <w:fldChar w:fldCharType="begin"/>
            </w:r>
            <w:r w:rsidR="00E136F2">
              <w:rPr>
                <w:noProof/>
                <w:webHidden/>
              </w:rPr>
              <w:instrText xml:space="preserve"> PAGEREF _Toc201700295 \h </w:instrText>
            </w:r>
            <w:r w:rsidR="00E136F2">
              <w:rPr>
                <w:noProof/>
                <w:webHidden/>
              </w:rPr>
            </w:r>
            <w:r w:rsidR="00E136F2">
              <w:rPr>
                <w:noProof/>
                <w:webHidden/>
              </w:rPr>
              <w:fldChar w:fldCharType="separate"/>
            </w:r>
            <w:r w:rsidR="00E136F2">
              <w:rPr>
                <w:noProof/>
                <w:webHidden/>
              </w:rPr>
              <w:t>14</w:t>
            </w:r>
            <w:r w:rsidR="00E136F2">
              <w:rPr>
                <w:noProof/>
                <w:webHidden/>
              </w:rPr>
              <w:fldChar w:fldCharType="end"/>
            </w:r>
          </w:hyperlink>
        </w:p>
        <w:p w14:paraId="328CF5C8" w14:textId="5C29018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296" w:history="1">
            <w:r w:rsidR="00E136F2" w:rsidRPr="00862B00">
              <w:rPr>
                <w:rStyle w:val="Hyperlink"/>
                <w:noProof/>
              </w:rPr>
              <w:t>1.3.3</w:t>
            </w:r>
            <w:r w:rsidR="00E136F2">
              <w:rPr>
                <w:rFonts w:asciiTheme="minorHAnsi" w:eastAsiaTheme="minorEastAsia" w:hAnsiTheme="minorHAnsi"/>
                <w:noProof/>
                <w:kern w:val="0"/>
                <w:sz w:val="22"/>
                <w:lang w:val="en-US"/>
                <w14:ligatures w14:val="none"/>
              </w:rPr>
              <w:tab/>
            </w:r>
            <w:r w:rsidR="00E136F2" w:rsidRPr="00862B00">
              <w:rPr>
                <w:rStyle w:val="Hyperlink"/>
                <w:noProof/>
              </w:rPr>
              <w:t>Godišnji akcioni program za Crnu Goru za 2016. godinu</w:t>
            </w:r>
            <w:r w:rsidR="00E136F2">
              <w:rPr>
                <w:noProof/>
                <w:webHidden/>
              </w:rPr>
              <w:tab/>
            </w:r>
            <w:r w:rsidR="00E136F2">
              <w:rPr>
                <w:noProof/>
                <w:webHidden/>
              </w:rPr>
              <w:fldChar w:fldCharType="begin"/>
            </w:r>
            <w:r w:rsidR="00E136F2">
              <w:rPr>
                <w:noProof/>
                <w:webHidden/>
              </w:rPr>
              <w:instrText xml:space="preserve"> PAGEREF _Toc201700296 \h </w:instrText>
            </w:r>
            <w:r w:rsidR="00E136F2">
              <w:rPr>
                <w:noProof/>
                <w:webHidden/>
              </w:rPr>
            </w:r>
            <w:r w:rsidR="00E136F2">
              <w:rPr>
                <w:noProof/>
                <w:webHidden/>
              </w:rPr>
              <w:fldChar w:fldCharType="separate"/>
            </w:r>
            <w:r w:rsidR="00E136F2">
              <w:rPr>
                <w:noProof/>
                <w:webHidden/>
              </w:rPr>
              <w:t>14</w:t>
            </w:r>
            <w:r w:rsidR="00E136F2">
              <w:rPr>
                <w:noProof/>
                <w:webHidden/>
              </w:rPr>
              <w:fldChar w:fldCharType="end"/>
            </w:r>
          </w:hyperlink>
        </w:p>
        <w:p w14:paraId="64BDBED0" w14:textId="23B551AE"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297" w:history="1">
            <w:r w:rsidR="00E136F2" w:rsidRPr="00862B00">
              <w:rPr>
                <w:rStyle w:val="Hyperlink"/>
                <w:noProof/>
              </w:rPr>
              <w:t>1.3.4</w:t>
            </w:r>
            <w:r w:rsidR="00E136F2">
              <w:rPr>
                <w:rFonts w:asciiTheme="minorHAnsi" w:eastAsiaTheme="minorEastAsia" w:hAnsiTheme="minorHAnsi"/>
                <w:noProof/>
                <w:kern w:val="0"/>
                <w:sz w:val="22"/>
                <w:lang w:val="en-US"/>
                <w14:ligatures w14:val="none"/>
              </w:rPr>
              <w:tab/>
            </w:r>
            <w:r w:rsidR="00E136F2" w:rsidRPr="00862B00">
              <w:rPr>
                <w:rStyle w:val="Hyperlink"/>
                <w:noProof/>
              </w:rPr>
              <w:t>Godišnji akcioni program za Crnu Goru za 2017. godinu</w:t>
            </w:r>
            <w:r w:rsidR="00E136F2">
              <w:rPr>
                <w:noProof/>
                <w:webHidden/>
              </w:rPr>
              <w:tab/>
            </w:r>
            <w:r w:rsidR="00E136F2">
              <w:rPr>
                <w:noProof/>
                <w:webHidden/>
              </w:rPr>
              <w:fldChar w:fldCharType="begin"/>
            </w:r>
            <w:r w:rsidR="00E136F2">
              <w:rPr>
                <w:noProof/>
                <w:webHidden/>
              </w:rPr>
              <w:instrText xml:space="preserve"> PAGEREF _Toc201700297 \h </w:instrText>
            </w:r>
            <w:r w:rsidR="00E136F2">
              <w:rPr>
                <w:noProof/>
                <w:webHidden/>
              </w:rPr>
            </w:r>
            <w:r w:rsidR="00E136F2">
              <w:rPr>
                <w:noProof/>
                <w:webHidden/>
              </w:rPr>
              <w:fldChar w:fldCharType="separate"/>
            </w:r>
            <w:r w:rsidR="00E136F2">
              <w:rPr>
                <w:noProof/>
                <w:webHidden/>
              </w:rPr>
              <w:t>14</w:t>
            </w:r>
            <w:r w:rsidR="00E136F2">
              <w:rPr>
                <w:noProof/>
                <w:webHidden/>
              </w:rPr>
              <w:fldChar w:fldCharType="end"/>
            </w:r>
          </w:hyperlink>
        </w:p>
        <w:p w14:paraId="5E4E2480" w14:textId="0FC75E8B"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298" w:history="1">
            <w:r w:rsidR="00E136F2" w:rsidRPr="00862B00">
              <w:rPr>
                <w:rStyle w:val="Hyperlink"/>
                <w:noProof/>
              </w:rPr>
              <w:t>1.3.5</w:t>
            </w:r>
            <w:r w:rsidR="00E136F2">
              <w:rPr>
                <w:rFonts w:asciiTheme="minorHAnsi" w:eastAsiaTheme="minorEastAsia" w:hAnsiTheme="minorHAnsi"/>
                <w:noProof/>
                <w:kern w:val="0"/>
                <w:sz w:val="22"/>
                <w:lang w:val="en-US"/>
                <w14:ligatures w14:val="none"/>
              </w:rPr>
              <w:tab/>
            </w:r>
            <w:r w:rsidR="00E136F2" w:rsidRPr="00862B00">
              <w:rPr>
                <w:rStyle w:val="Hyperlink"/>
                <w:noProof/>
              </w:rPr>
              <w:t>Godišnji akcioni program za Crnu Goru za 2018. godinu</w:t>
            </w:r>
            <w:r w:rsidR="00E136F2">
              <w:rPr>
                <w:noProof/>
                <w:webHidden/>
              </w:rPr>
              <w:tab/>
            </w:r>
            <w:r w:rsidR="00E136F2">
              <w:rPr>
                <w:noProof/>
                <w:webHidden/>
              </w:rPr>
              <w:fldChar w:fldCharType="begin"/>
            </w:r>
            <w:r w:rsidR="00E136F2">
              <w:rPr>
                <w:noProof/>
                <w:webHidden/>
              </w:rPr>
              <w:instrText xml:space="preserve"> PAGEREF _Toc201700298 \h </w:instrText>
            </w:r>
            <w:r w:rsidR="00E136F2">
              <w:rPr>
                <w:noProof/>
                <w:webHidden/>
              </w:rPr>
            </w:r>
            <w:r w:rsidR="00E136F2">
              <w:rPr>
                <w:noProof/>
                <w:webHidden/>
              </w:rPr>
              <w:fldChar w:fldCharType="separate"/>
            </w:r>
            <w:r w:rsidR="00E136F2">
              <w:rPr>
                <w:noProof/>
                <w:webHidden/>
              </w:rPr>
              <w:t>14</w:t>
            </w:r>
            <w:r w:rsidR="00E136F2">
              <w:rPr>
                <w:noProof/>
                <w:webHidden/>
              </w:rPr>
              <w:fldChar w:fldCharType="end"/>
            </w:r>
          </w:hyperlink>
        </w:p>
        <w:p w14:paraId="76DB34C3" w14:textId="3003EC61"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299" w:history="1">
            <w:r w:rsidR="00E136F2" w:rsidRPr="00862B00">
              <w:rPr>
                <w:rStyle w:val="Hyperlink"/>
                <w:noProof/>
              </w:rPr>
              <w:t>1.3.6</w:t>
            </w:r>
            <w:r w:rsidR="00E136F2">
              <w:rPr>
                <w:rFonts w:asciiTheme="minorHAnsi" w:eastAsiaTheme="minorEastAsia" w:hAnsiTheme="minorHAnsi"/>
                <w:noProof/>
                <w:kern w:val="0"/>
                <w:sz w:val="22"/>
                <w:lang w:val="en-US"/>
                <w14:ligatures w14:val="none"/>
              </w:rPr>
              <w:tab/>
            </w:r>
            <w:r w:rsidR="00E136F2" w:rsidRPr="00862B00">
              <w:rPr>
                <w:rStyle w:val="Hyperlink"/>
                <w:noProof/>
              </w:rPr>
              <w:t>Godišnji akcioni program za Crnu Goru za 2019. godinu</w:t>
            </w:r>
            <w:r w:rsidR="00E136F2">
              <w:rPr>
                <w:noProof/>
                <w:webHidden/>
              </w:rPr>
              <w:tab/>
            </w:r>
            <w:r w:rsidR="00E136F2">
              <w:rPr>
                <w:noProof/>
                <w:webHidden/>
              </w:rPr>
              <w:fldChar w:fldCharType="begin"/>
            </w:r>
            <w:r w:rsidR="00E136F2">
              <w:rPr>
                <w:noProof/>
                <w:webHidden/>
              </w:rPr>
              <w:instrText xml:space="preserve"> PAGEREF _Toc201700299 \h </w:instrText>
            </w:r>
            <w:r w:rsidR="00E136F2">
              <w:rPr>
                <w:noProof/>
                <w:webHidden/>
              </w:rPr>
            </w:r>
            <w:r w:rsidR="00E136F2">
              <w:rPr>
                <w:noProof/>
                <w:webHidden/>
              </w:rPr>
              <w:fldChar w:fldCharType="separate"/>
            </w:r>
            <w:r w:rsidR="00E136F2">
              <w:rPr>
                <w:noProof/>
                <w:webHidden/>
              </w:rPr>
              <w:t>14</w:t>
            </w:r>
            <w:r w:rsidR="00E136F2">
              <w:rPr>
                <w:noProof/>
                <w:webHidden/>
              </w:rPr>
              <w:fldChar w:fldCharType="end"/>
            </w:r>
          </w:hyperlink>
        </w:p>
        <w:p w14:paraId="52841D1E" w14:textId="7559D862"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00" w:history="1">
            <w:r w:rsidR="00E136F2" w:rsidRPr="00862B00">
              <w:rPr>
                <w:rStyle w:val="Hyperlink"/>
                <w:noProof/>
              </w:rPr>
              <w:t>1.3.7</w:t>
            </w:r>
            <w:r w:rsidR="00E136F2">
              <w:rPr>
                <w:rFonts w:asciiTheme="minorHAnsi" w:eastAsiaTheme="minorEastAsia" w:hAnsiTheme="minorHAnsi"/>
                <w:noProof/>
                <w:kern w:val="0"/>
                <w:sz w:val="22"/>
                <w:lang w:val="en-US"/>
                <w14:ligatures w14:val="none"/>
              </w:rPr>
              <w:tab/>
            </w:r>
            <w:r w:rsidR="00E136F2" w:rsidRPr="00862B00">
              <w:rPr>
                <w:rStyle w:val="Hyperlink"/>
                <w:noProof/>
              </w:rPr>
              <w:t>Sektorski Operativni program za zapošljavanje, edukaciju i socijalne politike 2015-2017 (SOPEES 2015-2017)</w:t>
            </w:r>
            <w:r w:rsidR="00E136F2">
              <w:rPr>
                <w:noProof/>
                <w:webHidden/>
              </w:rPr>
              <w:tab/>
            </w:r>
            <w:r w:rsidR="00E136F2">
              <w:rPr>
                <w:noProof/>
                <w:webHidden/>
              </w:rPr>
              <w:fldChar w:fldCharType="begin"/>
            </w:r>
            <w:r w:rsidR="00E136F2">
              <w:rPr>
                <w:noProof/>
                <w:webHidden/>
              </w:rPr>
              <w:instrText xml:space="preserve"> PAGEREF _Toc201700300 \h </w:instrText>
            </w:r>
            <w:r w:rsidR="00E136F2">
              <w:rPr>
                <w:noProof/>
                <w:webHidden/>
              </w:rPr>
            </w:r>
            <w:r w:rsidR="00E136F2">
              <w:rPr>
                <w:noProof/>
                <w:webHidden/>
              </w:rPr>
              <w:fldChar w:fldCharType="separate"/>
            </w:r>
            <w:r w:rsidR="00E136F2">
              <w:rPr>
                <w:noProof/>
                <w:webHidden/>
              </w:rPr>
              <w:t>14</w:t>
            </w:r>
            <w:r w:rsidR="00E136F2">
              <w:rPr>
                <w:noProof/>
                <w:webHidden/>
              </w:rPr>
              <w:fldChar w:fldCharType="end"/>
            </w:r>
          </w:hyperlink>
        </w:p>
        <w:p w14:paraId="315DE08A" w14:textId="031C9E18"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01" w:history="1">
            <w:r w:rsidR="00E136F2" w:rsidRPr="00862B00">
              <w:rPr>
                <w:rStyle w:val="Hyperlink"/>
                <w:noProof/>
              </w:rPr>
              <w:t>1.3.8</w:t>
            </w:r>
            <w:r w:rsidR="00E136F2">
              <w:rPr>
                <w:rFonts w:asciiTheme="minorHAnsi" w:eastAsiaTheme="minorEastAsia" w:hAnsiTheme="minorHAnsi"/>
                <w:noProof/>
                <w:kern w:val="0"/>
                <w:sz w:val="22"/>
                <w:lang w:val="en-US"/>
                <w14:ligatures w14:val="none"/>
              </w:rPr>
              <w:tab/>
            </w:r>
            <w:r w:rsidR="00D858E0">
              <w:rPr>
                <w:rStyle w:val="Hyperlink"/>
                <w:noProof/>
              </w:rPr>
              <w:t>PGS</w:t>
            </w:r>
            <w:r w:rsidR="00E136F2" w:rsidRPr="00862B00">
              <w:rPr>
                <w:rStyle w:val="Hyperlink"/>
                <w:noProof/>
              </w:rPr>
              <w:t xml:space="preserve"> Program Crna Gora-Albanija 2014-2020</w:t>
            </w:r>
            <w:r w:rsidR="00E136F2">
              <w:rPr>
                <w:noProof/>
                <w:webHidden/>
              </w:rPr>
              <w:tab/>
            </w:r>
            <w:r w:rsidR="00E136F2">
              <w:rPr>
                <w:noProof/>
                <w:webHidden/>
              </w:rPr>
              <w:fldChar w:fldCharType="begin"/>
            </w:r>
            <w:r w:rsidR="00E136F2">
              <w:rPr>
                <w:noProof/>
                <w:webHidden/>
              </w:rPr>
              <w:instrText xml:space="preserve"> PAGEREF _Toc201700301 \h </w:instrText>
            </w:r>
            <w:r w:rsidR="00E136F2">
              <w:rPr>
                <w:noProof/>
                <w:webHidden/>
              </w:rPr>
            </w:r>
            <w:r w:rsidR="00E136F2">
              <w:rPr>
                <w:noProof/>
                <w:webHidden/>
              </w:rPr>
              <w:fldChar w:fldCharType="separate"/>
            </w:r>
            <w:r w:rsidR="00E136F2">
              <w:rPr>
                <w:noProof/>
                <w:webHidden/>
              </w:rPr>
              <w:t>15</w:t>
            </w:r>
            <w:r w:rsidR="00E136F2">
              <w:rPr>
                <w:noProof/>
                <w:webHidden/>
              </w:rPr>
              <w:fldChar w:fldCharType="end"/>
            </w:r>
          </w:hyperlink>
        </w:p>
        <w:p w14:paraId="797BE366" w14:textId="4D40F28A"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02" w:history="1">
            <w:r w:rsidR="00E136F2" w:rsidRPr="00862B00">
              <w:rPr>
                <w:rStyle w:val="Hyperlink"/>
                <w:noProof/>
              </w:rPr>
              <w:t>1.3.9</w:t>
            </w:r>
            <w:r w:rsidR="00E136F2">
              <w:rPr>
                <w:rFonts w:asciiTheme="minorHAnsi" w:eastAsiaTheme="minorEastAsia" w:hAnsiTheme="minorHAnsi"/>
                <w:noProof/>
                <w:kern w:val="0"/>
                <w:sz w:val="22"/>
                <w:lang w:val="en-US"/>
                <w14:ligatures w14:val="none"/>
              </w:rPr>
              <w:tab/>
            </w:r>
            <w:r w:rsidR="00D858E0">
              <w:rPr>
                <w:rStyle w:val="Hyperlink"/>
                <w:noProof/>
              </w:rPr>
              <w:t>PGS</w:t>
            </w:r>
            <w:r w:rsidR="00E136F2" w:rsidRPr="00862B00">
              <w:rPr>
                <w:rStyle w:val="Hyperlink"/>
                <w:noProof/>
              </w:rPr>
              <w:t xml:space="preserve"> Program Crna Gora-Kosovo 2014-2020</w:t>
            </w:r>
            <w:r w:rsidR="00E136F2">
              <w:rPr>
                <w:noProof/>
                <w:webHidden/>
              </w:rPr>
              <w:tab/>
            </w:r>
            <w:r w:rsidR="00E136F2">
              <w:rPr>
                <w:noProof/>
                <w:webHidden/>
              </w:rPr>
              <w:fldChar w:fldCharType="begin"/>
            </w:r>
            <w:r w:rsidR="00E136F2">
              <w:rPr>
                <w:noProof/>
                <w:webHidden/>
              </w:rPr>
              <w:instrText xml:space="preserve"> PAGEREF _Toc201700302 \h </w:instrText>
            </w:r>
            <w:r w:rsidR="00E136F2">
              <w:rPr>
                <w:noProof/>
                <w:webHidden/>
              </w:rPr>
            </w:r>
            <w:r w:rsidR="00E136F2">
              <w:rPr>
                <w:noProof/>
                <w:webHidden/>
              </w:rPr>
              <w:fldChar w:fldCharType="separate"/>
            </w:r>
            <w:r w:rsidR="00E136F2">
              <w:rPr>
                <w:noProof/>
                <w:webHidden/>
              </w:rPr>
              <w:t>15</w:t>
            </w:r>
            <w:r w:rsidR="00E136F2">
              <w:rPr>
                <w:noProof/>
                <w:webHidden/>
              </w:rPr>
              <w:fldChar w:fldCharType="end"/>
            </w:r>
          </w:hyperlink>
        </w:p>
        <w:p w14:paraId="20CFB505" w14:textId="1B2B5E10"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03" w:history="1">
            <w:r w:rsidR="00E136F2" w:rsidRPr="00862B00">
              <w:rPr>
                <w:rStyle w:val="Hyperlink"/>
                <w:noProof/>
              </w:rPr>
              <w:t>1.4</w:t>
            </w:r>
            <w:r w:rsidR="00E136F2">
              <w:rPr>
                <w:rFonts w:asciiTheme="minorHAnsi" w:eastAsiaTheme="minorEastAsia" w:hAnsiTheme="minorHAnsi"/>
                <w:noProof/>
                <w:kern w:val="0"/>
                <w:sz w:val="22"/>
                <w:lang w:val="en-US"/>
                <w14:ligatures w14:val="none"/>
              </w:rPr>
              <w:tab/>
            </w:r>
            <w:r w:rsidR="00E136F2" w:rsidRPr="00862B00">
              <w:rPr>
                <w:rStyle w:val="Hyperlink"/>
                <w:noProof/>
              </w:rPr>
              <w:t>Izazovi povezani sa implementacijom Završnog mjerila 1</w:t>
            </w:r>
            <w:r w:rsidR="00E136F2">
              <w:rPr>
                <w:noProof/>
                <w:webHidden/>
              </w:rPr>
              <w:tab/>
            </w:r>
            <w:r w:rsidR="00E136F2">
              <w:rPr>
                <w:noProof/>
                <w:webHidden/>
              </w:rPr>
              <w:fldChar w:fldCharType="begin"/>
            </w:r>
            <w:r w:rsidR="00E136F2">
              <w:rPr>
                <w:noProof/>
                <w:webHidden/>
              </w:rPr>
              <w:instrText xml:space="preserve"> PAGEREF _Toc201700303 \h </w:instrText>
            </w:r>
            <w:r w:rsidR="00E136F2">
              <w:rPr>
                <w:noProof/>
                <w:webHidden/>
              </w:rPr>
            </w:r>
            <w:r w:rsidR="00E136F2">
              <w:rPr>
                <w:noProof/>
                <w:webHidden/>
              </w:rPr>
              <w:fldChar w:fldCharType="separate"/>
            </w:r>
            <w:r w:rsidR="00E136F2">
              <w:rPr>
                <w:noProof/>
                <w:webHidden/>
              </w:rPr>
              <w:t>16</w:t>
            </w:r>
            <w:r w:rsidR="00E136F2">
              <w:rPr>
                <w:noProof/>
                <w:webHidden/>
              </w:rPr>
              <w:fldChar w:fldCharType="end"/>
            </w:r>
          </w:hyperlink>
        </w:p>
        <w:p w14:paraId="5B60491F" w14:textId="34B0BDAE"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04" w:history="1">
            <w:r w:rsidR="00E136F2" w:rsidRPr="00862B00">
              <w:rPr>
                <w:rStyle w:val="Hyperlink"/>
                <w:noProof/>
              </w:rPr>
              <w:t>1.5</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_Toc201700304 \h </w:instrText>
            </w:r>
            <w:r w:rsidR="00E136F2">
              <w:rPr>
                <w:noProof/>
                <w:webHidden/>
              </w:rPr>
            </w:r>
            <w:r w:rsidR="00E136F2">
              <w:rPr>
                <w:noProof/>
                <w:webHidden/>
              </w:rPr>
              <w:fldChar w:fldCharType="separate"/>
            </w:r>
            <w:r w:rsidR="00E136F2">
              <w:rPr>
                <w:noProof/>
                <w:webHidden/>
              </w:rPr>
              <w:t>16</w:t>
            </w:r>
            <w:r w:rsidR="00E136F2">
              <w:rPr>
                <w:noProof/>
                <w:webHidden/>
              </w:rPr>
              <w:fldChar w:fldCharType="end"/>
            </w:r>
          </w:hyperlink>
        </w:p>
        <w:p w14:paraId="17E20EF8" w14:textId="6D165EF8"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305" w:history="1">
            <w:r w:rsidR="00E136F2" w:rsidRPr="00862B00">
              <w:rPr>
                <w:rStyle w:val="Hyperlink"/>
                <w:noProof/>
              </w:rPr>
              <w:t>2</w:t>
            </w:r>
            <w:r w:rsidR="00E136F2">
              <w:rPr>
                <w:rFonts w:asciiTheme="minorHAnsi" w:eastAsiaTheme="minorEastAsia" w:hAnsiTheme="minorHAnsi"/>
                <w:noProof/>
                <w:kern w:val="0"/>
                <w:sz w:val="22"/>
                <w:lang w:val="en-US"/>
                <w14:ligatures w14:val="none"/>
              </w:rPr>
              <w:tab/>
            </w:r>
            <w:r w:rsidR="00E136F2" w:rsidRPr="00862B00">
              <w:rPr>
                <w:rStyle w:val="Hyperlink"/>
                <w:noProof/>
              </w:rPr>
              <w:t>Završna mjerila 2 i 3</w:t>
            </w:r>
            <w:r w:rsidR="00E136F2">
              <w:rPr>
                <w:noProof/>
                <w:webHidden/>
              </w:rPr>
              <w:tab/>
            </w:r>
            <w:r w:rsidR="00E136F2">
              <w:rPr>
                <w:noProof/>
                <w:webHidden/>
              </w:rPr>
              <w:fldChar w:fldCharType="begin"/>
            </w:r>
            <w:r w:rsidR="00E136F2">
              <w:rPr>
                <w:noProof/>
                <w:webHidden/>
              </w:rPr>
              <w:instrText xml:space="preserve"> PAGEREF _Toc201700305 \h </w:instrText>
            </w:r>
            <w:r w:rsidR="00E136F2">
              <w:rPr>
                <w:noProof/>
                <w:webHidden/>
              </w:rPr>
            </w:r>
            <w:r w:rsidR="00E136F2">
              <w:rPr>
                <w:noProof/>
                <w:webHidden/>
              </w:rPr>
              <w:fldChar w:fldCharType="separate"/>
            </w:r>
            <w:r w:rsidR="00E136F2">
              <w:rPr>
                <w:noProof/>
                <w:webHidden/>
              </w:rPr>
              <w:t>17</w:t>
            </w:r>
            <w:r w:rsidR="00E136F2">
              <w:rPr>
                <w:noProof/>
                <w:webHidden/>
              </w:rPr>
              <w:fldChar w:fldCharType="end"/>
            </w:r>
          </w:hyperlink>
        </w:p>
        <w:p w14:paraId="5664F85D" w14:textId="302ABB68"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06" w:history="1">
            <w:r w:rsidR="00E136F2" w:rsidRPr="00862B00">
              <w:rPr>
                <w:rStyle w:val="Hyperlink"/>
                <w:noProof/>
              </w:rPr>
              <w:t>2.1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_Toc201700306 \h </w:instrText>
            </w:r>
            <w:r w:rsidR="00E136F2">
              <w:rPr>
                <w:noProof/>
                <w:webHidden/>
              </w:rPr>
            </w:r>
            <w:r w:rsidR="00E136F2">
              <w:rPr>
                <w:noProof/>
                <w:webHidden/>
              </w:rPr>
              <w:fldChar w:fldCharType="separate"/>
            </w:r>
            <w:r w:rsidR="00E136F2">
              <w:rPr>
                <w:noProof/>
                <w:webHidden/>
              </w:rPr>
              <w:t>17</w:t>
            </w:r>
            <w:r w:rsidR="00E136F2">
              <w:rPr>
                <w:noProof/>
                <w:webHidden/>
              </w:rPr>
              <w:fldChar w:fldCharType="end"/>
            </w:r>
          </w:hyperlink>
        </w:p>
        <w:p w14:paraId="7A98F16E" w14:textId="56846B3E"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07" w:history="1">
            <w:r w:rsidR="00E136F2" w:rsidRPr="00862B00">
              <w:rPr>
                <w:rStyle w:val="Hyperlink"/>
                <w:noProof/>
              </w:rPr>
              <w:t>2.2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_Toc201700307 \h </w:instrText>
            </w:r>
            <w:r w:rsidR="00E136F2">
              <w:rPr>
                <w:noProof/>
                <w:webHidden/>
              </w:rPr>
            </w:r>
            <w:r w:rsidR="00E136F2">
              <w:rPr>
                <w:noProof/>
                <w:webHidden/>
              </w:rPr>
              <w:fldChar w:fldCharType="separate"/>
            </w:r>
            <w:r w:rsidR="00E136F2">
              <w:rPr>
                <w:noProof/>
                <w:webHidden/>
              </w:rPr>
              <w:t>19</w:t>
            </w:r>
            <w:r w:rsidR="00E136F2">
              <w:rPr>
                <w:noProof/>
                <w:webHidden/>
              </w:rPr>
              <w:fldChar w:fldCharType="end"/>
            </w:r>
          </w:hyperlink>
        </w:p>
        <w:p w14:paraId="58730D82" w14:textId="07E36D6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08" w:history="1">
            <w:r w:rsidR="00E136F2" w:rsidRPr="00862B00">
              <w:rPr>
                <w:rStyle w:val="Hyperlink"/>
                <w:noProof/>
              </w:rPr>
              <w:t>2.2.1</w:t>
            </w:r>
            <w:r w:rsidR="00E136F2">
              <w:rPr>
                <w:rFonts w:asciiTheme="minorHAnsi" w:eastAsiaTheme="minorEastAsia" w:hAnsiTheme="minorHAnsi"/>
                <w:noProof/>
                <w:kern w:val="0"/>
                <w:sz w:val="22"/>
                <w:lang w:val="en-US"/>
                <w14:ligatures w14:val="none"/>
              </w:rPr>
              <w:tab/>
            </w:r>
            <w:r w:rsidR="00E136F2" w:rsidRPr="00862B00">
              <w:rPr>
                <w:rStyle w:val="Hyperlink"/>
                <w:noProof/>
              </w:rPr>
              <w:t>Planiranje u oblasti javnih politika</w:t>
            </w:r>
            <w:r w:rsidR="00E136F2">
              <w:rPr>
                <w:noProof/>
                <w:webHidden/>
              </w:rPr>
              <w:tab/>
            </w:r>
            <w:r w:rsidR="00E136F2">
              <w:rPr>
                <w:noProof/>
                <w:webHidden/>
              </w:rPr>
              <w:fldChar w:fldCharType="begin"/>
            </w:r>
            <w:r w:rsidR="00E136F2">
              <w:rPr>
                <w:noProof/>
                <w:webHidden/>
              </w:rPr>
              <w:instrText xml:space="preserve"> PAGEREF _Toc201700308 \h </w:instrText>
            </w:r>
            <w:r w:rsidR="00E136F2">
              <w:rPr>
                <w:noProof/>
                <w:webHidden/>
              </w:rPr>
            </w:r>
            <w:r w:rsidR="00E136F2">
              <w:rPr>
                <w:noProof/>
                <w:webHidden/>
              </w:rPr>
              <w:fldChar w:fldCharType="separate"/>
            </w:r>
            <w:r w:rsidR="00E136F2">
              <w:rPr>
                <w:noProof/>
                <w:webHidden/>
              </w:rPr>
              <w:t>19</w:t>
            </w:r>
            <w:r w:rsidR="00E136F2">
              <w:rPr>
                <w:noProof/>
                <w:webHidden/>
              </w:rPr>
              <w:fldChar w:fldCharType="end"/>
            </w:r>
          </w:hyperlink>
        </w:p>
        <w:p w14:paraId="50DA1A81" w14:textId="49FC8568"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09" w:history="1">
            <w:r w:rsidR="00E136F2" w:rsidRPr="00862B00">
              <w:rPr>
                <w:rStyle w:val="Hyperlink"/>
                <w:noProof/>
              </w:rPr>
              <w:t>2.2.2</w:t>
            </w:r>
            <w:r w:rsidR="00E136F2">
              <w:rPr>
                <w:rFonts w:asciiTheme="minorHAnsi" w:eastAsiaTheme="minorEastAsia" w:hAnsiTheme="minorHAnsi"/>
                <w:noProof/>
                <w:kern w:val="0"/>
                <w:sz w:val="22"/>
                <w:lang w:val="en-US"/>
                <w14:ligatures w14:val="none"/>
              </w:rPr>
              <w:tab/>
            </w:r>
            <w:r w:rsidR="00E136F2" w:rsidRPr="00862B00">
              <w:rPr>
                <w:rStyle w:val="Hyperlink"/>
                <w:noProof/>
              </w:rPr>
              <w:t>Višeslojno upravljanje</w:t>
            </w:r>
            <w:r w:rsidR="00E136F2">
              <w:rPr>
                <w:noProof/>
                <w:webHidden/>
              </w:rPr>
              <w:tab/>
            </w:r>
            <w:r w:rsidR="00E136F2">
              <w:rPr>
                <w:noProof/>
                <w:webHidden/>
              </w:rPr>
              <w:fldChar w:fldCharType="begin"/>
            </w:r>
            <w:r w:rsidR="00E136F2">
              <w:rPr>
                <w:noProof/>
                <w:webHidden/>
              </w:rPr>
              <w:instrText xml:space="preserve"> PAGEREF _Toc201700309 \h </w:instrText>
            </w:r>
            <w:r w:rsidR="00E136F2">
              <w:rPr>
                <w:noProof/>
                <w:webHidden/>
              </w:rPr>
            </w:r>
            <w:r w:rsidR="00E136F2">
              <w:rPr>
                <w:noProof/>
                <w:webHidden/>
              </w:rPr>
              <w:fldChar w:fldCharType="separate"/>
            </w:r>
            <w:r w:rsidR="00E136F2">
              <w:rPr>
                <w:noProof/>
                <w:webHidden/>
              </w:rPr>
              <w:t>19</w:t>
            </w:r>
            <w:r w:rsidR="00E136F2">
              <w:rPr>
                <w:noProof/>
                <w:webHidden/>
              </w:rPr>
              <w:fldChar w:fldCharType="end"/>
            </w:r>
          </w:hyperlink>
        </w:p>
        <w:p w14:paraId="5A379E61" w14:textId="068CA668"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10" w:history="1">
            <w:r w:rsidR="00E136F2" w:rsidRPr="00862B00">
              <w:rPr>
                <w:rStyle w:val="Hyperlink"/>
                <w:noProof/>
              </w:rPr>
              <w:t>2.2.3</w:t>
            </w:r>
            <w:r w:rsidR="00E136F2">
              <w:rPr>
                <w:rFonts w:asciiTheme="minorHAnsi" w:eastAsiaTheme="minorEastAsia" w:hAnsiTheme="minorHAnsi"/>
                <w:noProof/>
                <w:kern w:val="0"/>
                <w:sz w:val="22"/>
                <w:lang w:val="en-US"/>
                <w14:ligatures w14:val="none"/>
              </w:rPr>
              <w:tab/>
            </w:r>
            <w:r w:rsidR="00E136F2" w:rsidRPr="00862B00">
              <w:rPr>
                <w:rStyle w:val="Hyperlink"/>
                <w:noProof/>
              </w:rPr>
              <w:t>Konsultacije sa zainteresovanim stranama i javnošću.</w:t>
            </w:r>
            <w:r w:rsidR="00E136F2">
              <w:rPr>
                <w:noProof/>
                <w:webHidden/>
              </w:rPr>
              <w:tab/>
            </w:r>
            <w:r w:rsidR="00E136F2">
              <w:rPr>
                <w:noProof/>
                <w:webHidden/>
              </w:rPr>
              <w:fldChar w:fldCharType="begin"/>
            </w:r>
            <w:r w:rsidR="00E136F2">
              <w:rPr>
                <w:noProof/>
                <w:webHidden/>
              </w:rPr>
              <w:instrText xml:space="preserve"> PAGEREF _Toc201700310 \h </w:instrText>
            </w:r>
            <w:r w:rsidR="00E136F2">
              <w:rPr>
                <w:noProof/>
                <w:webHidden/>
              </w:rPr>
            </w:r>
            <w:r w:rsidR="00E136F2">
              <w:rPr>
                <w:noProof/>
                <w:webHidden/>
              </w:rPr>
              <w:fldChar w:fldCharType="separate"/>
            </w:r>
            <w:r w:rsidR="00E136F2">
              <w:rPr>
                <w:noProof/>
                <w:webHidden/>
              </w:rPr>
              <w:t>20</w:t>
            </w:r>
            <w:r w:rsidR="00E136F2">
              <w:rPr>
                <w:noProof/>
                <w:webHidden/>
              </w:rPr>
              <w:fldChar w:fldCharType="end"/>
            </w:r>
          </w:hyperlink>
        </w:p>
        <w:p w14:paraId="22C3CF13" w14:textId="7A69BED1"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11" w:history="1">
            <w:r w:rsidR="00E136F2" w:rsidRPr="00862B00">
              <w:rPr>
                <w:rStyle w:val="Hyperlink"/>
                <w:noProof/>
              </w:rPr>
              <w:t>2.2.4</w:t>
            </w:r>
            <w:r w:rsidR="00E136F2">
              <w:rPr>
                <w:rFonts w:asciiTheme="minorHAnsi" w:eastAsiaTheme="minorEastAsia" w:hAnsiTheme="minorHAnsi"/>
                <w:noProof/>
                <w:kern w:val="0"/>
                <w:sz w:val="22"/>
                <w:lang w:val="en-US"/>
                <w14:ligatures w14:val="none"/>
              </w:rPr>
              <w:tab/>
            </w:r>
            <w:r w:rsidR="00E136F2" w:rsidRPr="00862B00">
              <w:rPr>
                <w:rStyle w:val="Hyperlink"/>
                <w:noProof/>
              </w:rPr>
              <w:t>Makro-regionalne strategije</w:t>
            </w:r>
            <w:r w:rsidR="00E136F2">
              <w:rPr>
                <w:noProof/>
                <w:webHidden/>
              </w:rPr>
              <w:tab/>
            </w:r>
            <w:r w:rsidR="00E136F2">
              <w:rPr>
                <w:noProof/>
                <w:webHidden/>
              </w:rPr>
              <w:fldChar w:fldCharType="begin"/>
            </w:r>
            <w:r w:rsidR="00E136F2">
              <w:rPr>
                <w:noProof/>
                <w:webHidden/>
              </w:rPr>
              <w:instrText xml:space="preserve"> PAGEREF _Toc201700311 \h </w:instrText>
            </w:r>
            <w:r w:rsidR="00E136F2">
              <w:rPr>
                <w:noProof/>
                <w:webHidden/>
              </w:rPr>
            </w:r>
            <w:r w:rsidR="00E136F2">
              <w:rPr>
                <w:noProof/>
                <w:webHidden/>
              </w:rPr>
              <w:fldChar w:fldCharType="separate"/>
            </w:r>
            <w:r w:rsidR="00E136F2">
              <w:rPr>
                <w:noProof/>
                <w:webHidden/>
              </w:rPr>
              <w:t>21</w:t>
            </w:r>
            <w:r w:rsidR="00E136F2">
              <w:rPr>
                <w:noProof/>
                <w:webHidden/>
              </w:rPr>
              <w:fldChar w:fldCharType="end"/>
            </w:r>
          </w:hyperlink>
        </w:p>
        <w:p w14:paraId="4CEBCB97" w14:textId="31B3DFE9"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12" w:history="1">
            <w:r w:rsidR="00E136F2" w:rsidRPr="00862B00">
              <w:rPr>
                <w:rStyle w:val="Hyperlink"/>
                <w:noProof/>
              </w:rPr>
              <w:t>2.2.5</w:t>
            </w:r>
            <w:r w:rsidR="00E136F2">
              <w:rPr>
                <w:rFonts w:asciiTheme="minorHAnsi" w:eastAsiaTheme="minorEastAsia" w:hAnsiTheme="minorHAnsi"/>
                <w:noProof/>
                <w:kern w:val="0"/>
                <w:sz w:val="22"/>
                <w:lang w:val="en-US"/>
                <w14:ligatures w14:val="none"/>
              </w:rPr>
              <w:tab/>
            </w:r>
            <w:r w:rsidR="00E136F2" w:rsidRPr="00862B00">
              <w:rPr>
                <w:rStyle w:val="Hyperlink"/>
                <w:noProof/>
              </w:rPr>
              <w:t>Kapaciteti za planiranje strateških projekata i investicija</w:t>
            </w:r>
            <w:r w:rsidR="00E136F2">
              <w:rPr>
                <w:noProof/>
                <w:webHidden/>
              </w:rPr>
              <w:tab/>
            </w:r>
            <w:r w:rsidR="00E136F2">
              <w:rPr>
                <w:noProof/>
                <w:webHidden/>
              </w:rPr>
              <w:fldChar w:fldCharType="begin"/>
            </w:r>
            <w:r w:rsidR="00E136F2">
              <w:rPr>
                <w:noProof/>
                <w:webHidden/>
              </w:rPr>
              <w:instrText xml:space="preserve"> PAGEREF _Toc201700312 \h </w:instrText>
            </w:r>
            <w:r w:rsidR="00E136F2">
              <w:rPr>
                <w:noProof/>
                <w:webHidden/>
              </w:rPr>
            </w:r>
            <w:r w:rsidR="00E136F2">
              <w:rPr>
                <w:noProof/>
                <w:webHidden/>
              </w:rPr>
              <w:fldChar w:fldCharType="separate"/>
            </w:r>
            <w:r w:rsidR="00E136F2">
              <w:rPr>
                <w:noProof/>
                <w:webHidden/>
              </w:rPr>
              <w:t>22</w:t>
            </w:r>
            <w:r w:rsidR="00E136F2">
              <w:rPr>
                <w:noProof/>
                <w:webHidden/>
              </w:rPr>
              <w:fldChar w:fldCharType="end"/>
            </w:r>
          </w:hyperlink>
        </w:p>
        <w:p w14:paraId="0CEE48D5" w14:textId="632F7B9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13" w:history="1">
            <w:r w:rsidR="00E136F2" w:rsidRPr="00862B00">
              <w:rPr>
                <w:rStyle w:val="Hyperlink"/>
                <w:noProof/>
              </w:rPr>
              <w:t>2.2.6</w:t>
            </w:r>
            <w:r w:rsidR="00E136F2">
              <w:rPr>
                <w:rFonts w:asciiTheme="minorHAnsi" w:eastAsiaTheme="minorEastAsia" w:hAnsiTheme="minorHAnsi"/>
                <w:noProof/>
                <w:kern w:val="0"/>
                <w:sz w:val="22"/>
                <w:lang w:val="en-US"/>
                <w14:ligatures w14:val="none"/>
              </w:rPr>
              <w:tab/>
            </w:r>
            <w:r w:rsidR="00E136F2" w:rsidRPr="00862B00">
              <w:rPr>
                <w:rStyle w:val="Hyperlink"/>
                <w:noProof/>
              </w:rPr>
              <w:t>Programiranje EU fondova</w:t>
            </w:r>
            <w:r w:rsidR="00E136F2">
              <w:rPr>
                <w:noProof/>
                <w:webHidden/>
              </w:rPr>
              <w:tab/>
            </w:r>
            <w:r w:rsidR="00E136F2">
              <w:rPr>
                <w:noProof/>
                <w:webHidden/>
              </w:rPr>
              <w:fldChar w:fldCharType="begin"/>
            </w:r>
            <w:r w:rsidR="00E136F2">
              <w:rPr>
                <w:noProof/>
                <w:webHidden/>
              </w:rPr>
              <w:instrText xml:space="preserve"> PAGEREF _Toc201700313 \h </w:instrText>
            </w:r>
            <w:r w:rsidR="00E136F2">
              <w:rPr>
                <w:noProof/>
                <w:webHidden/>
              </w:rPr>
            </w:r>
            <w:r w:rsidR="00E136F2">
              <w:rPr>
                <w:noProof/>
                <w:webHidden/>
              </w:rPr>
              <w:fldChar w:fldCharType="separate"/>
            </w:r>
            <w:r w:rsidR="00E136F2">
              <w:rPr>
                <w:noProof/>
                <w:webHidden/>
              </w:rPr>
              <w:t>23</w:t>
            </w:r>
            <w:r w:rsidR="00E136F2">
              <w:rPr>
                <w:noProof/>
                <w:webHidden/>
              </w:rPr>
              <w:fldChar w:fldCharType="end"/>
            </w:r>
          </w:hyperlink>
        </w:p>
        <w:p w14:paraId="2C6CD937" w14:textId="33CAE44B"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14" w:history="1">
            <w:r w:rsidR="00E136F2" w:rsidRPr="00862B00">
              <w:rPr>
                <w:rStyle w:val="Hyperlink"/>
                <w:noProof/>
              </w:rPr>
              <w:t>2.2.7</w:t>
            </w:r>
            <w:r w:rsidR="00E136F2">
              <w:rPr>
                <w:rFonts w:asciiTheme="minorHAnsi" w:eastAsiaTheme="minorEastAsia" w:hAnsiTheme="minorHAnsi"/>
                <w:noProof/>
                <w:kern w:val="0"/>
                <w:sz w:val="22"/>
                <w:lang w:val="en-US"/>
                <w14:ligatures w14:val="none"/>
              </w:rPr>
              <w:tab/>
            </w:r>
            <w:r w:rsidR="00E136F2" w:rsidRPr="00862B00">
              <w:rPr>
                <w:rStyle w:val="Hyperlink"/>
                <w:noProof/>
              </w:rPr>
              <w:t>INTERREG programi</w:t>
            </w:r>
            <w:r w:rsidR="00E136F2">
              <w:rPr>
                <w:noProof/>
                <w:webHidden/>
              </w:rPr>
              <w:tab/>
            </w:r>
            <w:r w:rsidR="00E136F2">
              <w:rPr>
                <w:noProof/>
                <w:webHidden/>
              </w:rPr>
              <w:fldChar w:fldCharType="begin"/>
            </w:r>
            <w:r w:rsidR="00E136F2">
              <w:rPr>
                <w:noProof/>
                <w:webHidden/>
              </w:rPr>
              <w:instrText xml:space="preserve"> PAGEREF _Toc201700314 \h </w:instrText>
            </w:r>
            <w:r w:rsidR="00E136F2">
              <w:rPr>
                <w:noProof/>
                <w:webHidden/>
              </w:rPr>
            </w:r>
            <w:r w:rsidR="00E136F2">
              <w:rPr>
                <w:noProof/>
                <w:webHidden/>
              </w:rPr>
              <w:fldChar w:fldCharType="separate"/>
            </w:r>
            <w:r w:rsidR="00E136F2">
              <w:rPr>
                <w:noProof/>
                <w:webHidden/>
              </w:rPr>
              <w:t>26</w:t>
            </w:r>
            <w:r w:rsidR="00E136F2">
              <w:rPr>
                <w:noProof/>
                <w:webHidden/>
              </w:rPr>
              <w:fldChar w:fldCharType="end"/>
            </w:r>
          </w:hyperlink>
        </w:p>
        <w:p w14:paraId="66D5D18B" w14:textId="1E92924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15" w:history="1">
            <w:r w:rsidR="00E136F2" w:rsidRPr="00862B00">
              <w:rPr>
                <w:rStyle w:val="Hyperlink"/>
                <w:noProof/>
              </w:rPr>
              <w:t>2.2.8</w:t>
            </w:r>
            <w:r w:rsidR="00E136F2">
              <w:rPr>
                <w:rFonts w:asciiTheme="minorHAnsi" w:eastAsiaTheme="minorEastAsia" w:hAnsiTheme="minorHAnsi"/>
                <w:noProof/>
                <w:kern w:val="0"/>
                <w:sz w:val="22"/>
                <w:lang w:val="en-US"/>
                <w14:ligatures w14:val="none"/>
              </w:rPr>
              <w:tab/>
            </w:r>
            <w:r w:rsidR="00E136F2" w:rsidRPr="00862B00">
              <w:rPr>
                <w:rStyle w:val="Hyperlink"/>
                <w:noProof/>
              </w:rPr>
              <w:t>Sažetak učešća partnera u procesima strateškog planiranja i programiranja</w:t>
            </w:r>
            <w:r w:rsidR="00E136F2">
              <w:rPr>
                <w:noProof/>
                <w:webHidden/>
              </w:rPr>
              <w:tab/>
            </w:r>
            <w:r w:rsidR="00E136F2">
              <w:rPr>
                <w:noProof/>
                <w:webHidden/>
              </w:rPr>
              <w:fldChar w:fldCharType="begin"/>
            </w:r>
            <w:r w:rsidR="00E136F2">
              <w:rPr>
                <w:noProof/>
                <w:webHidden/>
              </w:rPr>
              <w:instrText xml:space="preserve"> PAGEREF _Toc201700315 \h </w:instrText>
            </w:r>
            <w:r w:rsidR="00E136F2">
              <w:rPr>
                <w:noProof/>
                <w:webHidden/>
              </w:rPr>
            </w:r>
            <w:r w:rsidR="00E136F2">
              <w:rPr>
                <w:noProof/>
                <w:webHidden/>
              </w:rPr>
              <w:fldChar w:fldCharType="separate"/>
            </w:r>
            <w:r w:rsidR="00E136F2">
              <w:rPr>
                <w:noProof/>
                <w:webHidden/>
              </w:rPr>
              <w:t>26</w:t>
            </w:r>
            <w:r w:rsidR="00E136F2">
              <w:rPr>
                <w:noProof/>
                <w:webHidden/>
              </w:rPr>
              <w:fldChar w:fldCharType="end"/>
            </w:r>
          </w:hyperlink>
        </w:p>
        <w:p w14:paraId="33D4B509" w14:textId="6B540234"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16" w:history="1">
            <w:r w:rsidR="00E136F2" w:rsidRPr="00862B00">
              <w:rPr>
                <w:rStyle w:val="Hyperlink"/>
                <w:noProof/>
              </w:rPr>
              <w:t>2.3</w:t>
            </w:r>
            <w:r w:rsidR="00E136F2">
              <w:rPr>
                <w:rFonts w:asciiTheme="minorHAnsi" w:eastAsiaTheme="minorEastAsia" w:hAnsiTheme="minorHAnsi"/>
                <w:noProof/>
                <w:kern w:val="0"/>
                <w:sz w:val="22"/>
                <w:lang w:val="en-US"/>
                <w14:ligatures w14:val="none"/>
              </w:rPr>
              <w:tab/>
            </w:r>
            <w:r w:rsidR="00E136F2" w:rsidRPr="00862B00">
              <w:rPr>
                <w:rStyle w:val="Hyperlink"/>
                <w:noProof/>
              </w:rPr>
              <w:t>Izazovi povezani sa implementacijom Završnog mjerila 2 i Završnog mjerila 3</w:t>
            </w:r>
            <w:r w:rsidR="00E136F2">
              <w:rPr>
                <w:noProof/>
                <w:webHidden/>
              </w:rPr>
              <w:tab/>
            </w:r>
            <w:r w:rsidR="00E136F2">
              <w:rPr>
                <w:noProof/>
                <w:webHidden/>
              </w:rPr>
              <w:fldChar w:fldCharType="begin"/>
            </w:r>
            <w:r w:rsidR="00E136F2">
              <w:rPr>
                <w:noProof/>
                <w:webHidden/>
              </w:rPr>
              <w:instrText xml:space="preserve"> PAGEREF _Toc201700316 \h </w:instrText>
            </w:r>
            <w:r w:rsidR="00E136F2">
              <w:rPr>
                <w:noProof/>
                <w:webHidden/>
              </w:rPr>
            </w:r>
            <w:r w:rsidR="00E136F2">
              <w:rPr>
                <w:noProof/>
                <w:webHidden/>
              </w:rPr>
              <w:fldChar w:fldCharType="separate"/>
            </w:r>
            <w:r w:rsidR="00E136F2">
              <w:rPr>
                <w:noProof/>
                <w:webHidden/>
              </w:rPr>
              <w:t>30</w:t>
            </w:r>
            <w:r w:rsidR="00E136F2">
              <w:rPr>
                <w:noProof/>
                <w:webHidden/>
              </w:rPr>
              <w:fldChar w:fldCharType="end"/>
            </w:r>
          </w:hyperlink>
        </w:p>
        <w:p w14:paraId="0231F78F" w14:textId="2FCA231B"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17" w:history="1">
            <w:r w:rsidR="00E136F2" w:rsidRPr="00862B00">
              <w:rPr>
                <w:rStyle w:val="Hyperlink"/>
                <w:noProof/>
              </w:rPr>
              <w:t>2.4</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_Toc201700317 \h </w:instrText>
            </w:r>
            <w:r w:rsidR="00E136F2">
              <w:rPr>
                <w:noProof/>
                <w:webHidden/>
              </w:rPr>
            </w:r>
            <w:r w:rsidR="00E136F2">
              <w:rPr>
                <w:noProof/>
                <w:webHidden/>
              </w:rPr>
              <w:fldChar w:fldCharType="separate"/>
            </w:r>
            <w:r w:rsidR="00E136F2">
              <w:rPr>
                <w:noProof/>
                <w:webHidden/>
              </w:rPr>
              <w:t>30</w:t>
            </w:r>
            <w:r w:rsidR="00E136F2">
              <w:rPr>
                <w:noProof/>
                <w:webHidden/>
              </w:rPr>
              <w:fldChar w:fldCharType="end"/>
            </w:r>
          </w:hyperlink>
        </w:p>
        <w:p w14:paraId="51F2E1E5" w14:textId="73F22570"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18" w:history="1">
            <w:r w:rsidR="00E136F2" w:rsidRPr="00862B00">
              <w:rPr>
                <w:rStyle w:val="Hyperlink"/>
                <w:rFonts w:eastAsia="Calibri"/>
                <w:noProof/>
              </w:rPr>
              <w:t>2.4.1</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2.1. Studija o broju i obimu programa</w:t>
            </w:r>
            <w:r w:rsidR="00E136F2">
              <w:rPr>
                <w:noProof/>
                <w:webHidden/>
              </w:rPr>
              <w:tab/>
            </w:r>
            <w:r w:rsidR="00E136F2">
              <w:rPr>
                <w:noProof/>
                <w:webHidden/>
              </w:rPr>
              <w:fldChar w:fldCharType="begin"/>
            </w:r>
            <w:r w:rsidR="00E136F2">
              <w:rPr>
                <w:noProof/>
                <w:webHidden/>
              </w:rPr>
              <w:instrText xml:space="preserve"> PAGEREF _Toc201700318 \h </w:instrText>
            </w:r>
            <w:r w:rsidR="00E136F2">
              <w:rPr>
                <w:noProof/>
                <w:webHidden/>
              </w:rPr>
            </w:r>
            <w:r w:rsidR="00E136F2">
              <w:rPr>
                <w:noProof/>
                <w:webHidden/>
              </w:rPr>
              <w:fldChar w:fldCharType="separate"/>
            </w:r>
            <w:r w:rsidR="00E136F2">
              <w:rPr>
                <w:noProof/>
                <w:webHidden/>
              </w:rPr>
              <w:t>30</w:t>
            </w:r>
            <w:r w:rsidR="00E136F2">
              <w:rPr>
                <w:noProof/>
                <w:webHidden/>
              </w:rPr>
              <w:fldChar w:fldCharType="end"/>
            </w:r>
          </w:hyperlink>
        </w:p>
        <w:p w14:paraId="6DD0E9D4" w14:textId="49771921"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19" w:history="1">
            <w:r w:rsidR="00E136F2" w:rsidRPr="00862B00">
              <w:rPr>
                <w:rStyle w:val="Hyperlink"/>
                <w:noProof/>
              </w:rPr>
              <w:t>2.4.2</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2.2 Samoprocjena o ispunjenju omogućavajućih uslova</w:t>
            </w:r>
            <w:r w:rsidR="00E136F2">
              <w:rPr>
                <w:noProof/>
                <w:webHidden/>
              </w:rPr>
              <w:tab/>
            </w:r>
            <w:r w:rsidR="00E136F2">
              <w:rPr>
                <w:noProof/>
                <w:webHidden/>
              </w:rPr>
              <w:fldChar w:fldCharType="begin"/>
            </w:r>
            <w:r w:rsidR="00E136F2">
              <w:rPr>
                <w:noProof/>
                <w:webHidden/>
              </w:rPr>
              <w:instrText xml:space="preserve"> PAGEREF _Toc201700319 \h </w:instrText>
            </w:r>
            <w:r w:rsidR="00E136F2">
              <w:rPr>
                <w:noProof/>
                <w:webHidden/>
              </w:rPr>
            </w:r>
            <w:r w:rsidR="00E136F2">
              <w:rPr>
                <w:noProof/>
                <w:webHidden/>
              </w:rPr>
              <w:fldChar w:fldCharType="separate"/>
            </w:r>
            <w:r w:rsidR="00E136F2">
              <w:rPr>
                <w:noProof/>
                <w:webHidden/>
              </w:rPr>
              <w:t>32</w:t>
            </w:r>
            <w:r w:rsidR="00E136F2">
              <w:rPr>
                <w:noProof/>
                <w:webHidden/>
              </w:rPr>
              <w:fldChar w:fldCharType="end"/>
            </w:r>
          </w:hyperlink>
        </w:p>
        <w:p w14:paraId="02A7607B" w14:textId="599D0117"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20" w:history="1">
            <w:r w:rsidR="00E136F2" w:rsidRPr="00862B00">
              <w:rPr>
                <w:rStyle w:val="Hyperlink"/>
                <w:noProof/>
              </w:rPr>
              <w:t>2.4.3</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2.3 Metodologija za uspostavljanje partnerstva u okviru Kohezione politike</w:t>
            </w:r>
            <w:r w:rsidR="00E136F2">
              <w:rPr>
                <w:noProof/>
                <w:webHidden/>
              </w:rPr>
              <w:tab/>
            </w:r>
            <w:r w:rsidR="00E136F2">
              <w:rPr>
                <w:noProof/>
                <w:webHidden/>
              </w:rPr>
              <w:fldChar w:fldCharType="begin"/>
            </w:r>
            <w:r w:rsidR="00E136F2">
              <w:rPr>
                <w:noProof/>
                <w:webHidden/>
              </w:rPr>
              <w:instrText xml:space="preserve"> PAGEREF _Toc201700320 \h </w:instrText>
            </w:r>
            <w:r w:rsidR="00E136F2">
              <w:rPr>
                <w:noProof/>
                <w:webHidden/>
              </w:rPr>
            </w:r>
            <w:r w:rsidR="00E136F2">
              <w:rPr>
                <w:noProof/>
                <w:webHidden/>
              </w:rPr>
              <w:fldChar w:fldCharType="separate"/>
            </w:r>
            <w:r w:rsidR="00E136F2">
              <w:rPr>
                <w:noProof/>
                <w:webHidden/>
              </w:rPr>
              <w:t>32</w:t>
            </w:r>
            <w:r w:rsidR="00E136F2">
              <w:rPr>
                <w:noProof/>
                <w:webHidden/>
              </w:rPr>
              <w:fldChar w:fldCharType="end"/>
            </w:r>
          </w:hyperlink>
        </w:p>
        <w:p w14:paraId="6A2D08E7" w14:textId="60957179"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21" w:history="1">
            <w:r w:rsidR="00E136F2" w:rsidRPr="00862B00">
              <w:rPr>
                <w:rStyle w:val="Hyperlink"/>
                <w:noProof/>
              </w:rPr>
              <w:t>2.4.4</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2.4 Metodologija, detaljan plan i vremenski raspored za pripremu Sporazuma o partnerstvu</w:t>
            </w:r>
            <w:r w:rsidR="00E136F2">
              <w:rPr>
                <w:noProof/>
                <w:webHidden/>
              </w:rPr>
              <w:tab/>
            </w:r>
            <w:r w:rsidR="00E136F2">
              <w:rPr>
                <w:noProof/>
                <w:webHidden/>
              </w:rPr>
              <w:fldChar w:fldCharType="begin"/>
            </w:r>
            <w:r w:rsidR="00E136F2">
              <w:rPr>
                <w:noProof/>
                <w:webHidden/>
              </w:rPr>
              <w:instrText xml:space="preserve"> PAGEREF _Toc201700321 \h </w:instrText>
            </w:r>
            <w:r w:rsidR="00E136F2">
              <w:rPr>
                <w:noProof/>
                <w:webHidden/>
              </w:rPr>
            </w:r>
            <w:r w:rsidR="00E136F2">
              <w:rPr>
                <w:noProof/>
                <w:webHidden/>
              </w:rPr>
              <w:fldChar w:fldCharType="separate"/>
            </w:r>
            <w:r w:rsidR="00E136F2">
              <w:rPr>
                <w:noProof/>
                <w:webHidden/>
              </w:rPr>
              <w:t>32</w:t>
            </w:r>
            <w:r w:rsidR="00E136F2">
              <w:rPr>
                <w:noProof/>
                <w:webHidden/>
              </w:rPr>
              <w:fldChar w:fldCharType="end"/>
            </w:r>
          </w:hyperlink>
        </w:p>
        <w:p w14:paraId="5CBB64EE" w14:textId="0890BEDA"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22" w:history="1">
            <w:r w:rsidR="00E136F2" w:rsidRPr="00862B00">
              <w:rPr>
                <w:rStyle w:val="Hyperlink"/>
                <w:noProof/>
              </w:rPr>
              <w:t>2.4.5</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2.5 Izbor partnera za Sporazum o partnerstvu u okviru Kohezionu Politike</w:t>
            </w:r>
            <w:r w:rsidR="00E136F2">
              <w:rPr>
                <w:noProof/>
                <w:webHidden/>
              </w:rPr>
              <w:tab/>
            </w:r>
            <w:r w:rsidR="00E136F2">
              <w:rPr>
                <w:noProof/>
                <w:webHidden/>
              </w:rPr>
              <w:fldChar w:fldCharType="begin"/>
            </w:r>
            <w:r w:rsidR="00E136F2">
              <w:rPr>
                <w:noProof/>
                <w:webHidden/>
              </w:rPr>
              <w:instrText xml:space="preserve"> PAGEREF _Toc201700322 \h </w:instrText>
            </w:r>
            <w:r w:rsidR="00E136F2">
              <w:rPr>
                <w:noProof/>
                <w:webHidden/>
              </w:rPr>
            </w:r>
            <w:r w:rsidR="00E136F2">
              <w:rPr>
                <w:noProof/>
                <w:webHidden/>
              </w:rPr>
              <w:fldChar w:fldCharType="separate"/>
            </w:r>
            <w:r w:rsidR="00E136F2">
              <w:rPr>
                <w:noProof/>
                <w:webHidden/>
              </w:rPr>
              <w:t>33</w:t>
            </w:r>
            <w:r w:rsidR="00E136F2">
              <w:rPr>
                <w:noProof/>
                <w:webHidden/>
              </w:rPr>
              <w:fldChar w:fldCharType="end"/>
            </w:r>
          </w:hyperlink>
        </w:p>
        <w:p w14:paraId="1C1BD53B" w14:textId="0FEB1BDD"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23" w:history="1">
            <w:r w:rsidR="00E136F2" w:rsidRPr="00862B00">
              <w:rPr>
                <w:rStyle w:val="Hyperlink"/>
                <w:noProof/>
              </w:rPr>
              <w:t>2.4.6</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2.6 Analiza sektora/ciljeva Kohezione politike</w:t>
            </w:r>
            <w:r w:rsidR="00E136F2">
              <w:rPr>
                <w:noProof/>
                <w:webHidden/>
              </w:rPr>
              <w:tab/>
            </w:r>
            <w:r w:rsidR="00E136F2">
              <w:rPr>
                <w:noProof/>
                <w:webHidden/>
              </w:rPr>
              <w:fldChar w:fldCharType="begin"/>
            </w:r>
            <w:r w:rsidR="00E136F2">
              <w:rPr>
                <w:noProof/>
                <w:webHidden/>
              </w:rPr>
              <w:instrText xml:space="preserve"> PAGEREF _Toc201700323 \h </w:instrText>
            </w:r>
            <w:r w:rsidR="00E136F2">
              <w:rPr>
                <w:noProof/>
                <w:webHidden/>
              </w:rPr>
            </w:r>
            <w:r w:rsidR="00E136F2">
              <w:rPr>
                <w:noProof/>
                <w:webHidden/>
              </w:rPr>
              <w:fldChar w:fldCharType="separate"/>
            </w:r>
            <w:r w:rsidR="00E136F2">
              <w:rPr>
                <w:noProof/>
                <w:webHidden/>
              </w:rPr>
              <w:t>33</w:t>
            </w:r>
            <w:r w:rsidR="00E136F2">
              <w:rPr>
                <w:noProof/>
                <w:webHidden/>
              </w:rPr>
              <w:fldChar w:fldCharType="end"/>
            </w:r>
          </w:hyperlink>
        </w:p>
        <w:p w14:paraId="72CFF8F2" w14:textId="01F70C8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24" w:history="1">
            <w:r w:rsidR="00E136F2" w:rsidRPr="00862B00">
              <w:rPr>
                <w:rStyle w:val="Hyperlink"/>
                <w:noProof/>
              </w:rPr>
              <w:t>2.4.7</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2.7 Analiza potreba za obukom za partnerstvo u Kohezionoj politici</w:t>
            </w:r>
            <w:r w:rsidR="00E136F2">
              <w:rPr>
                <w:noProof/>
                <w:webHidden/>
              </w:rPr>
              <w:tab/>
            </w:r>
            <w:r w:rsidR="00E136F2">
              <w:rPr>
                <w:noProof/>
                <w:webHidden/>
              </w:rPr>
              <w:fldChar w:fldCharType="begin"/>
            </w:r>
            <w:r w:rsidR="00E136F2">
              <w:rPr>
                <w:noProof/>
                <w:webHidden/>
              </w:rPr>
              <w:instrText xml:space="preserve"> PAGEREF _Toc201700324 \h </w:instrText>
            </w:r>
            <w:r w:rsidR="00E136F2">
              <w:rPr>
                <w:noProof/>
                <w:webHidden/>
              </w:rPr>
            </w:r>
            <w:r w:rsidR="00E136F2">
              <w:rPr>
                <w:noProof/>
                <w:webHidden/>
              </w:rPr>
              <w:fldChar w:fldCharType="separate"/>
            </w:r>
            <w:r w:rsidR="00E136F2">
              <w:rPr>
                <w:noProof/>
                <w:webHidden/>
              </w:rPr>
              <w:t>33</w:t>
            </w:r>
            <w:r w:rsidR="00E136F2">
              <w:rPr>
                <w:noProof/>
                <w:webHidden/>
              </w:rPr>
              <w:fldChar w:fldCharType="end"/>
            </w:r>
          </w:hyperlink>
        </w:p>
        <w:p w14:paraId="2F8E44D1" w14:textId="25A2667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25" w:history="1">
            <w:r w:rsidR="00E136F2" w:rsidRPr="00862B00">
              <w:rPr>
                <w:rStyle w:val="Hyperlink"/>
                <w:noProof/>
              </w:rPr>
              <w:t>2.4.8</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2.8 Program jačanja kapaciteta za partnerstvo u Kohezionoj politici</w:t>
            </w:r>
            <w:r w:rsidR="00E136F2">
              <w:rPr>
                <w:noProof/>
                <w:webHidden/>
              </w:rPr>
              <w:tab/>
            </w:r>
            <w:r w:rsidR="00E136F2">
              <w:rPr>
                <w:noProof/>
                <w:webHidden/>
              </w:rPr>
              <w:fldChar w:fldCharType="begin"/>
            </w:r>
            <w:r w:rsidR="00E136F2">
              <w:rPr>
                <w:noProof/>
                <w:webHidden/>
              </w:rPr>
              <w:instrText xml:space="preserve"> PAGEREF _Toc201700325 \h </w:instrText>
            </w:r>
            <w:r w:rsidR="00E136F2">
              <w:rPr>
                <w:noProof/>
                <w:webHidden/>
              </w:rPr>
            </w:r>
            <w:r w:rsidR="00E136F2">
              <w:rPr>
                <w:noProof/>
                <w:webHidden/>
              </w:rPr>
              <w:fldChar w:fldCharType="separate"/>
            </w:r>
            <w:r w:rsidR="00E136F2">
              <w:rPr>
                <w:noProof/>
                <w:webHidden/>
              </w:rPr>
              <w:t>33</w:t>
            </w:r>
            <w:r w:rsidR="00E136F2">
              <w:rPr>
                <w:noProof/>
                <w:webHidden/>
              </w:rPr>
              <w:fldChar w:fldCharType="end"/>
            </w:r>
          </w:hyperlink>
        </w:p>
        <w:p w14:paraId="7FF2C4C9" w14:textId="7D63F7FE"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26" w:history="1">
            <w:r w:rsidR="00E136F2" w:rsidRPr="00862B00">
              <w:rPr>
                <w:rStyle w:val="Hyperlink"/>
                <w:noProof/>
              </w:rPr>
              <w:t>2.4.9</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2.9 Obuke/mentorstvo za izradu nacrta Sporazuma o partnerstvu</w:t>
            </w:r>
            <w:r w:rsidR="00E136F2">
              <w:rPr>
                <w:noProof/>
                <w:webHidden/>
              </w:rPr>
              <w:tab/>
            </w:r>
            <w:r w:rsidR="00E136F2">
              <w:rPr>
                <w:noProof/>
                <w:webHidden/>
              </w:rPr>
              <w:fldChar w:fldCharType="begin"/>
            </w:r>
            <w:r w:rsidR="00E136F2">
              <w:rPr>
                <w:noProof/>
                <w:webHidden/>
              </w:rPr>
              <w:instrText xml:space="preserve"> PAGEREF _Toc201700326 \h </w:instrText>
            </w:r>
            <w:r w:rsidR="00E136F2">
              <w:rPr>
                <w:noProof/>
                <w:webHidden/>
              </w:rPr>
            </w:r>
            <w:r w:rsidR="00E136F2">
              <w:rPr>
                <w:noProof/>
                <w:webHidden/>
              </w:rPr>
              <w:fldChar w:fldCharType="separate"/>
            </w:r>
            <w:r w:rsidR="00E136F2">
              <w:rPr>
                <w:noProof/>
                <w:webHidden/>
              </w:rPr>
              <w:t>33</w:t>
            </w:r>
            <w:r w:rsidR="00E136F2">
              <w:rPr>
                <w:noProof/>
                <w:webHidden/>
              </w:rPr>
              <w:fldChar w:fldCharType="end"/>
            </w:r>
          </w:hyperlink>
        </w:p>
        <w:p w14:paraId="1F74626F" w14:textId="1796BF17" w:rsidR="00E136F2" w:rsidRDefault="00B54ABB">
          <w:pPr>
            <w:pStyle w:val="TOC3"/>
            <w:tabs>
              <w:tab w:val="left" w:pos="1440"/>
              <w:tab w:val="right" w:leader="dot" w:pos="9350"/>
            </w:tabs>
            <w:rPr>
              <w:rFonts w:asciiTheme="minorHAnsi" w:eastAsiaTheme="minorEastAsia" w:hAnsiTheme="minorHAnsi"/>
              <w:noProof/>
              <w:kern w:val="0"/>
              <w:sz w:val="22"/>
              <w:lang w:val="en-US"/>
              <w14:ligatures w14:val="none"/>
            </w:rPr>
          </w:pPr>
          <w:hyperlink w:anchor="_Toc201700327" w:history="1">
            <w:r w:rsidR="00E136F2" w:rsidRPr="00862B00">
              <w:rPr>
                <w:rStyle w:val="Hyperlink"/>
                <w:noProof/>
              </w:rPr>
              <w:t>2.4.10</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2.10 Početna izrada nacrta Sporazuma o partnerstvu</w:t>
            </w:r>
            <w:r w:rsidR="00E136F2">
              <w:rPr>
                <w:noProof/>
                <w:webHidden/>
              </w:rPr>
              <w:tab/>
            </w:r>
            <w:r w:rsidR="00E136F2">
              <w:rPr>
                <w:noProof/>
                <w:webHidden/>
              </w:rPr>
              <w:fldChar w:fldCharType="begin"/>
            </w:r>
            <w:r w:rsidR="00E136F2">
              <w:rPr>
                <w:noProof/>
                <w:webHidden/>
              </w:rPr>
              <w:instrText xml:space="preserve"> PAGEREF _Toc201700327 \h </w:instrText>
            </w:r>
            <w:r w:rsidR="00E136F2">
              <w:rPr>
                <w:noProof/>
                <w:webHidden/>
              </w:rPr>
            </w:r>
            <w:r w:rsidR="00E136F2">
              <w:rPr>
                <w:noProof/>
                <w:webHidden/>
              </w:rPr>
              <w:fldChar w:fldCharType="separate"/>
            </w:r>
            <w:r w:rsidR="00E136F2">
              <w:rPr>
                <w:noProof/>
                <w:webHidden/>
              </w:rPr>
              <w:t>34</w:t>
            </w:r>
            <w:r w:rsidR="00E136F2">
              <w:rPr>
                <w:noProof/>
                <w:webHidden/>
              </w:rPr>
              <w:fldChar w:fldCharType="end"/>
            </w:r>
          </w:hyperlink>
        </w:p>
        <w:p w14:paraId="4EF10946" w14:textId="2B3CB322" w:rsidR="00E136F2" w:rsidRDefault="00B54ABB">
          <w:pPr>
            <w:pStyle w:val="TOC3"/>
            <w:tabs>
              <w:tab w:val="left" w:pos="1440"/>
              <w:tab w:val="right" w:leader="dot" w:pos="9350"/>
            </w:tabs>
            <w:rPr>
              <w:rFonts w:asciiTheme="minorHAnsi" w:eastAsiaTheme="minorEastAsia" w:hAnsiTheme="minorHAnsi"/>
              <w:noProof/>
              <w:kern w:val="0"/>
              <w:sz w:val="22"/>
              <w:lang w:val="en-US"/>
              <w14:ligatures w14:val="none"/>
            </w:rPr>
          </w:pPr>
          <w:hyperlink w:anchor="_Toc201700328" w:history="1">
            <w:r w:rsidR="00E136F2" w:rsidRPr="00862B00">
              <w:rPr>
                <w:rStyle w:val="Hyperlink"/>
                <w:rFonts w:eastAsia="Calibri"/>
                <w:noProof/>
              </w:rPr>
              <w:t>2.4.11</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3.1. Metodologija, detaljan plan i vremenski okvir za finalizaciju Sporazuma o partnerstvu i pripremu i finalizaciju Programa kohezione politike.</w:t>
            </w:r>
            <w:r w:rsidR="00E136F2">
              <w:rPr>
                <w:noProof/>
                <w:webHidden/>
              </w:rPr>
              <w:tab/>
            </w:r>
            <w:r w:rsidR="00E136F2">
              <w:rPr>
                <w:noProof/>
                <w:webHidden/>
              </w:rPr>
              <w:fldChar w:fldCharType="begin"/>
            </w:r>
            <w:r w:rsidR="00E136F2">
              <w:rPr>
                <w:noProof/>
                <w:webHidden/>
              </w:rPr>
              <w:instrText xml:space="preserve"> PAGEREF _Toc201700328 \h </w:instrText>
            </w:r>
            <w:r w:rsidR="00E136F2">
              <w:rPr>
                <w:noProof/>
                <w:webHidden/>
              </w:rPr>
            </w:r>
            <w:r w:rsidR="00E136F2">
              <w:rPr>
                <w:noProof/>
                <w:webHidden/>
              </w:rPr>
              <w:fldChar w:fldCharType="separate"/>
            </w:r>
            <w:r w:rsidR="00E136F2">
              <w:rPr>
                <w:noProof/>
                <w:webHidden/>
              </w:rPr>
              <w:t>36</w:t>
            </w:r>
            <w:r w:rsidR="00E136F2">
              <w:rPr>
                <w:noProof/>
                <w:webHidden/>
              </w:rPr>
              <w:fldChar w:fldCharType="end"/>
            </w:r>
          </w:hyperlink>
        </w:p>
        <w:p w14:paraId="0FFDB12D" w14:textId="5D1CB37C"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329" w:history="1">
            <w:r w:rsidR="00E136F2" w:rsidRPr="00862B00">
              <w:rPr>
                <w:rStyle w:val="Hyperlink"/>
                <w:noProof/>
              </w:rPr>
              <w:t>3</w:t>
            </w:r>
            <w:r w:rsidR="00E136F2">
              <w:rPr>
                <w:rFonts w:asciiTheme="minorHAnsi" w:eastAsiaTheme="minorEastAsia" w:hAnsiTheme="minorHAnsi"/>
                <w:noProof/>
                <w:kern w:val="0"/>
                <w:sz w:val="22"/>
                <w:lang w:val="en-US"/>
                <w14:ligatures w14:val="none"/>
              </w:rPr>
              <w:tab/>
            </w:r>
            <w:r w:rsidR="00E136F2" w:rsidRPr="00862B00">
              <w:rPr>
                <w:rStyle w:val="Hyperlink"/>
                <w:noProof/>
              </w:rPr>
              <w:t>Završno mjerilo 4</w:t>
            </w:r>
            <w:r w:rsidR="00E136F2">
              <w:rPr>
                <w:noProof/>
                <w:webHidden/>
              </w:rPr>
              <w:tab/>
            </w:r>
            <w:r w:rsidR="00E136F2">
              <w:rPr>
                <w:noProof/>
                <w:webHidden/>
              </w:rPr>
              <w:fldChar w:fldCharType="begin"/>
            </w:r>
            <w:r w:rsidR="00E136F2">
              <w:rPr>
                <w:noProof/>
                <w:webHidden/>
              </w:rPr>
              <w:instrText xml:space="preserve"> PAGEREF _Toc201700329 \h </w:instrText>
            </w:r>
            <w:r w:rsidR="00E136F2">
              <w:rPr>
                <w:noProof/>
                <w:webHidden/>
              </w:rPr>
            </w:r>
            <w:r w:rsidR="00E136F2">
              <w:rPr>
                <w:noProof/>
                <w:webHidden/>
              </w:rPr>
              <w:fldChar w:fldCharType="separate"/>
            </w:r>
            <w:r w:rsidR="00E136F2">
              <w:rPr>
                <w:noProof/>
                <w:webHidden/>
              </w:rPr>
              <w:t>36</w:t>
            </w:r>
            <w:r w:rsidR="00E136F2">
              <w:rPr>
                <w:noProof/>
                <w:webHidden/>
              </w:rPr>
              <w:fldChar w:fldCharType="end"/>
            </w:r>
          </w:hyperlink>
        </w:p>
        <w:p w14:paraId="1282D0A9" w14:textId="289D60B5"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30" w:history="1">
            <w:r w:rsidR="00E136F2" w:rsidRPr="00862B00">
              <w:rPr>
                <w:rStyle w:val="Hyperlink"/>
                <w:noProof/>
              </w:rPr>
              <w:t>3.1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_Toc201700330 \h </w:instrText>
            </w:r>
            <w:r w:rsidR="00E136F2">
              <w:rPr>
                <w:noProof/>
                <w:webHidden/>
              </w:rPr>
            </w:r>
            <w:r w:rsidR="00E136F2">
              <w:rPr>
                <w:noProof/>
                <w:webHidden/>
              </w:rPr>
              <w:fldChar w:fldCharType="separate"/>
            </w:r>
            <w:r w:rsidR="00E136F2">
              <w:rPr>
                <w:noProof/>
                <w:webHidden/>
              </w:rPr>
              <w:t>36</w:t>
            </w:r>
            <w:r w:rsidR="00E136F2">
              <w:rPr>
                <w:noProof/>
                <w:webHidden/>
              </w:rPr>
              <w:fldChar w:fldCharType="end"/>
            </w:r>
          </w:hyperlink>
        </w:p>
        <w:p w14:paraId="3F8B978C" w14:textId="31B56399"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31" w:history="1">
            <w:r w:rsidR="00E136F2" w:rsidRPr="00862B00">
              <w:rPr>
                <w:rStyle w:val="Hyperlink"/>
                <w:noProof/>
              </w:rPr>
              <w:t>3.2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_Toc201700331 \h </w:instrText>
            </w:r>
            <w:r w:rsidR="00E136F2">
              <w:rPr>
                <w:noProof/>
                <w:webHidden/>
              </w:rPr>
            </w:r>
            <w:r w:rsidR="00E136F2">
              <w:rPr>
                <w:noProof/>
                <w:webHidden/>
              </w:rPr>
              <w:fldChar w:fldCharType="separate"/>
            </w:r>
            <w:r w:rsidR="00E136F2">
              <w:rPr>
                <w:noProof/>
                <w:webHidden/>
              </w:rPr>
              <w:t>37</w:t>
            </w:r>
            <w:r w:rsidR="00E136F2">
              <w:rPr>
                <w:noProof/>
                <w:webHidden/>
              </w:rPr>
              <w:fldChar w:fldCharType="end"/>
            </w:r>
          </w:hyperlink>
        </w:p>
        <w:p w14:paraId="69419984" w14:textId="1366A962"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32" w:history="1">
            <w:r w:rsidR="00E136F2" w:rsidRPr="00862B00">
              <w:rPr>
                <w:rStyle w:val="Hyperlink"/>
                <w:noProof/>
              </w:rPr>
              <w:t>3.3</w:t>
            </w:r>
            <w:r w:rsidR="00E136F2">
              <w:rPr>
                <w:rFonts w:asciiTheme="minorHAnsi" w:eastAsiaTheme="minorEastAsia" w:hAnsiTheme="minorHAnsi"/>
                <w:noProof/>
                <w:kern w:val="0"/>
                <w:sz w:val="22"/>
                <w:lang w:val="en-US"/>
                <w14:ligatures w14:val="none"/>
              </w:rPr>
              <w:tab/>
            </w:r>
            <w:r w:rsidR="00E136F2" w:rsidRPr="00862B00">
              <w:rPr>
                <w:rStyle w:val="Hyperlink"/>
                <w:noProof/>
              </w:rPr>
              <w:t>Izazovi povezani sa implementacijom Završnog mjerila 4</w:t>
            </w:r>
            <w:r w:rsidR="00E136F2">
              <w:rPr>
                <w:noProof/>
                <w:webHidden/>
              </w:rPr>
              <w:tab/>
            </w:r>
            <w:r w:rsidR="00E136F2">
              <w:rPr>
                <w:noProof/>
                <w:webHidden/>
              </w:rPr>
              <w:fldChar w:fldCharType="begin"/>
            </w:r>
            <w:r w:rsidR="00E136F2">
              <w:rPr>
                <w:noProof/>
                <w:webHidden/>
              </w:rPr>
              <w:instrText xml:space="preserve"> PAGEREF _Toc201700332 \h </w:instrText>
            </w:r>
            <w:r w:rsidR="00E136F2">
              <w:rPr>
                <w:noProof/>
                <w:webHidden/>
              </w:rPr>
            </w:r>
            <w:r w:rsidR="00E136F2">
              <w:rPr>
                <w:noProof/>
                <w:webHidden/>
              </w:rPr>
              <w:fldChar w:fldCharType="separate"/>
            </w:r>
            <w:r w:rsidR="00E136F2">
              <w:rPr>
                <w:noProof/>
                <w:webHidden/>
              </w:rPr>
              <w:t>37</w:t>
            </w:r>
            <w:r w:rsidR="00E136F2">
              <w:rPr>
                <w:noProof/>
                <w:webHidden/>
              </w:rPr>
              <w:fldChar w:fldCharType="end"/>
            </w:r>
          </w:hyperlink>
        </w:p>
        <w:p w14:paraId="14AB5DFC" w14:textId="70E8BB40"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33" w:history="1">
            <w:r w:rsidR="00E136F2" w:rsidRPr="00862B00">
              <w:rPr>
                <w:rStyle w:val="Hyperlink"/>
                <w:noProof/>
              </w:rPr>
              <w:t>3.4</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_Toc201700333 \h </w:instrText>
            </w:r>
            <w:r w:rsidR="00E136F2">
              <w:rPr>
                <w:noProof/>
                <w:webHidden/>
              </w:rPr>
            </w:r>
            <w:r w:rsidR="00E136F2">
              <w:rPr>
                <w:noProof/>
                <w:webHidden/>
              </w:rPr>
              <w:fldChar w:fldCharType="separate"/>
            </w:r>
            <w:r w:rsidR="00E136F2">
              <w:rPr>
                <w:noProof/>
                <w:webHidden/>
              </w:rPr>
              <w:t>38</w:t>
            </w:r>
            <w:r w:rsidR="00E136F2">
              <w:rPr>
                <w:noProof/>
                <w:webHidden/>
              </w:rPr>
              <w:fldChar w:fldCharType="end"/>
            </w:r>
          </w:hyperlink>
        </w:p>
        <w:p w14:paraId="0D4137C9" w14:textId="67973E07"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34" w:history="1">
            <w:r w:rsidR="00E136F2" w:rsidRPr="00862B00">
              <w:rPr>
                <w:rStyle w:val="Hyperlink"/>
                <w:noProof/>
              </w:rPr>
              <w:t>3.4.1</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4.1 Studija o institucionalnom okviru za implementaciju Kohezione politike EU razmatrane sa Radnom grupom za Poglavlje 22</w:t>
            </w:r>
            <w:r w:rsidR="00E136F2">
              <w:rPr>
                <w:noProof/>
                <w:webHidden/>
              </w:rPr>
              <w:tab/>
            </w:r>
            <w:r w:rsidR="00E136F2">
              <w:rPr>
                <w:noProof/>
                <w:webHidden/>
              </w:rPr>
              <w:fldChar w:fldCharType="begin"/>
            </w:r>
            <w:r w:rsidR="00E136F2">
              <w:rPr>
                <w:noProof/>
                <w:webHidden/>
              </w:rPr>
              <w:instrText xml:space="preserve"> PAGEREF _Toc201700334 \h </w:instrText>
            </w:r>
            <w:r w:rsidR="00E136F2">
              <w:rPr>
                <w:noProof/>
                <w:webHidden/>
              </w:rPr>
            </w:r>
            <w:r w:rsidR="00E136F2">
              <w:rPr>
                <w:noProof/>
                <w:webHidden/>
              </w:rPr>
              <w:fldChar w:fldCharType="separate"/>
            </w:r>
            <w:r w:rsidR="00E136F2">
              <w:rPr>
                <w:noProof/>
                <w:webHidden/>
              </w:rPr>
              <w:t>38</w:t>
            </w:r>
            <w:r w:rsidR="00E136F2">
              <w:rPr>
                <w:noProof/>
                <w:webHidden/>
              </w:rPr>
              <w:fldChar w:fldCharType="end"/>
            </w:r>
          </w:hyperlink>
        </w:p>
        <w:p w14:paraId="1A05C614" w14:textId="40F6F01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35" w:history="1">
            <w:r w:rsidR="00E136F2" w:rsidRPr="00862B00">
              <w:rPr>
                <w:rStyle w:val="Hyperlink"/>
                <w:noProof/>
              </w:rPr>
              <w:t>3.4.2</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4.2. Pravni okvir za implementaciju Kohezione politike</w:t>
            </w:r>
            <w:r w:rsidR="00E136F2">
              <w:rPr>
                <w:noProof/>
                <w:webHidden/>
              </w:rPr>
              <w:tab/>
            </w:r>
            <w:r w:rsidR="00E136F2">
              <w:rPr>
                <w:noProof/>
                <w:webHidden/>
              </w:rPr>
              <w:fldChar w:fldCharType="begin"/>
            </w:r>
            <w:r w:rsidR="00E136F2">
              <w:rPr>
                <w:noProof/>
                <w:webHidden/>
              </w:rPr>
              <w:instrText xml:space="preserve"> PAGEREF _Toc201700335 \h </w:instrText>
            </w:r>
            <w:r w:rsidR="00E136F2">
              <w:rPr>
                <w:noProof/>
                <w:webHidden/>
              </w:rPr>
            </w:r>
            <w:r w:rsidR="00E136F2">
              <w:rPr>
                <w:noProof/>
                <w:webHidden/>
              </w:rPr>
              <w:fldChar w:fldCharType="separate"/>
            </w:r>
            <w:r w:rsidR="00E136F2">
              <w:rPr>
                <w:noProof/>
                <w:webHidden/>
              </w:rPr>
              <w:t>38</w:t>
            </w:r>
            <w:r w:rsidR="00E136F2">
              <w:rPr>
                <w:noProof/>
                <w:webHidden/>
              </w:rPr>
              <w:fldChar w:fldCharType="end"/>
            </w:r>
          </w:hyperlink>
        </w:p>
        <w:p w14:paraId="6A8CBF9C" w14:textId="1C33AB52"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336" w:history="1">
            <w:r w:rsidR="00E136F2" w:rsidRPr="00862B00">
              <w:rPr>
                <w:rStyle w:val="Hyperlink"/>
                <w:noProof/>
              </w:rPr>
              <w:t>4</w:t>
            </w:r>
            <w:r w:rsidR="00E136F2">
              <w:rPr>
                <w:rFonts w:asciiTheme="minorHAnsi" w:eastAsiaTheme="minorEastAsia" w:hAnsiTheme="minorHAnsi"/>
                <w:noProof/>
                <w:kern w:val="0"/>
                <w:sz w:val="22"/>
                <w:lang w:val="en-US"/>
                <w14:ligatures w14:val="none"/>
              </w:rPr>
              <w:tab/>
            </w:r>
            <w:r w:rsidR="00E136F2" w:rsidRPr="00862B00">
              <w:rPr>
                <w:rStyle w:val="Hyperlink"/>
                <w:noProof/>
              </w:rPr>
              <w:t>Završno mjerilo 5</w:t>
            </w:r>
            <w:r w:rsidR="00E136F2">
              <w:rPr>
                <w:noProof/>
                <w:webHidden/>
              </w:rPr>
              <w:tab/>
            </w:r>
            <w:r w:rsidR="00E136F2">
              <w:rPr>
                <w:noProof/>
                <w:webHidden/>
              </w:rPr>
              <w:fldChar w:fldCharType="begin"/>
            </w:r>
            <w:r w:rsidR="00E136F2">
              <w:rPr>
                <w:noProof/>
                <w:webHidden/>
              </w:rPr>
              <w:instrText xml:space="preserve"> PAGEREF _Toc201700336 \h </w:instrText>
            </w:r>
            <w:r w:rsidR="00E136F2">
              <w:rPr>
                <w:noProof/>
                <w:webHidden/>
              </w:rPr>
            </w:r>
            <w:r w:rsidR="00E136F2">
              <w:rPr>
                <w:noProof/>
                <w:webHidden/>
              </w:rPr>
              <w:fldChar w:fldCharType="separate"/>
            </w:r>
            <w:r w:rsidR="00E136F2">
              <w:rPr>
                <w:noProof/>
                <w:webHidden/>
              </w:rPr>
              <w:t>39</w:t>
            </w:r>
            <w:r w:rsidR="00E136F2">
              <w:rPr>
                <w:noProof/>
                <w:webHidden/>
              </w:rPr>
              <w:fldChar w:fldCharType="end"/>
            </w:r>
          </w:hyperlink>
        </w:p>
        <w:p w14:paraId="349FB56A" w14:textId="60D2E83A"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37" w:history="1">
            <w:r w:rsidR="00E136F2" w:rsidRPr="00862B00">
              <w:rPr>
                <w:rStyle w:val="Hyperlink"/>
                <w:noProof/>
              </w:rPr>
              <w:t>4.1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_Toc201700337 \h </w:instrText>
            </w:r>
            <w:r w:rsidR="00E136F2">
              <w:rPr>
                <w:noProof/>
                <w:webHidden/>
              </w:rPr>
            </w:r>
            <w:r w:rsidR="00E136F2">
              <w:rPr>
                <w:noProof/>
                <w:webHidden/>
              </w:rPr>
              <w:fldChar w:fldCharType="separate"/>
            </w:r>
            <w:r w:rsidR="00E136F2">
              <w:rPr>
                <w:noProof/>
                <w:webHidden/>
              </w:rPr>
              <w:t>39</w:t>
            </w:r>
            <w:r w:rsidR="00E136F2">
              <w:rPr>
                <w:noProof/>
                <w:webHidden/>
              </w:rPr>
              <w:fldChar w:fldCharType="end"/>
            </w:r>
          </w:hyperlink>
        </w:p>
        <w:p w14:paraId="6DFF7301" w14:textId="6985D4F8"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38" w:history="1">
            <w:r w:rsidR="00E136F2" w:rsidRPr="00862B00">
              <w:rPr>
                <w:rStyle w:val="Hyperlink"/>
                <w:noProof/>
              </w:rPr>
              <w:t>4.2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_Toc201700338 \h </w:instrText>
            </w:r>
            <w:r w:rsidR="00E136F2">
              <w:rPr>
                <w:noProof/>
                <w:webHidden/>
              </w:rPr>
            </w:r>
            <w:r w:rsidR="00E136F2">
              <w:rPr>
                <w:noProof/>
                <w:webHidden/>
              </w:rPr>
              <w:fldChar w:fldCharType="separate"/>
            </w:r>
            <w:r w:rsidR="00E136F2">
              <w:rPr>
                <w:noProof/>
                <w:webHidden/>
              </w:rPr>
              <w:t>40</w:t>
            </w:r>
            <w:r w:rsidR="00E136F2">
              <w:rPr>
                <w:noProof/>
                <w:webHidden/>
              </w:rPr>
              <w:fldChar w:fldCharType="end"/>
            </w:r>
          </w:hyperlink>
        </w:p>
        <w:p w14:paraId="7BEBE2D9" w14:textId="7549A1B1"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39" w:history="1">
            <w:r w:rsidR="00E136F2" w:rsidRPr="00862B00">
              <w:rPr>
                <w:rStyle w:val="Hyperlink"/>
                <w:noProof/>
              </w:rPr>
              <w:t>4.3</w:t>
            </w:r>
            <w:r w:rsidR="00E136F2">
              <w:rPr>
                <w:rFonts w:asciiTheme="minorHAnsi" w:eastAsiaTheme="minorEastAsia" w:hAnsiTheme="minorHAnsi"/>
                <w:noProof/>
                <w:kern w:val="0"/>
                <w:sz w:val="22"/>
                <w:lang w:val="en-US"/>
                <w14:ligatures w14:val="none"/>
              </w:rPr>
              <w:tab/>
            </w:r>
            <w:r w:rsidR="00E136F2" w:rsidRPr="00862B00">
              <w:rPr>
                <w:rStyle w:val="Hyperlink"/>
                <w:noProof/>
              </w:rPr>
              <w:t>Izazovi povezani sa implementacijom Završnog mjerila 5</w:t>
            </w:r>
            <w:r w:rsidR="00E136F2">
              <w:rPr>
                <w:noProof/>
                <w:webHidden/>
              </w:rPr>
              <w:tab/>
            </w:r>
            <w:r w:rsidR="00E136F2">
              <w:rPr>
                <w:noProof/>
                <w:webHidden/>
              </w:rPr>
              <w:fldChar w:fldCharType="begin"/>
            </w:r>
            <w:r w:rsidR="00E136F2">
              <w:rPr>
                <w:noProof/>
                <w:webHidden/>
              </w:rPr>
              <w:instrText xml:space="preserve"> PAGEREF _Toc201700339 \h </w:instrText>
            </w:r>
            <w:r w:rsidR="00E136F2">
              <w:rPr>
                <w:noProof/>
                <w:webHidden/>
              </w:rPr>
            </w:r>
            <w:r w:rsidR="00E136F2">
              <w:rPr>
                <w:noProof/>
                <w:webHidden/>
              </w:rPr>
              <w:fldChar w:fldCharType="separate"/>
            </w:r>
            <w:r w:rsidR="00E136F2">
              <w:rPr>
                <w:noProof/>
                <w:webHidden/>
              </w:rPr>
              <w:t>40</w:t>
            </w:r>
            <w:r w:rsidR="00E136F2">
              <w:rPr>
                <w:noProof/>
                <w:webHidden/>
              </w:rPr>
              <w:fldChar w:fldCharType="end"/>
            </w:r>
          </w:hyperlink>
        </w:p>
        <w:p w14:paraId="236A97D8" w14:textId="58FF2359"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40" w:history="1">
            <w:r w:rsidR="00E136F2" w:rsidRPr="00862B00">
              <w:rPr>
                <w:rStyle w:val="Hyperlink"/>
                <w:noProof/>
              </w:rPr>
              <w:t>4.4</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_Toc201700340 \h </w:instrText>
            </w:r>
            <w:r w:rsidR="00E136F2">
              <w:rPr>
                <w:noProof/>
                <w:webHidden/>
              </w:rPr>
            </w:r>
            <w:r w:rsidR="00E136F2">
              <w:rPr>
                <w:noProof/>
                <w:webHidden/>
              </w:rPr>
              <w:fldChar w:fldCharType="separate"/>
            </w:r>
            <w:r w:rsidR="00E136F2">
              <w:rPr>
                <w:noProof/>
                <w:webHidden/>
              </w:rPr>
              <w:t>41</w:t>
            </w:r>
            <w:r w:rsidR="00E136F2">
              <w:rPr>
                <w:noProof/>
                <w:webHidden/>
              </w:rPr>
              <w:fldChar w:fldCharType="end"/>
            </w:r>
          </w:hyperlink>
        </w:p>
        <w:p w14:paraId="4B4FFA6E" w14:textId="3108DE3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41" w:history="1">
            <w:r w:rsidR="00E136F2" w:rsidRPr="00862B00">
              <w:rPr>
                <w:rStyle w:val="Hyperlink"/>
                <w:noProof/>
              </w:rPr>
              <w:t>4.4.1</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5.1 Koncept i metodologija za razvoj Mape puta za jačanje administrativnih kapaciteta, uključujući Obrazac za Strategije organizacionog razvoja</w:t>
            </w:r>
            <w:r w:rsidR="00E136F2">
              <w:rPr>
                <w:noProof/>
                <w:webHidden/>
              </w:rPr>
              <w:tab/>
            </w:r>
            <w:r w:rsidR="00E136F2">
              <w:rPr>
                <w:noProof/>
                <w:webHidden/>
              </w:rPr>
              <w:fldChar w:fldCharType="begin"/>
            </w:r>
            <w:r w:rsidR="00E136F2">
              <w:rPr>
                <w:noProof/>
                <w:webHidden/>
              </w:rPr>
              <w:instrText xml:space="preserve"> PAGEREF _Toc201700341 \h </w:instrText>
            </w:r>
            <w:r w:rsidR="00E136F2">
              <w:rPr>
                <w:noProof/>
                <w:webHidden/>
              </w:rPr>
            </w:r>
            <w:r w:rsidR="00E136F2">
              <w:rPr>
                <w:noProof/>
                <w:webHidden/>
              </w:rPr>
              <w:fldChar w:fldCharType="separate"/>
            </w:r>
            <w:r w:rsidR="00E136F2">
              <w:rPr>
                <w:noProof/>
                <w:webHidden/>
              </w:rPr>
              <w:t>41</w:t>
            </w:r>
            <w:r w:rsidR="00E136F2">
              <w:rPr>
                <w:noProof/>
                <w:webHidden/>
              </w:rPr>
              <w:fldChar w:fldCharType="end"/>
            </w:r>
          </w:hyperlink>
        </w:p>
        <w:p w14:paraId="56473A4E" w14:textId="25E9EC31"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42" w:history="1">
            <w:r w:rsidR="00E136F2" w:rsidRPr="00862B00">
              <w:rPr>
                <w:rStyle w:val="Hyperlink"/>
                <w:noProof/>
              </w:rPr>
              <w:t>4.4.2</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.5.2 Smjernice za izradu Strategija organizacionog razvoja</w:t>
            </w:r>
            <w:r w:rsidR="00E136F2">
              <w:rPr>
                <w:noProof/>
                <w:webHidden/>
              </w:rPr>
              <w:tab/>
            </w:r>
            <w:r w:rsidR="00E136F2">
              <w:rPr>
                <w:noProof/>
                <w:webHidden/>
              </w:rPr>
              <w:fldChar w:fldCharType="begin"/>
            </w:r>
            <w:r w:rsidR="00E136F2">
              <w:rPr>
                <w:noProof/>
                <w:webHidden/>
              </w:rPr>
              <w:instrText xml:space="preserve"> PAGEREF _Toc201700342 \h </w:instrText>
            </w:r>
            <w:r w:rsidR="00E136F2">
              <w:rPr>
                <w:noProof/>
                <w:webHidden/>
              </w:rPr>
            </w:r>
            <w:r w:rsidR="00E136F2">
              <w:rPr>
                <w:noProof/>
                <w:webHidden/>
              </w:rPr>
              <w:fldChar w:fldCharType="separate"/>
            </w:r>
            <w:r w:rsidR="00E136F2">
              <w:rPr>
                <w:noProof/>
                <w:webHidden/>
              </w:rPr>
              <w:t>41</w:t>
            </w:r>
            <w:r w:rsidR="00E136F2">
              <w:rPr>
                <w:noProof/>
                <w:webHidden/>
              </w:rPr>
              <w:fldChar w:fldCharType="end"/>
            </w:r>
          </w:hyperlink>
        </w:p>
        <w:p w14:paraId="0594B534" w14:textId="77D93599"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43" w:history="1">
            <w:r w:rsidR="00E136F2" w:rsidRPr="00862B00">
              <w:rPr>
                <w:rStyle w:val="Hyperlink"/>
                <w:noProof/>
              </w:rPr>
              <w:t>4.4.3</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5.3 Analiza potreba za obukama za institucije identifikovane kao buduća tijela Programa Kohezione politike</w:t>
            </w:r>
            <w:r w:rsidR="00E136F2">
              <w:rPr>
                <w:noProof/>
                <w:webHidden/>
              </w:rPr>
              <w:tab/>
            </w:r>
            <w:r w:rsidR="00E136F2">
              <w:rPr>
                <w:noProof/>
                <w:webHidden/>
              </w:rPr>
              <w:fldChar w:fldCharType="begin"/>
            </w:r>
            <w:r w:rsidR="00E136F2">
              <w:rPr>
                <w:noProof/>
                <w:webHidden/>
              </w:rPr>
              <w:instrText xml:space="preserve"> PAGEREF _Toc201700343 \h </w:instrText>
            </w:r>
            <w:r w:rsidR="00E136F2">
              <w:rPr>
                <w:noProof/>
                <w:webHidden/>
              </w:rPr>
            </w:r>
            <w:r w:rsidR="00E136F2">
              <w:rPr>
                <w:noProof/>
                <w:webHidden/>
              </w:rPr>
              <w:fldChar w:fldCharType="separate"/>
            </w:r>
            <w:r w:rsidR="00E136F2">
              <w:rPr>
                <w:noProof/>
                <w:webHidden/>
              </w:rPr>
              <w:t>41</w:t>
            </w:r>
            <w:r w:rsidR="00E136F2">
              <w:rPr>
                <w:noProof/>
                <w:webHidden/>
              </w:rPr>
              <w:fldChar w:fldCharType="end"/>
            </w:r>
          </w:hyperlink>
        </w:p>
        <w:p w14:paraId="34F850D3" w14:textId="4CDDE918"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44" w:history="1">
            <w:r w:rsidR="00E136F2" w:rsidRPr="00862B00">
              <w:rPr>
                <w:rStyle w:val="Hyperlink"/>
                <w:noProof/>
              </w:rPr>
              <w:t>4.4.4</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5.4 Dizajn Programa za jačanje kapaciteta za institucije koje su identifikovane kao buduća Tijela programa Kohezione politike</w:t>
            </w:r>
            <w:r w:rsidR="00E136F2">
              <w:rPr>
                <w:noProof/>
                <w:webHidden/>
              </w:rPr>
              <w:tab/>
            </w:r>
            <w:r w:rsidR="00E136F2">
              <w:rPr>
                <w:noProof/>
                <w:webHidden/>
              </w:rPr>
              <w:fldChar w:fldCharType="begin"/>
            </w:r>
            <w:r w:rsidR="00E136F2">
              <w:rPr>
                <w:noProof/>
                <w:webHidden/>
              </w:rPr>
              <w:instrText xml:space="preserve"> PAGEREF _Toc201700344 \h </w:instrText>
            </w:r>
            <w:r w:rsidR="00E136F2">
              <w:rPr>
                <w:noProof/>
                <w:webHidden/>
              </w:rPr>
            </w:r>
            <w:r w:rsidR="00E136F2">
              <w:rPr>
                <w:noProof/>
                <w:webHidden/>
              </w:rPr>
              <w:fldChar w:fldCharType="separate"/>
            </w:r>
            <w:r w:rsidR="00E136F2">
              <w:rPr>
                <w:noProof/>
                <w:webHidden/>
              </w:rPr>
              <w:t>41</w:t>
            </w:r>
            <w:r w:rsidR="00E136F2">
              <w:rPr>
                <w:noProof/>
                <w:webHidden/>
              </w:rPr>
              <w:fldChar w:fldCharType="end"/>
            </w:r>
          </w:hyperlink>
        </w:p>
        <w:p w14:paraId="35418CB0" w14:textId="67E0F3C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45" w:history="1">
            <w:r w:rsidR="00E136F2" w:rsidRPr="00862B00">
              <w:rPr>
                <w:rStyle w:val="Hyperlink"/>
                <w:noProof/>
              </w:rPr>
              <w:t>4.4.5</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5.5 Obuka/mentorstvo za izradu strategija organizacionog razvoja</w:t>
            </w:r>
            <w:r w:rsidR="00E136F2">
              <w:rPr>
                <w:noProof/>
                <w:webHidden/>
              </w:rPr>
              <w:tab/>
            </w:r>
            <w:r w:rsidR="00E136F2">
              <w:rPr>
                <w:noProof/>
                <w:webHidden/>
              </w:rPr>
              <w:fldChar w:fldCharType="begin"/>
            </w:r>
            <w:r w:rsidR="00E136F2">
              <w:rPr>
                <w:noProof/>
                <w:webHidden/>
              </w:rPr>
              <w:instrText xml:space="preserve"> PAGEREF _Toc201700345 \h </w:instrText>
            </w:r>
            <w:r w:rsidR="00E136F2">
              <w:rPr>
                <w:noProof/>
                <w:webHidden/>
              </w:rPr>
            </w:r>
            <w:r w:rsidR="00E136F2">
              <w:rPr>
                <w:noProof/>
                <w:webHidden/>
              </w:rPr>
              <w:fldChar w:fldCharType="separate"/>
            </w:r>
            <w:r w:rsidR="00E136F2">
              <w:rPr>
                <w:noProof/>
                <w:webHidden/>
              </w:rPr>
              <w:t>42</w:t>
            </w:r>
            <w:r w:rsidR="00E136F2">
              <w:rPr>
                <w:noProof/>
                <w:webHidden/>
              </w:rPr>
              <w:fldChar w:fldCharType="end"/>
            </w:r>
          </w:hyperlink>
        </w:p>
        <w:p w14:paraId="2EBF1434" w14:textId="2F95E40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46" w:history="1">
            <w:r w:rsidR="00E136F2" w:rsidRPr="00862B00">
              <w:rPr>
                <w:rStyle w:val="Hyperlink"/>
                <w:noProof/>
              </w:rPr>
              <w:t>4.4.6</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5.6 Model finansijskih nedostataka</w:t>
            </w:r>
            <w:r w:rsidR="00E136F2">
              <w:rPr>
                <w:noProof/>
                <w:webHidden/>
              </w:rPr>
              <w:tab/>
            </w:r>
            <w:r w:rsidR="00E136F2">
              <w:rPr>
                <w:noProof/>
                <w:webHidden/>
              </w:rPr>
              <w:fldChar w:fldCharType="begin"/>
            </w:r>
            <w:r w:rsidR="00E136F2">
              <w:rPr>
                <w:noProof/>
                <w:webHidden/>
              </w:rPr>
              <w:instrText xml:space="preserve"> PAGEREF _Toc201700346 \h </w:instrText>
            </w:r>
            <w:r w:rsidR="00E136F2">
              <w:rPr>
                <w:noProof/>
                <w:webHidden/>
              </w:rPr>
            </w:r>
            <w:r w:rsidR="00E136F2">
              <w:rPr>
                <w:noProof/>
                <w:webHidden/>
              </w:rPr>
              <w:fldChar w:fldCharType="separate"/>
            </w:r>
            <w:r w:rsidR="00E136F2">
              <w:rPr>
                <w:noProof/>
                <w:webHidden/>
              </w:rPr>
              <w:t>42</w:t>
            </w:r>
            <w:r w:rsidR="00E136F2">
              <w:rPr>
                <w:noProof/>
                <w:webHidden/>
              </w:rPr>
              <w:fldChar w:fldCharType="end"/>
            </w:r>
          </w:hyperlink>
        </w:p>
        <w:p w14:paraId="7376E7AE" w14:textId="085CF2A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47" w:history="1">
            <w:r w:rsidR="00E136F2" w:rsidRPr="00862B00">
              <w:rPr>
                <w:rStyle w:val="Hyperlink"/>
                <w:noProof/>
              </w:rPr>
              <w:t>4.4.7</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5.7 Izrada nacrta individualnih strategija organizacionog razvoja za institucije identifikovane kao buduća Tijela programa Kohezione politike</w:t>
            </w:r>
            <w:r w:rsidR="00E136F2">
              <w:rPr>
                <w:noProof/>
                <w:webHidden/>
              </w:rPr>
              <w:tab/>
            </w:r>
            <w:r w:rsidR="00E136F2">
              <w:rPr>
                <w:noProof/>
                <w:webHidden/>
              </w:rPr>
              <w:fldChar w:fldCharType="begin"/>
            </w:r>
            <w:r w:rsidR="00E136F2">
              <w:rPr>
                <w:noProof/>
                <w:webHidden/>
              </w:rPr>
              <w:instrText xml:space="preserve"> PAGEREF _Toc201700347 \h </w:instrText>
            </w:r>
            <w:r w:rsidR="00E136F2">
              <w:rPr>
                <w:noProof/>
                <w:webHidden/>
              </w:rPr>
            </w:r>
            <w:r w:rsidR="00E136F2">
              <w:rPr>
                <w:noProof/>
                <w:webHidden/>
              </w:rPr>
              <w:fldChar w:fldCharType="separate"/>
            </w:r>
            <w:r w:rsidR="00E136F2">
              <w:rPr>
                <w:noProof/>
                <w:webHidden/>
              </w:rPr>
              <w:t>42</w:t>
            </w:r>
            <w:r w:rsidR="00E136F2">
              <w:rPr>
                <w:noProof/>
                <w:webHidden/>
              </w:rPr>
              <w:fldChar w:fldCharType="end"/>
            </w:r>
          </w:hyperlink>
        </w:p>
        <w:p w14:paraId="33A2E16B" w14:textId="3BF04CF8"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48" w:history="1">
            <w:r w:rsidR="00E136F2" w:rsidRPr="00862B00">
              <w:rPr>
                <w:rStyle w:val="Hyperlink"/>
                <w:noProof/>
              </w:rPr>
              <w:t>4.4.8</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5.8 Usvajanje individualnih strategija organizacionog razvoja od strane budućih TIjela programa</w:t>
            </w:r>
            <w:r w:rsidR="00E136F2">
              <w:rPr>
                <w:noProof/>
                <w:webHidden/>
              </w:rPr>
              <w:tab/>
            </w:r>
            <w:r w:rsidR="00E136F2">
              <w:rPr>
                <w:noProof/>
                <w:webHidden/>
              </w:rPr>
              <w:fldChar w:fldCharType="begin"/>
            </w:r>
            <w:r w:rsidR="00E136F2">
              <w:rPr>
                <w:noProof/>
                <w:webHidden/>
              </w:rPr>
              <w:instrText xml:space="preserve"> PAGEREF _Toc201700348 \h </w:instrText>
            </w:r>
            <w:r w:rsidR="00E136F2">
              <w:rPr>
                <w:noProof/>
                <w:webHidden/>
              </w:rPr>
            </w:r>
            <w:r w:rsidR="00E136F2">
              <w:rPr>
                <w:noProof/>
                <w:webHidden/>
              </w:rPr>
              <w:fldChar w:fldCharType="separate"/>
            </w:r>
            <w:r w:rsidR="00E136F2">
              <w:rPr>
                <w:noProof/>
                <w:webHidden/>
              </w:rPr>
              <w:t>42</w:t>
            </w:r>
            <w:r w:rsidR="00E136F2">
              <w:rPr>
                <w:noProof/>
                <w:webHidden/>
              </w:rPr>
              <w:fldChar w:fldCharType="end"/>
            </w:r>
          </w:hyperlink>
        </w:p>
        <w:p w14:paraId="0AAE8C3B" w14:textId="39862BBD"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349" w:history="1">
            <w:r w:rsidR="00E136F2" w:rsidRPr="00862B00">
              <w:rPr>
                <w:rStyle w:val="Hyperlink"/>
                <w:noProof/>
              </w:rPr>
              <w:t>5</w:t>
            </w:r>
            <w:r w:rsidR="00E136F2">
              <w:rPr>
                <w:rFonts w:asciiTheme="minorHAnsi" w:eastAsiaTheme="minorEastAsia" w:hAnsiTheme="minorHAnsi"/>
                <w:noProof/>
                <w:kern w:val="0"/>
                <w:sz w:val="22"/>
                <w:lang w:val="en-US"/>
                <w14:ligatures w14:val="none"/>
              </w:rPr>
              <w:tab/>
            </w:r>
            <w:r w:rsidR="00E136F2" w:rsidRPr="00862B00">
              <w:rPr>
                <w:rStyle w:val="Hyperlink"/>
                <w:noProof/>
              </w:rPr>
              <w:t>Završno mjerilo 6</w:t>
            </w:r>
            <w:r w:rsidR="00E136F2">
              <w:rPr>
                <w:noProof/>
                <w:webHidden/>
              </w:rPr>
              <w:tab/>
            </w:r>
            <w:r w:rsidR="00E136F2">
              <w:rPr>
                <w:noProof/>
                <w:webHidden/>
              </w:rPr>
              <w:fldChar w:fldCharType="begin"/>
            </w:r>
            <w:r w:rsidR="00E136F2">
              <w:rPr>
                <w:noProof/>
                <w:webHidden/>
              </w:rPr>
              <w:instrText xml:space="preserve"> PAGEREF _Toc201700349 \h </w:instrText>
            </w:r>
            <w:r w:rsidR="00E136F2">
              <w:rPr>
                <w:noProof/>
                <w:webHidden/>
              </w:rPr>
            </w:r>
            <w:r w:rsidR="00E136F2">
              <w:rPr>
                <w:noProof/>
                <w:webHidden/>
              </w:rPr>
              <w:fldChar w:fldCharType="separate"/>
            </w:r>
            <w:r w:rsidR="00E136F2">
              <w:rPr>
                <w:noProof/>
                <w:webHidden/>
              </w:rPr>
              <w:t>44</w:t>
            </w:r>
            <w:r w:rsidR="00E136F2">
              <w:rPr>
                <w:noProof/>
                <w:webHidden/>
              </w:rPr>
              <w:fldChar w:fldCharType="end"/>
            </w:r>
          </w:hyperlink>
        </w:p>
        <w:p w14:paraId="65467C69" w14:textId="13ACA87B"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50" w:history="1">
            <w:r w:rsidR="00E136F2" w:rsidRPr="00862B00">
              <w:rPr>
                <w:rStyle w:val="Hyperlink"/>
                <w:noProof/>
              </w:rPr>
              <w:t>5.1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_Toc201700350 \h </w:instrText>
            </w:r>
            <w:r w:rsidR="00E136F2">
              <w:rPr>
                <w:noProof/>
                <w:webHidden/>
              </w:rPr>
            </w:r>
            <w:r w:rsidR="00E136F2">
              <w:rPr>
                <w:noProof/>
                <w:webHidden/>
              </w:rPr>
              <w:fldChar w:fldCharType="separate"/>
            </w:r>
            <w:r w:rsidR="00E136F2">
              <w:rPr>
                <w:noProof/>
                <w:webHidden/>
              </w:rPr>
              <w:t>44</w:t>
            </w:r>
            <w:r w:rsidR="00E136F2">
              <w:rPr>
                <w:noProof/>
                <w:webHidden/>
              </w:rPr>
              <w:fldChar w:fldCharType="end"/>
            </w:r>
          </w:hyperlink>
        </w:p>
        <w:p w14:paraId="5C1FC533" w14:textId="2A778F69"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51" w:history="1">
            <w:r w:rsidR="00E136F2" w:rsidRPr="00862B00">
              <w:rPr>
                <w:rStyle w:val="Hyperlink"/>
                <w:noProof/>
              </w:rPr>
              <w:t>5.2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_Toc201700351 \h </w:instrText>
            </w:r>
            <w:r w:rsidR="00E136F2">
              <w:rPr>
                <w:noProof/>
                <w:webHidden/>
              </w:rPr>
            </w:r>
            <w:r w:rsidR="00E136F2">
              <w:rPr>
                <w:noProof/>
                <w:webHidden/>
              </w:rPr>
              <w:fldChar w:fldCharType="separate"/>
            </w:r>
            <w:r w:rsidR="00E136F2">
              <w:rPr>
                <w:noProof/>
                <w:webHidden/>
              </w:rPr>
              <w:t>45</w:t>
            </w:r>
            <w:r w:rsidR="00E136F2">
              <w:rPr>
                <w:noProof/>
                <w:webHidden/>
              </w:rPr>
              <w:fldChar w:fldCharType="end"/>
            </w:r>
          </w:hyperlink>
        </w:p>
        <w:p w14:paraId="49DD156F" w14:textId="30BEA46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52" w:history="1">
            <w:r w:rsidR="00E136F2" w:rsidRPr="00862B00">
              <w:rPr>
                <w:rStyle w:val="Hyperlink"/>
                <w:noProof/>
              </w:rPr>
              <w:t>5.2.1</w:t>
            </w:r>
            <w:r w:rsidR="00E136F2">
              <w:rPr>
                <w:rFonts w:asciiTheme="minorHAnsi" w:eastAsiaTheme="minorEastAsia" w:hAnsiTheme="minorHAnsi"/>
                <w:noProof/>
                <w:kern w:val="0"/>
                <w:sz w:val="22"/>
                <w:lang w:val="en-US"/>
                <w14:ligatures w14:val="none"/>
              </w:rPr>
              <w:tab/>
            </w:r>
            <w:r w:rsidR="00E136F2" w:rsidRPr="00862B00">
              <w:rPr>
                <w:rStyle w:val="Hyperlink"/>
                <w:noProof/>
              </w:rPr>
              <w:t>Nacionalna IT infrastruktura</w:t>
            </w:r>
            <w:r w:rsidR="00E136F2">
              <w:rPr>
                <w:noProof/>
                <w:webHidden/>
              </w:rPr>
              <w:tab/>
            </w:r>
            <w:r w:rsidR="00E136F2">
              <w:rPr>
                <w:noProof/>
                <w:webHidden/>
              </w:rPr>
              <w:fldChar w:fldCharType="begin"/>
            </w:r>
            <w:r w:rsidR="00E136F2">
              <w:rPr>
                <w:noProof/>
                <w:webHidden/>
              </w:rPr>
              <w:instrText xml:space="preserve"> PAGEREF _Toc201700352 \h </w:instrText>
            </w:r>
            <w:r w:rsidR="00E136F2">
              <w:rPr>
                <w:noProof/>
                <w:webHidden/>
              </w:rPr>
            </w:r>
            <w:r w:rsidR="00E136F2">
              <w:rPr>
                <w:noProof/>
                <w:webHidden/>
              </w:rPr>
              <w:fldChar w:fldCharType="separate"/>
            </w:r>
            <w:r w:rsidR="00E136F2">
              <w:rPr>
                <w:noProof/>
                <w:webHidden/>
              </w:rPr>
              <w:t>46</w:t>
            </w:r>
            <w:r w:rsidR="00E136F2">
              <w:rPr>
                <w:noProof/>
                <w:webHidden/>
              </w:rPr>
              <w:fldChar w:fldCharType="end"/>
            </w:r>
          </w:hyperlink>
        </w:p>
        <w:p w14:paraId="418C3058" w14:textId="2474F839"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53" w:history="1">
            <w:r w:rsidR="00E136F2" w:rsidRPr="00862B00">
              <w:rPr>
                <w:rStyle w:val="Hyperlink"/>
                <w:noProof/>
              </w:rPr>
              <w:t>5.2.2</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Iskustvo u korišćenju </w:t>
            </w:r>
            <w:r w:rsidR="00A067C3">
              <w:rPr>
                <w:rStyle w:val="Hyperlink"/>
                <w:noProof/>
              </w:rPr>
              <w:t>ISU</w:t>
            </w:r>
            <w:r w:rsidR="00E136F2" w:rsidRPr="00862B00">
              <w:rPr>
                <w:rStyle w:val="Hyperlink"/>
                <w:noProof/>
              </w:rPr>
              <w:t>-a za Kohezionu politiku</w:t>
            </w:r>
            <w:r w:rsidR="00E136F2">
              <w:rPr>
                <w:noProof/>
                <w:webHidden/>
              </w:rPr>
              <w:tab/>
            </w:r>
            <w:r w:rsidR="00E136F2">
              <w:rPr>
                <w:noProof/>
                <w:webHidden/>
              </w:rPr>
              <w:fldChar w:fldCharType="begin"/>
            </w:r>
            <w:r w:rsidR="00E136F2">
              <w:rPr>
                <w:noProof/>
                <w:webHidden/>
              </w:rPr>
              <w:instrText xml:space="preserve"> PAGEREF _Toc201700353 \h </w:instrText>
            </w:r>
            <w:r w:rsidR="00E136F2">
              <w:rPr>
                <w:noProof/>
                <w:webHidden/>
              </w:rPr>
            </w:r>
            <w:r w:rsidR="00E136F2">
              <w:rPr>
                <w:noProof/>
                <w:webHidden/>
              </w:rPr>
              <w:fldChar w:fldCharType="separate"/>
            </w:r>
            <w:r w:rsidR="00E136F2">
              <w:rPr>
                <w:noProof/>
                <w:webHidden/>
              </w:rPr>
              <w:t>46</w:t>
            </w:r>
            <w:r w:rsidR="00E136F2">
              <w:rPr>
                <w:noProof/>
                <w:webHidden/>
              </w:rPr>
              <w:fldChar w:fldCharType="end"/>
            </w:r>
          </w:hyperlink>
        </w:p>
        <w:p w14:paraId="3A2784D3" w14:textId="30B8D94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54" w:history="1">
            <w:r w:rsidR="00E136F2" w:rsidRPr="00862B00">
              <w:rPr>
                <w:rStyle w:val="Hyperlink"/>
                <w:noProof/>
              </w:rPr>
              <w:t>5.2.3</w:t>
            </w:r>
            <w:r w:rsidR="00E136F2">
              <w:rPr>
                <w:rFonts w:asciiTheme="minorHAnsi" w:eastAsiaTheme="minorEastAsia" w:hAnsiTheme="minorHAnsi"/>
                <w:noProof/>
                <w:kern w:val="0"/>
                <w:sz w:val="22"/>
                <w:lang w:val="en-US"/>
                <w14:ligatures w14:val="none"/>
              </w:rPr>
              <w:tab/>
            </w:r>
            <w:r w:rsidR="00E136F2" w:rsidRPr="00862B00">
              <w:rPr>
                <w:rStyle w:val="Hyperlink"/>
                <w:noProof/>
              </w:rPr>
              <w:t>Drugo relevantno iskustvo</w:t>
            </w:r>
            <w:r w:rsidR="00E136F2">
              <w:rPr>
                <w:noProof/>
                <w:webHidden/>
              </w:rPr>
              <w:tab/>
            </w:r>
            <w:r w:rsidR="00E136F2">
              <w:rPr>
                <w:noProof/>
                <w:webHidden/>
              </w:rPr>
              <w:fldChar w:fldCharType="begin"/>
            </w:r>
            <w:r w:rsidR="00E136F2">
              <w:rPr>
                <w:noProof/>
                <w:webHidden/>
              </w:rPr>
              <w:instrText xml:space="preserve"> PAGEREF _Toc201700354 \h </w:instrText>
            </w:r>
            <w:r w:rsidR="00E136F2">
              <w:rPr>
                <w:noProof/>
                <w:webHidden/>
              </w:rPr>
            </w:r>
            <w:r w:rsidR="00E136F2">
              <w:rPr>
                <w:noProof/>
                <w:webHidden/>
              </w:rPr>
              <w:fldChar w:fldCharType="separate"/>
            </w:r>
            <w:r w:rsidR="00E136F2">
              <w:rPr>
                <w:noProof/>
                <w:webHidden/>
              </w:rPr>
              <w:t>47</w:t>
            </w:r>
            <w:r w:rsidR="00E136F2">
              <w:rPr>
                <w:noProof/>
                <w:webHidden/>
              </w:rPr>
              <w:fldChar w:fldCharType="end"/>
            </w:r>
          </w:hyperlink>
        </w:p>
        <w:p w14:paraId="191F58DD" w14:textId="7FE466FB"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55" w:history="1">
            <w:r w:rsidR="00E136F2" w:rsidRPr="00862B00">
              <w:rPr>
                <w:rStyle w:val="Hyperlink"/>
                <w:noProof/>
              </w:rPr>
              <w:t>5.3</w:t>
            </w:r>
            <w:r w:rsidR="00E136F2">
              <w:rPr>
                <w:rFonts w:asciiTheme="minorHAnsi" w:eastAsiaTheme="minorEastAsia" w:hAnsiTheme="minorHAnsi"/>
                <w:noProof/>
                <w:kern w:val="0"/>
                <w:sz w:val="22"/>
                <w:lang w:val="en-US"/>
                <w14:ligatures w14:val="none"/>
              </w:rPr>
              <w:tab/>
            </w:r>
            <w:r w:rsidR="00E136F2" w:rsidRPr="00862B00">
              <w:rPr>
                <w:rStyle w:val="Hyperlink"/>
                <w:noProof/>
              </w:rPr>
              <w:t>Izazovi povezani sa implementacijom Završnog mjerila 6</w:t>
            </w:r>
            <w:r w:rsidR="00E136F2">
              <w:rPr>
                <w:noProof/>
                <w:webHidden/>
              </w:rPr>
              <w:tab/>
            </w:r>
            <w:r w:rsidR="00E136F2">
              <w:rPr>
                <w:noProof/>
                <w:webHidden/>
              </w:rPr>
              <w:fldChar w:fldCharType="begin"/>
            </w:r>
            <w:r w:rsidR="00E136F2">
              <w:rPr>
                <w:noProof/>
                <w:webHidden/>
              </w:rPr>
              <w:instrText xml:space="preserve"> PAGEREF _Toc201700355 \h </w:instrText>
            </w:r>
            <w:r w:rsidR="00E136F2">
              <w:rPr>
                <w:noProof/>
                <w:webHidden/>
              </w:rPr>
            </w:r>
            <w:r w:rsidR="00E136F2">
              <w:rPr>
                <w:noProof/>
                <w:webHidden/>
              </w:rPr>
              <w:fldChar w:fldCharType="separate"/>
            </w:r>
            <w:r w:rsidR="00E136F2">
              <w:rPr>
                <w:noProof/>
                <w:webHidden/>
              </w:rPr>
              <w:t>47</w:t>
            </w:r>
            <w:r w:rsidR="00E136F2">
              <w:rPr>
                <w:noProof/>
                <w:webHidden/>
              </w:rPr>
              <w:fldChar w:fldCharType="end"/>
            </w:r>
          </w:hyperlink>
        </w:p>
        <w:p w14:paraId="62A0D154" w14:textId="25D4C5B3"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56" w:history="1">
            <w:r w:rsidR="00E136F2" w:rsidRPr="00862B00">
              <w:rPr>
                <w:rStyle w:val="Hyperlink"/>
                <w:noProof/>
              </w:rPr>
              <w:t>5.4</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_Toc201700356 \h </w:instrText>
            </w:r>
            <w:r w:rsidR="00E136F2">
              <w:rPr>
                <w:noProof/>
                <w:webHidden/>
              </w:rPr>
            </w:r>
            <w:r w:rsidR="00E136F2">
              <w:rPr>
                <w:noProof/>
                <w:webHidden/>
              </w:rPr>
              <w:fldChar w:fldCharType="separate"/>
            </w:r>
            <w:r w:rsidR="00E136F2">
              <w:rPr>
                <w:noProof/>
                <w:webHidden/>
              </w:rPr>
              <w:t>47</w:t>
            </w:r>
            <w:r w:rsidR="00E136F2">
              <w:rPr>
                <w:noProof/>
                <w:webHidden/>
              </w:rPr>
              <w:fldChar w:fldCharType="end"/>
            </w:r>
          </w:hyperlink>
        </w:p>
        <w:p w14:paraId="4E8B6273" w14:textId="12567F5D"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57" w:history="1">
            <w:r w:rsidR="00E136F2" w:rsidRPr="00862B00">
              <w:rPr>
                <w:rStyle w:val="Hyperlink"/>
                <w:noProof/>
              </w:rPr>
              <w:t>5.4.1</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6.1. Studija o uspostavljanju e-Kohezije i Informacionog sistema za upravljanje</w:t>
            </w:r>
            <w:r w:rsidR="00E136F2">
              <w:rPr>
                <w:noProof/>
                <w:webHidden/>
              </w:rPr>
              <w:tab/>
            </w:r>
            <w:r w:rsidR="00E136F2">
              <w:rPr>
                <w:noProof/>
                <w:webHidden/>
              </w:rPr>
              <w:fldChar w:fldCharType="begin"/>
            </w:r>
            <w:r w:rsidR="00E136F2">
              <w:rPr>
                <w:noProof/>
                <w:webHidden/>
              </w:rPr>
              <w:instrText xml:space="preserve"> PAGEREF _Toc201700357 \h </w:instrText>
            </w:r>
            <w:r w:rsidR="00E136F2">
              <w:rPr>
                <w:noProof/>
                <w:webHidden/>
              </w:rPr>
            </w:r>
            <w:r w:rsidR="00E136F2">
              <w:rPr>
                <w:noProof/>
                <w:webHidden/>
              </w:rPr>
              <w:fldChar w:fldCharType="separate"/>
            </w:r>
            <w:r w:rsidR="00E136F2">
              <w:rPr>
                <w:noProof/>
                <w:webHidden/>
              </w:rPr>
              <w:t>47</w:t>
            </w:r>
            <w:r w:rsidR="00E136F2">
              <w:rPr>
                <w:noProof/>
                <w:webHidden/>
              </w:rPr>
              <w:fldChar w:fldCharType="end"/>
            </w:r>
          </w:hyperlink>
        </w:p>
        <w:p w14:paraId="544CB4EF" w14:textId="6D5A6AB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58" w:history="1">
            <w:r w:rsidR="00E136F2" w:rsidRPr="00862B00">
              <w:rPr>
                <w:rStyle w:val="Hyperlink"/>
                <w:noProof/>
              </w:rPr>
              <w:t>5.4.2</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 xml:space="preserve">6.2. Odluka o </w:t>
            </w:r>
            <w:r w:rsidR="00A067C3">
              <w:rPr>
                <w:rStyle w:val="Hyperlink"/>
                <w:noProof/>
              </w:rPr>
              <w:t>ISU</w:t>
            </w:r>
            <w:r w:rsidR="00E136F2" w:rsidRPr="00862B00">
              <w:rPr>
                <w:rStyle w:val="Hyperlink"/>
                <w:noProof/>
              </w:rPr>
              <w:t xml:space="preserve"> arhitekturi</w:t>
            </w:r>
            <w:r w:rsidR="00E136F2">
              <w:rPr>
                <w:noProof/>
                <w:webHidden/>
              </w:rPr>
              <w:tab/>
            </w:r>
            <w:r w:rsidR="00E136F2">
              <w:rPr>
                <w:noProof/>
                <w:webHidden/>
              </w:rPr>
              <w:fldChar w:fldCharType="begin"/>
            </w:r>
            <w:r w:rsidR="00E136F2">
              <w:rPr>
                <w:noProof/>
                <w:webHidden/>
              </w:rPr>
              <w:instrText xml:space="preserve"> PAGEREF _Toc201700358 \h </w:instrText>
            </w:r>
            <w:r w:rsidR="00E136F2">
              <w:rPr>
                <w:noProof/>
                <w:webHidden/>
              </w:rPr>
            </w:r>
            <w:r w:rsidR="00E136F2">
              <w:rPr>
                <w:noProof/>
                <w:webHidden/>
              </w:rPr>
              <w:fldChar w:fldCharType="separate"/>
            </w:r>
            <w:r w:rsidR="00E136F2">
              <w:rPr>
                <w:noProof/>
                <w:webHidden/>
              </w:rPr>
              <w:t>48</w:t>
            </w:r>
            <w:r w:rsidR="00E136F2">
              <w:rPr>
                <w:noProof/>
                <w:webHidden/>
              </w:rPr>
              <w:fldChar w:fldCharType="end"/>
            </w:r>
          </w:hyperlink>
        </w:p>
        <w:p w14:paraId="1DC628E4" w14:textId="2552440E"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59" w:history="1">
            <w:r w:rsidR="00E136F2" w:rsidRPr="00862B00">
              <w:rPr>
                <w:rStyle w:val="Hyperlink"/>
                <w:noProof/>
              </w:rPr>
              <w:t>5.4.3</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w:t>
            </w:r>
            <w:r w:rsidR="0032369C">
              <w:rPr>
                <w:rStyle w:val="Hyperlink"/>
                <w:noProof/>
              </w:rPr>
              <w:t>ZM</w:t>
            </w:r>
            <w:r w:rsidR="00E136F2" w:rsidRPr="00862B00">
              <w:rPr>
                <w:rStyle w:val="Hyperlink"/>
                <w:noProof/>
              </w:rPr>
              <w:t>6.3. Detaljan plan i vremenski raspored koji se tiču uspostavljanja sistema za monitoring i evaluaciju, uključujući uspostavljanje informacionog Sistema za upravljanje (</w:t>
            </w:r>
            <w:r w:rsidR="00A067C3">
              <w:rPr>
                <w:rStyle w:val="Hyperlink"/>
                <w:noProof/>
              </w:rPr>
              <w:t>ISU</w:t>
            </w:r>
            <w:r w:rsidR="00E136F2" w:rsidRPr="00862B00">
              <w:rPr>
                <w:rStyle w:val="Hyperlink"/>
                <w:noProof/>
              </w:rPr>
              <w:t>)</w:t>
            </w:r>
            <w:r w:rsidR="00E136F2">
              <w:rPr>
                <w:noProof/>
                <w:webHidden/>
              </w:rPr>
              <w:tab/>
            </w:r>
            <w:r w:rsidR="00E136F2">
              <w:rPr>
                <w:noProof/>
                <w:webHidden/>
              </w:rPr>
              <w:fldChar w:fldCharType="begin"/>
            </w:r>
            <w:r w:rsidR="00E136F2">
              <w:rPr>
                <w:noProof/>
                <w:webHidden/>
              </w:rPr>
              <w:instrText xml:space="preserve"> PAGEREF _Toc201700359 \h </w:instrText>
            </w:r>
            <w:r w:rsidR="00E136F2">
              <w:rPr>
                <w:noProof/>
                <w:webHidden/>
              </w:rPr>
            </w:r>
            <w:r w:rsidR="00E136F2">
              <w:rPr>
                <w:noProof/>
                <w:webHidden/>
              </w:rPr>
              <w:fldChar w:fldCharType="separate"/>
            </w:r>
            <w:r w:rsidR="00E136F2">
              <w:rPr>
                <w:noProof/>
                <w:webHidden/>
              </w:rPr>
              <w:t>48</w:t>
            </w:r>
            <w:r w:rsidR="00E136F2">
              <w:rPr>
                <w:noProof/>
                <w:webHidden/>
              </w:rPr>
              <w:fldChar w:fldCharType="end"/>
            </w:r>
          </w:hyperlink>
        </w:p>
        <w:p w14:paraId="561B742A" w14:textId="4A8FAFE2"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360" w:history="1">
            <w:r w:rsidR="00E136F2" w:rsidRPr="00862B00">
              <w:rPr>
                <w:rStyle w:val="Hyperlink"/>
                <w:noProof/>
              </w:rPr>
              <w:t>1</w:t>
            </w:r>
            <w:r w:rsidR="00E136F2">
              <w:rPr>
                <w:rFonts w:asciiTheme="minorHAnsi" w:eastAsiaTheme="minorEastAsia" w:hAnsiTheme="minorHAnsi"/>
                <w:noProof/>
                <w:kern w:val="0"/>
                <w:sz w:val="22"/>
                <w:lang w:val="en-US"/>
                <w14:ligatures w14:val="none"/>
              </w:rPr>
              <w:tab/>
            </w:r>
            <w:r w:rsidR="00E136F2" w:rsidRPr="00862B00">
              <w:rPr>
                <w:rStyle w:val="Hyperlink"/>
                <w:noProof/>
              </w:rPr>
              <w:t>Zakonodavni okvir</w:t>
            </w:r>
            <w:r w:rsidR="00E136F2">
              <w:rPr>
                <w:noProof/>
                <w:webHidden/>
              </w:rPr>
              <w:tab/>
            </w:r>
            <w:r w:rsidR="00E136F2">
              <w:rPr>
                <w:noProof/>
                <w:webHidden/>
              </w:rPr>
              <w:fldChar w:fldCharType="begin"/>
            </w:r>
            <w:r w:rsidR="00E136F2">
              <w:rPr>
                <w:noProof/>
                <w:webHidden/>
              </w:rPr>
              <w:instrText xml:space="preserve"> PAGEREF _Toc201700360 \h </w:instrText>
            </w:r>
            <w:r w:rsidR="00E136F2">
              <w:rPr>
                <w:noProof/>
                <w:webHidden/>
              </w:rPr>
            </w:r>
            <w:r w:rsidR="00E136F2">
              <w:rPr>
                <w:noProof/>
                <w:webHidden/>
              </w:rPr>
              <w:fldChar w:fldCharType="separate"/>
            </w:r>
            <w:r w:rsidR="00E136F2">
              <w:rPr>
                <w:noProof/>
                <w:webHidden/>
              </w:rPr>
              <w:t>50</w:t>
            </w:r>
            <w:r w:rsidR="00E136F2">
              <w:rPr>
                <w:noProof/>
                <w:webHidden/>
              </w:rPr>
              <w:fldChar w:fldCharType="end"/>
            </w:r>
          </w:hyperlink>
        </w:p>
        <w:p w14:paraId="76445814" w14:textId="2A611650"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61" w:history="1">
            <w:r w:rsidR="00E136F2" w:rsidRPr="00862B00">
              <w:rPr>
                <w:rStyle w:val="Hyperlink"/>
                <w:rFonts w:eastAsia="Yu Gothic Light" w:cs="Arial"/>
                <w:noProof/>
              </w:rPr>
              <w:t>1.1</w:t>
            </w:r>
            <w:r w:rsidR="00E136F2">
              <w:rPr>
                <w:rFonts w:asciiTheme="minorHAnsi" w:eastAsiaTheme="minorEastAsia" w:hAnsiTheme="minorHAnsi"/>
                <w:noProof/>
                <w:kern w:val="0"/>
                <w:sz w:val="22"/>
                <w:lang w:val="en-US"/>
                <w14:ligatures w14:val="none"/>
              </w:rPr>
              <w:tab/>
            </w:r>
            <w:r w:rsidR="00E136F2" w:rsidRPr="00862B00">
              <w:rPr>
                <w:rStyle w:val="Hyperlink"/>
                <w:rFonts w:eastAsia="Yu Gothic Light" w:cs="Arial"/>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_Toc201700361 \h </w:instrText>
            </w:r>
            <w:r w:rsidR="00E136F2">
              <w:rPr>
                <w:noProof/>
                <w:webHidden/>
              </w:rPr>
            </w:r>
            <w:r w:rsidR="00E136F2">
              <w:rPr>
                <w:noProof/>
                <w:webHidden/>
              </w:rPr>
              <w:fldChar w:fldCharType="separate"/>
            </w:r>
            <w:r w:rsidR="00E136F2">
              <w:rPr>
                <w:noProof/>
                <w:webHidden/>
              </w:rPr>
              <w:t>50</w:t>
            </w:r>
            <w:r w:rsidR="00E136F2">
              <w:rPr>
                <w:noProof/>
                <w:webHidden/>
              </w:rPr>
              <w:fldChar w:fldCharType="end"/>
            </w:r>
          </w:hyperlink>
        </w:p>
        <w:p w14:paraId="36F3FBE4" w14:textId="55FD1F94"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62" w:history="1">
            <w:r w:rsidR="00E136F2" w:rsidRPr="00862B00">
              <w:rPr>
                <w:rStyle w:val="Hyperlink"/>
                <w:noProof/>
              </w:rPr>
              <w:t>1.1</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_Toc201700362 \h </w:instrText>
            </w:r>
            <w:r w:rsidR="00E136F2">
              <w:rPr>
                <w:noProof/>
                <w:webHidden/>
              </w:rPr>
            </w:r>
            <w:r w:rsidR="00E136F2">
              <w:rPr>
                <w:noProof/>
                <w:webHidden/>
              </w:rPr>
              <w:fldChar w:fldCharType="separate"/>
            </w:r>
            <w:r w:rsidR="00E136F2">
              <w:rPr>
                <w:noProof/>
                <w:webHidden/>
              </w:rPr>
              <w:t>51</w:t>
            </w:r>
            <w:r w:rsidR="00E136F2">
              <w:rPr>
                <w:noProof/>
                <w:webHidden/>
              </w:rPr>
              <w:fldChar w:fldCharType="end"/>
            </w:r>
          </w:hyperlink>
        </w:p>
        <w:p w14:paraId="491320C9" w14:textId="44990A6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63" w:history="1">
            <w:r w:rsidR="00E136F2" w:rsidRPr="00862B00">
              <w:rPr>
                <w:rStyle w:val="Hyperlink"/>
                <w:noProof/>
              </w:rPr>
              <w:t>1.1.1</w:t>
            </w:r>
            <w:r w:rsidR="00E136F2">
              <w:rPr>
                <w:rFonts w:asciiTheme="minorHAnsi" w:eastAsiaTheme="minorEastAsia" w:hAnsiTheme="minorHAnsi"/>
                <w:noProof/>
                <w:kern w:val="0"/>
                <w:sz w:val="22"/>
                <w:lang w:val="en-US"/>
                <w14:ligatures w14:val="none"/>
              </w:rPr>
              <w:tab/>
            </w:r>
            <w:r w:rsidR="00E136F2" w:rsidRPr="00862B00">
              <w:rPr>
                <w:rStyle w:val="Hyperlink"/>
                <w:noProof/>
              </w:rPr>
              <w:t>Principi Kohezione politike</w:t>
            </w:r>
            <w:r w:rsidR="00E136F2">
              <w:rPr>
                <w:noProof/>
                <w:webHidden/>
              </w:rPr>
              <w:tab/>
            </w:r>
            <w:r w:rsidR="00E136F2">
              <w:rPr>
                <w:noProof/>
                <w:webHidden/>
              </w:rPr>
              <w:fldChar w:fldCharType="begin"/>
            </w:r>
            <w:r w:rsidR="00E136F2">
              <w:rPr>
                <w:noProof/>
                <w:webHidden/>
              </w:rPr>
              <w:instrText xml:space="preserve"> PAGEREF _Toc201700363 \h </w:instrText>
            </w:r>
            <w:r w:rsidR="00E136F2">
              <w:rPr>
                <w:noProof/>
                <w:webHidden/>
              </w:rPr>
            </w:r>
            <w:r w:rsidR="00E136F2">
              <w:rPr>
                <w:noProof/>
                <w:webHidden/>
              </w:rPr>
              <w:fldChar w:fldCharType="separate"/>
            </w:r>
            <w:r w:rsidR="00E136F2">
              <w:rPr>
                <w:noProof/>
                <w:webHidden/>
              </w:rPr>
              <w:t>51</w:t>
            </w:r>
            <w:r w:rsidR="00E136F2">
              <w:rPr>
                <w:noProof/>
                <w:webHidden/>
              </w:rPr>
              <w:fldChar w:fldCharType="end"/>
            </w:r>
          </w:hyperlink>
        </w:p>
        <w:p w14:paraId="7DDD9961" w14:textId="47B8E3EB"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64" w:history="1">
            <w:r w:rsidR="00E136F2" w:rsidRPr="00862B00">
              <w:rPr>
                <w:rStyle w:val="Hyperlink"/>
                <w:noProof/>
              </w:rPr>
              <w:t>1.1.2</w:t>
            </w:r>
            <w:r w:rsidR="00E136F2">
              <w:rPr>
                <w:rFonts w:asciiTheme="minorHAnsi" w:eastAsiaTheme="minorEastAsia" w:hAnsiTheme="minorHAnsi"/>
                <w:noProof/>
                <w:kern w:val="0"/>
                <w:sz w:val="22"/>
                <w:lang w:val="en-US"/>
                <w14:ligatures w14:val="none"/>
              </w:rPr>
              <w:tab/>
            </w:r>
            <w:r w:rsidR="00E136F2" w:rsidRPr="00862B00">
              <w:rPr>
                <w:rStyle w:val="Hyperlink"/>
                <w:noProof/>
              </w:rPr>
              <w:t>Omogućavajući uslovi</w:t>
            </w:r>
            <w:r w:rsidR="00E136F2">
              <w:rPr>
                <w:noProof/>
                <w:webHidden/>
              </w:rPr>
              <w:tab/>
            </w:r>
            <w:r w:rsidR="00E136F2">
              <w:rPr>
                <w:noProof/>
                <w:webHidden/>
              </w:rPr>
              <w:fldChar w:fldCharType="begin"/>
            </w:r>
            <w:r w:rsidR="00E136F2">
              <w:rPr>
                <w:noProof/>
                <w:webHidden/>
              </w:rPr>
              <w:instrText xml:space="preserve"> PAGEREF _Toc201700364 \h </w:instrText>
            </w:r>
            <w:r w:rsidR="00E136F2">
              <w:rPr>
                <w:noProof/>
                <w:webHidden/>
              </w:rPr>
            </w:r>
            <w:r w:rsidR="00E136F2">
              <w:rPr>
                <w:noProof/>
                <w:webHidden/>
              </w:rPr>
              <w:fldChar w:fldCharType="separate"/>
            </w:r>
            <w:r w:rsidR="00E136F2">
              <w:rPr>
                <w:noProof/>
                <w:webHidden/>
              </w:rPr>
              <w:t>56</w:t>
            </w:r>
            <w:r w:rsidR="00E136F2">
              <w:rPr>
                <w:noProof/>
                <w:webHidden/>
              </w:rPr>
              <w:fldChar w:fldCharType="end"/>
            </w:r>
          </w:hyperlink>
        </w:p>
        <w:p w14:paraId="395220B0" w14:textId="1CB37D6B"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65" w:history="1">
            <w:r w:rsidR="00E136F2" w:rsidRPr="00862B00">
              <w:rPr>
                <w:rStyle w:val="Hyperlink"/>
                <w:noProof/>
              </w:rPr>
              <w:t>1.1.3</w:t>
            </w:r>
            <w:r w:rsidR="00E136F2">
              <w:rPr>
                <w:rFonts w:asciiTheme="minorHAnsi" w:eastAsiaTheme="minorEastAsia" w:hAnsiTheme="minorHAnsi"/>
                <w:noProof/>
                <w:kern w:val="0"/>
                <w:sz w:val="22"/>
                <w:lang w:val="en-US"/>
                <w14:ligatures w14:val="none"/>
              </w:rPr>
              <w:tab/>
            </w:r>
            <w:r w:rsidR="00E136F2" w:rsidRPr="00862B00">
              <w:rPr>
                <w:rStyle w:val="Hyperlink"/>
                <w:noProof/>
              </w:rPr>
              <w:t>Pravni okvir za implementaciju Kohezione politike i uspostavljanje Evropskog grupisanja teritorijalne saradnje (</w:t>
            </w:r>
            <w:r w:rsidR="00603905">
              <w:rPr>
                <w:rStyle w:val="Hyperlink"/>
                <w:noProof/>
              </w:rPr>
              <w:t>EGTS</w:t>
            </w:r>
            <w:r w:rsidR="00E136F2" w:rsidRPr="00862B00">
              <w:rPr>
                <w:rStyle w:val="Hyperlink"/>
                <w:noProof/>
              </w:rPr>
              <w:t>)</w:t>
            </w:r>
            <w:r w:rsidR="00E136F2">
              <w:rPr>
                <w:noProof/>
                <w:webHidden/>
              </w:rPr>
              <w:tab/>
            </w:r>
            <w:r w:rsidR="00E136F2">
              <w:rPr>
                <w:noProof/>
                <w:webHidden/>
              </w:rPr>
              <w:fldChar w:fldCharType="begin"/>
            </w:r>
            <w:r w:rsidR="00E136F2">
              <w:rPr>
                <w:noProof/>
                <w:webHidden/>
              </w:rPr>
              <w:instrText xml:space="preserve"> PAGEREF _Toc201700365 \h </w:instrText>
            </w:r>
            <w:r w:rsidR="00E136F2">
              <w:rPr>
                <w:noProof/>
                <w:webHidden/>
              </w:rPr>
            </w:r>
            <w:r w:rsidR="00E136F2">
              <w:rPr>
                <w:noProof/>
                <w:webHidden/>
              </w:rPr>
              <w:fldChar w:fldCharType="separate"/>
            </w:r>
            <w:r w:rsidR="00E136F2">
              <w:rPr>
                <w:noProof/>
                <w:webHidden/>
              </w:rPr>
              <w:t>56</w:t>
            </w:r>
            <w:r w:rsidR="00E136F2">
              <w:rPr>
                <w:noProof/>
                <w:webHidden/>
              </w:rPr>
              <w:fldChar w:fldCharType="end"/>
            </w:r>
          </w:hyperlink>
        </w:p>
        <w:p w14:paraId="1EBCE2EC" w14:textId="3092FFBD"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66" w:history="1">
            <w:r w:rsidR="00E136F2" w:rsidRPr="00862B00">
              <w:rPr>
                <w:rStyle w:val="Hyperlink"/>
                <w:noProof/>
              </w:rPr>
              <w:t>1.2</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_Toc201700366 \h </w:instrText>
            </w:r>
            <w:r w:rsidR="00E136F2">
              <w:rPr>
                <w:noProof/>
                <w:webHidden/>
              </w:rPr>
            </w:r>
            <w:r w:rsidR="00E136F2">
              <w:rPr>
                <w:noProof/>
                <w:webHidden/>
              </w:rPr>
              <w:fldChar w:fldCharType="separate"/>
            </w:r>
            <w:r w:rsidR="00E136F2">
              <w:rPr>
                <w:noProof/>
                <w:webHidden/>
              </w:rPr>
              <w:t>56</w:t>
            </w:r>
            <w:r w:rsidR="00E136F2">
              <w:rPr>
                <w:noProof/>
                <w:webHidden/>
              </w:rPr>
              <w:fldChar w:fldCharType="end"/>
            </w:r>
          </w:hyperlink>
        </w:p>
        <w:p w14:paraId="4F5A2930" w14:textId="2C7BD3E2"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67" w:history="1">
            <w:r w:rsidR="00E136F2" w:rsidRPr="00862B00">
              <w:rPr>
                <w:rStyle w:val="Hyperlink"/>
                <w:noProof/>
              </w:rPr>
              <w:t>1.2.1</w:t>
            </w:r>
            <w:r w:rsidR="00E136F2">
              <w:rPr>
                <w:rFonts w:asciiTheme="minorHAnsi" w:eastAsiaTheme="minorEastAsia" w:hAnsiTheme="minorHAnsi"/>
                <w:noProof/>
                <w:kern w:val="0"/>
                <w:sz w:val="22"/>
                <w:lang w:val="en-US"/>
                <w14:ligatures w14:val="none"/>
              </w:rPr>
              <w:tab/>
            </w:r>
            <w:r w:rsidR="00E136F2" w:rsidRPr="00862B00">
              <w:rPr>
                <w:rStyle w:val="Hyperlink"/>
                <w:noProof/>
              </w:rPr>
              <w:t>Akcija 1.1. Uspostavljanje Partnerstva za Kohezionu politiku</w:t>
            </w:r>
            <w:r w:rsidR="00E136F2">
              <w:rPr>
                <w:noProof/>
                <w:webHidden/>
              </w:rPr>
              <w:tab/>
            </w:r>
            <w:r w:rsidR="00E136F2">
              <w:rPr>
                <w:noProof/>
                <w:webHidden/>
              </w:rPr>
              <w:fldChar w:fldCharType="begin"/>
            </w:r>
            <w:r w:rsidR="00E136F2">
              <w:rPr>
                <w:noProof/>
                <w:webHidden/>
              </w:rPr>
              <w:instrText xml:space="preserve"> PAGEREF _Toc201700367 \h </w:instrText>
            </w:r>
            <w:r w:rsidR="00E136F2">
              <w:rPr>
                <w:noProof/>
                <w:webHidden/>
              </w:rPr>
            </w:r>
            <w:r w:rsidR="00E136F2">
              <w:rPr>
                <w:noProof/>
                <w:webHidden/>
              </w:rPr>
              <w:fldChar w:fldCharType="separate"/>
            </w:r>
            <w:r w:rsidR="00E136F2">
              <w:rPr>
                <w:noProof/>
                <w:webHidden/>
              </w:rPr>
              <w:t>56</w:t>
            </w:r>
            <w:r w:rsidR="00E136F2">
              <w:rPr>
                <w:noProof/>
                <w:webHidden/>
              </w:rPr>
              <w:fldChar w:fldCharType="end"/>
            </w:r>
          </w:hyperlink>
        </w:p>
        <w:p w14:paraId="50EAEBC8" w14:textId="0C90C07E"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68" w:history="1">
            <w:r w:rsidR="00E136F2" w:rsidRPr="00862B00">
              <w:rPr>
                <w:rStyle w:val="Hyperlink"/>
                <w:noProof/>
              </w:rPr>
              <w:t>1.2.2</w:t>
            </w:r>
            <w:r w:rsidR="00E136F2">
              <w:rPr>
                <w:rFonts w:asciiTheme="minorHAnsi" w:eastAsiaTheme="minorEastAsia" w:hAnsiTheme="minorHAnsi"/>
                <w:noProof/>
                <w:kern w:val="0"/>
                <w:sz w:val="22"/>
                <w:lang w:val="en-US"/>
                <w14:ligatures w14:val="none"/>
              </w:rPr>
              <w:tab/>
            </w:r>
            <w:r w:rsidR="00E136F2" w:rsidRPr="00862B00">
              <w:rPr>
                <w:rStyle w:val="Hyperlink"/>
                <w:noProof/>
              </w:rPr>
              <w:t>Akcija 1.2. Pravni okvir i procedure za Evropsko grupisanje teritorijalne saradnje (</w:t>
            </w:r>
            <w:r w:rsidR="00603905">
              <w:rPr>
                <w:rStyle w:val="Hyperlink"/>
                <w:noProof/>
              </w:rPr>
              <w:t>EGTS</w:t>
            </w:r>
            <w:r w:rsidR="00E136F2" w:rsidRPr="00862B00">
              <w:rPr>
                <w:rStyle w:val="Hyperlink"/>
                <w:noProof/>
              </w:rPr>
              <w:t>)</w:t>
            </w:r>
            <w:r w:rsidR="00E136F2">
              <w:rPr>
                <w:noProof/>
                <w:webHidden/>
              </w:rPr>
              <w:tab/>
            </w:r>
            <w:r w:rsidR="00E136F2">
              <w:rPr>
                <w:noProof/>
                <w:webHidden/>
              </w:rPr>
              <w:fldChar w:fldCharType="begin"/>
            </w:r>
            <w:r w:rsidR="00E136F2">
              <w:rPr>
                <w:noProof/>
                <w:webHidden/>
              </w:rPr>
              <w:instrText xml:space="preserve"> PAGEREF _Toc201700368 \h </w:instrText>
            </w:r>
            <w:r w:rsidR="00E136F2">
              <w:rPr>
                <w:noProof/>
                <w:webHidden/>
              </w:rPr>
            </w:r>
            <w:r w:rsidR="00E136F2">
              <w:rPr>
                <w:noProof/>
                <w:webHidden/>
              </w:rPr>
              <w:fldChar w:fldCharType="separate"/>
            </w:r>
            <w:r w:rsidR="00E136F2">
              <w:rPr>
                <w:noProof/>
                <w:webHidden/>
              </w:rPr>
              <w:t>57</w:t>
            </w:r>
            <w:r w:rsidR="00E136F2">
              <w:rPr>
                <w:noProof/>
                <w:webHidden/>
              </w:rPr>
              <w:fldChar w:fldCharType="end"/>
            </w:r>
          </w:hyperlink>
        </w:p>
        <w:p w14:paraId="5F642D39" w14:textId="5619B412"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69" w:history="1">
            <w:r w:rsidR="00E136F2" w:rsidRPr="00862B00">
              <w:rPr>
                <w:rStyle w:val="Hyperlink"/>
                <w:noProof/>
              </w:rPr>
              <w:t>1.2.3</w:t>
            </w:r>
            <w:r w:rsidR="00E136F2">
              <w:rPr>
                <w:rFonts w:asciiTheme="minorHAnsi" w:eastAsiaTheme="minorEastAsia" w:hAnsiTheme="minorHAnsi"/>
                <w:noProof/>
                <w:kern w:val="0"/>
                <w:sz w:val="22"/>
                <w:lang w:val="en-US"/>
                <w14:ligatures w14:val="none"/>
              </w:rPr>
              <w:tab/>
            </w:r>
            <w:r w:rsidR="00E136F2" w:rsidRPr="00862B00">
              <w:rPr>
                <w:rStyle w:val="Hyperlink"/>
                <w:noProof/>
              </w:rPr>
              <w:t>Akcija 1.3. Pravni okvir za implementaciju Kohezione politike</w:t>
            </w:r>
            <w:r w:rsidR="00E136F2">
              <w:rPr>
                <w:noProof/>
                <w:webHidden/>
              </w:rPr>
              <w:tab/>
            </w:r>
            <w:r w:rsidR="00E136F2">
              <w:rPr>
                <w:noProof/>
                <w:webHidden/>
              </w:rPr>
              <w:fldChar w:fldCharType="begin"/>
            </w:r>
            <w:r w:rsidR="00E136F2">
              <w:rPr>
                <w:noProof/>
                <w:webHidden/>
              </w:rPr>
              <w:instrText xml:space="preserve"> PAGEREF _Toc201700369 \h </w:instrText>
            </w:r>
            <w:r w:rsidR="00E136F2">
              <w:rPr>
                <w:noProof/>
                <w:webHidden/>
              </w:rPr>
            </w:r>
            <w:r w:rsidR="00E136F2">
              <w:rPr>
                <w:noProof/>
                <w:webHidden/>
              </w:rPr>
              <w:fldChar w:fldCharType="separate"/>
            </w:r>
            <w:r w:rsidR="00E136F2">
              <w:rPr>
                <w:noProof/>
                <w:webHidden/>
              </w:rPr>
              <w:t>57</w:t>
            </w:r>
            <w:r w:rsidR="00E136F2">
              <w:rPr>
                <w:noProof/>
                <w:webHidden/>
              </w:rPr>
              <w:fldChar w:fldCharType="end"/>
            </w:r>
          </w:hyperlink>
        </w:p>
        <w:p w14:paraId="2127CE2F" w14:textId="714744DC"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70" w:history="1">
            <w:r w:rsidR="00E136F2" w:rsidRPr="00862B00">
              <w:rPr>
                <w:rStyle w:val="Hyperlink"/>
                <w:noProof/>
              </w:rPr>
              <w:t>1.2.4</w:t>
            </w:r>
            <w:r w:rsidR="00E136F2">
              <w:rPr>
                <w:rFonts w:asciiTheme="minorHAnsi" w:eastAsiaTheme="minorEastAsia" w:hAnsiTheme="minorHAnsi"/>
                <w:noProof/>
                <w:kern w:val="0"/>
                <w:sz w:val="22"/>
                <w:lang w:val="en-US"/>
                <w14:ligatures w14:val="none"/>
              </w:rPr>
              <w:tab/>
            </w:r>
            <w:r w:rsidR="00E136F2" w:rsidRPr="00862B00">
              <w:rPr>
                <w:rStyle w:val="Hyperlink"/>
                <w:noProof/>
              </w:rPr>
              <w:t>Akcija 1.4. Monitoring napretka i konačno usklađivanje sa omogućavajućim uslovima</w:t>
            </w:r>
            <w:r w:rsidR="00E136F2">
              <w:rPr>
                <w:noProof/>
                <w:webHidden/>
              </w:rPr>
              <w:tab/>
            </w:r>
            <w:r w:rsidR="00E136F2">
              <w:rPr>
                <w:noProof/>
                <w:webHidden/>
              </w:rPr>
              <w:fldChar w:fldCharType="begin"/>
            </w:r>
            <w:r w:rsidR="00E136F2">
              <w:rPr>
                <w:noProof/>
                <w:webHidden/>
              </w:rPr>
              <w:instrText xml:space="preserve"> PAGEREF _Toc201700370 \h </w:instrText>
            </w:r>
            <w:r w:rsidR="00E136F2">
              <w:rPr>
                <w:noProof/>
                <w:webHidden/>
              </w:rPr>
            </w:r>
            <w:r w:rsidR="00E136F2">
              <w:rPr>
                <w:noProof/>
                <w:webHidden/>
              </w:rPr>
              <w:fldChar w:fldCharType="separate"/>
            </w:r>
            <w:r w:rsidR="00E136F2">
              <w:rPr>
                <w:noProof/>
                <w:webHidden/>
              </w:rPr>
              <w:t>58</w:t>
            </w:r>
            <w:r w:rsidR="00E136F2">
              <w:rPr>
                <w:noProof/>
                <w:webHidden/>
              </w:rPr>
              <w:fldChar w:fldCharType="end"/>
            </w:r>
          </w:hyperlink>
        </w:p>
        <w:p w14:paraId="0F1D98D3" w14:textId="0AD9CF07"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371" w:history="1">
            <w:r w:rsidR="00E136F2" w:rsidRPr="00862B00">
              <w:rPr>
                <w:rStyle w:val="Hyperlink"/>
                <w:noProof/>
              </w:rPr>
              <w:t>2</w:t>
            </w:r>
            <w:r w:rsidR="00E136F2">
              <w:rPr>
                <w:rFonts w:asciiTheme="minorHAnsi" w:eastAsiaTheme="minorEastAsia" w:hAnsiTheme="minorHAnsi"/>
                <w:noProof/>
                <w:kern w:val="0"/>
                <w:sz w:val="22"/>
                <w:lang w:val="en-US"/>
                <w14:ligatures w14:val="none"/>
              </w:rPr>
              <w:tab/>
            </w:r>
            <w:r w:rsidR="00E136F2" w:rsidRPr="00862B00">
              <w:rPr>
                <w:rStyle w:val="Hyperlink"/>
                <w:noProof/>
              </w:rPr>
              <w:t>Institucionalni okvir</w:t>
            </w:r>
            <w:r w:rsidR="00E136F2">
              <w:rPr>
                <w:noProof/>
                <w:webHidden/>
              </w:rPr>
              <w:tab/>
            </w:r>
            <w:r w:rsidR="00E136F2">
              <w:rPr>
                <w:noProof/>
                <w:webHidden/>
              </w:rPr>
              <w:fldChar w:fldCharType="begin"/>
            </w:r>
            <w:r w:rsidR="00E136F2">
              <w:rPr>
                <w:noProof/>
                <w:webHidden/>
              </w:rPr>
              <w:instrText xml:space="preserve"> PAGEREF _Toc201700371 \h </w:instrText>
            </w:r>
            <w:r w:rsidR="00E136F2">
              <w:rPr>
                <w:noProof/>
                <w:webHidden/>
              </w:rPr>
            </w:r>
            <w:r w:rsidR="00E136F2">
              <w:rPr>
                <w:noProof/>
                <w:webHidden/>
              </w:rPr>
              <w:fldChar w:fldCharType="separate"/>
            </w:r>
            <w:r w:rsidR="00E136F2">
              <w:rPr>
                <w:noProof/>
                <w:webHidden/>
              </w:rPr>
              <w:t>60</w:t>
            </w:r>
            <w:r w:rsidR="00E136F2">
              <w:rPr>
                <w:noProof/>
                <w:webHidden/>
              </w:rPr>
              <w:fldChar w:fldCharType="end"/>
            </w:r>
          </w:hyperlink>
        </w:p>
        <w:p w14:paraId="7D7C8F85" w14:textId="2A0DF0E0"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72" w:history="1">
            <w:r w:rsidR="00E136F2" w:rsidRPr="00862B00">
              <w:rPr>
                <w:rStyle w:val="Hyperlink"/>
                <w:noProof/>
              </w:rPr>
              <w:t>2.1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_Toc201700372 \h </w:instrText>
            </w:r>
            <w:r w:rsidR="00E136F2">
              <w:rPr>
                <w:noProof/>
                <w:webHidden/>
              </w:rPr>
            </w:r>
            <w:r w:rsidR="00E136F2">
              <w:rPr>
                <w:noProof/>
                <w:webHidden/>
              </w:rPr>
              <w:fldChar w:fldCharType="separate"/>
            </w:r>
            <w:r w:rsidR="00E136F2">
              <w:rPr>
                <w:noProof/>
                <w:webHidden/>
              </w:rPr>
              <w:t>60</w:t>
            </w:r>
            <w:r w:rsidR="00E136F2">
              <w:rPr>
                <w:noProof/>
                <w:webHidden/>
              </w:rPr>
              <w:fldChar w:fldCharType="end"/>
            </w:r>
          </w:hyperlink>
        </w:p>
        <w:p w14:paraId="2E9ADC5A" w14:textId="7F16004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73" w:history="1">
            <w:r w:rsidR="00E136F2" w:rsidRPr="00862B00">
              <w:rPr>
                <w:rStyle w:val="Hyperlink"/>
                <w:noProof/>
              </w:rPr>
              <w:t>2.1.1</w:t>
            </w:r>
            <w:r w:rsidR="00E136F2">
              <w:rPr>
                <w:rFonts w:asciiTheme="minorHAnsi" w:eastAsiaTheme="minorEastAsia" w:hAnsiTheme="minorHAnsi"/>
                <w:noProof/>
                <w:kern w:val="0"/>
                <w:sz w:val="22"/>
                <w:lang w:val="en-US"/>
                <w14:ligatures w14:val="none"/>
              </w:rPr>
              <w:tab/>
            </w:r>
            <w:r w:rsidR="00CD0020">
              <w:rPr>
                <w:rStyle w:val="Hyperlink"/>
                <w:noProof/>
              </w:rPr>
              <w:t>RZO</w:t>
            </w:r>
            <w:r w:rsidR="00E136F2" w:rsidRPr="00862B00">
              <w:rPr>
                <w:rStyle w:val="Hyperlink"/>
                <w:noProof/>
              </w:rPr>
              <w:t xml:space="preserve"> Čl. 69 Odgovornosti država članica</w:t>
            </w:r>
            <w:r w:rsidR="00E136F2">
              <w:rPr>
                <w:noProof/>
                <w:webHidden/>
              </w:rPr>
              <w:tab/>
            </w:r>
            <w:r w:rsidR="00E136F2">
              <w:rPr>
                <w:noProof/>
                <w:webHidden/>
              </w:rPr>
              <w:fldChar w:fldCharType="begin"/>
            </w:r>
            <w:r w:rsidR="00E136F2">
              <w:rPr>
                <w:noProof/>
                <w:webHidden/>
              </w:rPr>
              <w:instrText xml:space="preserve"> PAGEREF _Toc201700373 \h </w:instrText>
            </w:r>
            <w:r w:rsidR="00E136F2">
              <w:rPr>
                <w:noProof/>
                <w:webHidden/>
              </w:rPr>
            </w:r>
            <w:r w:rsidR="00E136F2">
              <w:rPr>
                <w:noProof/>
                <w:webHidden/>
              </w:rPr>
              <w:fldChar w:fldCharType="separate"/>
            </w:r>
            <w:r w:rsidR="00E136F2">
              <w:rPr>
                <w:noProof/>
                <w:webHidden/>
              </w:rPr>
              <w:t>60</w:t>
            </w:r>
            <w:r w:rsidR="00E136F2">
              <w:rPr>
                <w:noProof/>
                <w:webHidden/>
              </w:rPr>
              <w:fldChar w:fldCharType="end"/>
            </w:r>
          </w:hyperlink>
        </w:p>
        <w:p w14:paraId="06042611" w14:textId="4F76F082"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74" w:history="1">
            <w:r w:rsidR="00E136F2" w:rsidRPr="00862B00">
              <w:rPr>
                <w:rStyle w:val="Hyperlink"/>
                <w:noProof/>
              </w:rPr>
              <w:t>2.2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_Toc201700374 \h </w:instrText>
            </w:r>
            <w:r w:rsidR="00E136F2">
              <w:rPr>
                <w:noProof/>
                <w:webHidden/>
              </w:rPr>
            </w:r>
            <w:r w:rsidR="00E136F2">
              <w:rPr>
                <w:noProof/>
                <w:webHidden/>
              </w:rPr>
              <w:fldChar w:fldCharType="separate"/>
            </w:r>
            <w:r w:rsidR="00E136F2">
              <w:rPr>
                <w:noProof/>
                <w:webHidden/>
              </w:rPr>
              <w:t>61</w:t>
            </w:r>
            <w:r w:rsidR="00E136F2">
              <w:rPr>
                <w:noProof/>
                <w:webHidden/>
              </w:rPr>
              <w:fldChar w:fldCharType="end"/>
            </w:r>
          </w:hyperlink>
        </w:p>
        <w:p w14:paraId="68350495" w14:textId="75BD2E8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75" w:history="1">
            <w:r w:rsidR="00E136F2" w:rsidRPr="00862B00">
              <w:rPr>
                <w:rStyle w:val="Hyperlink"/>
                <w:noProof/>
              </w:rPr>
              <w:t>2.2.1</w:t>
            </w:r>
            <w:r w:rsidR="00E136F2">
              <w:rPr>
                <w:rFonts w:asciiTheme="minorHAnsi" w:eastAsiaTheme="minorEastAsia" w:hAnsiTheme="minorHAnsi"/>
                <w:noProof/>
                <w:kern w:val="0"/>
                <w:sz w:val="22"/>
                <w:lang w:val="en-US"/>
                <w14:ligatures w14:val="none"/>
              </w:rPr>
              <w:tab/>
            </w:r>
            <w:r w:rsidR="00E136F2" w:rsidRPr="00862B00">
              <w:rPr>
                <w:rStyle w:val="Hyperlink"/>
                <w:noProof/>
              </w:rPr>
              <w:t>TIjela programa za implementaciju pretpristupnih sredstava</w:t>
            </w:r>
            <w:r w:rsidR="00E136F2">
              <w:rPr>
                <w:noProof/>
                <w:webHidden/>
              </w:rPr>
              <w:tab/>
            </w:r>
            <w:r w:rsidR="00E136F2">
              <w:rPr>
                <w:noProof/>
                <w:webHidden/>
              </w:rPr>
              <w:fldChar w:fldCharType="begin"/>
            </w:r>
            <w:r w:rsidR="00E136F2">
              <w:rPr>
                <w:noProof/>
                <w:webHidden/>
              </w:rPr>
              <w:instrText xml:space="preserve"> PAGEREF _Toc201700375 \h </w:instrText>
            </w:r>
            <w:r w:rsidR="00E136F2">
              <w:rPr>
                <w:noProof/>
                <w:webHidden/>
              </w:rPr>
            </w:r>
            <w:r w:rsidR="00E136F2">
              <w:rPr>
                <w:noProof/>
                <w:webHidden/>
              </w:rPr>
              <w:fldChar w:fldCharType="separate"/>
            </w:r>
            <w:r w:rsidR="00E136F2">
              <w:rPr>
                <w:noProof/>
                <w:webHidden/>
              </w:rPr>
              <w:t>61</w:t>
            </w:r>
            <w:r w:rsidR="00E136F2">
              <w:rPr>
                <w:noProof/>
                <w:webHidden/>
              </w:rPr>
              <w:fldChar w:fldCharType="end"/>
            </w:r>
          </w:hyperlink>
        </w:p>
        <w:p w14:paraId="54FDC0FD" w14:textId="35AE735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76" w:history="1">
            <w:r w:rsidR="00E136F2" w:rsidRPr="00862B00">
              <w:rPr>
                <w:rStyle w:val="Hyperlink"/>
                <w:noProof/>
              </w:rPr>
              <w:t>2.2.2</w:t>
            </w:r>
            <w:r w:rsidR="00E136F2">
              <w:rPr>
                <w:rFonts w:asciiTheme="minorHAnsi" w:eastAsiaTheme="minorEastAsia" w:hAnsiTheme="minorHAnsi"/>
                <w:noProof/>
                <w:kern w:val="0"/>
                <w:sz w:val="22"/>
                <w:lang w:val="en-US"/>
                <w14:ligatures w14:val="none"/>
              </w:rPr>
              <w:tab/>
            </w:r>
            <w:r w:rsidR="00E136F2" w:rsidRPr="00862B00">
              <w:rPr>
                <w:rStyle w:val="Hyperlink"/>
                <w:noProof/>
              </w:rPr>
              <w:t>Postojeće procedure za upravljanje EU fondovima koje osiguravaju da se sva dokumenta neophodna za revizorski trag čuvaju u skladu sa zahtjevima okvira za internu kontrolu</w:t>
            </w:r>
            <w:r w:rsidR="00E136F2">
              <w:rPr>
                <w:noProof/>
                <w:webHidden/>
              </w:rPr>
              <w:tab/>
            </w:r>
            <w:r w:rsidR="00E136F2">
              <w:rPr>
                <w:noProof/>
                <w:webHidden/>
              </w:rPr>
              <w:fldChar w:fldCharType="begin"/>
            </w:r>
            <w:r w:rsidR="00E136F2">
              <w:rPr>
                <w:noProof/>
                <w:webHidden/>
              </w:rPr>
              <w:instrText xml:space="preserve"> PAGEREF _Toc201700376 \h </w:instrText>
            </w:r>
            <w:r w:rsidR="00E136F2">
              <w:rPr>
                <w:noProof/>
                <w:webHidden/>
              </w:rPr>
            </w:r>
            <w:r w:rsidR="00E136F2">
              <w:rPr>
                <w:noProof/>
                <w:webHidden/>
              </w:rPr>
              <w:fldChar w:fldCharType="separate"/>
            </w:r>
            <w:r w:rsidR="00E136F2">
              <w:rPr>
                <w:noProof/>
                <w:webHidden/>
              </w:rPr>
              <w:t>62</w:t>
            </w:r>
            <w:r w:rsidR="00E136F2">
              <w:rPr>
                <w:noProof/>
                <w:webHidden/>
              </w:rPr>
              <w:fldChar w:fldCharType="end"/>
            </w:r>
          </w:hyperlink>
        </w:p>
        <w:p w14:paraId="25E1833A" w14:textId="1E170D6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77" w:history="1">
            <w:r w:rsidR="00E136F2" w:rsidRPr="00862B00">
              <w:rPr>
                <w:rStyle w:val="Hyperlink"/>
                <w:noProof/>
              </w:rPr>
              <w:t>2.2.3</w:t>
            </w:r>
            <w:r w:rsidR="00E136F2">
              <w:rPr>
                <w:rFonts w:asciiTheme="minorHAnsi" w:eastAsiaTheme="minorEastAsia" w:hAnsiTheme="minorHAnsi"/>
                <w:noProof/>
                <w:kern w:val="0"/>
                <w:sz w:val="22"/>
                <w:lang w:val="en-US"/>
                <w14:ligatures w14:val="none"/>
              </w:rPr>
              <w:tab/>
            </w:r>
            <w:r w:rsidR="00E136F2" w:rsidRPr="00862B00">
              <w:rPr>
                <w:rStyle w:val="Hyperlink"/>
                <w:noProof/>
              </w:rPr>
              <w:t>Postojeći aranžmani koji osiguravaju efektivno ispitivanje žalbi koje se tiču Fondova</w:t>
            </w:r>
            <w:r w:rsidR="00E136F2">
              <w:rPr>
                <w:noProof/>
                <w:webHidden/>
              </w:rPr>
              <w:tab/>
            </w:r>
            <w:r w:rsidR="00E136F2">
              <w:rPr>
                <w:noProof/>
                <w:webHidden/>
              </w:rPr>
              <w:fldChar w:fldCharType="begin"/>
            </w:r>
            <w:r w:rsidR="00E136F2">
              <w:rPr>
                <w:noProof/>
                <w:webHidden/>
              </w:rPr>
              <w:instrText xml:space="preserve"> PAGEREF _Toc201700377 \h </w:instrText>
            </w:r>
            <w:r w:rsidR="00E136F2">
              <w:rPr>
                <w:noProof/>
                <w:webHidden/>
              </w:rPr>
            </w:r>
            <w:r w:rsidR="00E136F2">
              <w:rPr>
                <w:noProof/>
                <w:webHidden/>
              </w:rPr>
              <w:fldChar w:fldCharType="separate"/>
            </w:r>
            <w:r w:rsidR="00E136F2">
              <w:rPr>
                <w:noProof/>
                <w:webHidden/>
              </w:rPr>
              <w:t>63</w:t>
            </w:r>
            <w:r w:rsidR="00E136F2">
              <w:rPr>
                <w:noProof/>
                <w:webHidden/>
              </w:rPr>
              <w:fldChar w:fldCharType="end"/>
            </w:r>
          </w:hyperlink>
        </w:p>
        <w:p w14:paraId="57740F53" w14:textId="1203760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78" w:history="1">
            <w:r w:rsidR="00E136F2" w:rsidRPr="00862B00">
              <w:rPr>
                <w:rStyle w:val="Hyperlink"/>
                <w:noProof/>
              </w:rPr>
              <w:t>2.2.4</w:t>
            </w:r>
            <w:r w:rsidR="00E136F2">
              <w:rPr>
                <w:rFonts w:asciiTheme="minorHAnsi" w:eastAsiaTheme="minorEastAsia" w:hAnsiTheme="minorHAnsi"/>
                <w:noProof/>
                <w:kern w:val="0"/>
                <w:sz w:val="22"/>
                <w:lang w:val="en-US"/>
                <w14:ligatures w14:val="none"/>
              </w:rPr>
              <w:tab/>
            </w:r>
            <w:r w:rsidR="00E136F2" w:rsidRPr="00862B00">
              <w:rPr>
                <w:rStyle w:val="Hyperlink"/>
                <w:noProof/>
              </w:rPr>
              <w:t>Planirana institucionalna struktura za implementaciju Kohezionih sredstava</w:t>
            </w:r>
            <w:r w:rsidR="00E136F2">
              <w:rPr>
                <w:noProof/>
                <w:webHidden/>
              </w:rPr>
              <w:tab/>
            </w:r>
            <w:r w:rsidR="00E136F2">
              <w:rPr>
                <w:noProof/>
                <w:webHidden/>
              </w:rPr>
              <w:fldChar w:fldCharType="begin"/>
            </w:r>
            <w:r w:rsidR="00E136F2">
              <w:rPr>
                <w:noProof/>
                <w:webHidden/>
              </w:rPr>
              <w:instrText xml:space="preserve"> PAGEREF _Toc201700378 \h </w:instrText>
            </w:r>
            <w:r w:rsidR="00E136F2">
              <w:rPr>
                <w:noProof/>
                <w:webHidden/>
              </w:rPr>
            </w:r>
            <w:r w:rsidR="00E136F2">
              <w:rPr>
                <w:noProof/>
                <w:webHidden/>
              </w:rPr>
              <w:fldChar w:fldCharType="separate"/>
            </w:r>
            <w:r w:rsidR="00E136F2">
              <w:rPr>
                <w:noProof/>
                <w:webHidden/>
              </w:rPr>
              <w:t>63</w:t>
            </w:r>
            <w:r w:rsidR="00E136F2">
              <w:rPr>
                <w:noProof/>
                <w:webHidden/>
              </w:rPr>
              <w:fldChar w:fldCharType="end"/>
            </w:r>
          </w:hyperlink>
        </w:p>
        <w:p w14:paraId="1A7CD964" w14:textId="377AE0E1"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79" w:history="1">
            <w:r w:rsidR="00E136F2" w:rsidRPr="00862B00">
              <w:rPr>
                <w:rStyle w:val="Hyperlink"/>
                <w:noProof/>
              </w:rPr>
              <w:t>2.3</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_Toc201700379 \h </w:instrText>
            </w:r>
            <w:r w:rsidR="00E136F2">
              <w:rPr>
                <w:noProof/>
                <w:webHidden/>
              </w:rPr>
            </w:r>
            <w:r w:rsidR="00E136F2">
              <w:rPr>
                <w:noProof/>
                <w:webHidden/>
              </w:rPr>
              <w:fldChar w:fldCharType="separate"/>
            </w:r>
            <w:r w:rsidR="00E136F2">
              <w:rPr>
                <w:noProof/>
                <w:webHidden/>
              </w:rPr>
              <w:t>64</w:t>
            </w:r>
            <w:r w:rsidR="00E136F2">
              <w:rPr>
                <w:noProof/>
                <w:webHidden/>
              </w:rPr>
              <w:fldChar w:fldCharType="end"/>
            </w:r>
          </w:hyperlink>
        </w:p>
        <w:p w14:paraId="42AC9CEE" w14:textId="79DD6122"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80" w:history="1">
            <w:r w:rsidR="00E136F2" w:rsidRPr="00862B00">
              <w:rPr>
                <w:rStyle w:val="Hyperlink"/>
                <w:noProof/>
              </w:rPr>
              <w:t>2.3.1</w:t>
            </w:r>
            <w:r w:rsidR="00E136F2">
              <w:rPr>
                <w:rFonts w:asciiTheme="minorHAnsi" w:eastAsiaTheme="minorEastAsia" w:hAnsiTheme="minorHAnsi"/>
                <w:noProof/>
                <w:kern w:val="0"/>
                <w:sz w:val="22"/>
                <w:lang w:val="en-US"/>
                <w14:ligatures w14:val="none"/>
              </w:rPr>
              <w:tab/>
            </w:r>
            <w:r w:rsidR="00E136F2" w:rsidRPr="00862B00">
              <w:rPr>
                <w:rStyle w:val="Hyperlink"/>
                <w:noProof/>
              </w:rPr>
              <w:t>Akcija 2.1 Studija institucionalne strukture za implementaciju Kohezione politike EU i diskusija Radne grupe za Poglavlje 22</w:t>
            </w:r>
            <w:r w:rsidR="00E136F2">
              <w:rPr>
                <w:noProof/>
                <w:webHidden/>
              </w:rPr>
              <w:tab/>
            </w:r>
            <w:r w:rsidR="00E136F2">
              <w:rPr>
                <w:noProof/>
                <w:webHidden/>
              </w:rPr>
              <w:fldChar w:fldCharType="begin"/>
            </w:r>
            <w:r w:rsidR="00E136F2">
              <w:rPr>
                <w:noProof/>
                <w:webHidden/>
              </w:rPr>
              <w:instrText xml:space="preserve"> PAGEREF _Toc201700380 \h </w:instrText>
            </w:r>
            <w:r w:rsidR="00E136F2">
              <w:rPr>
                <w:noProof/>
                <w:webHidden/>
              </w:rPr>
            </w:r>
            <w:r w:rsidR="00E136F2">
              <w:rPr>
                <w:noProof/>
                <w:webHidden/>
              </w:rPr>
              <w:fldChar w:fldCharType="separate"/>
            </w:r>
            <w:r w:rsidR="00E136F2">
              <w:rPr>
                <w:noProof/>
                <w:webHidden/>
              </w:rPr>
              <w:t>65</w:t>
            </w:r>
            <w:r w:rsidR="00E136F2">
              <w:rPr>
                <w:noProof/>
                <w:webHidden/>
              </w:rPr>
              <w:fldChar w:fldCharType="end"/>
            </w:r>
          </w:hyperlink>
        </w:p>
        <w:p w14:paraId="730D3ADD" w14:textId="42B382C9"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81" w:history="1">
            <w:r w:rsidR="00E136F2" w:rsidRPr="00862B00">
              <w:rPr>
                <w:rStyle w:val="Hyperlink"/>
                <w:noProof/>
              </w:rPr>
              <w:t>2.3.2</w:t>
            </w:r>
            <w:r w:rsidR="00E136F2">
              <w:rPr>
                <w:rFonts w:asciiTheme="minorHAnsi" w:eastAsiaTheme="minorEastAsia" w:hAnsiTheme="minorHAnsi"/>
                <w:noProof/>
                <w:kern w:val="0"/>
                <w:sz w:val="22"/>
                <w:lang w:val="en-US"/>
                <w14:ligatures w14:val="none"/>
              </w:rPr>
              <w:tab/>
            </w:r>
            <w:r w:rsidR="00E136F2" w:rsidRPr="00862B00">
              <w:rPr>
                <w:rStyle w:val="Hyperlink"/>
                <w:noProof/>
              </w:rPr>
              <w:t>Akcija 2.2. Analiza finansijskih nedostataka</w:t>
            </w:r>
            <w:r w:rsidR="00E136F2">
              <w:rPr>
                <w:noProof/>
                <w:webHidden/>
              </w:rPr>
              <w:tab/>
            </w:r>
            <w:r w:rsidR="00E136F2">
              <w:rPr>
                <w:noProof/>
                <w:webHidden/>
              </w:rPr>
              <w:fldChar w:fldCharType="begin"/>
            </w:r>
            <w:r w:rsidR="00E136F2">
              <w:rPr>
                <w:noProof/>
                <w:webHidden/>
              </w:rPr>
              <w:instrText xml:space="preserve"> PAGEREF _Toc201700381 \h </w:instrText>
            </w:r>
            <w:r w:rsidR="00E136F2">
              <w:rPr>
                <w:noProof/>
                <w:webHidden/>
              </w:rPr>
            </w:r>
            <w:r w:rsidR="00E136F2">
              <w:rPr>
                <w:noProof/>
                <w:webHidden/>
              </w:rPr>
              <w:fldChar w:fldCharType="separate"/>
            </w:r>
            <w:r w:rsidR="00E136F2">
              <w:rPr>
                <w:noProof/>
                <w:webHidden/>
              </w:rPr>
              <w:t>65</w:t>
            </w:r>
            <w:r w:rsidR="00E136F2">
              <w:rPr>
                <w:noProof/>
                <w:webHidden/>
              </w:rPr>
              <w:fldChar w:fldCharType="end"/>
            </w:r>
          </w:hyperlink>
        </w:p>
        <w:p w14:paraId="5D981968" w14:textId="05C13B1C"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82" w:history="1">
            <w:r w:rsidR="00E136F2" w:rsidRPr="00862B00">
              <w:rPr>
                <w:rStyle w:val="Hyperlink"/>
                <w:noProof/>
              </w:rPr>
              <w:t>2.3.3</w:t>
            </w:r>
            <w:r w:rsidR="00E136F2">
              <w:rPr>
                <w:rFonts w:asciiTheme="minorHAnsi" w:eastAsiaTheme="minorEastAsia" w:hAnsiTheme="minorHAnsi"/>
                <w:noProof/>
                <w:kern w:val="0"/>
                <w:sz w:val="22"/>
                <w:lang w:val="en-US"/>
                <w14:ligatures w14:val="none"/>
              </w:rPr>
              <w:tab/>
            </w:r>
            <w:r w:rsidR="00E136F2" w:rsidRPr="00862B00">
              <w:rPr>
                <w:rStyle w:val="Hyperlink"/>
                <w:noProof/>
              </w:rPr>
              <w:t>Akcija 2.3. Usvajanje revidirane Pregovaračke pozicije za Poglavlje 22</w:t>
            </w:r>
            <w:r w:rsidR="00E136F2">
              <w:rPr>
                <w:noProof/>
                <w:webHidden/>
              </w:rPr>
              <w:tab/>
            </w:r>
            <w:r w:rsidR="00E136F2">
              <w:rPr>
                <w:noProof/>
                <w:webHidden/>
              </w:rPr>
              <w:fldChar w:fldCharType="begin"/>
            </w:r>
            <w:r w:rsidR="00E136F2">
              <w:rPr>
                <w:noProof/>
                <w:webHidden/>
              </w:rPr>
              <w:instrText xml:space="preserve"> PAGEREF _Toc201700382 \h </w:instrText>
            </w:r>
            <w:r w:rsidR="00E136F2">
              <w:rPr>
                <w:noProof/>
                <w:webHidden/>
              </w:rPr>
            </w:r>
            <w:r w:rsidR="00E136F2">
              <w:rPr>
                <w:noProof/>
                <w:webHidden/>
              </w:rPr>
              <w:fldChar w:fldCharType="separate"/>
            </w:r>
            <w:r w:rsidR="00E136F2">
              <w:rPr>
                <w:noProof/>
                <w:webHidden/>
              </w:rPr>
              <w:t>65</w:t>
            </w:r>
            <w:r w:rsidR="00E136F2">
              <w:rPr>
                <w:noProof/>
                <w:webHidden/>
              </w:rPr>
              <w:fldChar w:fldCharType="end"/>
            </w:r>
          </w:hyperlink>
        </w:p>
        <w:p w14:paraId="2F13A4FE" w14:textId="4636064E"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83" w:history="1">
            <w:r w:rsidR="00E136F2" w:rsidRPr="00862B00">
              <w:rPr>
                <w:rStyle w:val="Hyperlink"/>
                <w:noProof/>
              </w:rPr>
              <w:t>2.3.4</w:t>
            </w:r>
            <w:r w:rsidR="00E136F2">
              <w:rPr>
                <w:rFonts w:asciiTheme="minorHAnsi" w:eastAsiaTheme="minorEastAsia" w:hAnsiTheme="minorHAnsi"/>
                <w:noProof/>
                <w:kern w:val="0"/>
                <w:sz w:val="22"/>
                <w:lang w:val="en-US"/>
                <w14:ligatures w14:val="none"/>
              </w:rPr>
              <w:tab/>
            </w:r>
            <w:r w:rsidR="00E136F2" w:rsidRPr="00862B00">
              <w:rPr>
                <w:rStyle w:val="Hyperlink"/>
                <w:noProof/>
              </w:rPr>
              <w:t>Akcija 2.4. Usvajanje pisanih sporazuma, koji preciziraju međusobne odnose između relevantnih tijela i organa</w:t>
            </w:r>
            <w:r w:rsidR="00E136F2">
              <w:rPr>
                <w:noProof/>
                <w:webHidden/>
              </w:rPr>
              <w:tab/>
            </w:r>
            <w:r w:rsidR="00E136F2">
              <w:rPr>
                <w:noProof/>
                <w:webHidden/>
              </w:rPr>
              <w:fldChar w:fldCharType="begin"/>
            </w:r>
            <w:r w:rsidR="00E136F2">
              <w:rPr>
                <w:noProof/>
                <w:webHidden/>
              </w:rPr>
              <w:instrText xml:space="preserve"> PAGEREF _Toc201700383 \h </w:instrText>
            </w:r>
            <w:r w:rsidR="00E136F2">
              <w:rPr>
                <w:noProof/>
                <w:webHidden/>
              </w:rPr>
            </w:r>
            <w:r w:rsidR="00E136F2">
              <w:rPr>
                <w:noProof/>
                <w:webHidden/>
              </w:rPr>
              <w:fldChar w:fldCharType="separate"/>
            </w:r>
            <w:r w:rsidR="00E136F2">
              <w:rPr>
                <w:noProof/>
                <w:webHidden/>
              </w:rPr>
              <w:t>65</w:t>
            </w:r>
            <w:r w:rsidR="00E136F2">
              <w:rPr>
                <w:noProof/>
                <w:webHidden/>
              </w:rPr>
              <w:fldChar w:fldCharType="end"/>
            </w:r>
          </w:hyperlink>
        </w:p>
        <w:p w14:paraId="1FAD6191" w14:textId="15F75D7D"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84" w:history="1">
            <w:r w:rsidR="00E136F2" w:rsidRPr="00862B00">
              <w:rPr>
                <w:rStyle w:val="Hyperlink"/>
                <w:noProof/>
              </w:rPr>
              <w:t>2.3.5</w:t>
            </w:r>
            <w:r w:rsidR="00E136F2">
              <w:rPr>
                <w:rFonts w:asciiTheme="minorHAnsi" w:eastAsiaTheme="minorEastAsia" w:hAnsiTheme="minorHAnsi"/>
                <w:noProof/>
                <w:kern w:val="0"/>
                <w:sz w:val="22"/>
                <w:lang w:val="en-US"/>
                <w14:ligatures w14:val="none"/>
              </w:rPr>
              <w:tab/>
            </w:r>
            <w:r w:rsidR="00E136F2" w:rsidRPr="00862B00">
              <w:rPr>
                <w:rStyle w:val="Hyperlink"/>
                <w:noProof/>
              </w:rPr>
              <w:t>Akcija 2.5. Usvajanje Nacionalnih smjernica za Priručnike o procedurama</w:t>
            </w:r>
            <w:r w:rsidR="00E136F2">
              <w:rPr>
                <w:noProof/>
                <w:webHidden/>
              </w:rPr>
              <w:tab/>
            </w:r>
            <w:r w:rsidR="00E136F2">
              <w:rPr>
                <w:noProof/>
                <w:webHidden/>
              </w:rPr>
              <w:fldChar w:fldCharType="begin"/>
            </w:r>
            <w:r w:rsidR="00E136F2">
              <w:rPr>
                <w:noProof/>
                <w:webHidden/>
              </w:rPr>
              <w:instrText xml:space="preserve"> PAGEREF _Toc201700384 \h </w:instrText>
            </w:r>
            <w:r w:rsidR="00E136F2">
              <w:rPr>
                <w:noProof/>
                <w:webHidden/>
              </w:rPr>
            </w:r>
            <w:r w:rsidR="00E136F2">
              <w:rPr>
                <w:noProof/>
                <w:webHidden/>
              </w:rPr>
              <w:fldChar w:fldCharType="separate"/>
            </w:r>
            <w:r w:rsidR="00E136F2">
              <w:rPr>
                <w:noProof/>
                <w:webHidden/>
              </w:rPr>
              <w:t>65</w:t>
            </w:r>
            <w:r w:rsidR="00E136F2">
              <w:rPr>
                <w:noProof/>
                <w:webHidden/>
              </w:rPr>
              <w:fldChar w:fldCharType="end"/>
            </w:r>
          </w:hyperlink>
        </w:p>
        <w:p w14:paraId="5984C17B" w14:textId="485DF3B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85" w:history="1">
            <w:r w:rsidR="00E136F2" w:rsidRPr="00862B00">
              <w:rPr>
                <w:rStyle w:val="Hyperlink"/>
                <w:noProof/>
              </w:rPr>
              <w:t>2.3.6</w:t>
            </w:r>
            <w:r w:rsidR="00E136F2">
              <w:rPr>
                <w:rFonts w:asciiTheme="minorHAnsi" w:eastAsiaTheme="minorEastAsia" w:hAnsiTheme="minorHAnsi"/>
                <w:noProof/>
                <w:kern w:val="0"/>
                <w:sz w:val="22"/>
                <w:lang w:val="en-US"/>
                <w14:ligatures w14:val="none"/>
              </w:rPr>
              <w:tab/>
            </w:r>
            <w:r w:rsidR="00E136F2" w:rsidRPr="00862B00">
              <w:rPr>
                <w:rStyle w:val="Hyperlink"/>
                <w:noProof/>
              </w:rPr>
              <w:t>Akcija 2.6. Usvajanje Priručnika o procedurama</w:t>
            </w:r>
            <w:r w:rsidR="00E136F2">
              <w:rPr>
                <w:noProof/>
                <w:webHidden/>
              </w:rPr>
              <w:tab/>
            </w:r>
            <w:r w:rsidR="00E136F2">
              <w:rPr>
                <w:noProof/>
                <w:webHidden/>
              </w:rPr>
              <w:fldChar w:fldCharType="begin"/>
            </w:r>
            <w:r w:rsidR="00E136F2">
              <w:rPr>
                <w:noProof/>
                <w:webHidden/>
              </w:rPr>
              <w:instrText xml:space="preserve"> PAGEREF _Toc201700385 \h </w:instrText>
            </w:r>
            <w:r w:rsidR="00E136F2">
              <w:rPr>
                <w:noProof/>
                <w:webHidden/>
              </w:rPr>
            </w:r>
            <w:r w:rsidR="00E136F2">
              <w:rPr>
                <w:noProof/>
                <w:webHidden/>
              </w:rPr>
              <w:fldChar w:fldCharType="separate"/>
            </w:r>
            <w:r w:rsidR="00E136F2">
              <w:rPr>
                <w:noProof/>
                <w:webHidden/>
              </w:rPr>
              <w:t>65</w:t>
            </w:r>
            <w:r w:rsidR="00E136F2">
              <w:rPr>
                <w:noProof/>
                <w:webHidden/>
              </w:rPr>
              <w:fldChar w:fldCharType="end"/>
            </w:r>
          </w:hyperlink>
        </w:p>
        <w:p w14:paraId="54FF624D" w14:textId="2B20474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86" w:history="1">
            <w:r w:rsidR="00E136F2" w:rsidRPr="00862B00">
              <w:rPr>
                <w:rStyle w:val="Hyperlink"/>
                <w:noProof/>
              </w:rPr>
              <w:t>2.3.7</w:t>
            </w:r>
            <w:r w:rsidR="00E136F2">
              <w:rPr>
                <w:rFonts w:asciiTheme="minorHAnsi" w:eastAsiaTheme="minorEastAsia" w:hAnsiTheme="minorHAnsi"/>
                <w:noProof/>
                <w:kern w:val="0"/>
                <w:sz w:val="22"/>
                <w:lang w:val="en-US"/>
                <w14:ligatures w14:val="none"/>
              </w:rPr>
              <w:tab/>
            </w:r>
            <w:r w:rsidR="00E136F2" w:rsidRPr="00862B00">
              <w:rPr>
                <w:rStyle w:val="Hyperlink"/>
                <w:noProof/>
              </w:rPr>
              <w:t>Akcija 2.7. Priprema Paketa za procjenu usklađenosti</w:t>
            </w:r>
            <w:r w:rsidR="00E136F2">
              <w:rPr>
                <w:noProof/>
                <w:webHidden/>
              </w:rPr>
              <w:tab/>
            </w:r>
            <w:r w:rsidR="00E136F2">
              <w:rPr>
                <w:noProof/>
                <w:webHidden/>
              </w:rPr>
              <w:fldChar w:fldCharType="begin"/>
            </w:r>
            <w:r w:rsidR="00E136F2">
              <w:rPr>
                <w:noProof/>
                <w:webHidden/>
              </w:rPr>
              <w:instrText xml:space="preserve"> PAGEREF _Toc201700386 \h </w:instrText>
            </w:r>
            <w:r w:rsidR="00E136F2">
              <w:rPr>
                <w:noProof/>
                <w:webHidden/>
              </w:rPr>
            </w:r>
            <w:r w:rsidR="00E136F2">
              <w:rPr>
                <w:noProof/>
                <w:webHidden/>
              </w:rPr>
              <w:fldChar w:fldCharType="separate"/>
            </w:r>
            <w:r w:rsidR="00E136F2">
              <w:rPr>
                <w:noProof/>
                <w:webHidden/>
              </w:rPr>
              <w:t>65</w:t>
            </w:r>
            <w:r w:rsidR="00E136F2">
              <w:rPr>
                <w:noProof/>
                <w:webHidden/>
              </w:rPr>
              <w:fldChar w:fldCharType="end"/>
            </w:r>
          </w:hyperlink>
        </w:p>
        <w:p w14:paraId="646AFCE9" w14:textId="051EB0D2"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387" w:history="1">
            <w:r w:rsidR="00E136F2" w:rsidRPr="00862B00">
              <w:rPr>
                <w:rStyle w:val="Hyperlink"/>
                <w:noProof/>
              </w:rPr>
              <w:t>3</w:t>
            </w:r>
            <w:r w:rsidR="00E136F2">
              <w:rPr>
                <w:rFonts w:asciiTheme="minorHAnsi" w:eastAsiaTheme="minorEastAsia" w:hAnsiTheme="minorHAnsi"/>
                <w:noProof/>
                <w:kern w:val="0"/>
                <w:sz w:val="22"/>
                <w:lang w:val="en-US"/>
                <w14:ligatures w14:val="none"/>
              </w:rPr>
              <w:tab/>
            </w:r>
            <w:r w:rsidR="00E136F2" w:rsidRPr="00862B00">
              <w:rPr>
                <w:rStyle w:val="Hyperlink"/>
                <w:noProof/>
              </w:rPr>
              <w:t>Administrativni kapaciteti</w:t>
            </w:r>
            <w:r w:rsidR="00E136F2">
              <w:rPr>
                <w:noProof/>
                <w:webHidden/>
              </w:rPr>
              <w:tab/>
            </w:r>
            <w:r w:rsidR="00E136F2">
              <w:rPr>
                <w:noProof/>
                <w:webHidden/>
              </w:rPr>
              <w:fldChar w:fldCharType="begin"/>
            </w:r>
            <w:r w:rsidR="00E136F2">
              <w:rPr>
                <w:noProof/>
                <w:webHidden/>
              </w:rPr>
              <w:instrText xml:space="preserve"> PAGEREF _Toc201700387 \h </w:instrText>
            </w:r>
            <w:r w:rsidR="00E136F2">
              <w:rPr>
                <w:noProof/>
                <w:webHidden/>
              </w:rPr>
            </w:r>
            <w:r w:rsidR="00E136F2">
              <w:rPr>
                <w:noProof/>
                <w:webHidden/>
              </w:rPr>
              <w:fldChar w:fldCharType="separate"/>
            </w:r>
            <w:r w:rsidR="00E136F2">
              <w:rPr>
                <w:noProof/>
                <w:webHidden/>
              </w:rPr>
              <w:t>66</w:t>
            </w:r>
            <w:r w:rsidR="00E136F2">
              <w:rPr>
                <w:noProof/>
                <w:webHidden/>
              </w:rPr>
              <w:fldChar w:fldCharType="end"/>
            </w:r>
          </w:hyperlink>
        </w:p>
        <w:p w14:paraId="777567C8" w14:textId="486C233C"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88" w:history="1">
            <w:r w:rsidR="00E136F2" w:rsidRPr="00862B00">
              <w:rPr>
                <w:rStyle w:val="Hyperlink"/>
                <w:noProof/>
              </w:rPr>
              <w:t>3.1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_Toc201700388 \h </w:instrText>
            </w:r>
            <w:r w:rsidR="00E136F2">
              <w:rPr>
                <w:noProof/>
                <w:webHidden/>
              </w:rPr>
            </w:r>
            <w:r w:rsidR="00E136F2">
              <w:rPr>
                <w:noProof/>
                <w:webHidden/>
              </w:rPr>
              <w:fldChar w:fldCharType="separate"/>
            </w:r>
            <w:r w:rsidR="00E136F2">
              <w:rPr>
                <w:noProof/>
                <w:webHidden/>
              </w:rPr>
              <w:t>66</w:t>
            </w:r>
            <w:r w:rsidR="00E136F2">
              <w:rPr>
                <w:noProof/>
                <w:webHidden/>
              </w:rPr>
              <w:fldChar w:fldCharType="end"/>
            </w:r>
          </w:hyperlink>
        </w:p>
        <w:p w14:paraId="6E1B6E7F" w14:textId="62B7732C"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89" w:history="1">
            <w:r w:rsidR="00E136F2" w:rsidRPr="00862B00">
              <w:rPr>
                <w:rStyle w:val="Hyperlink"/>
                <w:noProof/>
              </w:rPr>
              <w:t>3.2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_Toc201700389 \h </w:instrText>
            </w:r>
            <w:r w:rsidR="00E136F2">
              <w:rPr>
                <w:noProof/>
                <w:webHidden/>
              </w:rPr>
            </w:r>
            <w:r w:rsidR="00E136F2">
              <w:rPr>
                <w:noProof/>
                <w:webHidden/>
              </w:rPr>
              <w:fldChar w:fldCharType="separate"/>
            </w:r>
            <w:r w:rsidR="00E136F2">
              <w:rPr>
                <w:noProof/>
                <w:webHidden/>
              </w:rPr>
              <w:t>67</w:t>
            </w:r>
            <w:r w:rsidR="00E136F2">
              <w:rPr>
                <w:noProof/>
                <w:webHidden/>
              </w:rPr>
              <w:fldChar w:fldCharType="end"/>
            </w:r>
          </w:hyperlink>
        </w:p>
        <w:p w14:paraId="2D6AEE4E" w14:textId="64B032F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90" w:history="1">
            <w:r w:rsidR="00E136F2" w:rsidRPr="00862B00">
              <w:rPr>
                <w:rStyle w:val="Hyperlink"/>
                <w:noProof/>
              </w:rPr>
              <w:t>3.2.1</w:t>
            </w:r>
            <w:r w:rsidR="00E136F2">
              <w:rPr>
                <w:rFonts w:asciiTheme="minorHAnsi" w:eastAsiaTheme="minorEastAsia" w:hAnsiTheme="minorHAnsi"/>
                <w:noProof/>
                <w:kern w:val="0"/>
                <w:sz w:val="22"/>
                <w:lang w:val="en-US"/>
                <w14:ligatures w14:val="none"/>
              </w:rPr>
              <w:tab/>
            </w:r>
            <w:r w:rsidR="00E136F2" w:rsidRPr="00862B00">
              <w:rPr>
                <w:rStyle w:val="Hyperlink"/>
                <w:noProof/>
              </w:rPr>
              <w:t>Administrativni kapaciteti u javnoj upravi</w:t>
            </w:r>
            <w:r w:rsidR="00E136F2">
              <w:rPr>
                <w:noProof/>
                <w:webHidden/>
              </w:rPr>
              <w:tab/>
            </w:r>
            <w:r w:rsidR="00E136F2">
              <w:rPr>
                <w:noProof/>
                <w:webHidden/>
              </w:rPr>
              <w:fldChar w:fldCharType="begin"/>
            </w:r>
            <w:r w:rsidR="00E136F2">
              <w:rPr>
                <w:noProof/>
                <w:webHidden/>
              </w:rPr>
              <w:instrText xml:space="preserve"> PAGEREF _Toc201700390 \h </w:instrText>
            </w:r>
            <w:r w:rsidR="00E136F2">
              <w:rPr>
                <w:noProof/>
                <w:webHidden/>
              </w:rPr>
            </w:r>
            <w:r w:rsidR="00E136F2">
              <w:rPr>
                <w:noProof/>
                <w:webHidden/>
              </w:rPr>
              <w:fldChar w:fldCharType="separate"/>
            </w:r>
            <w:r w:rsidR="00E136F2">
              <w:rPr>
                <w:noProof/>
                <w:webHidden/>
              </w:rPr>
              <w:t>67</w:t>
            </w:r>
            <w:r w:rsidR="00E136F2">
              <w:rPr>
                <w:noProof/>
                <w:webHidden/>
              </w:rPr>
              <w:fldChar w:fldCharType="end"/>
            </w:r>
          </w:hyperlink>
        </w:p>
        <w:p w14:paraId="7A44FD06" w14:textId="004A27C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91" w:history="1">
            <w:r w:rsidR="00E136F2" w:rsidRPr="00862B00">
              <w:rPr>
                <w:rStyle w:val="Hyperlink"/>
                <w:noProof/>
              </w:rPr>
              <w:t>3.2.2</w:t>
            </w:r>
            <w:r w:rsidR="00E136F2">
              <w:rPr>
                <w:rFonts w:asciiTheme="minorHAnsi" w:eastAsiaTheme="minorEastAsia" w:hAnsiTheme="minorHAnsi"/>
                <w:noProof/>
                <w:kern w:val="0"/>
                <w:sz w:val="22"/>
                <w:lang w:val="en-US"/>
                <w14:ligatures w14:val="none"/>
              </w:rPr>
              <w:tab/>
            </w:r>
            <w:r w:rsidR="00E136F2" w:rsidRPr="00862B00">
              <w:rPr>
                <w:rStyle w:val="Hyperlink"/>
                <w:noProof/>
              </w:rPr>
              <w:t>Administrativni kapaciteti za EU Fondove</w:t>
            </w:r>
            <w:r w:rsidR="00E136F2">
              <w:rPr>
                <w:noProof/>
                <w:webHidden/>
              </w:rPr>
              <w:tab/>
            </w:r>
            <w:r w:rsidR="00E136F2">
              <w:rPr>
                <w:noProof/>
                <w:webHidden/>
              </w:rPr>
              <w:fldChar w:fldCharType="begin"/>
            </w:r>
            <w:r w:rsidR="00E136F2">
              <w:rPr>
                <w:noProof/>
                <w:webHidden/>
              </w:rPr>
              <w:instrText xml:space="preserve"> PAGEREF _Toc201700391 \h </w:instrText>
            </w:r>
            <w:r w:rsidR="00E136F2">
              <w:rPr>
                <w:noProof/>
                <w:webHidden/>
              </w:rPr>
            </w:r>
            <w:r w:rsidR="00E136F2">
              <w:rPr>
                <w:noProof/>
                <w:webHidden/>
              </w:rPr>
              <w:fldChar w:fldCharType="separate"/>
            </w:r>
            <w:r w:rsidR="00E136F2">
              <w:rPr>
                <w:noProof/>
                <w:webHidden/>
              </w:rPr>
              <w:t>71</w:t>
            </w:r>
            <w:r w:rsidR="00E136F2">
              <w:rPr>
                <w:noProof/>
                <w:webHidden/>
              </w:rPr>
              <w:fldChar w:fldCharType="end"/>
            </w:r>
          </w:hyperlink>
        </w:p>
        <w:p w14:paraId="43ABD574" w14:textId="3C597BED"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92" w:history="1">
            <w:r w:rsidR="00E136F2" w:rsidRPr="00862B00">
              <w:rPr>
                <w:rStyle w:val="Hyperlink"/>
                <w:noProof/>
              </w:rPr>
              <w:t>3.2.3</w:t>
            </w:r>
            <w:r w:rsidR="00E136F2">
              <w:rPr>
                <w:rFonts w:asciiTheme="minorHAnsi" w:eastAsiaTheme="minorEastAsia" w:hAnsiTheme="minorHAnsi"/>
                <w:noProof/>
                <w:kern w:val="0"/>
                <w:sz w:val="22"/>
                <w:lang w:val="en-US"/>
                <w14:ligatures w14:val="none"/>
              </w:rPr>
              <w:tab/>
            </w:r>
            <w:r w:rsidR="00E136F2" w:rsidRPr="00862B00">
              <w:rPr>
                <w:rStyle w:val="Hyperlink"/>
                <w:noProof/>
              </w:rPr>
              <w:t>Kapaciteti aplikanata/korisnika EU Fondova</w:t>
            </w:r>
            <w:r w:rsidR="00E136F2">
              <w:rPr>
                <w:noProof/>
                <w:webHidden/>
              </w:rPr>
              <w:tab/>
            </w:r>
            <w:r w:rsidR="00E136F2">
              <w:rPr>
                <w:noProof/>
                <w:webHidden/>
              </w:rPr>
              <w:fldChar w:fldCharType="begin"/>
            </w:r>
            <w:r w:rsidR="00E136F2">
              <w:rPr>
                <w:noProof/>
                <w:webHidden/>
              </w:rPr>
              <w:instrText xml:space="preserve"> PAGEREF _Toc201700392 \h </w:instrText>
            </w:r>
            <w:r w:rsidR="00E136F2">
              <w:rPr>
                <w:noProof/>
                <w:webHidden/>
              </w:rPr>
            </w:r>
            <w:r w:rsidR="00E136F2">
              <w:rPr>
                <w:noProof/>
                <w:webHidden/>
              </w:rPr>
              <w:fldChar w:fldCharType="separate"/>
            </w:r>
            <w:r w:rsidR="00E136F2">
              <w:rPr>
                <w:noProof/>
                <w:webHidden/>
              </w:rPr>
              <w:t>74</w:t>
            </w:r>
            <w:r w:rsidR="00E136F2">
              <w:rPr>
                <w:noProof/>
                <w:webHidden/>
              </w:rPr>
              <w:fldChar w:fldCharType="end"/>
            </w:r>
          </w:hyperlink>
        </w:p>
        <w:p w14:paraId="322889CD" w14:textId="34684601"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393" w:history="1">
            <w:r w:rsidR="00E136F2" w:rsidRPr="00862B00">
              <w:rPr>
                <w:rStyle w:val="Hyperlink"/>
                <w:noProof/>
              </w:rPr>
              <w:t>3.3</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_Toc201700393 \h </w:instrText>
            </w:r>
            <w:r w:rsidR="00E136F2">
              <w:rPr>
                <w:noProof/>
                <w:webHidden/>
              </w:rPr>
            </w:r>
            <w:r w:rsidR="00E136F2">
              <w:rPr>
                <w:noProof/>
                <w:webHidden/>
              </w:rPr>
              <w:fldChar w:fldCharType="separate"/>
            </w:r>
            <w:r w:rsidR="00E136F2">
              <w:rPr>
                <w:noProof/>
                <w:webHidden/>
              </w:rPr>
              <w:t>75</w:t>
            </w:r>
            <w:r w:rsidR="00E136F2">
              <w:rPr>
                <w:noProof/>
                <w:webHidden/>
              </w:rPr>
              <w:fldChar w:fldCharType="end"/>
            </w:r>
          </w:hyperlink>
        </w:p>
        <w:p w14:paraId="583B3BF6" w14:textId="07F44F0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94" w:history="1">
            <w:r w:rsidR="00E136F2" w:rsidRPr="00862B00">
              <w:rPr>
                <w:rStyle w:val="Hyperlink"/>
                <w:noProof/>
              </w:rPr>
              <w:t>3.3.1</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3.1. Koncept i metodologija za Razvoj mape puta za </w:t>
            </w:r>
            <w:r w:rsidR="000744D1">
              <w:rPr>
                <w:rStyle w:val="Hyperlink"/>
                <w:noProof/>
              </w:rPr>
              <w:t>jačanje</w:t>
            </w:r>
            <w:r w:rsidR="00E136F2" w:rsidRPr="00862B00">
              <w:rPr>
                <w:rStyle w:val="Hyperlink"/>
                <w:noProof/>
              </w:rPr>
              <w:t xml:space="preserve"> administrativnih kapaciteta.</w:t>
            </w:r>
            <w:r w:rsidR="00E136F2">
              <w:rPr>
                <w:noProof/>
                <w:webHidden/>
              </w:rPr>
              <w:tab/>
            </w:r>
            <w:r w:rsidR="00E136F2">
              <w:rPr>
                <w:noProof/>
                <w:webHidden/>
              </w:rPr>
              <w:fldChar w:fldCharType="begin"/>
            </w:r>
            <w:r w:rsidR="00E136F2">
              <w:rPr>
                <w:noProof/>
                <w:webHidden/>
              </w:rPr>
              <w:instrText xml:space="preserve"> PAGEREF _Toc201700394 \h </w:instrText>
            </w:r>
            <w:r w:rsidR="00E136F2">
              <w:rPr>
                <w:noProof/>
                <w:webHidden/>
              </w:rPr>
            </w:r>
            <w:r w:rsidR="00E136F2">
              <w:rPr>
                <w:noProof/>
                <w:webHidden/>
              </w:rPr>
              <w:fldChar w:fldCharType="separate"/>
            </w:r>
            <w:r w:rsidR="00E136F2">
              <w:rPr>
                <w:noProof/>
                <w:webHidden/>
              </w:rPr>
              <w:t>76</w:t>
            </w:r>
            <w:r w:rsidR="00E136F2">
              <w:rPr>
                <w:noProof/>
                <w:webHidden/>
              </w:rPr>
              <w:fldChar w:fldCharType="end"/>
            </w:r>
          </w:hyperlink>
        </w:p>
        <w:p w14:paraId="737838EF" w14:textId="31472D32"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95" w:history="1">
            <w:r w:rsidR="00E136F2" w:rsidRPr="00862B00">
              <w:rPr>
                <w:rStyle w:val="Hyperlink"/>
                <w:noProof/>
              </w:rPr>
              <w:t>3.3.2</w:t>
            </w:r>
            <w:r w:rsidR="00E136F2">
              <w:rPr>
                <w:rFonts w:asciiTheme="minorHAnsi" w:eastAsiaTheme="minorEastAsia" w:hAnsiTheme="minorHAnsi"/>
                <w:noProof/>
                <w:kern w:val="0"/>
                <w:sz w:val="22"/>
                <w:lang w:val="en-US"/>
                <w14:ligatures w14:val="none"/>
              </w:rPr>
              <w:tab/>
            </w:r>
            <w:r w:rsidR="00E136F2" w:rsidRPr="00862B00">
              <w:rPr>
                <w:rStyle w:val="Hyperlink"/>
                <w:noProof/>
              </w:rPr>
              <w:t>Akcija 3.2. Analiza potreba za obukom za Ekosistem Kohezione politike</w:t>
            </w:r>
            <w:r w:rsidR="00E136F2">
              <w:rPr>
                <w:noProof/>
                <w:webHidden/>
              </w:rPr>
              <w:tab/>
            </w:r>
            <w:r w:rsidR="00E136F2">
              <w:rPr>
                <w:noProof/>
                <w:webHidden/>
              </w:rPr>
              <w:fldChar w:fldCharType="begin"/>
            </w:r>
            <w:r w:rsidR="00E136F2">
              <w:rPr>
                <w:noProof/>
                <w:webHidden/>
              </w:rPr>
              <w:instrText xml:space="preserve"> PAGEREF _Toc201700395 \h </w:instrText>
            </w:r>
            <w:r w:rsidR="00E136F2">
              <w:rPr>
                <w:noProof/>
                <w:webHidden/>
              </w:rPr>
            </w:r>
            <w:r w:rsidR="00E136F2">
              <w:rPr>
                <w:noProof/>
                <w:webHidden/>
              </w:rPr>
              <w:fldChar w:fldCharType="separate"/>
            </w:r>
            <w:r w:rsidR="00E136F2">
              <w:rPr>
                <w:noProof/>
                <w:webHidden/>
              </w:rPr>
              <w:t>76</w:t>
            </w:r>
            <w:r w:rsidR="00E136F2">
              <w:rPr>
                <w:noProof/>
                <w:webHidden/>
              </w:rPr>
              <w:fldChar w:fldCharType="end"/>
            </w:r>
          </w:hyperlink>
        </w:p>
        <w:p w14:paraId="662D3098" w14:textId="280B1E1A"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96" w:history="1">
            <w:r w:rsidR="00E136F2" w:rsidRPr="00862B00">
              <w:rPr>
                <w:rStyle w:val="Hyperlink"/>
                <w:noProof/>
              </w:rPr>
              <w:t>3.3.3</w:t>
            </w:r>
            <w:r w:rsidR="00E136F2">
              <w:rPr>
                <w:rFonts w:asciiTheme="minorHAnsi" w:eastAsiaTheme="minorEastAsia" w:hAnsiTheme="minorHAnsi"/>
                <w:noProof/>
                <w:kern w:val="0"/>
                <w:sz w:val="22"/>
                <w:lang w:val="en-US"/>
                <w14:ligatures w14:val="none"/>
              </w:rPr>
              <w:tab/>
            </w:r>
            <w:r w:rsidR="00E136F2" w:rsidRPr="00862B00">
              <w:rPr>
                <w:rStyle w:val="Hyperlink"/>
                <w:noProof/>
              </w:rPr>
              <w:t>Akcija 3.3. Dizajn i isporuka Programa za jačanje kapaciteta za Kohezionu politiku.</w:t>
            </w:r>
            <w:r w:rsidR="00E136F2">
              <w:rPr>
                <w:noProof/>
                <w:webHidden/>
              </w:rPr>
              <w:tab/>
            </w:r>
            <w:r w:rsidR="00E136F2">
              <w:rPr>
                <w:noProof/>
                <w:webHidden/>
              </w:rPr>
              <w:fldChar w:fldCharType="begin"/>
            </w:r>
            <w:r w:rsidR="00E136F2">
              <w:rPr>
                <w:noProof/>
                <w:webHidden/>
              </w:rPr>
              <w:instrText xml:space="preserve"> PAGEREF _Toc201700396 \h </w:instrText>
            </w:r>
            <w:r w:rsidR="00E136F2">
              <w:rPr>
                <w:noProof/>
                <w:webHidden/>
              </w:rPr>
            </w:r>
            <w:r w:rsidR="00E136F2">
              <w:rPr>
                <w:noProof/>
                <w:webHidden/>
              </w:rPr>
              <w:fldChar w:fldCharType="separate"/>
            </w:r>
            <w:r w:rsidR="00E136F2">
              <w:rPr>
                <w:noProof/>
                <w:webHidden/>
              </w:rPr>
              <w:t>77</w:t>
            </w:r>
            <w:r w:rsidR="00E136F2">
              <w:rPr>
                <w:noProof/>
                <w:webHidden/>
              </w:rPr>
              <w:fldChar w:fldCharType="end"/>
            </w:r>
          </w:hyperlink>
        </w:p>
        <w:p w14:paraId="6EAE1626" w14:textId="06FA33E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97" w:history="1">
            <w:r w:rsidR="00E136F2" w:rsidRPr="00862B00">
              <w:rPr>
                <w:rStyle w:val="Hyperlink"/>
                <w:noProof/>
              </w:rPr>
              <w:t>3.3.4</w:t>
            </w:r>
            <w:r w:rsidR="00E136F2">
              <w:rPr>
                <w:rFonts w:asciiTheme="minorHAnsi" w:eastAsiaTheme="minorEastAsia" w:hAnsiTheme="minorHAnsi"/>
                <w:noProof/>
                <w:kern w:val="0"/>
                <w:sz w:val="22"/>
                <w:lang w:val="en-US"/>
                <w14:ligatures w14:val="none"/>
              </w:rPr>
              <w:tab/>
            </w:r>
            <w:r w:rsidR="00E136F2" w:rsidRPr="00862B00">
              <w:rPr>
                <w:rStyle w:val="Hyperlink"/>
                <w:noProof/>
              </w:rPr>
              <w:t>Akcija 3.4.  Izrada i usvajanje individualnih strategija organizacionog razvoja za buduća Tijela programa Kohezione politike</w:t>
            </w:r>
            <w:r w:rsidR="00E136F2">
              <w:rPr>
                <w:noProof/>
                <w:webHidden/>
              </w:rPr>
              <w:tab/>
            </w:r>
            <w:r w:rsidR="00E136F2">
              <w:rPr>
                <w:noProof/>
                <w:webHidden/>
              </w:rPr>
              <w:fldChar w:fldCharType="begin"/>
            </w:r>
            <w:r w:rsidR="00E136F2">
              <w:rPr>
                <w:noProof/>
                <w:webHidden/>
              </w:rPr>
              <w:instrText xml:space="preserve"> PAGEREF _Toc201700397 \h </w:instrText>
            </w:r>
            <w:r w:rsidR="00E136F2">
              <w:rPr>
                <w:noProof/>
                <w:webHidden/>
              </w:rPr>
            </w:r>
            <w:r w:rsidR="00E136F2">
              <w:rPr>
                <w:noProof/>
                <w:webHidden/>
              </w:rPr>
              <w:fldChar w:fldCharType="separate"/>
            </w:r>
            <w:r w:rsidR="00E136F2">
              <w:rPr>
                <w:noProof/>
                <w:webHidden/>
              </w:rPr>
              <w:t>77</w:t>
            </w:r>
            <w:r w:rsidR="00E136F2">
              <w:rPr>
                <w:noProof/>
                <w:webHidden/>
              </w:rPr>
              <w:fldChar w:fldCharType="end"/>
            </w:r>
          </w:hyperlink>
        </w:p>
        <w:p w14:paraId="2794B554" w14:textId="349A188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398" w:history="1">
            <w:r w:rsidR="00E136F2" w:rsidRPr="00862B00">
              <w:rPr>
                <w:rStyle w:val="Hyperlink"/>
                <w:noProof/>
              </w:rPr>
              <w:t>3.3.5</w:t>
            </w:r>
            <w:r w:rsidR="00E136F2">
              <w:rPr>
                <w:rFonts w:asciiTheme="minorHAnsi" w:eastAsiaTheme="minorEastAsia" w:hAnsiTheme="minorHAnsi"/>
                <w:noProof/>
                <w:kern w:val="0"/>
                <w:sz w:val="22"/>
                <w:lang w:val="en-US"/>
                <w14:ligatures w14:val="none"/>
              </w:rPr>
              <w:tab/>
            </w:r>
            <w:r w:rsidR="00E136F2" w:rsidRPr="00862B00">
              <w:rPr>
                <w:rStyle w:val="Hyperlink"/>
                <w:noProof/>
              </w:rPr>
              <w:t>Akcija 3.5 Izrada i implementacije Mape puta za jačanje administrativnih kapaciteta.</w:t>
            </w:r>
            <w:r w:rsidR="00E136F2">
              <w:rPr>
                <w:noProof/>
                <w:webHidden/>
              </w:rPr>
              <w:tab/>
            </w:r>
            <w:r w:rsidR="00E136F2">
              <w:rPr>
                <w:noProof/>
                <w:webHidden/>
              </w:rPr>
              <w:fldChar w:fldCharType="begin"/>
            </w:r>
            <w:r w:rsidR="00E136F2">
              <w:rPr>
                <w:noProof/>
                <w:webHidden/>
              </w:rPr>
              <w:instrText xml:space="preserve"> PAGEREF _Toc201700398 \h </w:instrText>
            </w:r>
            <w:r w:rsidR="00E136F2">
              <w:rPr>
                <w:noProof/>
                <w:webHidden/>
              </w:rPr>
            </w:r>
            <w:r w:rsidR="00E136F2">
              <w:rPr>
                <w:noProof/>
                <w:webHidden/>
              </w:rPr>
              <w:fldChar w:fldCharType="separate"/>
            </w:r>
            <w:r w:rsidR="00E136F2">
              <w:rPr>
                <w:noProof/>
                <w:webHidden/>
              </w:rPr>
              <w:t>77</w:t>
            </w:r>
            <w:r w:rsidR="00E136F2">
              <w:rPr>
                <w:noProof/>
                <w:webHidden/>
              </w:rPr>
              <w:fldChar w:fldCharType="end"/>
            </w:r>
          </w:hyperlink>
        </w:p>
        <w:p w14:paraId="0EFD255F" w14:textId="303C8ED5"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399" w:history="1">
            <w:r w:rsidR="00E136F2" w:rsidRPr="00862B00">
              <w:rPr>
                <w:rStyle w:val="Hyperlink"/>
                <w:noProof/>
              </w:rPr>
              <w:t>4</w:t>
            </w:r>
            <w:r w:rsidR="00E136F2">
              <w:rPr>
                <w:rFonts w:asciiTheme="minorHAnsi" w:eastAsiaTheme="minorEastAsia" w:hAnsiTheme="minorHAnsi"/>
                <w:noProof/>
                <w:kern w:val="0"/>
                <w:sz w:val="22"/>
                <w:lang w:val="en-US"/>
                <w14:ligatures w14:val="none"/>
              </w:rPr>
              <w:tab/>
            </w:r>
            <w:r w:rsidR="00E136F2" w:rsidRPr="00862B00">
              <w:rPr>
                <w:rStyle w:val="Hyperlink"/>
                <w:noProof/>
              </w:rPr>
              <w:t>Strateški okvir i Programiranje</w:t>
            </w:r>
            <w:r w:rsidR="00E136F2">
              <w:rPr>
                <w:noProof/>
                <w:webHidden/>
              </w:rPr>
              <w:tab/>
            </w:r>
            <w:r w:rsidR="00E136F2">
              <w:rPr>
                <w:noProof/>
                <w:webHidden/>
              </w:rPr>
              <w:fldChar w:fldCharType="begin"/>
            </w:r>
            <w:r w:rsidR="00E136F2">
              <w:rPr>
                <w:noProof/>
                <w:webHidden/>
              </w:rPr>
              <w:instrText xml:space="preserve"> PAGEREF _Toc201700399 \h </w:instrText>
            </w:r>
            <w:r w:rsidR="00E136F2">
              <w:rPr>
                <w:noProof/>
                <w:webHidden/>
              </w:rPr>
            </w:r>
            <w:r w:rsidR="00E136F2">
              <w:rPr>
                <w:noProof/>
                <w:webHidden/>
              </w:rPr>
              <w:fldChar w:fldCharType="separate"/>
            </w:r>
            <w:r w:rsidR="00E136F2">
              <w:rPr>
                <w:noProof/>
                <w:webHidden/>
              </w:rPr>
              <w:t>79</w:t>
            </w:r>
            <w:r w:rsidR="00E136F2">
              <w:rPr>
                <w:noProof/>
                <w:webHidden/>
              </w:rPr>
              <w:fldChar w:fldCharType="end"/>
            </w:r>
          </w:hyperlink>
        </w:p>
        <w:p w14:paraId="208F566D" w14:textId="7BC0BC99"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00" w:history="1">
            <w:r w:rsidR="00E136F2" w:rsidRPr="00862B00">
              <w:rPr>
                <w:rStyle w:val="Hyperlink"/>
                <w:noProof/>
              </w:rPr>
              <w:t>4.1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_Toc201700400 \h </w:instrText>
            </w:r>
            <w:r w:rsidR="00E136F2">
              <w:rPr>
                <w:noProof/>
                <w:webHidden/>
              </w:rPr>
            </w:r>
            <w:r w:rsidR="00E136F2">
              <w:rPr>
                <w:noProof/>
                <w:webHidden/>
              </w:rPr>
              <w:fldChar w:fldCharType="separate"/>
            </w:r>
            <w:r w:rsidR="00E136F2">
              <w:rPr>
                <w:noProof/>
                <w:webHidden/>
              </w:rPr>
              <w:t>79</w:t>
            </w:r>
            <w:r w:rsidR="00E136F2">
              <w:rPr>
                <w:noProof/>
                <w:webHidden/>
              </w:rPr>
              <w:fldChar w:fldCharType="end"/>
            </w:r>
          </w:hyperlink>
        </w:p>
        <w:p w14:paraId="35F34DD1" w14:textId="117F9B0C"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01" w:history="1">
            <w:r w:rsidR="00E136F2" w:rsidRPr="00862B00">
              <w:rPr>
                <w:rStyle w:val="Hyperlink"/>
                <w:noProof/>
              </w:rPr>
              <w:t>4.2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_Toc201700401 \h </w:instrText>
            </w:r>
            <w:r w:rsidR="00E136F2">
              <w:rPr>
                <w:noProof/>
                <w:webHidden/>
              </w:rPr>
            </w:r>
            <w:r w:rsidR="00E136F2">
              <w:rPr>
                <w:noProof/>
                <w:webHidden/>
              </w:rPr>
              <w:fldChar w:fldCharType="separate"/>
            </w:r>
            <w:r w:rsidR="00E136F2">
              <w:rPr>
                <w:noProof/>
                <w:webHidden/>
              </w:rPr>
              <w:t>80</w:t>
            </w:r>
            <w:r w:rsidR="00E136F2">
              <w:rPr>
                <w:noProof/>
                <w:webHidden/>
              </w:rPr>
              <w:fldChar w:fldCharType="end"/>
            </w:r>
          </w:hyperlink>
        </w:p>
        <w:p w14:paraId="51FD29EF" w14:textId="255A7DC0"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02" w:history="1">
            <w:r w:rsidR="00E136F2" w:rsidRPr="00862B00">
              <w:rPr>
                <w:rStyle w:val="Hyperlink"/>
                <w:noProof/>
              </w:rPr>
              <w:t>4.2.1</w:t>
            </w:r>
            <w:r w:rsidR="00E136F2">
              <w:rPr>
                <w:rFonts w:asciiTheme="minorHAnsi" w:eastAsiaTheme="minorEastAsia" w:hAnsiTheme="minorHAnsi"/>
                <w:noProof/>
                <w:kern w:val="0"/>
                <w:sz w:val="22"/>
                <w:lang w:val="en-US"/>
                <w14:ligatures w14:val="none"/>
              </w:rPr>
              <w:tab/>
            </w:r>
            <w:r w:rsidR="00E136F2" w:rsidRPr="00862B00">
              <w:rPr>
                <w:rStyle w:val="Hyperlink"/>
                <w:noProof/>
              </w:rPr>
              <w:t>Procesi strateškog programiranja i konsultacija</w:t>
            </w:r>
            <w:r w:rsidR="00E136F2">
              <w:rPr>
                <w:noProof/>
                <w:webHidden/>
              </w:rPr>
              <w:tab/>
            </w:r>
            <w:r w:rsidR="00E136F2">
              <w:rPr>
                <w:noProof/>
                <w:webHidden/>
              </w:rPr>
              <w:fldChar w:fldCharType="begin"/>
            </w:r>
            <w:r w:rsidR="00E136F2">
              <w:rPr>
                <w:noProof/>
                <w:webHidden/>
              </w:rPr>
              <w:instrText xml:space="preserve"> PAGEREF _Toc201700402 \h </w:instrText>
            </w:r>
            <w:r w:rsidR="00E136F2">
              <w:rPr>
                <w:noProof/>
                <w:webHidden/>
              </w:rPr>
            </w:r>
            <w:r w:rsidR="00E136F2">
              <w:rPr>
                <w:noProof/>
                <w:webHidden/>
              </w:rPr>
              <w:fldChar w:fldCharType="separate"/>
            </w:r>
            <w:r w:rsidR="00E136F2">
              <w:rPr>
                <w:noProof/>
                <w:webHidden/>
              </w:rPr>
              <w:t>80</w:t>
            </w:r>
            <w:r w:rsidR="00E136F2">
              <w:rPr>
                <w:noProof/>
                <w:webHidden/>
              </w:rPr>
              <w:fldChar w:fldCharType="end"/>
            </w:r>
          </w:hyperlink>
        </w:p>
        <w:p w14:paraId="783E9BF3" w14:textId="3E0F909C"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03" w:history="1">
            <w:r w:rsidR="00E136F2" w:rsidRPr="00862B00">
              <w:rPr>
                <w:rStyle w:val="Hyperlink"/>
                <w:noProof/>
              </w:rPr>
              <w:t>4.3</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_Toc201700403 \h </w:instrText>
            </w:r>
            <w:r w:rsidR="00E136F2">
              <w:rPr>
                <w:noProof/>
                <w:webHidden/>
              </w:rPr>
            </w:r>
            <w:r w:rsidR="00E136F2">
              <w:rPr>
                <w:noProof/>
                <w:webHidden/>
              </w:rPr>
              <w:fldChar w:fldCharType="separate"/>
            </w:r>
            <w:r w:rsidR="00E136F2">
              <w:rPr>
                <w:noProof/>
                <w:webHidden/>
              </w:rPr>
              <w:t>93</w:t>
            </w:r>
            <w:r w:rsidR="00E136F2">
              <w:rPr>
                <w:noProof/>
                <w:webHidden/>
              </w:rPr>
              <w:fldChar w:fldCharType="end"/>
            </w:r>
          </w:hyperlink>
        </w:p>
        <w:p w14:paraId="14F1A939" w14:textId="4487D804"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404" w:history="1">
            <w:r w:rsidR="00E136F2" w:rsidRPr="00862B00">
              <w:rPr>
                <w:rStyle w:val="Hyperlink"/>
                <w:noProof/>
              </w:rPr>
              <w:t>5</w:t>
            </w:r>
            <w:r w:rsidR="00E136F2">
              <w:rPr>
                <w:rFonts w:asciiTheme="minorHAnsi" w:eastAsiaTheme="minorEastAsia" w:hAnsiTheme="minorHAnsi"/>
                <w:noProof/>
                <w:kern w:val="0"/>
                <w:sz w:val="22"/>
                <w:lang w:val="en-US"/>
                <w14:ligatures w14:val="none"/>
              </w:rPr>
              <w:tab/>
            </w:r>
            <w:r w:rsidR="00E136F2" w:rsidRPr="00862B00">
              <w:rPr>
                <w:rStyle w:val="Hyperlink"/>
                <w:noProof/>
              </w:rPr>
              <w:t>Monitoring i Evaluacija</w:t>
            </w:r>
            <w:r w:rsidR="00E136F2">
              <w:rPr>
                <w:noProof/>
                <w:webHidden/>
              </w:rPr>
              <w:tab/>
            </w:r>
            <w:r w:rsidR="00E136F2">
              <w:rPr>
                <w:noProof/>
                <w:webHidden/>
              </w:rPr>
              <w:fldChar w:fldCharType="begin"/>
            </w:r>
            <w:r w:rsidR="00E136F2">
              <w:rPr>
                <w:noProof/>
                <w:webHidden/>
              </w:rPr>
              <w:instrText xml:space="preserve"> PAGEREF _Toc201700404 \h </w:instrText>
            </w:r>
            <w:r w:rsidR="00E136F2">
              <w:rPr>
                <w:noProof/>
                <w:webHidden/>
              </w:rPr>
            </w:r>
            <w:r w:rsidR="00E136F2">
              <w:rPr>
                <w:noProof/>
                <w:webHidden/>
              </w:rPr>
              <w:fldChar w:fldCharType="separate"/>
            </w:r>
            <w:r w:rsidR="00E136F2">
              <w:rPr>
                <w:noProof/>
                <w:webHidden/>
              </w:rPr>
              <w:t>98</w:t>
            </w:r>
            <w:r w:rsidR="00E136F2">
              <w:rPr>
                <w:noProof/>
                <w:webHidden/>
              </w:rPr>
              <w:fldChar w:fldCharType="end"/>
            </w:r>
          </w:hyperlink>
        </w:p>
        <w:p w14:paraId="15F5B192" w14:textId="1062E1F2"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05" w:history="1">
            <w:r w:rsidR="00E136F2" w:rsidRPr="00862B00">
              <w:rPr>
                <w:rStyle w:val="Hyperlink"/>
                <w:noProof/>
              </w:rPr>
              <w:t>5.1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_Toc201700405 \h </w:instrText>
            </w:r>
            <w:r w:rsidR="00E136F2">
              <w:rPr>
                <w:noProof/>
                <w:webHidden/>
              </w:rPr>
            </w:r>
            <w:r w:rsidR="00E136F2">
              <w:rPr>
                <w:noProof/>
                <w:webHidden/>
              </w:rPr>
              <w:fldChar w:fldCharType="separate"/>
            </w:r>
            <w:r w:rsidR="00E136F2">
              <w:rPr>
                <w:noProof/>
                <w:webHidden/>
              </w:rPr>
              <w:t>98</w:t>
            </w:r>
            <w:r w:rsidR="00E136F2">
              <w:rPr>
                <w:noProof/>
                <w:webHidden/>
              </w:rPr>
              <w:fldChar w:fldCharType="end"/>
            </w:r>
          </w:hyperlink>
        </w:p>
        <w:p w14:paraId="0DA9FAEB" w14:textId="284109F9"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06" w:history="1">
            <w:r w:rsidR="00E136F2" w:rsidRPr="00862B00">
              <w:rPr>
                <w:rStyle w:val="Hyperlink"/>
                <w:noProof/>
              </w:rPr>
              <w:t>5.2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_Toc201700406 \h </w:instrText>
            </w:r>
            <w:r w:rsidR="00E136F2">
              <w:rPr>
                <w:noProof/>
                <w:webHidden/>
              </w:rPr>
            </w:r>
            <w:r w:rsidR="00E136F2">
              <w:rPr>
                <w:noProof/>
                <w:webHidden/>
              </w:rPr>
              <w:fldChar w:fldCharType="separate"/>
            </w:r>
            <w:r w:rsidR="00E136F2">
              <w:rPr>
                <w:noProof/>
                <w:webHidden/>
              </w:rPr>
              <w:t>100</w:t>
            </w:r>
            <w:r w:rsidR="00E136F2">
              <w:rPr>
                <w:noProof/>
                <w:webHidden/>
              </w:rPr>
              <w:fldChar w:fldCharType="end"/>
            </w:r>
          </w:hyperlink>
        </w:p>
        <w:p w14:paraId="4D0BCAC8" w14:textId="3C2F9320"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07" w:history="1">
            <w:r w:rsidR="00E136F2" w:rsidRPr="00862B00">
              <w:rPr>
                <w:rStyle w:val="Hyperlink"/>
                <w:noProof/>
              </w:rPr>
              <w:t>5.2.1</w:t>
            </w:r>
            <w:r w:rsidR="00E136F2">
              <w:rPr>
                <w:rFonts w:asciiTheme="minorHAnsi" w:eastAsiaTheme="minorEastAsia" w:hAnsiTheme="minorHAnsi"/>
                <w:noProof/>
                <w:kern w:val="0"/>
                <w:sz w:val="22"/>
                <w:lang w:val="en-US"/>
                <w14:ligatures w14:val="none"/>
              </w:rPr>
              <w:tab/>
            </w:r>
            <w:r w:rsidR="00E136F2" w:rsidRPr="00862B00">
              <w:rPr>
                <w:rStyle w:val="Hyperlink"/>
                <w:noProof/>
              </w:rPr>
              <w:t>Monitoring</w:t>
            </w:r>
            <w:r w:rsidR="00E136F2">
              <w:rPr>
                <w:noProof/>
                <w:webHidden/>
              </w:rPr>
              <w:tab/>
            </w:r>
            <w:r w:rsidR="00E136F2">
              <w:rPr>
                <w:noProof/>
                <w:webHidden/>
              </w:rPr>
              <w:fldChar w:fldCharType="begin"/>
            </w:r>
            <w:r w:rsidR="00E136F2">
              <w:rPr>
                <w:noProof/>
                <w:webHidden/>
              </w:rPr>
              <w:instrText xml:space="preserve"> PAGEREF _Toc201700407 \h </w:instrText>
            </w:r>
            <w:r w:rsidR="00E136F2">
              <w:rPr>
                <w:noProof/>
                <w:webHidden/>
              </w:rPr>
            </w:r>
            <w:r w:rsidR="00E136F2">
              <w:rPr>
                <w:noProof/>
                <w:webHidden/>
              </w:rPr>
              <w:fldChar w:fldCharType="separate"/>
            </w:r>
            <w:r w:rsidR="00E136F2">
              <w:rPr>
                <w:noProof/>
                <w:webHidden/>
              </w:rPr>
              <w:t>100</w:t>
            </w:r>
            <w:r w:rsidR="00E136F2">
              <w:rPr>
                <w:noProof/>
                <w:webHidden/>
              </w:rPr>
              <w:fldChar w:fldCharType="end"/>
            </w:r>
          </w:hyperlink>
        </w:p>
        <w:p w14:paraId="586F4A73" w14:textId="1861C64C"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08" w:history="1">
            <w:r w:rsidR="00E136F2" w:rsidRPr="00862B00">
              <w:rPr>
                <w:rStyle w:val="Hyperlink"/>
                <w:noProof/>
              </w:rPr>
              <w:t>5.2.2</w:t>
            </w:r>
            <w:r w:rsidR="00E136F2">
              <w:rPr>
                <w:rFonts w:asciiTheme="minorHAnsi" w:eastAsiaTheme="minorEastAsia" w:hAnsiTheme="minorHAnsi"/>
                <w:noProof/>
                <w:kern w:val="0"/>
                <w:sz w:val="22"/>
                <w:lang w:val="en-US"/>
                <w14:ligatures w14:val="none"/>
              </w:rPr>
              <w:tab/>
            </w:r>
            <w:r w:rsidR="00E136F2" w:rsidRPr="00862B00">
              <w:rPr>
                <w:rStyle w:val="Hyperlink"/>
                <w:noProof/>
              </w:rPr>
              <w:t>Evaluacija</w:t>
            </w:r>
            <w:r w:rsidR="00E136F2">
              <w:rPr>
                <w:noProof/>
                <w:webHidden/>
              </w:rPr>
              <w:tab/>
            </w:r>
            <w:r w:rsidR="00E136F2">
              <w:rPr>
                <w:noProof/>
                <w:webHidden/>
              </w:rPr>
              <w:fldChar w:fldCharType="begin"/>
            </w:r>
            <w:r w:rsidR="00E136F2">
              <w:rPr>
                <w:noProof/>
                <w:webHidden/>
              </w:rPr>
              <w:instrText xml:space="preserve"> PAGEREF _Toc201700408 \h </w:instrText>
            </w:r>
            <w:r w:rsidR="00E136F2">
              <w:rPr>
                <w:noProof/>
                <w:webHidden/>
              </w:rPr>
            </w:r>
            <w:r w:rsidR="00E136F2">
              <w:rPr>
                <w:noProof/>
                <w:webHidden/>
              </w:rPr>
              <w:fldChar w:fldCharType="separate"/>
            </w:r>
            <w:r w:rsidR="00E136F2">
              <w:rPr>
                <w:noProof/>
                <w:webHidden/>
              </w:rPr>
              <w:t>102</w:t>
            </w:r>
            <w:r w:rsidR="00E136F2">
              <w:rPr>
                <w:noProof/>
                <w:webHidden/>
              </w:rPr>
              <w:fldChar w:fldCharType="end"/>
            </w:r>
          </w:hyperlink>
        </w:p>
        <w:p w14:paraId="4087F7EB" w14:textId="47E2BD9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09" w:history="1">
            <w:r w:rsidR="00E136F2" w:rsidRPr="00862B00">
              <w:rPr>
                <w:rStyle w:val="Hyperlink"/>
                <w:noProof/>
              </w:rPr>
              <w:t>5.2.3</w:t>
            </w:r>
            <w:r w:rsidR="00E136F2">
              <w:rPr>
                <w:rFonts w:asciiTheme="minorHAnsi" w:eastAsiaTheme="minorEastAsia" w:hAnsiTheme="minorHAnsi"/>
                <w:noProof/>
                <w:kern w:val="0"/>
                <w:sz w:val="22"/>
                <w:lang w:val="en-US"/>
                <w14:ligatures w14:val="none"/>
              </w:rPr>
              <w:tab/>
            </w:r>
            <w:r w:rsidR="00E136F2" w:rsidRPr="00862B00">
              <w:rPr>
                <w:rStyle w:val="Hyperlink"/>
                <w:noProof/>
              </w:rPr>
              <w:t>Okvir učinka i metodologija za uspostavljanje Okvira učinka</w:t>
            </w:r>
            <w:r w:rsidR="00E136F2">
              <w:rPr>
                <w:noProof/>
                <w:webHidden/>
              </w:rPr>
              <w:tab/>
            </w:r>
            <w:r w:rsidR="00E136F2">
              <w:rPr>
                <w:noProof/>
                <w:webHidden/>
              </w:rPr>
              <w:fldChar w:fldCharType="begin"/>
            </w:r>
            <w:r w:rsidR="00E136F2">
              <w:rPr>
                <w:noProof/>
                <w:webHidden/>
              </w:rPr>
              <w:instrText xml:space="preserve"> PAGEREF _Toc201700409 \h </w:instrText>
            </w:r>
            <w:r w:rsidR="00E136F2">
              <w:rPr>
                <w:noProof/>
                <w:webHidden/>
              </w:rPr>
            </w:r>
            <w:r w:rsidR="00E136F2">
              <w:rPr>
                <w:noProof/>
                <w:webHidden/>
              </w:rPr>
              <w:fldChar w:fldCharType="separate"/>
            </w:r>
            <w:r w:rsidR="00E136F2">
              <w:rPr>
                <w:noProof/>
                <w:webHidden/>
              </w:rPr>
              <w:t>104</w:t>
            </w:r>
            <w:r w:rsidR="00E136F2">
              <w:rPr>
                <w:noProof/>
                <w:webHidden/>
              </w:rPr>
              <w:fldChar w:fldCharType="end"/>
            </w:r>
          </w:hyperlink>
        </w:p>
        <w:p w14:paraId="3B3EB98E" w14:textId="6112D975"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10" w:history="1">
            <w:r w:rsidR="00E136F2" w:rsidRPr="00862B00">
              <w:rPr>
                <w:rStyle w:val="Hyperlink"/>
                <w:noProof/>
              </w:rPr>
              <w:t>5.3</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_Toc201700410 \h </w:instrText>
            </w:r>
            <w:r w:rsidR="00E136F2">
              <w:rPr>
                <w:noProof/>
                <w:webHidden/>
              </w:rPr>
            </w:r>
            <w:r w:rsidR="00E136F2">
              <w:rPr>
                <w:noProof/>
                <w:webHidden/>
              </w:rPr>
              <w:fldChar w:fldCharType="separate"/>
            </w:r>
            <w:r w:rsidR="00E136F2">
              <w:rPr>
                <w:noProof/>
                <w:webHidden/>
              </w:rPr>
              <w:t>105</w:t>
            </w:r>
            <w:r w:rsidR="00E136F2">
              <w:rPr>
                <w:noProof/>
                <w:webHidden/>
              </w:rPr>
              <w:fldChar w:fldCharType="end"/>
            </w:r>
          </w:hyperlink>
        </w:p>
        <w:p w14:paraId="7061457D" w14:textId="4C56E9CB"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411" w:history="1">
            <w:r w:rsidR="00E136F2" w:rsidRPr="00862B00">
              <w:rPr>
                <w:rStyle w:val="Hyperlink"/>
                <w:noProof/>
              </w:rPr>
              <w:t>6</w:t>
            </w:r>
            <w:r w:rsidR="00E136F2">
              <w:rPr>
                <w:rFonts w:asciiTheme="minorHAnsi" w:eastAsiaTheme="minorEastAsia" w:hAnsiTheme="minorHAnsi"/>
                <w:noProof/>
                <w:kern w:val="0"/>
                <w:sz w:val="22"/>
                <w:lang w:val="en-US"/>
                <w14:ligatures w14:val="none"/>
              </w:rPr>
              <w:tab/>
            </w:r>
            <w:r w:rsidR="00E136F2" w:rsidRPr="00862B00">
              <w:rPr>
                <w:rStyle w:val="Hyperlink"/>
                <w:noProof/>
              </w:rPr>
              <w:t>Finansijsko upravljanje i kontrola</w:t>
            </w:r>
            <w:r w:rsidR="00E136F2">
              <w:rPr>
                <w:noProof/>
                <w:webHidden/>
              </w:rPr>
              <w:tab/>
            </w:r>
            <w:r w:rsidR="00E136F2">
              <w:rPr>
                <w:noProof/>
                <w:webHidden/>
              </w:rPr>
              <w:fldChar w:fldCharType="begin"/>
            </w:r>
            <w:r w:rsidR="00E136F2">
              <w:rPr>
                <w:noProof/>
                <w:webHidden/>
              </w:rPr>
              <w:instrText xml:space="preserve"> PAGEREF _Toc201700411 \h </w:instrText>
            </w:r>
            <w:r w:rsidR="00E136F2">
              <w:rPr>
                <w:noProof/>
                <w:webHidden/>
              </w:rPr>
            </w:r>
            <w:r w:rsidR="00E136F2">
              <w:rPr>
                <w:noProof/>
                <w:webHidden/>
              </w:rPr>
              <w:fldChar w:fldCharType="separate"/>
            </w:r>
            <w:r w:rsidR="00E136F2">
              <w:rPr>
                <w:noProof/>
                <w:webHidden/>
              </w:rPr>
              <w:t>111</w:t>
            </w:r>
            <w:r w:rsidR="00E136F2">
              <w:rPr>
                <w:noProof/>
                <w:webHidden/>
              </w:rPr>
              <w:fldChar w:fldCharType="end"/>
            </w:r>
          </w:hyperlink>
        </w:p>
        <w:p w14:paraId="5EB3C27F" w14:textId="17C7826A"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12" w:history="1">
            <w:r w:rsidR="00E136F2" w:rsidRPr="00862B00">
              <w:rPr>
                <w:rStyle w:val="Hyperlink"/>
                <w:noProof/>
              </w:rPr>
              <w:t>6.1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_Toc201700412 \h </w:instrText>
            </w:r>
            <w:r w:rsidR="00E136F2">
              <w:rPr>
                <w:noProof/>
                <w:webHidden/>
              </w:rPr>
            </w:r>
            <w:r w:rsidR="00E136F2">
              <w:rPr>
                <w:noProof/>
                <w:webHidden/>
              </w:rPr>
              <w:fldChar w:fldCharType="separate"/>
            </w:r>
            <w:r w:rsidR="00E136F2">
              <w:rPr>
                <w:noProof/>
                <w:webHidden/>
              </w:rPr>
              <w:t>111</w:t>
            </w:r>
            <w:r w:rsidR="00E136F2">
              <w:rPr>
                <w:noProof/>
                <w:webHidden/>
              </w:rPr>
              <w:fldChar w:fldCharType="end"/>
            </w:r>
          </w:hyperlink>
        </w:p>
        <w:p w14:paraId="3139662B" w14:textId="6D4B2A15"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13" w:history="1">
            <w:r w:rsidR="00E136F2" w:rsidRPr="00862B00">
              <w:rPr>
                <w:rStyle w:val="Hyperlink"/>
                <w:noProof/>
              </w:rPr>
              <w:t>6.2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_Toc201700413 \h </w:instrText>
            </w:r>
            <w:r w:rsidR="00E136F2">
              <w:rPr>
                <w:noProof/>
                <w:webHidden/>
              </w:rPr>
            </w:r>
            <w:r w:rsidR="00E136F2">
              <w:rPr>
                <w:noProof/>
                <w:webHidden/>
              </w:rPr>
              <w:fldChar w:fldCharType="separate"/>
            </w:r>
            <w:r w:rsidR="00E136F2">
              <w:rPr>
                <w:noProof/>
                <w:webHidden/>
              </w:rPr>
              <w:t>112</w:t>
            </w:r>
            <w:r w:rsidR="00E136F2">
              <w:rPr>
                <w:noProof/>
                <w:webHidden/>
              </w:rPr>
              <w:fldChar w:fldCharType="end"/>
            </w:r>
          </w:hyperlink>
        </w:p>
        <w:p w14:paraId="021145E8" w14:textId="63CE66C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14" w:history="1">
            <w:r w:rsidR="00E136F2" w:rsidRPr="00862B00">
              <w:rPr>
                <w:rStyle w:val="Hyperlink"/>
                <w:noProof/>
              </w:rPr>
              <w:t>6.2.1</w:t>
            </w:r>
            <w:r w:rsidR="00E136F2">
              <w:rPr>
                <w:rFonts w:asciiTheme="minorHAnsi" w:eastAsiaTheme="minorEastAsia" w:hAnsiTheme="minorHAnsi"/>
                <w:noProof/>
                <w:kern w:val="0"/>
                <w:sz w:val="22"/>
                <w:lang w:val="en-US"/>
                <w14:ligatures w14:val="none"/>
              </w:rPr>
              <w:tab/>
            </w:r>
            <w:r w:rsidR="00E136F2" w:rsidRPr="00862B00">
              <w:rPr>
                <w:rStyle w:val="Hyperlink"/>
                <w:noProof/>
              </w:rPr>
              <w:t>Finansijska podrška iz Fondova</w:t>
            </w:r>
            <w:r w:rsidR="00E136F2">
              <w:rPr>
                <w:noProof/>
                <w:webHidden/>
              </w:rPr>
              <w:tab/>
            </w:r>
            <w:r w:rsidR="00E136F2">
              <w:rPr>
                <w:noProof/>
                <w:webHidden/>
              </w:rPr>
              <w:fldChar w:fldCharType="begin"/>
            </w:r>
            <w:r w:rsidR="00E136F2">
              <w:rPr>
                <w:noProof/>
                <w:webHidden/>
              </w:rPr>
              <w:instrText xml:space="preserve"> PAGEREF _Toc201700414 \h </w:instrText>
            </w:r>
            <w:r w:rsidR="00E136F2">
              <w:rPr>
                <w:noProof/>
                <w:webHidden/>
              </w:rPr>
            </w:r>
            <w:r w:rsidR="00E136F2">
              <w:rPr>
                <w:noProof/>
                <w:webHidden/>
              </w:rPr>
              <w:fldChar w:fldCharType="separate"/>
            </w:r>
            <w:r w:rsidR="00E136F2">
              <w:rPr>
                <w:noProof/>
                <w:webHidden/>
              </w:rPr>
              <w:t>112</w:t>
            </w:r>
            <w:r w:rsidR="00E136F2">
              <w:rPr>
                <w:noProof/>
                <w:webHidden/>
              </w:rPr>
              <w:fldChar w:fldCharType="end"/>
            </w:r>
          </w:hyperlink>
        </w:p>
        <w:p w14:paraId="6BB3974A" w14:textId="424E2B7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15" w:history="1">
            <w:r w:rsidR="00E136F2" w:rsidRPr="00862B00">
              <w:rPr>
                <w:rStyle w:val="Hyperlink"/>
                <w:noProof/>
              </w:rPr>
              <w:t>6.2.2</w:t>
            </w:r>
            <w:r w:rsidR="00E136F2">
              <w:rPr>
                <w:rFonts w:asciiTheme="minorHAnsi" w:eastAsiaTheme="minorEastAsia" w:hAnsiTheme="minorHAnsi"/>
                <w:noProof/>
                <w:kern w:val="0"/>
                <w:sz w:val="22"/>
                <w:lang w:val="en-US"/>
                <w14:ligatures w14:val="none"/>
              </w:rPr>
              <w:tab/>
            </w:r>
            <w:r w:rsidR="00E136F2" w:rsidRPr="00862B00">
              <w:rPr>
                <w:rStyle w:val="Hyperlink"/>
                <w:noProof/>
              </w:rPr>
              <w:t>Sistem kontrole i upravljanja</w:t>
            </w:r>
            <w:r w:rsidR="00E136F2">
              <w:rPr>
                <w:noProof/>
                <w:webHidden/>
              </w:rPr>
              <w:tab/>
            </w:r>
            <w:r w:rsidR="00E136F2">
              <w:rPr>
                <w:noProof/>
                <w:webHidden/>
              </w:rPr>
              <w:fldChar w:fldCharType="begin"/>
            </w:r>
            <w:r w:rsidR="00E136F2">
              <w:rPr>
                <w:noProof/>
                <w:webHidden/>
              </w:rPr>
              <w:instrText xml:space="preserve"> PAGEREF _Toc201700415 \h </w:instrText>
            </w:r>
            <w:r w:rsidR="00E136F2">
              <w:rPr>
                <w:noProof/>
                <w:webHidden/>
              </w:rPr>
            </w:r>
            <w:r w:rsidR="00E136F2">
              <w:rPr>
                <w:noProof/>
                <w:webHidden/>
              </w:rPr>
              <w:fldChar w:fldCharType="separate"/>
            </w:r>
            <w:r w:rsidR="00E136F2">
              <w:rPr>
                <w:noProof/>
                <w:webHidden/>
              </w:rPr>
              <w:t>114</w:t>
            </w:r>
            <w:r w:rsidR="00E136F2">
              <w:rPr>
                <w:noProof/>
                <w:webHidden/>
              </w:rPr>
              <w:fldChar w:fldCharType="end"/>
            </w:r>
          </w:hyperlink>
        </w:p>
        <w:p w14:paraId="63BFF30F" w14:textId="2FCC12F9"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16" w:history="1">
            <w:r w:rsidR="00E136F2" w:rsidRPr="00862B00">
              <w:rPr>
                <w:rStyle w:val="Hyperlink"/>
                <w:noProof/>
              </w:rPr>
              <w:t>6.2.3</w:t>
            </w:r>
            <w:r w:rsidR="00E136F2">
              <w:rPr>
                <w:rFonts w:asciiTheme="minorHAnsi" w:eastAsiaTheme="minorEastAsia" w:hAnsiTheme="minorHAnsi"/>
                <w:noProof/>
                <w:kern w:val="0"/>
                <w:sz w:val="22"/>
                <w:lang w:val="en-US"/>
                <w14:ligatures w14:val="none"/>
              </w:rPr>
              <w:tab/>
            </w:r>
            <w:r w:rsidR="00E136F2" w:rsidRPr="00862B00">
              <w:rPr>
                <w:rStyle w:val="Hyperlink"/>
                <w:noProof/>
              </w:rPr>
              <w:t>Finansijsko upravljanje i javna interna finansijska kontrola</w:t>
            </w:r>
            <w:r w:rsidR="00E136F2">
              <w:rPr>
                <w:noProof/>
                <w:webHidden/>
              </w:rPr>
              <w:tab/>
            </w:r>
            <w:r w:rsidR="00E136F2">
              <w:rPr>
                <w:noProof/>
                <w:webHidden/>
              </w:rPr>
              <w:fldChar w:fldCharType="begin"/>
            </w:r>
            <w:r w:rsidR="00E136F2">
              <w:rPr>
                <w:noProof/>
                <w:webHidden/>
              </w:rPr>
              <w:instrText xml:space="preserve"> PAGEREF _Toc201700416 \h </w:instrText>
            </w:r>
            <w:r w:rsidR="00E136F2">
              <w:rPr>
                <w:noProof/>
                <w:webHidden/>
              </w:rPr>
            </w:r>
            <w:r w:rsidR="00E136F2">
              <w:rPr>
                <w:noProof/>
                <w:webHidden/>
              </w:rPr>
              <w:fldChar w:fldCharType="separate"/>
            </w:r>
            <w:r w:rsidR="00E136F2">
              <w:rPr>
                <w:noProof/>
                <w:webHidden/>
              </w:rPr>
              <w:t>117</w:t>
            </w:r>
            <w:r w:rsidR="00E136F2">
              <w:rPr>
                <w:noProof/>
                <w:webHidden/>
              </w:rPr>
              <w:fldChar w:fldCharType="end"/>
            </w:r>
          </w:hyperlink>
        </w:p>
        <w:p w14:paraId="55DC7D0F" w14:textId="7E116D3E"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17" w:history="1">
            <w:r w:rsidR="00E136F2" w:rsidRPr="00862B00">
              <w:rPr>
                <w:rStyle w:val="Hyperlink"/>
                <w:noProof/>
              </w:rPr>
              <w:t>6.2.4</w:t>
            </w:r>
            <w:r w:rsidR="00E136F2">
              <w:rPr>
                <w:rFonts w:asciiTheme="minorHAnsi" w:eastAsiaTheme="minorEastAsia" w:hAnsiTheme="minorHAnsi"/>
                <w:noProof/>
                <w:kern w:val="0"/>
                <w:sz w:val="22"/>
                <w:lang w:val="en-US"/>
                <w14:ligatures w14:val="none"/>
              </w:rPr>
              <w:tab/>
            </w:r>
            <w:r w:rsidR="00E136F2" w:rsidRPr="00862B00">
              <w:rPr>
                <w:rStyle w:val="Hyperlink"/>
                <w:noProof/>
              </w:rPr>
              <w:t>Podnošenje i ispitivanje računa i finansijskih korekcija, nacionalno sufinansiranje</w:t>
            </w:r>
            <w:r w:rsidR="00E136F2">
              <w:rPr>
                <w:noProof/>
                <w:webHidden/>
              </w:rPr>
              <w:tab/>
            </w:r>
            <w:r w:rsidR="00E136F2">
              <w:rPr>
                <w:noProof/>
                <w:webHidden/>
              </w:rPr>
              <w:fldChar w:fldCharType="begin"/>
            </w:r>
            <w:r w:rsidR="00E136F2">
              <w:rPr>
                <w:noProof/>
                <w:webHidden/>
              </w:rPr>
              <w:instrText xml:space="preserve"> PAGEREF _Toc201700417 \h </w:instrText>
            </w:r>
            <w:r w:rsidR="00E136F2">
              <w:rPr>
                <w:noProof/>
                <w:webHidden/>
              </w:rPr>
            </w:r>
            <w:r w:rsidR="00E136F2">
              <w:rPr>
                <w:noProof/>
                <w:webHidden/>
              </w:rPr>
              <w:fldChar w:fldCharType="separate"/>
            </w:r>
            <w:r w:rsidR="00E136F2">
              <w:rPr>
                <w:noProof/>
                <w:webHidden/>
              </w:rPr>
              <w:t>118</w:t>
            </w:r>
            <w:r w:rsidR="00E136F2">
              <w:rPr>
                <w:noProof/>
                <w:webHidden/>
              </w:rPr>
              <w:fldChar w:fldCharType="end"/>
            </w:r>
          </w:hyperlink>
        </w:p>
        <w:p w14:paraId="06B696E6" w14:textId="12BF2EE2"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18" w:history="1">
            <w:r w:rsidR="00E136F2" w:rsidRPr="00862B00">
              <w:rPr>
                <w:rStyle w:val="Hyperlink"/>
                <w:noProof/>
              </w:rPr>
              <w:t>6.3</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_Toc201700418 \h </w:instrText>
            </w:r>
            <w:r w:rsidR="00E136F2">
              <w:rPr>
                <w:noProof/>
                <w:webHidden/>
              </w:rPr>
            </w:r>
            <w:r w:rsidR="00E136F2">
              <w:rPr>
                <w:noProof/>
                <w:webHidden/>
              </w:rPr>
              <w:fldChar w:fldCharType="separate"/>
            </w:r>
            <w:r w:rsidR="00E136F2">
              <w:rPr>
                <w:noProof/>
                <w:webHidden/>
              </w:rPr>
              <w:t>120</w:t>
            </w:r>
            <w:r w:rsidR="00E136F2">
              <w:rPr>
                <w:noProof/>
                <w:webHidden/>
              </w:rPr>
              <w:fldChar w:fldCharType="end"/>
            </w:r>
          </w:hyperlink>
        </w:p>
        <w:p w14:paraId="25C79EFE" w14:textId="1848B8F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19" w:history="1">
            <w:r w:rsidR="00E136F2" w:rsidRPr="00862B00">
              <w:rPr>
                <w:rStyle w:val="Hyperlink"/>
                <w:noProof/>
              </w:rPr>
              <w:t>6.3.1</w:t>
            </w:r>
            <w:r w:rsidR="00E136F2">
              <w:rPr>
                <w:rFonts w:asciiTheme="minorHAnsi" w:eastAsiaTheme="minorEastAsia" w:hAnsiTheme="minorHAnsi"/>
                <w:noProof/>
                <w:kern w:val="0"/>
                <w:sz w:val="22"/>
                <w:lang w:val="en-US"/>
                <w14:ligatures w14:val="none"/>
              </w:rPr>
              <w:tab/>
            </w:r>
            <w:r w:rsidR="00E136F2" w:rsidRPr="00862B00">
              <w:rPr>
                <w:rStyle w:val="Hyperlink"/>
                <w:noProof/>
              </w:rPr>
              <w:t>Akcija 6.1. Redovno podnošenje Godišnjih deklaracija o upravljanju za svaki Program koji se implementira u indirektnom upravljanju od strane Crne Gore</w:t>
            </w:r>
            <w:r w:rsidR="00E136F2">
              <w:rPr>
                <w:noProof/>
                <w:webHidden/>
              </w:rPr>
              <w:tab/>
            </w:r>
            <w:r w:rsidR="00E136F2">
              <w:rPr>
                <w:noProof/>
                <w:webHidden/>
              </w:rPr>
              <w:fldChar w:fldCharType="begin"/>
            </w:r>
            <w:r w:rsidR="00E136F2">
              <w:rPr>
                <w:noProof/>
                <w:webHidden/>
              </w:rPr>
              <w:instrText xml:space="preserve"> PAGEREF _Toc201700419 \h </w:instrText>
            </w:r>
            <w:r w:rsidR="00E136F2">
              <w:rPr>
                <w:noProof/>
                <w:webHidden/>
              </w:rPr>
            </w:r>
            <w:r w:rsidR="00E136F2">
              <w:rPr>
                <w:noProof/>
                <w:webHidden/>
              </w:rPr>
              <w:fldChar w:fldCharType="separate"/>
            </w:r>
            <w:r w:rsidR="00E136F2">
              <w:rPr>
                <w:noProof/>
                <w:webHidden/>
              </w:rPr>
              <w:t>120</w:t>
            </w:r>
            <w:r w:rsidR="00E136F2">
              <w:rPr>
                <w:noProof/>
                <w:webHidden/>
              </w:rPr>
              <w:fldChar w:fldCharType="end"/>
            </w:r>
          </w:hyperlink>
        </w:p>
        <w:p w14:paraId="762B3AE8" w14:textId="34E7C4E3"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20" w:history="1">
            <w:r w:rsidR="00E136F2" w:rsidRPr="00862B00">
              <w:rPr>
                <w:rStyle w:val="Hyperlink"/>
                <w:noProof/>
              </w:rPr>
              <w:t>6.3.2</w:t>
            </w:r>
            <w:r w:rsidR="00E136F2">
              <w:rPr>
                <w:rFonts w:asciiTheme="minorHAnsi" w:eastAsiaTheme="minorEastAsia" w:hAnsiTheme="minorHAnsi"/>
                <w:noProof/>
                <w:kern w:val="0"/>
                <w:sz w:val="22"/>
                <w:lang w:val="en-US"/>
                <w14:ligatures w14:val="none"/>
              </w:rPr>
              <w:tab/>
            </w:r>
            <w:r w:rsidR="00E136F2" w:rsidRPr="00862B00">
              <w:rPr>
                <w:rStyle w:val="Hyperlink"/>
                <w:noProof/>
              </w:rPr>
              <w:t>Akcija 6.2. Redovni monitoring otpuštenih sredstava iz IPA II finansijskog okvira i planiranje sredstava iz IPA III prijavljenih EK</w:t>
            </w:r>
            <w:r w:rsidR="00E136F2">
              <w:rPr>
                <w:noProof/>
                <w:webHidden/>
              </w:rPr>
              <w:tab/>
            </w:r>
            <w:r w:rsidR="00E136F2">
              <w:rPr>
                <w:noProof/>
                <w:webHidden/>
              </w:rPr>
              <w:fldChar w:fldCharType="begin"/>
            </w:r>
            <w:r w:rsidR="00E136F2">
              <w:rPr>
                <w:noProof/>
                <w:webHidden/>
              </w:rPr>
              <w:instrText xml:space="preserve"> PAGEREF _Toc201700420 \h </w:instrText>
            </w:r>
            <w:r w:rsidR="00E136F2">
              <w:rPr>
                <w:noProof/>
                <w:webHidden/>
              </w:rPr>
            </w:r>
            <w:r w:rsidR="00E136F2">
              <w:rPr>
                <w:noProof/>
                <w:webHidden/>
              </w:rPr>
              <w:fldChar w:fldCharType="separate"/>
            </w:r>
            <w:r w:rsidR="00E136F2">
              <w:rPr>
                <w:noProof/>
                <w:webHidden/>
              </w:rPr>
              <w:t>120</w:t>
            </w:r>
            <w:r w:rsidR="00E136F2">
              <w:rPr>
                <w:noProof/>
                <w:webHidden/>
              </w:rPr>
              <w:fldChar w:fldCharType="end"/>
            </w:r>
          </w:hyperlink>
        </w:p>
        <w:p w14:paraId="737FBECE" w14:textId="1F1EF269"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21" w:history="1">
            <w:r w:rsidR="00E136F2" w:rsidRPr="00862B00">
              <w:rPr>
                <w:rStyle w:val="Hyperlink"/>
                <w:noProof/>
              </w:rPr>
              <w:t>6.3.3</w:t>
            </w:r>
            <w:r w:rsidR="00E136F2">
              <w:rPr>
                <w:rFonts w:asciiTheme="minorHAnsi" w:eastAsiaTheme="minorEastAsia" w:hAnsiTheme="minorHAnsi"/>
                <w:noProof/>
                <w:kern w:val="0"/>
                <w:sz w:val="22"/>
                <w:lang w:val="en-US"/>
                <w14:ligatures w14:val="none"/>
              </w:rPr>
              <w:tab/>
            </w:r>
            <w:r w:rsidR="00E136F2" w:rsidRPr="00862B00">
              <w:rPr>
                <w:rStyle w:val="Hyperlink"/>
                <w:noProof/>
              </w:rPr>
              <w:t>Akcija 6.3.  Redovni monitoring ugovaranja sredstava iz IPA II finansijskog okvira i planiranje sredstava iz IPA III, prijavljenih EK pod godišnjim i višegodišnjim programima</w:t>
            </w:r>
            <w:r w:rsidR="00E136F2">
              <w:rPr>
                <w:noProof/>
                <w:webHidden/>
              </w:rPr>
              <w:tab/>
            </w:r>
            <w:r w:rsidR="00E136F2">
              <w:rPr>
                <w:noProof/>
                <w:webHidden/>
              </w:rPr>
              <w:fldChar w:fldCharType="begin"/>
            </w:r>
            <w:r w:rsidR="00E136F2">
              <w:rPr>
                <w:noProof/>
                <w:webHidden/>
              </w:rPr>
              <w:instrText xml:space="preserve"> PAGEREF _Toc201700421 \h </w:instrText>
            </w:r>
            <w:r w:rsidR="00E136F2">
              <w:rPr>
                <w:noProof/>
                <w:webHidden/>
              </w:rPr>
            </w:r>
            <w:r w:rsidR="00E136F2">
              <w:rPr>
                <w:noProof/>
                <w:webHidden/>
              </w:rPr>
              <w:fldChar w:fldCharType="separate"/>
            </w:r>
            <w:r w:rsidR="00E136F2">
              <w:rPr>
                <w:noProof/>
                <w:webHidden/>
              </w:rPr>
              <w:t>120</w:t>
            </w:r>
            <w:r w:rsidR="00E136F2">
              <w:rPr>
                <w:noProof/>
                <w:webHidden/>
              </w:rPr>
              <w:fldChar w:fldCharType="end"/>
            </w:r>
          </w:hyperlink>
        </w:p>
        <w:p w14:paraId="06C7CDAA" w14:textId="1A81873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22" w:history="1">
            <w:r w:rsidR="00E136F2" w:rsidRPr="00862B00">
              <w:rPr>
                <w:rStyle w:val="Hyperlink"/>
                <w:noProof/>
              </w:rPr>
              <w:t>6.3.4</w:t>
            </w:r>
            <w:r w:rsidR="00E136F2">
              <w:rPr>
                <w:rFonts w:asciiTheme="minorHAnsi" w:eastAsiaTheme="minorEastAsia" w:hAnsiTheme="minorHAnsi"/>
                <w:noProof/>
                <w:kern w:val="0"/>
                <w:sz w:val="22"/>
                <w:lang w:val="en-US"/>
                <w14:ligatures w14:val="none"/>
              </w:rPr>
              <w:tab/>
            </w:r>
            <w:r w:rsidR="00E136F2" w:rsidRPr="00862B00">
              <w:rPr>
                <w:rStyle w:val="Hyperlink"/>
                <w:noProof/>
              </w:rPr>
              <w:t>Akcija 6.4. Prevencija i identifikacija duplog finansiranja tokom implementacije EU sredstava na nivou zemlje i krajnjeg korisnika</w:t>
            </w:r>
            <w:r w:rsidR="00E136F2">
              <w:rPr>
                <w:noProof/>
                <w:webHidden/>
              </w:rPr>
              <w:tab/>
            </w:r>
            <w:r w:rsidR="00E136F2">
              <w:rPr>
                <w:noProof/>
                <w:webHidden/>
              </w:rPr>
              <w:fldChar w:fldCharType="begin"/>
            </w:r>
            <w:r w:rsidR="00E136F2">
              <w:rPr>
                <w:noProof/>
                <w:webHidden/>
              </w:rPr>
              <w:instrText xml:space="preserve"> PAGEREF _Toc201700422 \h </w:instrText>
            </w:r>
            <w:r w:rsidR="00E136F2">
              <w:rPr>
                <w:noProof/>
                <w:webHidden/>
              </w:rPr>
            </w:r>
            <w:r w:rsidR="00E136F2">
              <w:rPr>
                <w:noProof/>
                <w:webHidden/>
              </w:rPr>
              <w:fldChar w:fldCharType="separate"/>
            </w:r>
            <w:r w:rsidR="00E136F2">
              <w:rPr>
                <w:noProof/>
                <w:webHidden/>
              </w:rPr>
              <w:t>121</w:t>
            </w:r>
            <w:r w:rsidR="00E136F2">
              <w:rPr>
                <w:noProof/>
                <w:webHidden/>
              </w:rPr>
              <w:fldChar w:fldCharType="end"/>
            </w:r>
          </w:hyperlink>
        </w:p>
        <w:p w14:paraId="3A29AABB" w14:textId="6AAACDC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23" w:history="1">
            <w:r w:rsidR="00E136F2" w:rsidRPr="00862B00">
              <w:rPr>
                <w:rStyle w:val="Hyperlink"/>
                <w:noProof/>
              </w:rPr>
              <w:t>6.3.5</w:t>
            </w:r>
            <w:r w:rsidR="00E136F2">
              <w:rPr>
                <w:rFonts w:asciiTheme="minorHAnsi" w:eastAsiaTheme="minorEastAsia" w:hAnsiTheme="minorHAnsi"/>
                <w:noProof/>
                <w:kern w:val="0"/>
                <w:sz w:val="22"/>
                <w:lang w:val="en-US"/>
                <w14:ligatures w14:val="none"/>
              </w:rPr>
              <w:tab/>
            </w:r>
            <w:r w:rsidR="00E136F2" w:rsidRPr="00862B00">
              <w:rPr>
                <w:rStyle w:val="Hyperlink"/>
                <w:noProof/>
              </w:rPr>
              <w:t xml:space="preserve">Akcija 6.5. Nacionalni okvir Pojednostavljenih </w:t>
            </w:r>
            <w:r w:rsidR="00B24B2D">
              <w:rPr>
                <w:rStyle w:val="Hyperlink"/>
                <w:noProof/>
              </w:rPr>
              <w:t xml:space="preserve">opcija </w:t>
            </w:r>
            <w:r w:rsidR="00E136F2" w:rsidRPr="00862B00">
              <w:rPr>
                <w:rStyle w:val="Hyperlink"/>
                <w:noProof/>
              </w:rPr>
              <w:t>troškov</w:t>
            </w:r>
            <w:r w:rsidR="00B24B2D">
              <w:rPr>
                <w:rStyle w:val="Hyperlink"/>
                <w:noProof/>
              </w:rPr>
              <w:t>a</w:t>
            </w:r>
            <w:r w:rsidR="00E136F2" w:rsidRPr="00862B00">
              <w:rPr>
                <w:rStyle w:val="Hyperlink"/>
                <w:noProof/>
              </w:rPr>
              <w:t xml:space="preserve"> i finansiranja koje nije povezano sa troškovima</w:t>
            </w:r>
            <w:r w:rsidR="00E136F2">
              <w:rPr>
                <w:noProof/>
                <w:webHidden/>
              </w:rPr>
              <w:tab/>
            </w:r>
            <w:r w:rsidR="00E136F2">
              <w:rPr>
                <w:noProof/>
                <w:webHidden/>
              </w:rPr>
              <w:fldChar w:fldCharType="begin"/>
            </w:r>
            <w:r w:rsidR="00E136F2">
              <w:rPr>
                <w:noProof/>
                <w:webHidden/>
              </w:rPr>
              <w:instrText xml:space="preserve"> PAGEREF _Toc201700423 \h </w:instrText>
            </w:r>
            <w:r w:rsidR="00E136F2">
              <w:rPr>
                <w:noProof/>
                <w:webHidden/>
              </w:rPr>
            </w:r>
            <w:r w:rsidR="00E136F2">
              <w:rPr>
                <w:noProof/>
                <w:webHidden/>
              </w:rPr>
              <w:fldChar w:fldCharType="separate"/>
            </w:r>
            <w:r w:rsidR="00E136F2">
              <w:rPr>
                <w:noProof/>
                <w:webHidden/>
              </w:rPr>
              <w:t>121</w:t>
            </w:r>
            <w:r w:rsidR="00E136F2">
              <w:rPr>
                <w:noProof/>
                <w:webHidden/>
              </w:rPr>
              <w:fldChar w:fldCharType="end"/>
            </w:r>
          </w:hyperlink>
        </w:p>
        <w:p w14:paraId="6B8795B5" w14:textId="05FDCD6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24" w:history="1">
            <w:r w:rsidR="00E136F2" w:rsidRPr="00862B00">
              <w:rPr>
                <w:rStyle w:val="Hyperlink"/>
                <w:noProof/>
              </w:rPr>
              <w:t>6.3.6</w:t>
            </w:r>
            <w:r w:rsidR="00E136F2">
              <w:rPr>
                <w:rFonts w:asciiTheme="minorHAnsi" w:eastAsiaTheme="minorEastAsia" w:hAnsiTheme="minorHAnsi"/>
                <w:noProof/>
                <w:kern w:val="0"/>
                <w:sz w:val="22"/>
                <w:lang w:val="en-US"/>
                <w14:ligatures w14:val="none"/>
              </w:rPr>
              <w:tab/>
            </w:r>
            <w:r w:rsidR="00E136F2" w:rsidRPr="00862B00">
              <w:rPr>
                <w:rStyle w:val="Hyperlink"/>
                <w:noProof/>
              </w:rPr>
              <w:t>Akcija 6.6. Pravni okvir za implementaciju proporcionalnih finansijskih korekcija</w:t>
            </w:r>
            <w:r w:rsidR="00E136F2">
              <w:rPr>
                <w:noProof/>
                <w:webHidden/>
              </w:rPr>
              <w:tab/>
            </w:r>
            <w:r w:rsidR="00E136F2">
              <w:rPr>
                <w:noProof/>
                <w:webHidden/>
              </w:rPr>
              <w:fldChar w:fldCharType="begin"/>
            </w:r>
            <w:r w:rsidR="00E136F2">
              <w:rPr>
                <w:noProof/>
                <w:webHidden/>
              </w:rPr>
              <w:instrText xml:space="preserve"> PAGEREF _Toc201700424 \h </w:instrText>
            </w:r>
            <w:r w:rsidR="00E136F2">
              <w:rPr>
                <w:noProof/>
                <w:webHidden/>
              </w:rPr>
            </w:r>
            <w:r w:rsidR="00E136F2">
              <w:rPr>
                <w:noProof/>
                <w:webHidden/>
              </w:rPr>
              <w:fldChar w:fldCharType="separate"/>
            </w:r>
            <w:r w:rsidR="00E136F2">
              <w:rPr>
                <w:noProof/>
                <w:webHidden/>
              </w:rPr>
              <w:t>121</w:t>
            </w:r>
            <w:r w:rsidR="00E136F2">
              <w:rPr>
                <w:noProof/>
                <w:webHidden/>
              </w:rPr>
              <w:fldChar w:fldCharType="end"/>
            </w:r>
          </w:hyperlink>
        </w:p>
        <w:p w14:paraId="4B872F6C" w14:textId="0E60110B"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25" w:history="1">
            <w:r w:rsidR="00E136F2" w:rsidRPr="00862B00">
              <w:rPr>
                <w:rStyle w:val="Hyperlink"/>
                <w:noProof/>
              </w:rPr>
              <w:t>6.3.7</w:t>
            </w:r>
            <w:r w:rsidR="00E136F2">
              <w:rPr>
                <w:rFonts w:asciiTheme="minorHAnsi" w:eastAsiaTheme="minorEastAsia" w:hAnsiTheme="minorHAnsi"/>
                <w:noProof/>
                <w:kern w:val="0"/>
                <w:sz w:val="22"/>
                <w:lang w:val="en-US"/>
                <w14:ligatures w14:val="none"/>
              </w:rPr>
              <w:tab/>
            </w:r>
            <w:r w:rsidR="00E136F2" w:rsidRPr="00862B00">
              <w:rPr>
                <w:rStyle w:val="Hyperlink"/>
                <w:noProof/>
              </w:rPr>
              <w:t>Akcija 6.7. Poboljšani pristup za Ugovorn</w:t>
            </w:r>
            <w:r w:rsidR="00477A44">
              <w:rPr>
                <w:rStyle w:val="Hyperlink"/>
                <w:noProof/>
              </w:rPr>
              <w:t>a</w:t>
            </w:r>
            <w:r w:rsidR="00E136F2" w:rsidRPr="00862B00">
              <w:rPr>
                <w:rStyle w:val="Hyperlink"/>
                <w:noProof/>
              </w:rPr>
              <w:t xml:space="preserve"> </w:t>
            </w:r>
            <w:r w:rsidR="00477A44">
              <w:rPr>
                <w:rStyle w:val="Hyperlink"/>
                <w:noProof/>
              </w:rPr>
              <w:t>tijela</w:t>
            </w:r>
            <w:r w:rsidR="00E136F2" w:rsidRPr="00862B00">
              <w:rPr>
                <w:rStyle w:val="Hyperlink"/>
                <w:noProof/>
              </w:rPr>
              <w:t xml:space="preserve"> relevantnim informacijama za efektivniju verifikaciju upravljanja.</w:t>
            </w:r>
            <w:r w:rsidR="00E136F2">
              <w:rPr>
                <w:noProof/>
                <w:webHidden/>
              </w:rPr>
              <w:tab/>
            </w:r>
            <w:r w:rsidR="00E136F2">
              <w:rPr>
                <w:noProof/>
                <w:webHidden/>
              </w:rPr>
              <w:fldChar w:fldCharType="begin"/>
            </w:r>
            <w:r w:rsidR="00E136F2">
              <w:rPr>
                <w:noProof/>
                <w:webHidden/>
              </w:rPr>
              <w:instrText xml:space="preserve"> PAGEREF _Toc201700425 \h </w:instrText>
            </w:r>
            <w:r w:rsidR="00E136F2">
              <w:rPr>
                <w:noProof/>
                <w:webHidden/>
              </w:rPr>
            </w:r>
            <w:r w:rsidR="00E136F2">
              <w:rPr>
                <w:noProof/>
                <w:webHidden/>
              </w:rPr>
              <w:fldChar w:fldCharType="separate"/>
            </w:r>
            <w:r w:rsidR="00E136F2">
              <w:rPr>
                <w:noProof/>
                <w:webHidden/>
              </w:rPr>
              <w:t>121</w:t>
            </w:r>
            <w:r w:rsidR="00E136F2">
              <w:rPr>
                <w:noProof/>
                <w:webHidden/>
              </w:rPr>
              <w:fldChar w:fldCharType="end"/>
            </w:r>
          </w:hyperlink>
        </w:p>
        <w:p w14:paraId="1C332704" w14:textId="6622C53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26" w:history="1">
            <w:r w:rsidR="00E136F2" w:rsidRPr="00862B00">
              <w:rPr>
                <w:rStyle w:val="Hyperlink"/>
                <w:noProof/>
              </w:rPr>
              <w:t>6.3.8</w:t>
            </w:r>
            <w:r w:rsidR="00E136F2">
              <w:rPr>
                <w:rFonts w:asciiTheme="minorHAnsi" w:eastAsiaTheme="minorEastAsia" w:hAnsiTheme="minorHAnsi"/>
                <w:noProof/>
                <w:kern w:val="0"/>
                <w:sz w:val="22"/>
                <w:lang w:val="en-US"/>
                <w14:ligatures w14:val="none"/>
              </w:rPr>
              <w:tab/>
            </w:r>
            <w:r w:rsidR="00E136F2" w:rsidRPr="00862B00">
              <w:rPr>
                <w:rStyle w:val="Hyperlink"/>
                <w:noProof/>
              </w:rPr>
              <w:t>Akcija 6.8. Uspostavljanje budžeta i fiskalnih pravila koja omogućavaju usklađivanje sa pravilima za opoziv po relevantnim Regulativama Kohezione politike.</w:t>
            </w:r>
            <w:r w:rsidR="00E136F2">
              <w:rPr>
                <w:noProof/>
                <w:webHidden/>
              </w:rPr>
              <w:tab/>
            </w:r>
            <w:r w:rsidR="00E136F2">
              <w:rPr>
                <w:noProof/>
                <w:webHidden/>
              </w:rPr>
              <w:fldChar w:fldCharType="begin"/>
            </w:r>
            <w:r w:rsidR="00E136F2">
              <w:rPr>
                <w:noProof/>
                <w:webHidden/>
              </w:rPr>
              <w:instrText xml:space="preserve"> PAGEREF _Toc201700426 \h </w:instrText>
            </w:r>
            <w:r w:rsidR="00E136F2">
              <w:rPr>
                <w:noProof/>
                <w:webHidden/>
              </w:rPr>
            </w:r>
            <w:r w:rsidR="00E136F2">
              <w:rPr>
                <w:noProof/>
                <w:webHidden/>
              </w:rPr>
              <w:fldChar w:fldCharType="separate"/>
            </w:r>
            <w:r w:rsidR="00E136F2">
              <w:rPr>
                <w:noProof/>
                <w:webHidden/>
              </w:rPr>
              <w:t>121</w:t>
            </w:r>
            <w:r w:rsidR="00E136F2">
              <w:rPr>
                <w:noProof/>
                <w:webHidden/>
              </w:rPr>
              <w:fldChar w:fldCharType="end"/>
            </w:r>
          </w:hyperlink>
        </w:p>
        <w:p w14:paraId="716C83B1" w14:textId="15FFFF2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27" w:history="1">
            <w:r w:rsidR="00E136F2" w:rsidRPr="00862B00">
              <w:rPr>
                <w:rStyle w:val="Hyperlink"/>
                <w:noProof/>
              </w:rPr>
              <w:t>6.3.9</w:t>
            </w:r>
            <w:r w:rsidR="00E136F2">
              <w:rPr>
                <w:rFonts w:asciiTheme="minorHAnsi" w:eastAsiaTheme="minorEastAsia" w:hAnsiTheme="minorHAnsi"/>
                <w:noProof/>
                <w:kern w:val="0"/>
                <w:sz w:val="22"/>
                <w:lang w:val="en-US"/>
                <w14:ligatures w14:val="none"/>
              </w:rPr>
              <w:tab/>
            </w:r>
            <w:r w:rsidR="00E136F2" w:rsidRPr="00862B00">
              <w:rPr>
                <w:rStyle w:val="Hyperlink"/>
                <w:noProof/>
              </w:rPr>
              <w:t>Akcija 6.9. Podsticanje Jedinstvenog revizorskog pristupa kako bi se izbjegle bespotrebno dupliranje između kontrola i opterećivanje korisnika.</w:t>
            </w:r>
            <w:r w:rsidR="00E136F2">
              <w:rPr>
                <w:noProof/>
                <w:webHidden/>
              </w:rPr>
              <w:tab/>
            </w:r>
            <w:r w:rsidR="00E136F2">
              <w:rPr>
                <w:noProof/>
                <w:webHidden/>
              </w:rPr>
              <w:fldChar w:fldCharType="begin"/>
            </w:r>
            <w:r w:rsidR="00E136F2">
              <w:rPr>
                <w:noProof/>
                <w:webHidden/>
              </w:rPr>
              <w:instrText xml:space="preserve"> PAGEREF _Toc201700427 \h </w:instrText>
            </w:r>
            <w:r w:rsidR="00E136F2">
              <w:rPr>
                <w:noProof/>
                <w:webHidden/>
              </w:rPr>
            </w:r>
            <w:r w:rsidR="00E136F2">
              <w:rPr>
                <w:noProof/>
                <w:webHidden/>
              </w:rPr>
              <w:fldChar w:fldCharType="separate"/>
            </w:r>
            <w:r w:rsidR="00E136F2">
              <w:rPr>
                <w:noProof/>
                <w:webHidden/>
              </w:rPr>
              <w:t>121</w:t>
            </w:r>
            <w:r w:rsidR="00E136F2">
              <w:rPr>
                <w:noProof/>
                <w:webHidden/>
              </w:rPr>
              <w:fldChar w:fldCharType="end"/>
            </w:r>
          </w:hyperlink>
        </w:p>
        <w:p w14:paraId="6B0502D4" w14:textId="0C1172D4"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428" w:history="1">
            <w:r w:rsidR="00E136F2" w:rsidRPr="00862B00">
              <w:rPr>
                <w:rStyle w:val="Hyperlink"/>
                <w:noProof/>
              </w:rPr>
              <w:t>7</w:t>
            </w:r>
            <w:r w:rsidR="00E136F2">
              <w:rPr>
                <w:rFonts w:asciiTheme="minorHAnsi" w:eastAsiaTheme="minorEastAsia" w:hAnsiTheme="minorHAnsi"/>
                <w:noProof/>
                <w:kern w:val="0"/>
                <w:sz w:val="22"/>
                <w:lang w:val="en-US"/>
                <w14:ligatures w14:val="none"/>
              </w:rPr>
              <w:tab/>
            </w:r>
            <w:r w:rsidR="00E136F2" w:rsidRPr="00862B00">
              <w:rPr>
                <w:rStyle w:val="Hyperlink"/>
                <w:noProof/>
              </w:rPr>
              <w:t>Vidljivost, transparentnost i komunikacija</w:t>
            </w:r>
            <w:r w:rsidR="00E136F2">
              <w:rPr>
                <w:noProof/>
                <w:webHidden/>
              </w:rPr>
              <w:tab/>
            </w:r>
            <w:r w:rsidR="00E136F2">
              <w:rPr>
                <w:noProof/>
                <w:webHidden/>
              </w:rPr>
              <w:fldChar w:fldCharType="begin"/>
            </w:r>
            <w:r w:rsidR="00E136F2">
              <w:rPr>
                <w:noProof/>
                <w:webHidden/>
              </w:rPr>
              <w:instrText xml:space="preserve"> PAGEREF _Toc201700428 \h </w:instrText>
            </w:r>
            <w:r w:rsidR="00E136F2">
              <w:rPr>
                <w:noProof/>
                <w:webHidden/>
              </w:rPr>
            </w:r>
            <w:r w:rsidR="00E136F2">
              <w:rPr>
                <w:noProof/>
                <w:webHidden/>
              </w:rPr>
              <w:fldChar w:fldCharType="separate"/>
            </w:r>
            <w:r w:rsidR="00E136F2">
              <w:rPr>
                <w:noProof/>
                <w:webHidden/>
              </w:rPr>
              <w:t>123</w:t>
            </w:r>
            <w:r w:rsidR="00E136F2">
              <w:rPr>
                <w:noProof/>
                <w:webHidden/>
              </w:rPr>
              <w:fldChar w:fldCharType="end"/>
            </w:r>
          </w:hyperlink>
        </w:p>
        <w:p w14:paraId="3A4A5DA7" w14:textId="69D2FA4A"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29" w:history="1">
            <w:r w:rsidR="00E136F2" w:rsidRPr="00862B00">
              <w:rPr>
                <w:rStyle w:val="Hyperlink"/>
                <w:noProof/>
              </w:rPr>
              <w:t>7.1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_Toc201700429 \h </w:instrText>
            </w:r>
            <w:r w:rsidR="00E136F2">
              <w:rPr>
                <w:noProof/>
                <w:webHidden/>
              </w:rPr>
            </w:r>
            <w:r w:rsidR="00E136F2">
              <w:rPr>
                <w:noProof/>
                <w:webHidden/>
              </w:rPr>
              <w:fldChar w:fldCharType="separate"/>
            </w:r>
            <w:r w:rsidR="00E136F2">
              <w:rPr>
                <w:noProof/>
                <w:webHidden/>
              </w:rPr>
              <w:t>123</w:t>
            </w:r>
            <w:r w:rsidR="00E136F2">
              <w:rPr>
                <w:noProof/>
                <w:webHidden/>
              </w:rPr>
              <w:fldChar w:fldCharType="end"/>
            </w:r>
          </w:hyperlink>
        </w:p>
        <w:p w14:paraId="51F79307" w14:textId="7E57A7C3"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30" w:history="1">
            <w:r w:rsidR="00E136F2" w:rsidRPr="00862B00">
              <w:rPr>
                <w:rStyle w:val="Hyperlink"/>
                <w:noProof/>
              </w:rPr>
              <w:t>7.2</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Relevantna Završna mjerila</w:t>
            </w:r>
            <w:r w:rsidR="00E136F2">
              <w:rPr>
                <w:noProof/>
                <w:webHidden/>
              </w:rPr>
              <w:tab/>
            </w:r>
            <w:r w:rsidR="00E136F2">
              <w:rPr>
                <w:noProof/>
                <w:webHidden/>
              </w:rPr>
              <w:fldChar w:fldCharType="begin"/>
            </w:r>
            <w:r w:rsidR="00E136F2">
              <w:rPr>
                <w:noProof/>
                <w:webHidden/>
              </w:rPr>
              <w:instrText xml:space="preserve"> PAGEREF _Toc201700430 \h </w:instrText>
            </w:r>
            <w:r w:rsidR="00E136F2">
              <w:rPr>
                <w:noProof/>
                <w:webHidden/>
              </w:rPr>
            </w:r>
            <w:r w:rsidR="00E136F2">
              <w:rPr>
                <w:noProof/>
                <w:webHidden/>
              </w:rPr>
              <w:fldChar w:fldCharType="separate"/>
            </w:r>
            <w:r w:rsidR="00E136F2">
              <w:rPr>
                <w:noProof/>
                <w:webHidden/>
              </w:rPr>
              <w:t>124</w:t>
            </w:r>
            <w:r w:rsidR="00E136F2">
              <w:rPr>
                <w:noProof/>
                <w:webHidden/>
              </w:rPr>
              <w:fldChar w:fldCharType="end"/>
            </w:r>
          </w:hyperlink>
        </w:p>
        <w:p w14:paraId="21D058B3" w14:textId="467CDD59"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31" w:history="1">
            <w:r w:rsidR="00E136F2" w:rsidRPr="00862B00">
              <w:rPr>
                <w:rStyle w:val="Hyperlink"/>
                <w:noProof/>
              </w:rPr>
              <w:t>7.3</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_Toc201700431 \h </w:instrText>
            </w:r>
            <w:r w:rsidR="00E136F2">
              <w:rPr>
                <w:noProof/>
                <w:webHidden/>
              </w:rPr>
            </w:r>
            <w:r w:rsidR="00E136F2">
              <w:rPr>
                <w:noProof/>
                <w:webHidden/>
              </w:rPr>
              <w:fldChar w:fldCharType="separate"/>
            </w:r>
            <w:r w:rsidR="00E136F2">
              <w:rPr>
                <w:noProof/>
                <w:webHidden/>
              </w:rPr>
              <w:t>124</w:t>
            </w:r>
            <w:r w:rsidR="00E136F2">
              <w:rPr>
                <w:noProof/>
                <w:webHidden/>
              </w:rPr>
              <w:fldChar w:fldCharType="end"/>
            </w:r>
          </w:hyperlink>
        </w:p>
        <w:p w14:paraId="50E786BF" w14:textId="5320F3DB"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32" w:history="1">
            <w:r w:rsidR="00E136F2" w:rsidRPr="00862B00">
              <w:rPr>
                <w:rStyle w:val="Hyperlink"/>
                <w:noProof/>
              </w:rPr>
              <w:t>7.3.1</w:t>
            </w:r>
            <w:r w:rsidR="00E136F2">
              <w:rPr>
                <w:rFonts w:asciiTheme="minorHAnsi" w:eastAsiaTheme="minorEastAsia" w:hAnsiTheme="minorHAnsi"/>
                <w:noProof/>
                <w:kern w:val="0"/>
                <w:sz w:val="22"/>
                <w:lang w:val="en-US"/>
                <w14:ligatures w14:val="none"/>
              </w:rPr>
              <w:tab/>
            </w:r>
            <w:r w:rsidR="00E136F2" w:rsidRPr="00862B00">
              <w:rPr>
                <w:rStyle w:val="Hyperlink"/>
                <w:noProof/>
              </w:rPr>
              <w:t>Vidljivost podrške iz Fondova</w:t>
            </w:r>
            <w:r w:rsidR="00E136F2">
              <w:rPr>
                <w:noProof/>
                <w:webHidden/>
              </w:rPr>
              <w:tab/>
            </w:r>
            <w:r w:rsidR="00E136F2">
              <w:rPr>
                <w:noProof/>
                <w:webHidden/>
              </w:rPr>
              <w:fldChar w:fldCharType="begin"/>
            </w:r>
            <w:r w:rsidR="00E136F2">
              <w:rPr>
                <w:noProof/>
                <w:webHidden/>
              </w:rPr>
              <w:instrText xml:space="preserve"> PAGEREF _Toc201700432 \h </w:instrText>
            </w:r>
            <w:r w:rsidR="00E136F2">
              <w:rPr>
                <w:noProof/>
                <w:webHidden/>
              </w:rPr>
            </w:r>
            <w:r w:rsidR="00E136F2">
              <w:rPr>
                <w:noProof/>
                <w:webHidden/>
              </w:rPr>
              <w:fldChar w:fldCharType="separate"/>
            </w:r>
            <w:r w:rsidR="00E136F2">
              <w:rPr>
                <w:noProof/>
                <w:webHidden/>
              </w:rPr>
              <w:t>124</w:t>
            </w:r>
            <w:r w:rsidR="00E136F2">
              <w:rPr>
                <w:noProof/>
                <w:webHidden/>
              </w:rPr>
              <w:fldChar w:fldCharType="end"/>
            </w:r>
          </w:hyperlink>
        </w:p>
        <w:p w14:paraId="5D291E4F" w14:textId="462AC414"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33" w:history="1">
            <w:r w:rsidR="00E136F2" w:rsidRPr="00862B00">
              <w:rPr>
                <w:rStyle w:val="Hyperlink"/>
                <w:noProof/>
              </w:rPr>
              <w:t>7.4</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_Toc201700433 \h </w:instrText>
            </w:r>
            <w:r w:rsidR="00E136F2">
              <w:rPr>
                <w:noProof/>
                <w:webHidden/>
              </w:rPr>
            </w:r>
            <w:r w:rsidR="00E136F2">
              <w:rPr>
                <w:noProof/>
                <w:webHidden/>
              </w:rPr>
              <w:fldChar w:fldCharType="separate"/>
            </w:r>
            <w:r w:rsidR="00E136F2">
              <w:rPr>
                <w:noProof/>
                <w:webHidden/>
              </w:rPr>
              <w:t>126</w:t>
            </w:r>
            <w:r w:rsidR="00E136F2">
              <w:rPr>
                <w:noProof/>
                <w:webHidden/>
              </w:rPr>
              <w:fldChar w:fldCharType="end"/>
            </w:r>
          </w:hyperlink>
        </w:p>
        <w:p w14:paraId="0D7C9D23" w14:textId="43D1A5E8"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34" w:history="1">
            <w:r w:rsidR="00E136F2" w:rsidRPr="00862B00">
              <w:rPr>
                <w:rStyle w:val="Hyperlink"/>
                <w:noProof/>
              </w:rPr>
              <w:t>7.4.1</w:t>
            </w:r>
            <w:r w:rsidR="00E136F2">
              <w:rPr>
                <w:rFonts w:asciiTheme="minorHAnsi" w:eastAsiaTheme="minorEastAsia" w:hAnsiTheme="minorHAnsi"/>
                <w:noProof/>
                <w:kern w:val="0"/>
                <w:sz w:val="22"/>
                <w:lang w:val="en-US"/>
                <w14:ligatures w14:val="none"/>
              </w:rPr>
              <w:tab/>
            </w:r>
            <w:r w:rsidR="00E136F2" w:rsidRPr="00862B00">
              <w:rPr>
                <w:rStyle w:val="Hyperlink"/>
                <w:noProof/>
              </w:rPr>
              <w:t>Akcija 7.1. Uspostavljanje jedinstvenog veb portala.</w:t>
            </w:r>
            <w:r w:rsidR="00E136F2">
              <w:rPr>
                <w:noProof/>
                <w:webHidden/>
              </w:rPr>
              <w:tab/>
            </w:r>
            <w:r w:rsidR="00E136F2">
              <w:rPr>
                <w:noProof/>
                <w:webHidden/>
              </w:rPr>
              <w:fldChar w:fldCharType="begin"/>
            </w:r>
            <w:r w:rsidR="00E136F2">
              <w:rPr>
                <w:noProof/>
                <w:webHidden/>
              </w:rPr>
              <w:instrText xml:space="preserve"> PAGEREF _Toc201700434 \h </w:instrText>
            </w:r>
            <w:r w:rsidR="00E136F2">
              <w:rPr>
                <w:noProof/>
                <w:webHidden/>
              </w:rPr>
            </w:r>
            <w:r w:rsidR="00E136F2">
              <w:rPr>
                <w:noProof/>
                <w:webHidden/>
              </w:rPr>
              <w:fldChar w:fldCharType="separate"/>
            </w:r>
            <w:r w:rsidR="00E136F2">
              <w:rPr>
                <w:noProof/>
                <w:webHidden/>
              </w:rPr>
              <w:t>126</w:t>
            </w:r>
            <w:r w:rsidR="00E136F2">
              <w:rPr>
                <w:noProof/>
                <w:webHidden/>
              </w:rPr>
              <w:fldChar w:fldCharType="end"/>
            </w:r>
          </w:hyperlink>
        </w:p>
        <w:p w14:paraId="00A4F26E" w14:textId="2EC7F18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35" w:history="1">
            <w:r w:rsidR="00E136F2" w:rsidRPr="00862B00">
              <w:rPr>
                <w:rStyle w:val="Hyperlink"/>
                <w:noProof/>
              </w:rPr>
              <w:t>7.4.2</w:t>
            </w:r>
            <w:r w:rsidR="00E136F2">
              <w:rPr>
                <w:rFonts w:asciiTheme="minorHAnsi" w:eastAsiaTheme="minorEastAsia" w:hAnsiTheme="minorHAnsi"/>
                <w:noProof/>
                <w:kern w:val="0"/>
                <w:sz w:val="22"/>
                <w:lang w:val="en-US"/>
                <w14:ligatures w14:val="none"/>
              </w:rPr>
              <w:tab/>
            </w:r>
            <w:r w:rsidR="00E136F2" w:rsidRPr="00862B00">
              <w:rPr>
                <w:rStyle w:val="Hyperlink"/>
                <w:noProof/>
              </w:rPr>
              <w:t>Akcija 7.2. Koordinator za komunikaciju i službenici za komunikaciju programa.</w:t>
            </w:r>
            <w:r w:rsidR="00E136F2">
              <w:rPr>
                <w:noProof/>
                <w:webHidden/>
              </w:rPr>
              <w:tab/>
            </w:r>
            <w:r w:rsidR="00E136F2">
              <w:rPr>
                <w:noProof/>
                <w:webHidden/>
              </w:rPr>
              <w:fldChar w:fldCharType="begin"/>
            </w:r>
            <w:r w:rsidR="00E136F2">
              <w:rPr>
                <w:noProof/>
                <w:webHidden/>
              </w:rPr>
              <w:instrText xml:space="preserve"> PAGEREF _Toc201700435 \h </w:instrText>
            </w:r>
            <w:r w:rsidR="00E136F2">
              <w:rPr>
                <w:noProof/>
                <w:webHidden/>
              </w:rPr>
            </w:r>
            <w:r w:rsidR="00E136F2">
              <w:rPr>
                <w:noProof/>
                <w:webHidden/>
              </w:rPr>
              <w:fldChar w:fldCharType="separate"/>
            </w:r>
            <w:r w:rsidR="00E136F2">
              <w:rPr>
                <w:noProof/>
                <w:webHidden/>
              </w:rPr>
              <w:t>126</w:t>
            </w:r>
            <w:r w:rsidR="00E136F2">
              <w:rPr>
                <w:noProof/>
                <w:webHidden/>
              </w:rPr>
              <w:fldChar w:fldCharType="end"/>
            </w:r>
          </w:hyperlink>
        </w:p>
        <w:p w14:paraId="52F5079A" w14:textId="57D437A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36" w:history="1">
            <w:r w:rsidR="00E136F2" w:rsidRPr="00862B00">
              <w:rPr>
                <w:rStyle w:val="Hyperlink"/>
                <w:noProof/>
              </w:rPr>
              <w:t>7.4.3</w:t>
            </w:r>
            <w:r w:rsidR="00E136F2">
              <w:rPr>
                <w:rFonts w:asciiTheme="minorHAnsi" w:eastAsiaTheme="minorEastAsia" w:hAnsiTheme="minorHAnsi"/>
                <w:noProof/>
                <w:kern w:val="0"/>
                <w:sz w:val="22"/>
                <w:lang w:val="en-US"/>
                <w14:ligatures w14:val="none"/>
              </w:rPr>
              <w:tab/>
            </w:r>
            <w:r w:rsidR="00E136F2" w:rsidRPr="00862B00">
              <w:rPr>
                <w:rStyle w:val="Hyperlink"/>
                <w:noProof/>
              </w:rPr>
              <w:t>Akcija 7.3 Transparentnost implementacije Fondova, vidljivost obaveza i komunikacija o programima.</w:t>
            </w:r>
            <w:r w:rsidR="00E136F2">
              <w:rPr>
                <w:noProof/>
                <w:webHidden/>
              </w:rPr>
              <w:tab/>
            </w:r>
            <w:r w:rsidR="00E136F2">
              <w:rPr>
                <w:noProof/>
                <w:webHidden/>
              </w:rPr>
              <w:fldChar w:fldCharType="begin"/>
            </w:r>
            <w:r w:rsidR="00E136F2">
              <w:rPr>
                <w:noProof/>
                <w:webHidden/>
              </w:rPr>
              <w:instrText xml:space="preserve"> PAGEREF _Toc201700436 \h </w:instrText>
            </w:r>
            <w:r w:rsidR="00E136F2">
              <w:rPr>
                <w:noProof/>
                <w:webHidden/>
              </w:rPr>
            </w:r>
            <w:r w:rsidR="00E136F2">
              <w:rPr>
                <w:noProof/>
                <w:webHidden/>
              </w:rPr>
              <w:fldChar w:fldCharType="separate"/>
            </w:r>
            <w:r w:rsidR="00E136F2">
              <w:rPr>
                <w:noProof/>
                <w:webHidden/>
              </w:rPr>
              <w:t>126</w:t>
            </w:r>
            <w:r w:rsidR="00E136F2">
              <w:rPr>
                <w:noProof/>
                <w:webHidden/>
              </w:rPr>
              <w:fldChar w:fldCharType="end"/>
            </w:r>
          </w:hyperlink>
        </w:p>
        <w:p w14:paraId="1D318E24" w14:textId="62003765"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37" w:history="1">
            <w:r w:rsidR="00E136F2" w:rsidRPr="00862B00">
              <w:rPr>
                <w:rStyle w:val="Hyperlink"/>
                <w:noProof/>
              </w:rPr>
              <w:t>7.4.4</w:t>
            </w:r>
            <w:r w:rsidR="00E136F2">
              <w:rPr>
                <w:rFonts w:asciiTheme="minorHAnsi" w:eastAsiaTheme="minorEastAsia" w:hAnsiTheme="minorHAnsi"/>
                <w:noProof/>
                <w:kern w:val="0"/>
                <w:sz w:val="22"/>
                <w:lang w:val="en-US"/>
                <w14:ligatures w14:val="none"/>
              </w:rPr>
              <w:tab/>
            </w:r>
            <w:r w:rsidR="00E136F2" w:rsidRPr="00862B00">
              <w:rPr>
                <w:rStyle w:val="Hyperlink"/>
                <w:noProof/>
              </w:rPr>
              <w:t>Akcija 7.4 Smjernice za korisnike o obavezama vezane za vidljivost.</w:t>
            </w:r>
            <w:r w:rsidR="00E136F2">
              <w:rPr>
                <w:noProof/>
                <w:webHidden/>
              </w:rPr>
              <w:tab/>
            </w:r>
            <w:r w:rsidR="00E136F2">
              <w:rPr>
                <w:noProof/>
                <w:webHidden/>
              </w:rPr>
              <w:fldChar w:fldCharType="begin"/>
            </w:r>
            <w:r w:rsidR="00E136F2">
              <w:rPr>
                <w:noProof/>
                <w:webHidden/>
              </w:rPr>
              <w:instrText xml:space="preserve"> PAGEREF _Toc201700437 \h </w:instrText>
            </w:r>
            <w:r w:rsidR="00E136F2">
              <w:rPr>
                <w:noProof/>
                <w:webHidden/>
              </w:rPr>
            </w:r>
            <w:r w:rsidR="00E136F2">
              <w:rPr>
                <w:noProof/>
                <w:webHidden/>
              </w:rPr>
              <w:fldChar w:fldCharType="separate"/>
            </w:r>
            <w:r w:rsidR="00E136F2">
              <w:rPr>
                <w:noProof/>
                <w:webHidden/>
              </w:rPr>
              <w:t>126</w:t>
            </w:r>
            <w:r w:rsidR="00E136F2">
              <w:rPr>
                <w:noProof/>
                <w:webHidden/>
              </w:rPr>
              <w:fldChar w:fldCharType="end"/>
            </w:r>
          </w:hyperlink>
        </w:p>
        <w:p w14:paraId="1126CF4D" w14:textId="02E5B7C6"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38" w:history="1">
            <w:r w:rsidR="00E136F2" w:rsidRPr="00862B00">
              <w:rPr>
                <w:rStyle w:val="Hyperlink"/>
                <w:noProof/>
              </w:rPr>
              <w:t>7.4.5</w:t>
            </w:r>
            <w:r w:rsidR="00E136F2">
              <w:rPr>
                <w:rFonts w:asciiTheme="minorHAnsi" w:eastAsiaTheme="minorEastAsia" w:hAnsiTheme="minorHAnsi"/>
                <w:noProof/>
                <w:kern w:val="0"/>
                <w:sz w:val="22"/>
                <w:lang w:val="en-US"/>
                <w14:ligatures w14:val="none"/>
              </w:rPr>
              <w:tab/>
            </w:r>
            <w:r w:rsidR="00E136F2" w:rsidRPr="00862B00">
              <w:rPr>
                <w:rStyle w:val="Hyperlink"/>
                <w:noProof/>
              </w:rPr>
              <w:t>Akcija 7.5 Akcije za komunikaciju i vidljivost.</w:t>
            </w:r>
            <w:r w:rsidR="00E136F2">
              <w:rPr>
                <w:noProof/>
                <w:webHidden/>
              </w:rPr>
              <w:tab/>
            </w:r>
            <w:r w:rsidR="00E136F2">
              <w:rPr>
                <w:noProof/>
                <w:webHidden/>
              </w:rPr>
              <w:fldChar w:fldCharType="begin"/>
            </w:r>
            <w:r w:rsidR="00E136F2">
              <w:rPr>
                <w:noProof/>
                <w:webHidden/>
              </w:rPr>
              <w:instrText xml:space="preserve"> PAGEREF _Toc201700438 \h </w:instrText>
            </w:r>
            <w:r w:rsidR="00E136F2">
              <w:rPr>
                <w:noProof/>
                <w:webHidden/>
              </w:rPr>
            </w:r>
            <w:r w:rsidR="00E136F2">
              <w:rPr>
                <w:noProof/>
                <w:webHidden/>
              </w:rPr>
              <w:fldChar w:fldCharType="separate"/>
            </w:r>
            <w:r w:rsidR="00E136F2">
              <w:rPr>
                <w:noProof/>
                <w:webHidden/>
              </w:rPr>
              <w:t>127</w:t>
            </w:r>
            <w:r w:rsidR="00E136F2">
              <w:rPr>
                <w:noProof/>
                <w:webHidden/>
              </w:rPr>
              <w:fldChar w:fldCharType="end"/>
            </w:r>
          </w:hyperlink>
        </w:p>
        <w:p w14:paraId="18EB76BF" w14:textId="46ADBA95"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439" w:history="1">
            <w:r w:rsidR="00E136F2" w:rsidRPr="00862B00">
              <w:rPr>
                <w:rStyle w:val="Hyperlink"/>
                <w:noProof/>
              </w:rPr>
              <w:t>8</w:t>
            </w:r>
            <w:r w:rsidR="00E136F2">
              <w:rPr>
                <w:rFonts w:asciiTheme="minorHAnsi" w:eastAsiaTheme="minorEastAsia" w:hAnsiTheme="minorHAnsi"/>
                <w:noProof/>
                <w:kern w:val="0"/>
                <w:sz w:val="22"/>
                <w:lang w:val="en-US"/>
                <w14:ligatures w14:val="none"/>
              </w:rPr>
              <w:tab/>
            </w:r>
            <w:r w:rsidR="00E136F2" w:rsidRPr="00862B00">
              <w:rPr>
                <w:rStyle w:val="Hyperlink"/>
                <w:noProof/>
              </w:rPr>
              <w:t>Statistika</w:t>
            </w:r>
            <w:r w:rsidR="00E136F2">
              <w:rPr>
                <w:noProof/>
                <w:webHidden/>
              </w:rPr>
              <w:tab/>
            </w:r>
            <w:r w:rsidR="00E136F2">
              <w:rPr>
                <w:noProof/>
                <w:webHidden/>
              </w:rPr>
              <w:fldChar w:fldCharType="begin"/>
            </w:r>
            <w:r w:rsidR="00E136F2">
              <w:rPr>
                <w:noProof/>
                <w:webHidden/>
              </w:rPr>
              <w:instrText xml:space="preserve"> PAGEREF _Toc201700439 \h </w:instrText>
            </w:r>
            <w:r w:rsidR="00E136F2">
              <w:rPr>
                <w:noProof/>
                <w:webHidden/>
              </w:rPr>
            </w:r>
            <w:r w:rsidR="00E136F2">
              <w:rPr>
                <w:noProof/>
                <w:webHidden/>
              </w:rPr>
              <w:fldChar w:fldCharType="separate"/>
            </w:r>
            <w:r w:rsidR="00E136F2">
              <w:rPr>
                <w:noProof/>
                <w:webHidden/>
              </w:rPr>
              <w:t>129</w:t>
            </w:r>
            <w:r w:rsidR="00E136F2">
              <w:rPr>
                <w:noProof/>
                <w:webHidden/>
              </w:rPr>
              <w:fldChar w:fldCharType="end"/>
            </w:r>
          </w:hyperlink>
        </w:p>
        <w:p w14:paraId="1C373297" w14:textId="6448E41C"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40" w:history="1">
            <w:r w:rsidR="00E136F2" w:rsidRPr="00862B00">
              <w:rPr>
                <w:rStyle w:val="Hyperlink"/>
                <w:noProof/>
              </w:rPr>
              <w:t>8.1</w:t>
            </w:r>
            <w:r w:rsidR="00E136F2">
              <w:rPr>
                <w:rFonts w:asciiTheme="minorHAnsi" w:eastAsiaTheme="minorEastAsia" w:hAnsiTheme="minorHAnsi"/>
                <w:noProof/>
                <w:kern w:val="0"/>
                <w:sz w:val="22"/>
                <w:lang w:val="en-US"/>
                <w14:ligatures w14:val="none"/>
              </w:rPr>
              <w:tab/>
            </w:r>
            <w:r w:rsidR="00E136F2" w:rsidRPr="00862B00">
              <w:rPr>
                <w:rStyle w:val="Hyperlink"/>
                <w:noProof/>
              </w:rPr>
              <w:t>Relevantni zahtjevi Kohezione politike</w:t>
            </w:r>
            <w:r w:rsidR="00E136F2">
              <w:rPr>
                <w:noProof/>
                <w:webHidden/>
              </w:rPr>
              <w:tab/>
            </w:r>
            <w:r w:rsidR="00E136F2">
              <w:rPr>
                <w:noProof/>
                <w:webHidden/>
              </w:rPr>
              <w:fldChar w:fldCharType="begin"/>
            </w:r>
            <w:r w:rsidR="00E136F2">
              <w:rPr>
                <w:noProof/>
                <w:webHidden/>
              </w:rPr>
              <w:instrText xml:space="preserve"> PAGEREF _Toc201700440 \h </w:instrText>
            </w:r>
            <w:r w:rsidR="00E136F2">
              <w:rPr>
                <w:noProof/>
                <w:webHidden/>
              </w:rPr>
            </w:r>
            <w:r w:rsidR="00E136F2">
              <w:rPr>
                <w:noProof/>
                <w:webHidden/>
              </w:rPr>
              <w:fldChar w:fldCharType="separate"/>
            </w:r>
            <w:r w:rsidR="00E136F2">
              <w:rPr>
                <w:noProof/>
                <w:webHidden/>
              </w:rPr>
              <w:t>129</w:t>
            </w:r>
            <w:r w:rsidR="00E136F2">
              <w:rPr>
                <w:noProof/>
                <w:webHidden/>
              </w:rPr>
              <w:fldChar w:fldCharType="end"/>
            </w:r>
          </w:hyperlink>
        </w:p>
        <w:p w14:paraId="0C9C7CFC" w14:textId="52BF3E88"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41" w:history="1">
            <w:r w:rsidR="00E136F2" w:rsidRPr="00862B00">
              <w:rPr>
                <w:rStyle w:val="Hyperlink"/>
                <w:noProof/>
              </w:rPr>
              <w:t>8.1.1</w:t>
            </w:r>
            <w:r w:rsidR="00E136F2">
              <w:rPr>
                <w:rFonts w:asciiTheme="minorHAnsi" w:eastAsiaTheme="minorEastAsia" w:hAnsiTheme="minorHAnsi"/>
                <w:noProof/>
                <w:kern w:val="0"/>
                <w:sz w:val="22"/>
                <w:lang w:val="en-US"/>
                <w14:ligatures w14:val="none"/>
              </w:rPr>
              <w:tab/>
            </w:r>
            <w:r w:rsidR="00E136F2" w:rsidRPr="00862B00">
              <w:rPr>
                <w:rStyle w:val="Hyperlink"/>
                <w:noProof/>
              </w:rPr>
              <w:t>Informacioni sistem za ategorizaciju i drugi primjenjivi acquis o Teritorijalnim jedinicama za statistiku (</w:t>
            </w:r>
            <w:r w:rsidR="00420726">
              <w:rPr>
                <w:rStyle w:val="Hyperlink"/>
                <w:noProof/>
              </w:rPr>
              <w:t>TJZS</w:t>
            </w:r>
            <w:r w:rsidR="00E136F2" w:rsidRPr="00862B00">
              <w:rPr>
                <w:rStyle w:val="Hyperlink"/>
                <w:noProof/>
              </w:rPr>
              <w:t>) i regionalne i geoprostorne statističke informacije</w:t>
            </w:r>
            <w:r w:rsidR="00E136F2">
              <w:rPr>
                <w:noProof/>
                <w:webHidden/>
              </w:rPr>
              <w:tab/>
            </w:r>
            <w:r w:rsidR="00E136F2">
              <w:rPr>
                <w:noProof/>
                <w:webHidden/>
              </w:rPr>
              <w:fldChar w:fldCharType="begin"/>
            </w:r>
            <w:r w:rsidR="00E136F2">
              <w:rPr>
                <w:noProof/>
                <w:webHidden/>
              </w:rPr>
              <w:instrText xml:space="preserve"> PAGEREF _Toc201700441 \h </w:instrText>
            </w:r>
            <w:r w:rsidR="00E136F2">
              <w:rPr>
                <w:noProof/>
                <w:webHidden/>
              </w:rPr>
            </w:r>
            <w:r w:rsidR="00E136F2">
              <w:rPr>
                <w:noProof/>
                <w:webHidden/>
              </w:rPr>
              <w:fldChar w:fldCharType="separate"/>
            </w:r>
            <w:r w:rsidR="00E136F2">
              <w:rPr>
                <w:noProof/>
                <w:webHidden/>
              </w:rPr>
              <w:t>130</w:t>
            </w:r>
            <w:r w:rsidR="00E136F2">
              <w:rPr>
                <w:noProof/>
                <w:webHidden/>
              </w:rPr>
              <w:fldChar w:fldCharType="end"/>
            </w:r>
          </w:hyperlink>
        </w:p>
        <w:p w14:paraId="6A7396E0" w14:textId="767A598A"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42" w:history="1">
            <w:r w:rsidR="00E136F2" w:rsidRPr="00862B00">
              <w:rPr>
                <w:rStyle w:val="Hyperlink"/>
                <w:noProof/>
              </w:rPr>
              <w:t>8.2</w:t>
            </w:r>
            <w:r w:rsidR="00E136F2">
              <w:rPr>
                <w:rFonts w:asciiTheme="minorHAnsi" w:eastAsiaTheme="minorEastAsia" w:hAnsiTheme="minorHAnsi"/>
                <w:noProof/>
                <w:kern w:val="0"/>
                <w:sz w:val="22"/>
                <w:lang w:val="en-US"/>
                <w14:ligatures w14:val="none"/>
              </w:rPr>
              <w:tab/>
            </w:r>
            <w:r w:rsidR="00E136F2" w:rsidRPr="00862B00">
              <w:rPr>
                <w:rStyle w:val="Hyperlink"/>
                <w:noProof/>
              </w:rPr>
              <w:t>Procjena trenutne situacije</w:t>
            </w:r>
            <w:r w:rsidR="00E136F2">
              <w:rPr>
                <w:noProof/>
                <w:webHidden/>
              </w:rPr>
              <w:tab/>
            </w:r>
            <w:r w:rsidR="00E136F2">
              <w:rPr>
                <w:noProof/>
                <w:webHidden/>
              </w:rPr>
              <w:fldChar w:fldCharType="begin"/>
            </w:r>
            <w:r w:rsidR="00E136F2">
              <w:rPr>
                <w:noProof/>
                <w:webHidden/>
              </w:rPr>
              <w:instrText xml:space="preserve"> PAGEREF _Toc201700442 \h </w:instrText>
            </w:r>
            <w:r w:rsidR="00E136F2">
              <w:rPr>
                <w:noProof/>
                <w:webHidden/>
              </w:rPr>
            </w:r>
            <w:r w:rsidR="00E136F2">
              <w:rPr>
                <w:noProof/>
                <w:webHidden/>
              </w:rPr>
              <w:fldChar w:fldCharType="separate"/>
            </w:r>
            <w:r w:rsidR="00E136F2">
              <w:rPr>
                <w:noProof/>
                <w:webHidden/>
              </w:rPr>
              <w:t>131</w:t>
            </w:r>
            <w:r w:rsidR="00E136F2">
              <w:rPr>
                <w:noProof/>
                <w:webHidden/>
              </w:rPr>
              <w:fldChar w:fldCharType="end"/>
            </w:r>
          </w:hyperlink>
        </w:p>
        <w:p w14:paraId="6F700C94" w14:textId="0586C8B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43" w:history="1">
            <w:r w:rsidR="00E136F2" w:rsidRPr="00862B00">
              <w:rPr>
                <w:rStyle w:val="Hyperlink"/>
                <w:noProof/>
              </w:rPr>
              <w:t>8.2.1</w:t>
            </w:r>
            <w:r w:rsidR="00E136F2">
              <w:rPr>
                <w:rFonts w:asciiTheme="minorHAnsi" w:eastAsiaTheme="minorEastAsia" w:hAnsiTheme="minorHAnsi"/>
                <w:noProof/>
                <w:kern w:val="0"/>
                <w:sz w:val="22"/>
                <w:lang w:val="en-US"/>
                <w14:ligatures w14:val="none"/>
              </w:rPr>
              <w:tab/>
            </w:r>
            <w:r w:rsidR="00E136F2" w:rsidRPr="00862B00">
              <w:rPr>
                <w:rStyle w:val="Hyperlink"/>
                <w:noProof/>
              </w:rPr>
              <w:t>Statistika povezana sa ekonomskim, socijalnim i teritorijalnim razlikama</w:t>
            </w:r>
            <w:r w:rsidR="00E136F2">
              <w:rPr>
                <w:noProof/>
                <w:webHidden/>
              </w:rPr>
              <w:tab/>
            </w:r>
            <w:r w:rsidR="00E136F2">
              <w:rPr>
                <w:noProof/>
                <w:webHidden/>
              </w:rPr>
              <w:fldChar w:fldCharType="begin"/>
            </w:r>
            <w:r w:rsidR="00E136F2">
              <w:rPr>
                <w:noProof/>
                <w:webHidden/>
              </w:rPr>
              <w:instrText xml:space="preserve"> PAGEREF _Toc201700443 \h </w:instrText>
            </w:r>
            <w:r w:rsidR="00E136F2">
              <w:rPr>
                <w:noProof/>
                <w:webHidden/>
              </w:rPr>
            </w:r>
            <w:r w:rsidR="00E136F2">
              <w:rPr>
                <w:noProof/>
                <w:webHidden/>
              </w:rPr>
              <w:fldChar w:fldCharType="separate"/>
            </w:r>
            <w:r w:rsidR="00E136F2">
              <w:rPr>
                <w:noProof/>
                <w:webHidden/>
              </w:rPr>
              <w:t>131</w:t>
            </w:r>
            <w:r w:rsidR="00E136F2">
              <w:rPr>
                <w:noProof/>
                <w:webHidden/>
              </w:rPr>
              <w:fldChar w:fldCharType="end"/>
            </w:r>
          </w:hyperlink>
        </w:p>
        <w:p w14:paraId="389F779C" w14:textId="26E1C217"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44" w:history="1">
            <w:r w:rsidR="00E136F2" w:rsidRPr="00862B00">
              <w:rPr>
                <w:rStyle w:val="Hyperlink"/>
                <w:noProof/>
              </w:rPr>
              <w:t>8.2.2</w:t>
            </w:r>
            <w:r w:rsidR="00E136F2">
              <w:rPr>
                <w:rFonts w:asciiTheme="minorHAnsi" w:eastAsiaTheme="minorEastAsia" w:hAnsiTheme="minorHAnsi"/>
                <w:noProof/>
                <w:kern w:val="0"/>
                <w:sz w:val="22"/>
                <w:lang w:val="en-US"/>
                <w14:ligatures w14:val="none"/>
              </w:rPr>
              <w:tab/>
            </w:r>
            <w:r w:rsidR="00E136F2" w:rsidRPr="00862B00">
              <w:rPr>
                <w:rStyle w:val="Hyperlink"/>
                <w:noProof/>
              </w:rPr>
              <w:t>Statistika povezana sa indikatorima Metodologije o alokaciji gobalnih resursa po Državi članici</w:t>
            </w:r>
            <w:r w:rsidR="00E136F2">
              <w:rPr>
                <w:noProof/>
                <w:webHidden/>
              </w:rPr>
              <w:tab/>
            </w:r>
            <w:r w:rsidR="00E136F2">
              <w:rPr>
                <w:noProof/>
                <w:webHidden/>
              </w:rPr>
              <w:fldChar w:fldCharType="begin"/>
            </w:r>
            <w:r w:rsidR="00E136F2">
              <w:rPr>
                <w:noProof/>
                <w:webHidden/>
              </w:rPr>
              <w:instrText xml:space="preserve"> PAGEREF _Toc201700444 \h </w:instrText>
            </w:r>
            <w:r w:rsidR="00E136F2">
              <w:rPr>
                <w:noProof/>
                <w:webHidden/>
              </w:rPr>
            </w:r>
            <w:r w:rsidR="00E136F2">
              <w:rPr>
                <w:noProof/>
                <w:webHidden/>
              </w:rPr>
              <w:fldChar w:fldCharType="separate"/>
            </w:r>
            <w:r w:rsidR="00E136F2">
              <w:rPr>
                <w:noProof/>
                <w:webHidden/>
              </w:rPr>
              <w:t>133</w:t>
            </w:r>
            <w:r w:rsidR="00E136F2">
              <w:rPr>
                <w:noProof/>
                <w:webHidden/>
              </w:rPr>
              <w:fldChar w:fldCharType="end"/>
            </w:r>
          </w:hyperlink>
        </w:p>
        <w:p w14:paraId="58BC8099" w14:textId="2B5F2696"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45" w:history="1">
            <w:r w:rsidR="00E136F2" w:rsidRPr="00862B00">
              <w:rPr>
                <w:rStyle w:val="Hyperlink"/>
                <w:noProof/>
              </w:rPr>
              <w:t>8.3</w:t>
            </w:r>
            <w:r w:rsidR="00E136F2">
              <w:rPr>
                <w:rFonts w:asciiTheme="minorHAnsi" w:eastAsiaTheme="minorEastAsia" w:hAnsiTheme="minorHAnsi"/>
                <w:noProof/>
                <w:kern w:val="0"/>
                <w:sz w:val="22"/>
                <w:lang w:val="en-US"/>
                <w14:ligatures w14:val="none"/>
              </w:rPr>
              <w:tab/>
            </w:r>
            <w:r w:rsidR="00E136F2" w:rsidRPr="00862B00">
              <w:rPr>
                <w:rStyle w:val="Hyperlink"/>
                <w:noProof/>
              </w:rPr>
              <w:t>Planirane akcije</w:t>
            </w:r>
            <w:r w:rsidR="00E136F2">
              <w:rPr>
                <w:noProof/>
                <w:webHidden/>
              </w:rPr>
              <w:tab/>
            </w:r>
            <w:r w:rsidR="00E136F2">
              <w:rPr>
                <w:noProof/>
                <w:webHidden/>
              </w:rPr>
              <w:fldChar w:fldCharType="begin"/>
            </w:r>
            <w:r w:rsidR="00E136F2">
              <w:rPr>
                <w:noProof/>
                <w:webHidden/>
              </w:rPr>
              <w:instrText xml:space="preserve"> PAGEREF _Toc201700445 \h </w:instrText>
            </w:r>
            <w:r w:rsidR="00E136F2">
              <w:rPr>
                <w:noProof/>
                <w:webHidden/>
              </w:rPr>
            </w:r>
            <w:r w:rsidR="00E136F2">
              <w:rPr>
                <w:noProof/>
                <w:webHidden/>
              </w:rPr>
              <w:fldChar w:fldCharType="separate"/>
            </w:r>
            <w:r w:rsidR="00E136F2">
              <w:rPr>
                <w:noProof/>
                <w:webHidden/>
              </w:rPr>
              <w:t>133</w:t>
            </w:r>
            <w:r w:rsidR="00E136F2">
              <w:rPr>
                <w:noProof/>
                <w:webHidden/>
              </w:rPr>
              <w:fldChar w:fldCharType="end"/>
            </w:r>
          </w:hyperlink>
        </w:p>
        <w:p w14:paraId="529E611F" w14:textId="0FE9647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46" w:history="1">
            <w:r w:rsidR="00E136F2" w:rsidRPr="00862B00">
              <w:rPr>
                <w:rStyle w:val="Hyperlink"/>
                <w:noProof/>
              </w:rPr>
              <w:t>8.3.1</w:t>
            </w:r>
            <w:r w:rsidR="00E136F2">
              <w:rPr>
                <w:rFonts w:asciiTheme="minorHAnsi" w:eastAsiaTheme="minorEastAsia" w:hAnsiTheme="minorHAnsi"/>
                <w:noProof/>
                <w:kern w:val="0"/>
                <w:sz w:val="22"/>
                <w:lang w:val="en-US"/>
                <w14:ligatures w14:val="none"/>
              </w:rPr>
              <w:tab/>
            </w:r>
            <w:r w:rsidR="00E136F2" w:rsidRPr="00862B00">
              <w:rPr>
                <w:rStyle w:val="Hyperlink"/>
                <w:noProof/>
              </w:rPr>
              <w:t>Akcija 8.1 Priprema metodologija za predstavljanje glavnih razvojnih izazova Crne Gore, uzimajući u obzir ekonomski, socijalni i teritorijalne razlike, kao i nejednakosti.</w:t>
            </w:r>
            <w:r w:rsidR="00E136F2">
              <w:rPr>
                <w:noProof/>
                <w:webHidden/>
              </w:rPr>
              <w:tab/>
            </w:r>
            <w:r w:rsidR="00E136F2">
              <w:rPr>
                <w:noProof/>
                <w:webHidden/>
              </w:rPr>
              <w:fldChar w:fldCharType="begin"/>
            </w:r>
            <w:r w:rsidR="00E136F2">
              <w:rPr>
                <w:noProof/>
                <w:webHidden/>
              </w:rPr>
              <w:instrText xml:space="preserve"> PAGEREF _Toc201700446 \h </w:instrText>
            </w:r>
            <w:r w:rsidR="00E136F2">
              <w:rPr>
                <w:noProof/>
                <w:webHidden/>
              </w:rPr>
            </w:r>
            <w:r w:rsidR="00E136F2">
              <w:rPr>
                <w:noProof/>
                <w:webHidden/>
              </w:rPr>
              <w:fldChar w:fldCharType="separate"/>
            </w:r>
            <w:r w:rsidR="00E136F2">
              <w:rPr>
                <w:noProof/>
                <w:webHidden/>
              </w:rPr>
              <w:t>134</w:t>
            </w:r>
            <w:r w:rsidR="00E136F2">
              <w:rPr>
                <w:noProof/>
                <w:webHidden/>
              </w:rPr>
              <w:fldChar w:fldCharType="end"/>
            </w:r>
          </w:hyperlink>
        </w:p>
        <w:p w14:paraId="2100BF8D" w14:textId="5A7C2F9F"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47" w:history="1">
            <w:r w:rsidR="00E136F2" w:rsidRPr="00862B00">
              <w:rPr>
                <w:rStyle w:val="Hyperlink"/>
                <w:noProof/>
              </w:rPr>
              <w:t>8.3.2</w:t>
            </w:r>
            <w:r w:rsidR="00E136F2">
              <w:rPr>
                <w:rFonts w:asciiTheme="minorHAnsi" w:eastAsiaTheme="minorEastAsia" w:hAnsiTheme="minorHAnsi"/>
                <w:noProof/>
                <w:kern w:val="0"/>
                <w:sz w:val="22"/>
                <w:lang w:val="en-US"/>
                <w14:ligatures w14:val="none"/>
              </w:rPr>
              <w:tab/>
            </w:r>
            <w:r w:rsidR="00E136F2" w:rsidRPr="00862B00">
              <w:rPr>
                <w:rStyle w:val="Hyperlink"/>
                <w:noProof/>
              </w:rPr>
              <w:t>Akcija 8.2. Statistički podaci neophodni prema Metodologiji o alokaciji globalni Kohezionih resursa po Državi članici se redovno proizvode.</w:t>
            </w:r>
            <w:r w:rsidR="00E136F2">
              <w:rPr>
                <w:noProof/>
                <w:webHidden/>
              </w:rPr>
              <w:tab/>
            </w:r>
            <w:r w:rsidR="00E136F2">
              <w:rPr>
                <w:noProof/>
                <w:webHidden/>
              </w:rPr>
              <w:fldChar w:fldCharType="begin"/>
            </w:r>
            <w:r w:rsidR="00E136F2">
              <w:rPr>
                <w:noProof/>
                <w:webHidden/>
              </w:rPr>
              <w:instrText xml:space="preserve"> PAGEREF _Toc201700447 \h </w:instrText>
            </w:r>
            <w:r w:rsidR="00E136F2">
              <w:rPr>
                <w:noProof/>
                <w:webHidden/>
              </w:rPr>
            </w:r>
            <w:r w:rsidR="00E136F2">
              <w:rPr>
                <w:noProof/>
                <w:webHidden/>
              </w:rPr>
              <w:fldChar w:fldCharType="separate"/>
            </w:r>
            <w:r w:rsidR="00E136F2">
              <w:rPr>
                <w:noProof/>
                <w:webHidden/>
              </w:rPr>
              <w:t>134</w:t>
            </w:r>
            <w:r w:rsidR="00E136F2">
              <w:rPr>
                <w:noProof/>
                <w:webHidden/>
              </w:rPr>
              <w:fldChar w:fldCharType="end"/>
            </w:r>
          </w:hyperlink>
        </w:p>
        <w:p w14:paraId="34C13D2B" w14:textId="7DE54BB6" w:rsidR="00E136F2" w:rsidRDefault="00B54ABB">
          <w:pPr>
            <w:pStyle w:val="TOC1"/>
            <w:tabs>
              <w:tab w:val="left" w:pos="440"/>
              <w:tab w:val="right" w:leader="dot" w:pos="9350"/>
            </w:tabs>
            <w:rPr>
              <w:rFonts w:asciiTheme="minorHAnsi" w:eastAsiaTheme="minorEastAsia" w:hAnsiTheme="minorHAnsi"/>
              <w:noProof/>
              <w:kern w:val="0"/>
              <w:sz w:val="22"/>
              <w:lang w:val="en-US"/>
              <w14:ligatures w14:val="none"/>
            </w:rPr>
          </w:pPr>
          <w:hyperlink w:anchor="_Toc201700448" w:history="1">
            <w:r w:rsidR="00E136F2" w:rsidRPr="00862B00">
              <w:rPr>
                <w:rStyle w:val="Hyperlink"/>
                <w:noProof/>
              </w:rPr>
              <w:t>9</w:t>
            </w:r>
            <w:r w:rsidR="00E136F2">
              <w:rPr>
                <w:rFonts w:asciiTheme="minorHAnsi" w:eastAsiaTheme="minorEastAsia" w:hAnsiTheme="minorHAnsi"/>
                <w:noProof/>
                <w:kern w:val="0"/>
                <w:sz w:val="22"/>
                <w:lang w:val="en-US"/>
                <w14:ligatures w14:val="none"/>
              </w:rPr>
              <w:tab/>
            </w:r>
            <w:r w:rsidR="00E136F2" w:rsidRPr="00862B00">
              <w:rPr>
                <w:rStyle w:val="Hyperlink"/>
                <w:noProof/>
              </w:rPr>
              <w:t>Aneksi</w:t>
            </w:r>
            <w:r w:rsidR="00E136F2">
              <w:rPr>
                <w:noProof/>
                <w:webHidden/>
              </w:rPr>
              <w:tab/>
            </w:r>
            <w:r w:rsidR="00E136F2">
              <w:rPr>
                <w:noProof/>
                <w:webHidden/>
              </w:rPr>
              <w:fldChar w:fldCharType="begin"/>
            </w:r>
            <w:r w:rsidR="00E136F2">
              <w:rPr>
                <w:noProof/>
                <w:webHidden/>
              </w:rPr>
              <w:instrText xml:space="preserve"> PAGEREF _Toc201700448 \h </w:instrText>
            </w:r>
            <w:r w:rsidR="00E136F2">
              <w:rPr>
                <w:noProof/>
                <w:webHidden/>
              </w:rPr>
            </w:r>
            <w:r w:rsidR="00E136F2">
              <w:rPr>
                <w:noProof/>
                <w:webHidden/>
              </w:rPr>
              <w:fldChar w:fldCharType="separate"/>
            </w:r>
            <w:r w:rsidR="00E136F2">
              <w:rPr>
                <w:noProof/>
                <w:webHidden/>
              </w:rPr>
              <w:t>135</w:t>
            </w:r>
            <w:r w:rsidR="00E136F2">
              <w:rPr>
                <w:noProof/>
                <w:webHidden/>
              </w:rPr>
              <w:fldChar w:fldCharType="end"/>
            </w:r>
          </w:hyperlink>
        </w:p>
        <w:p w14:paraId="74547641" w14:textId="32D88013"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49" w:history="1">
            <w:r w:rsidR="00E136F2" w:rsidRPr="00862B00">
              <w:rPr>
                <w:rStyle w:val="Hyperlink"/>
                <w:noProof/>
              </w:rPr>
              <w:t>9.1</w:t>
            </w:r>
            <w:r w:rsidR="00E136F2">
              <w:rPr>
                <w:rFonts w:asciiTheme="minorHAnsi" w:eastAsiaTheme="minorEastAsia" w:hAnsiTheme="minorHAnsi"/>
                <w:noProof/>
                <w:kern w:val="0"/>
                <w:sz w:val="22"/>
                <w:lang w:val="en-US"/>
                <w14:ligatures w14:val="none"/>
              </w:rPr>
              <w:tab/>
            </w:r>
            <w:r w:rsidR="00E136F2" w:rsidRPr="00862B00">
              <w:rPr>
                <w:rStyle w:val="Hyperlink"/>
                <w:noProof/>
              </w:rPr>
              <w:t>Ganttovi grafikoni</w:t>
            </w:r>
            <w:r w:rsidR="00E136F2">
              <w:rPr>
                <w:noProof/>
                <w:webHidden/>
              </w:rPr>
              <w:tab/>
            </w:r>
            <w:r w:rsidR="00E136F2">
              <w:rPr>
                <w:noProof/>
                <w:webHidden/>
              </w:rPr>
              <w:fldChar w:fldCharType="begin"/>
            </w:r>
            <w:r w:rsidR="00E136F2">
              <w:rPr>
                <w:noProof/>
                <w:webHidden/>
              </w:rPr>
              <w:instrText xml:space="preserve"> PAGEREF _Toc201700449 \h </w:instrText>
            </w:r>
            <w:r w:rsidR="00E136F2">
              <w:rPr>
                <w:noProof/>
                <w:webHidden/>
              </w:rPr>
            </w:r>
            <w:r w:rsidR="00E136F2">
              <w:rPr>
                <w:noProof/>
                <w:webHidden/>
              </w:rPr>
              <w:fldChar w:fldCharType="separate"/>
            </w:r>
            <w:r w:rsidR="00E136F2">
              <w:rPr>
                <w:noProof/>
                <w:webHidden/>
              </w:rPr>
              <w:t>135</w:t>
            </w:r>
            <w:r w:rsidR="00E136F2">
              <w:rPr>
                <w:noProof/>
                <w:webHidden/>
              </w:rPr>
              <w:fldChar w:fldCharType="end"/>
            </w:r>
          </w:hyperlink>
        </w:p>
        <w:p w14:paraId="6749A16F" w14:textId="53F28690"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50" w:history="1">
            <w:r w:rsidR="00E136F2" w:rsidRPr="00862B00">
              <w:rPr>
                <w:rStyle w:val="Hyperlink"/>
                <w:noProof/>
              </w:rPr>
              <w:t>9.1.1</w:t>
            </w:r>
            <w:r w:rsidR="00E136F2">
              <w:rPr>
                <w:rFonts w:asciiTheme="minorHAnsi" w:eastAsiaTheme="minorEastAsia" w:hAnsiTheme="minorHAnsi"/>
                <w:noProof/>
                <w:kern w:val="0"/>
                <w:sz w:val="22"/>
                <w:lang w:val="en-US"/>
                <w14:ligatures w14:val="none"/>
              </w:rPr>
              <w:tab/>
            </w:r>
            <w:r w:rsidR="00E136F2" w:rsidRPr="00862B00">
              <w:rPr>
                <w:rStyle w:val="Hyperlink"/>
                <w:noProof/>
              </w:rPr>
              <w:t>Aneks 1.1. – Ganttov grafikon za Završno mjerilo</w:t>
            </w:r>
            <w:r w:rsidR="00E136F2">
              <w:rPr>
                <w:noProof/>
                <w:webHidden/>
              </w:rPr>
              <w:tab/>
            </w:r>
            <w:r w:rsidR="00E136F2">
              <w:rPr>
                <w:noProof/>
                <w:webHidden/>
              </w:rPr>
              <w:fldChar w:fldCharType="begin"/>
            </w:r>
            <w:r w:rsidR="00E136F2">
              <w:rPr>
                <w:noProof/>
                <w:webHidden/>
              </w:rPr>
              <w:instrText xml:space="preserve"> PAGEREF _Toc201700450 \h </w:instrText>
            </w:r>
            <w:r w:rsidR="00E136F2">
              <w:rPr>
                <w:noProof/>
                <w:webHidden/>
              </w:rPr>
            </w:r>
            <w:r w:rsidR="00E136F2">
              <w:rPr>
                <w:noProof/>
                <w:webHidden/>
              </w:rPr>
              <w:fldChar w:fldCharType="separate"/>
            </w:r>
            <w:r w:rsidR="00E136F2">
              <w:rPr>
                <w:noProof/>
                <w:webHidden/>
              </w:rPr>
              <w:t>135</w:t>
            </w:r>
            <w:r w:rsidR="00E136F2">
              <w:rPr>
                <w:noProof/>
                <w:webHidden/>
              </w:rPr>
              <w:fldChar w:fldCharType="end"/>
            </w:r>
          </w:hyperlink>
        </w:p>
        <w:p w14:paraId="0EC3090D" w14:textId="0C0A6EC4" w:rsidR="00E136F2" w:rsidRDefault="00B54ABB">
          <w:pPr>
            <w:pStyle w:val="TOC3"/>
            <w:tabs>
              <w:tab w:val="left" w:pos="1200"/>
              <w:tab w:val="right" w:leader="dot" w:pos="9350"/>
            </w:tabs>
            <w:rPr>
              <w:rFonts w:asciiTheme="minorHAnsi" w:eastAsiaTheme="minorEastAsia" w:hAnsiTheme="minorHAnsi"/>
              <w:noProof/>
              <w:kern w:val="0"/>
              <w:sz w:val="22"/>
              <w:lang w:val="en-US"/>
              <w14:ligatures w14:val="none"/>
            </w:rPr>
          </w:pPr>
          <w:hyperlink w:anchor="_Toc201700451" w:history="1">
            <w:r w:rsidR="00E136F2" w:rsidRPr="00862B00">
              <w:rPr>
                <w:rStyle w:val="Hyperlink"/>
                <w:noProof/>
              </w:rPr>
              <w:t>9.1.2</w:t>
            </w:r>
            <w:r w:rsidR="00E136F2">
              <w:rPr>
                <w:rFonts w:asciiTheme="minorHAnsi" w:eastAsiaTheme="minorEastAsia" w:hAnsiTheme="minorHAnsi"/>
                <w:noProof/>
                <w:kern w:val="0"/>
                <w:sz w:val="22"/>
                <w:lang w:val="en-US"/>
                <w14:ligatures w14:val="none"/>
              </w:rPr>
              <w:tab/>
            </w:r>
            <w:r w:rsidR="00E136F2" w:rsidRPr="00862B00">
              <w:rPr>
                <w:rStyle w:val="Hyperlink"/>
                <w:noProof/>
              </w:rPr>
              <w:t>Aneks 1.2. – Ganttov grafikon za Dugoročni plan</w:t>
            </w:r>
            <w:r w:rsidR="00F310A2">
              <w:rPr>
                <w:rStyle w:val="Hyperlink"/>
                <w:noProof/>
              </w:rPr>
              <w:t xml:space="preserve"> aktivnosti</w:t>
            </w:r>
            <w:r w:rsidR="00E136F2">
              <w:rPr>
                <w:noProof/>
                <w:webHidden/>
              </w:rPr>
              <w:tab/>
            </w:r>
            <w:r w:rsidR="00E136F2">
              <w:rPr>
                <w:noProof/>
                <w:webHidden/>
              </w:rPr>
              <w:fldChar w:fldCharType="begin"/>
            </w:r>
            <w:r w:rsidR="00E136F2">
              <w:rPr>
                <w:noProof/>
                <w:webHidden/>
              </w:rPr>
              <w:instrText xml:space="preserve"> PAGEREF _Toc201700451 \h </w:instrText>
            </w:r>
            <w:r w:rsidR="00E136F2">
              <w:rPr>
                <w:noProof/>
                <w:webHidden/>
              </w:rPr>
            </w:r>
            <w:r w:rsidR="00E136F2">
              <w:rPr>
                <w:noProof/>
                <w:webHidden/>
              </w:rPr>
              <w:fldChar w:fldCharType="separate"/>
            </w:r>
            <w:r w:rsidR="00E136F2">
              <w:rPr>
                <w:noProof/>
                <w:webHidden/>
              </w:rPr>
              <w:t>135</w:t>
            </w:r>
            <w:r w:rsidR="00E136F2">
              <w:rPr>
                <w:noProof/>
                <w:webHidden/>
              </w:rPr>
              <w:fldChar w:fldCharType="end"/>
            </w:r>
          </w:hyperlink>
        </w:p>
        <w:p w14:paraId="6B3EF683" w14:textId="06C10A67"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52" w:history="1">
            <w:r w:rsidR="00E136F2" w:rsidRPr="00862B00">
              <w:rPr>
                <w:rStyle w:val="Hyperlink"/>
                <w:noProof/>
              </w:rPr>
              <w:t>9.2</w:t>
            </w:r>
            <w:r w:rsidR="00E136F2">
              <w:rPr>
                <w:rFonts w:asciiTheme="minorHAnsi" w:eastAsiaTheme="minorEastAsia" w:hAnsiTheme="minorHAnsi"/>
                <w:noProof/>
                <w:kern w:val="0"/>
                <w:sz w:val="22"/>
                <w:lang w:val="en-US"/>
                <w14:ligatures w14:val="none"/>
              </w:rPr>
              <w:tab/>
            </w:r>
            <w:r w:rsidR="00E136F2" w:rsidRPr="00862B00">
              <w:rPr>
                <w:rStyle w:val="Hyperlink"/>
                <w:noProof/>
              </w:rPr>
              <w:t>Aneks II: IPA SIstem kontrole i upravljanja i finansijskog upravljanja u Crnoj Gori</w:t>
            </w:r>
            <w:r w:rsidR="00E136F2">
              <w:rPr>
                <w:noProof/>
                <w:webHidden/>
              </w:rPr>
              <w:tab/>
            </w:r>
            <w:r w:rsidR="00E136F2">
              <w:rPr>
                <w:noProof/>
                <w:webHidden/>
              </w:rPr>
              <w:fldChar w:fldCharType="begin"/>
            </w:r>
            <w:r w:rsidR="00E136F2">
              <w:rPr>
                <w:noProof/>
                <w:webHidden/>
              </w:rPr>
              <w:instrText xml:space="preserve"> PAGEREF _Toc201700452 \h </w:instrText>
            </w:r>
            <w:r w:rsidR="00E136F2">
              <w:rPr>
                <w:noProof/>
                <w:webHidden/>
              </w:rPr>
            </w:r>
            <w:r w:rsidR="00E136F2">
              <w:rPr>
                <w:noProof/>
                <w:webHidden/>
              </w:rPr>
              <w:fldChar w:fldCharType="separate"/>
            </w:r>
            <w:r w:rsidR="00E136F2">
              <w:rPr>
                <w:noProof/>
                <w:webHidden/>
              </w:rPr>
              <w:t>135</w:t>
            </w:r>
            <w:r w:rsidR="00E136F2">
              <w:rPr>
                <w:noProof/>
                <w:webHidden/>
              </w:rPr>
              <w:fldChar w:fldCharType="end"/>
            </w:r>
          </w:hyperlink>
        </w:p>
        <w:p w14:paraId="6983E1AB" w14:textId="7EBE85A8" w:rsidR="00E136F2" w:rsidRDefault="00B54ABB">
          <w:pPr>
            <w:pStyle w:val="TOC2"/>
            <w:tabs>
              <w:tab w:val="left" w:pos="720"/>
              <w:tab w:val="right" w:leader="dot" w:pos="9350"/>
            </w:tabs>
            <w:rPr>
              <w:rFonts w:asciiTheme="minorHAnsi" w:eastAsiaTheme="minorEastAsia" w:hAnsiTheme="minorHAnsi"/>
              <w:noProof/>
              <w:kern w:val="0"/>
              <w:sz w:val="22"/>
              <w:lang w:val="en-US"/>
              <w14:ligatures w14:val="none"/>
            </w:rPr>
          </w:pPr>
          <w:hyperlink w:anchor="_Toc201700453" w:history="1">
            <w:r w:rsidR="00E136F2" w:rsidRPr="00862B00">
              <w:rPr>
                <w:rStyle w:val="Hyperlink"/>
                <w:noProof/>
              </w:rPr>
              <w:t>9.3</w:t>
            </w:r>
            <w:r w:rsidR="00E136F2">
              <w:rPr>
                <w:rFonts w:asciiTheme="minorHAnsi" w:eastAsiaTheme="minorEastAsia" w:hAnsiTheme="minorHAnsi"/>
                <w:noProof/>
                <w:kern w:val="0"/>
                <w:sz w:val="22"/>
                <w:lang w:val="en-US"/>
                <w14:ligatures w14:val="none"/>
              </w:rPr>
              <w:tab/>
            </w:r>
            <w:r w:rsidR="00E136F2" w:rsidRPr="00862B00">
              <w:rPr>
                <w:rStyle w:val="Hyperlink"/>
                <w:noProof/>
              </w:rPr>
              <w:t>Aneks III: Programi jačanja kapaciteta</w:t>
            </w:r>
            <w:r w:rsidR="00E136F2">
              <w:rPr>
                <w:noProof/>
                <w:webHidden/>
              </w:rPr>
              <w:tab/>
            </w:r>
            <w:r w:rsidR="00E136F2">
              <w:rPr>
                <w:noProof/>
                <w:webHidden/>
              </w:rPr>
              <w:fldChar w:fldCharType="begin"/>
            </w:r>
            <w:r w:rsidR="00E136F2">
              <w:rPr>
                <w:noProof/>
                <w:webHidden/>
              </w:rPr>
              <w:instrText xml:space="preserve"> PAGEREF _Toc201700453 \h </w:instrText>
            </w:r>
            <w:r w:rsidR="00E136F2">
              <w:rPr>
                <w:noProof/>
                <w:webHidden/>
              </w:rPr>
            </w:r>
            <w:r w:rsidR="00E136F2">
              <w:rPr>
                <w:noProof/>
                <w:webHidden/>
              </w:rPr>
              <w:fldChar w:fldCharType="separate"/>
            </w:r>
            <w:r w:rsidR="00E136F2">
              <w:rPr>
                <w:noProof/>
                <w:webHidden/>
              </w:rPr>
              <w:t>135</w:t>
            </w:r>
            <w:r w:rsidR="00E136F2">
              <w:rPr>
                <w:noProof/>
                <w:webHidden/>
              </w:rPr>
              <w:fldChar w:fldCharType="end"/>
            </w:r>
          </w:hyperlink>
        </w:p>
        <w:p w14:paraId="0AF6092B" w14:textId="62482855" w:rsidR="000C70A6" w:rsidRPr="00B83578" w:rsidRDefault="000C70A6" w:rsidP="009E6C31">
          <w:pPr>
            <w:rPr>
              <w:rFonts w:cs="Arial"/>
            </w:rPr>
          </w:pPr>
          <w:r w:rsidRPr="00B83578">
            <w:rPr>
              <w:rFonts w:cs="Arial"/>
              <w:b/>
              <w:bCs/>
            </w:rPr>
            <w:fldChar w:fldCharType="end"/>
          </w:r>
        </w:p>
      </w:sdtContent>
    </w:sdt>
    <w:p w14:paraId="156B0568" w14:textId="77777777" w:rsidR="000C70A6" w:rsidRPr="00B83578" w:rsidRDefault="000C70A6" w:rsidP="009E6C31">
      <w:pPr>
        <w:rPr>
          <w:rFonts w:cs="Arial"/>
        </w:rPr>
      </w:pPr>
    </w:p>
    <w:p w14:paraId="05697B72" w14:textId="5CB6F873" w:rsidR="00736D83" w:rsidRPr="00B83578" w:rsidRDefault="00694814" w:rsidP="009E6C31">
      <w:pPr>
        <w:pStyle w:val="Subtitle"/>
        <w:rPr>
          <w:rFonts w:cs="Arial"/>
        </w:rPr>
      </w:pPr>
      <w:r w:rsidRPr="00B83578">
        <w:rPr>
          <w:rFonts w:cs="Arial"/>
        </w:rPr>
        <w:t>Lis</w:t>
      </w:r>
      <w:r w:rsidR="001D692B">
        <w:rPr>
          <w:rFonts w:cs="Arial"/>
        </w:rPr>
        <w:t>ta tabela</w:t>
      </w:r>
    </w:p>
    <w:p w14:paraId="1AAE623E" w14:textId="13936B68" w:rsidR="00C640A0" w:rsidRDefault="53C1DCBA">
      <w:pPr>
        <w:pStyle w:val="TableofFigures"/>
        <w:tabs>
          <w:tab w:val="right" w:leader="dot" w:pos="9350"/>
        </w:tabs>
        <w:rPr>
          <w:rFonts w:asciiTheme="minorHAnsi" w:eastAsiaTheme="minorEastAsia" w:hAnsiTheme="minorHAnsi"/>
          <w:i w:val="0"/>
          <w:noProof/>
          <w:sz w:val="24"/>
          <w:szCs w:val="24"/>
          <w:lang w:eastAsia="en-GB"/>
        </w:rPr>
      </w:pPr>
      <w:r w:rsidRPr="00B83578">
        <w:rPr>
          <w:rFonts w:cs="Arial"/>
          <w:i w:val="0"/>
        </w:rPr>
        <w:fldChar w:fldCharType="begin"/>
      </w:r>
      <w:r w:rsidR="007D7961" w:rsidRPr="00B83578">
        <w:rPr>
          <w:rFonts w:cs="Arial"/>
          <w:i w:val="0"/>
        </w:rPr>
        <w:instrText xml:space="preserve"> TOC \h \z \c "Table" </w:instrText>
      </w:r>
      <w:r w:rsidRPr="00B83578">
        <w:rPr>
          <w:rFonts w:cs="Arial"/>
          <w:i w:val="0"/>
        </w:rPr>
        <w:fldChar w:fldCharType="separate"/>
      </w:r>
      <w:hyperlink w:anchor="_Toc193895445" w:history="1">
        <w:r w:rsidR="001D692B">
          <w:rPr>
            <w:rStyle w:val="Hyperlink"/>
            <w:noProof/>
          </w:rPr>
          <w:t>Tabela</w:t>
        </w:r>
        <w:r w:rsidR="00C640A0" w:rsidRPr="007C15A3">
          <w:rPr>
            <w:rStyle w:val="Hyperlink"/>
            <w:noProof/>
          </w:rPr>
          <w:t xml:space="preserve"> 1. </w:t>
        </w:r>
        <w:r w:rsidR="00C17022">
          <w:rPr>
            <w:rStyle w:val="Hyperlink"/>
            <w:noProof/>
          </w:rPr>
          <w:t>MP</w:t>
        </w:r>
        <w:r w:rsidR="00C640A0" w:rsidRPr="007C15A3">
          <w:rPr>
            <w:rStyle w:val="Hyperlink"/>
            <w:noProof/>
          </w:rPr>
          <w:t xml:space="preserve">1: </w:t>
        </w:r>
        <w:r w:rsidR="00017758">
          <w:rPr>
            <w:rStyle w:val="Hyperlink"/>
            <w:noProof/>
          </w:rPr>
          <w:t>Planirane akcije za zatvaranje Završnog mjerila</w:t>
        </w:r>
        <w:r w:rsidR="00C640A0" w:rsidRPr="007C15A3">
          <w:rPr>
            <w:rStyle w:val="Hyperlink"/>
            <w:rFonts w:eastAsia="Calibri"/>
            <w:noProof/>
          </w:rPr>
          <w:t xml:space="preserve"> 1</w:t>
        </w:r>
        <w:r w:rsidR="00C640A0">
          <w:rPr>
            <w:noProof/>
            <w:webHidden/>
          </w:rPr>
          <w:tab/>
        </w:r>
        <w:r w:rsidR="00C640A0">
          <w:rPr>
            <w:noProof/>
            <w:webHidden/>
          </w:rPr>
          <w:fldChar w:fldCharType="begin"/>
        </w:r>
        <w:r w:rsidR="00C640A0">
          <w:rPr>
            <w:noProof/>
            <w:webHidden/>
          </w:rPr>
          <w:instrText xml:space="preserve"> PAGEREF _Toc193895445 \h </w:instrText>
        </w:r>
        <w:r w:rsidR="00C640A0">
          <w:rPr>
            <w:noProof/>
            <w:webHidden/>
          </w:rPr>
        </w:r>
        <w:r w:rsidR="00C640A0">
          <w:rPr>
            <w:noProof/>
            <w:webHidden/>
          </w:rPr>
          <w:fldChar w:fldCharType="separate"/>
        </w:r>
        <w:r w:rsidR="00C640A0">
          <w:rPr>
            <w:noProof/>
            <w:webHidden/>
          </w:rPr>
          <w:t>17</w:t>
        </w:r>
        <w:r w:rsidR="00C640A0">
          <w:rPr>
            <w:noProof/>
            <w:webHidden/>
          </w:rPr>
          <w:fldChar w:fldCharType="end"/>
        </w:r>
      </w:hyperlink>
    </w:p>
    <w:p w14:paraId="2EFBB7B2" w14:textId="33C87CEE"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46" w:history="1">
        <w:r w:rsidR="001D692B">
          <w:rPr>
            <w:rStyle w:val="Hyperlink"/>
            <w:noProof/>
          </w:rPr>
          <w:t>Tabela</w:t>
        </w:r>
        <w:r w:rsidR="00C640A0" w:rsidRPr="007C15A3">
          <w:rPr>
            <w:rStyle w:val="Hyperlink"/>
            <w:noProof/>
          </w:rPr>
          <w:t xml:space="preserve"> 2. </w:t>
        </w:r>
        <w:r w:rsidR="00C17022">
          <w:rPr>
            <w:rStyle w:val="Hyperlink"/>
            <w:noProof/>
          </w:rPr>
          <w:t>MP</w:t>
        </w:r>
        <w:r w:rsidR="00C640A0" w:rsidRPr="007C15A3">
          <w:rPr>
            <w:rStyle w:val="Hyperlink"/>
            <w:noProof/>
          </w:rPr>
          <w:t xml:space="preserve">2: </w:t>
        </w:r>
        <w:r w:rsidR="00017758">
          <w:rPr>
            <w:rStyle w:val="Hyperlink"/>
            <w:noProof/>
          </w:rPr>
          <w:t>Planirane akcije za zatvaranje Završnog mjerila</w:t>
        </w:r>
        <w:r w:rsidR="00C640A0" w:rsidRPr="007C15A3">
          <w:rPr>
            <w:rStyle w:val="Hyperlink"/>
            <w:noProof/>
          </w:rPr>
          <w:t xml:space="preserve"> 2</w:t>
        </w:r>
        <w:r w:rsidR="00C640A0">
          <w:rPr>
            <w:noProof/>
            <w:webHidden/>
          </w:rPr>
          <w:tab/>
        </w:r>
        <w:r w:rsidR="00C640A0">
          <w:rPr>
            <w:noProof/>
            <w:webHidden/>
          </w:rPr>
          <w:fldChar w:fldCharType="begin"/>
        </w:r>
        <w:r w:rsidR="00C640A0">
          <w:rPr>
            <w:noProof/>
            <w:webHidden/>
          </w:rPr>
          <w:instrText xml:space="preserve"> PAGEREF _Toc193895446 \h </w:instrText>
        </w:r>
        <w:r w:rsidR="00C640A0">
          <w:rPr>
            <w:noProof/>
            <w:webHidden/>
          </w:rPr>
        </w:r>
        <w:r w:rsidR="00C640A0">
          <w:rPr>
            <w:noProof/>
            <w:webHidden/>
          </w:rPr>
          <w:fldChar w:fldCharType="separate"/>
        </w:r>
        <w:r w:rsidR="00C640A0">
          <w:rPr>
            <w:noProof/>
            <w:webHidden/>
          </w:rPr>
          <w:t>25</w:t>
        </w:r>
        <w:r w:rsidR="00C640A0">
          <w:rPr>
            <w:noProof/>
            <w:webHidden/>
          </w:rPr>
          <w:fldChar w:fldCharType="end"/>
        </w:r>
      </w:hyperlink>
    </w:p>
    <w:p w14:paraId="09C2F2F8" w14:textId="5E2ED830"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47" w:history="1">
        <w:r w:rsidR="001D692B">
          <w:rPr>
            <w:rStyle w:val="Hyperlink"/>
            <w:noProof/>
          </w:rPr>
          <w:t>Tabela</w:t>
        </w:r>
        <w:r w:rsidR="00C640A0" w:rsidRPr="007C15A3">
          <w:rPr>
            <w:rStyle w:val="Hyperlink"/>
            <w:noProof/>
          </w:rPr>
          <w:t xml:space="preserve"> 3. </w:t>
        </w:r>
        <w:r w:rsidR="00C17022">
          <w:rPr>
            <w:rStyle w:val="Hyperlink"/>
            <w:noProof/>
          </w:rPr>
          <w:t>MP</w:t>
        </w:r>
        <w:r w:rsidR="00C640A0" w:rsidRPr="007C15A3">
          <w:rPr>
            <w:rStyle w:val="Hyperlink"/>
            <w:noProof/>
          </w:rPr>
          <w:t xml:space="preserve">3: </w:t>
        </w:r>
        <w:r w:rsidR="00017758">
          <w:rPr>
            <w:rStyle w:val="Hyperlink"/>
            <w:noProof/>
          </w:rPr>
          <w:t>Planirane akcije za zatvaranje Završnog mjerila</w:t>
        </w:r>
        <w:r w:rsidR="00C640A0" w:rsidRPr="007C15A3">
          <w:rPr>
            <w:rStyle w:val="Hyperlink"/>
            <w:noProof/>
          </w:rPr>
          <w:t xml:space="preserve"> 3</w:t>
        </w:r>
        <w:r w:rsidR="00C640A0">
          <w:rPr>
            <w:noProof/>
            <w:webHidden/>
          </w:rPr>
          <w:tab/>
        </w:r>
        <w:r w:rsidR="00C640A0">
          <w:rPr>
            <w:noProof/>
            <w:webHidden/>
          </w:rPr>
          <w:fldChar w:fldCharType="begin"/>
        </w:r>
        <w:r w:rsidR="00C640A0">
          <w:rPr>
            <w:noProof/>
            <w:webHidden/>
          </w:rPr>
          <w:instrText xml:space="preserve"> PAGEREF _Toc193895447 \h </w:instrText>
        </w:r>
        <w:r w:rsidR="00C640A0">
          <w:rPr>
            <w:noProof/>
            <w:webHidden/>
          </w:rPr>
        </w:r>
        <w:r w:rsidR="00C640A0">
          <w:rPr>
            <w:noProof/>
            <w:webHidden/>
          </w:rPr>
          <w:fldChar w:fldCharType="separate"/>
        </w:r>
        <w:r w:rsidR="00C640A0">
          <w:rPr>
            <w:noProof/>
            <w:webHidden/>
          </w:rPr>
          <w:t>26</w:t>
        </w:r>
        <w:r w:rsidR="00C640A0">
          <w:rPr>
            <w:noProof/>
            <w:webHidden/>
          </w:rPr>
          <w:fldChar w:fldCharType="end"/>
        </w:r>
      </w:hyperlink>
    </w:p>
    <w:p w14:paraId="16EFDCA1" w14:textId="1D99D170"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48" w:history="1">
        <w:r w:rsidR="001D692B">
          <w:rPr>
            <w:rStyle w:val="Hyperlink"/>
            <w:noProof/>
          </w:rPr>
          <w:t>Tabela</w:t>
        </w:r>
        <w:r w:rsidR="00C640A0" w:rsidRPr="007C15A3">
          <w:rPr>
            <w:rStyle w:val="Hyperlink"/>
            <w:noProof/>
          </w:rPr>
          <w:t xml:space="preserve"> 4. </w:t>
        </w:r>
        <w:r w:rsidR="00C17022">
          <w:rPr>
            <w:rStyle w:val="Hyperlink"/>
            <w:noProof/>
          </w:rPr>
          <w:t>MP</w:t>
        </w:r>
        <w:r w:rsidR="00C640A0" w:rsidRPr="007C15A3">
          <w:rPr>
            <w:rStyle w:val="Hyperlink"/>
            <w:noProof/>
          </w:rPr>
          <w:t xml:space="preserve">4: </w:t>
        </w:r>
        <w:r w:rsidR="00017758">
          <w:rPr>
            <w:rStyle w:val="Hyperlink"/>
            <w:noProof/>
          </w:rPr>
          <w:t>Planirane akcije za zatvaranje Završnog mjerila</w:t>
        </w:r>
        <w:r w:rsidR="00C640A0" w:rsidRPr="007C15A3">
          <w:rPr>
            <w:rStyle w:val="Hyperlink"/>
            <w:noProof/>
          </w:rPr>
          <w:t xml:space="preserve"> 4</w:t>
        </w:r>
        <w:r w:rsidR="00C640A0">
          <w:rPr>
            <w:noProof/>
            <w:webHidden/>
          </w:rPr>
          <w:tab/>
        </w:r>
        <w:r w:rsidR="00C640A0">
          <w:rPr>
            <w:noProof/>
            <w:webHidden/>
          </w:rPr>
          <w:fldChar w:fldCharType="begin"/>
        </w:r>
        <w:r w:rsidR="00C640A0">
          <w:rPr>
            <w:noProof/>
            <w:webHidden/>
          </w:rPr>
          <w:instrText xml:space="preserve"> PAGEREF _Toc193895448 \h </w:instrText>
        </w:r>
        <w:r w:rsidR="00C640A0">
          <w:rPr>
            <w:noProof/>
            <w:webHidden/>
          </w:rPr>
        </w:r>
        <w:r w:rsidR="00C640A0">
          <w:rPr>
            <w:noProof/>
            <w:webHidden/>
          </w:rPr>
          <w:fldChar w:fldCharType="separate"/>
        </w:r>
        <w:r w:rsidR="00C640A0">
          <w:rPr>
            <w:noProof/>
            <w:webHidden/>
          </w:rPr>
          <w:t>29</w:t>
        </w:r>
        <w:r w:rsidR="00C640A0">
          <w:rPr>
            <w:noProof/>
            <w:webHidden/>
          </w:rPr>
          <w:fldChar w:fldCharType="end"/>
        </w:r>
      </w:hyperlink>
    </w:p>
    <w:p w14:paraId="0AEFB960" w14:textId="1459BE5E"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49" w:history="1">
        <w:r w:rsidR="001D692B">
          <w:rPr>
            <w:rStyle w:val="Hyperlink"/>
            <w:rFonts w:cs="Arial"/>
            <w:iCs/>
            <w:noProof/>
          </w:rPr>
          <w:t>Tabela</w:t>
        </w:r>
        <w:r w:rsidR="00C640A0" w:rsidRPr="007C15A3">
          <w:rPr>
            <w:rStyle w:val="Hyperlink"/>
            <w:rFonts w:cs="Arial"/>
            <w:iCs/>
            <w:noProof/>
          </w:rPr>
          <w:t xml:space="preserve"> 5. </w:t>
        </w:r>
        <w:r w:rsidR="00C17022">
          <w:rPr>
            <w:rStyle w:val="Hyperlink"/>
            <w:iCs/>
            <w:noProof/>
          </w:rPr>
          <w:t>MP</w:t>
        </w:r>
        <w:r w:rsidR="00C640A0" w:rsidRPr="007C15A3">
          <w:rPr>
            <w:rStyle w:val="Hyperlink"/>
            <w:rFonts w:cs="Arial"/>
            <w:iCs/>
            <w:noProof/>
          </w:rPr>
          <w:t xml:space="preserve">5: </w:t>
        </w:r>
        <w:r w:rsidR="00017758">
          <w:rPr>
            <w:rStyle w:val="Hyperlink"/>
            <w:rFonts w:cs="Arial"/>
            <w:iCs/>
            <w:noProof/>
          </w:rPr>
          <w:t>Planirane akcije za zatvaranje Završnog mjerila</w:t>
        </w:r>
        <w:r w:rsidR="00C640A0" w:rsidRPr="007C15A3">
          <w:rPr>
            <w:rStyle w:val="Hyperlink"/>
            <w:rFonts w:eastAsia="Calibri" w:cs="Arial"/>
            <w:iCs/>
            <w:noProof/>
          </w:rPr>
          <w:t xml:space="preserve"> 5</w:t>
        </w:r>
        <w:r w:rsidR="00C640A0">
          <w:rPr>
            <w:noProof/>
            <w:webHidden/>
          </w:rPr>
          <w:tab/>
        </w:r>
        <w:r w:rsidR="00C640A0">
          <w:rPr>
            <w:noProof/>
            <w:webHidden/>
          </w:rPr>
          <w:fldChar w:fldCharType="begin"/>
        </w:r>
        <w:r w:rsidR="00C640A0">
          <w:rPr>
            <w:noProof/>
            <w:webHidden/>
          </w:rPr>
          <w:instrText xml:space="preserve"> PAGEREF _Toc193895449 \h </w:instrText>
        </w:r>
        <w:r w:rsidR="00C640A0">
          <w:rPr>
            <w:noProof/>
            <w:webHidden/>
          </w:rPr>
        </w:r>
        <w:r w:rsidR="00C640A0">
          <w:rPr>
            <w:noProof/>
            <w:webHidden/>
          </w:rPr>
          <w:fldChar w:fldCharType="separate"/>
        </w:r>
        <w:r w:rsidR="00C640A0">
          <w:rPr>
            <w:noProof/>
            <w:webHidden/>
          </w:rPr>
          <w:t>33</w:t>
        </w:r>
        <w:r w:rsidR="00C640A0">
          <w:rPr>
            <w:noProof/>
            <w:webHidden/>
          </w:rPr>
          <w:fldChar w:fldCharType="end"/>
        </w:r>
      </w:hyperlink>
    </w:p>
    <w:p w14:paraId="29A743C9" w14:textId="6E04412E"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0" w:history="1">
        <w:r w:rsidR="001D692B">
          <w:rPr>
            <w:rStyle w:val="Hyperlink"/>
            <w:rFonts w:cs="Arial"/>
            <w:iCs/>
            <w:noProof/>
          </w:rPr>
          <w:t>Tabela</w:t>
        </w:r>
        <w:r w:rsidR="00C640A0" w:rsidRPr="007C15A3">
          <w:rPr>
            <w:rStyle w:val="Hyperlink"/>
            <w:rFonts w:cs="Arial"/>
            <w:iCs/>
            <w:noProof/>
          </w:rPr>
          <w:t xml:space="preserve"> 6. </w:t>
        </w:r>
        <w:r w:rsidR="00C17022">
          <w:rPr>
            <w:rStyle w:val="Hyperlink"/>
            <w:rFonts w:cs="Arial"/>
            <w:iCs/>
            <w:noProof/>
          </w:rPr>
          <w:t>MP</w:t>
        </w:r>
        <w:r w:rsidR="00C640A0" w:rsidRPr="007C15A3">
          <w:rPr>
            <w:rStyle w:val="Hyperlink"/>
            <w:rFonts w:cs="Arial"/>
            <w:iCs/>
            <w:noProof/>
          </w:rPr>
          <w:t xml:space="preserve">6: </w:t>
        </w:r>
        <w:r w:rsidR="00017758">
          <w:rPr>
            <w:rStyle w:val="Hyperlink"/>
            <w:rFonts w:cs="Arial"/>
            <w:iCs/>
            <w:noProof/>
          </w:rPr>
          <w:t>Planirane akcije za zatvaranje Završnog mjerila</w:t>
        </w:r>
        <w:r w:rsidR="00C640A0" w:rsidRPr="007C15A3">
          <w:rPr>
            <w:rStyle w:val="Hyperlink"/>
            <w:rFonts w:cs="Arial"/>
            <w:iCs/>
            <w:noProof/>
          </w:rPr>
          <w:t xml:space="preserve"> 6</w:t>
        </w:r>
        <w:r w:rsidR="00C640A0">
          <w:rPr>
            <w:noProof/>
            <w:webHidden/>
          </w:rPr>
          <w:tab/>
        </w:r>
        <w:r w:rsidR="00C640A0">
          <w:rPr>
            <w:noProof/>
            <w:webHidden/>
          </w:rPr>
          <w:fldChar w:fldCharType="begin"/>
        </w:r>
        <w:r w:rsidR="00C640A0">
          <w:rPr>
            <w:noProof/>
            <w:webHidden/>
          </w:rPr>
          <w:instrText xml:space="preserve"> PAGEREF _Toc193895450 \h </w:instrText>
        </w:r>
        <w:r w:rsidR="00C640A0">
          <w:rPr>
            <w:noProof/>
            <w:webHidden/>
          </w:rPr>
        </w:r>
        <w:r w:rsidR="00C640A0">
          <w:rPr>
            <w:noProof/>
            <w:webHidden/>
          </w:rPr>
          <w:fldChar w:fldCharType="separate"/>
        </w:r>
        <w:r w:rsidR="00C640A0">
          <w:rPr>
            <w:noProof/>
            <w:webHidden/>
          </w:rPr>
          <w:t>40</w:t>
        </w:r>
        <w:r w:rsidR="00C640A0">
          <w:rPr>
            <w:noProof/>
            <w:webHidden/>
          </w:rPr>
          <w:fldChar w:fldCharType="end"/>
        </w:r>
      </w:hyperlink>
    </w:p>
    <w:p w14:paraId="10E03A6F" w14:textId="414FB1B8"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1" w:history="1">
        <w:r w:rsidR="001D692B">
          <w:rPr>
            <w:rStyle w:val="Hyperlink"/>
            <w:rFonts w:eastAsia="Aptos" w:cs="Arial"/>
            <w:iCs/>
            <w:noProof/>
          </w:rPr>
          <w:t>Tabela</w:t>
        </w:r>
        <w:r w:rsidR="00C640A0" w:rsidRPr="007C15A3">
          <w:rPr>
            <w:rStyle w:val="Hyperlink"/>
            <w:rFonts w:eastAsia="Aptos" w:cs="Arial"/>
            <w:iCs/>
            <w:noProof/>
          </w:rPr>
          <w:t xml:space="preserve"> 7: </w:t>
        </w:r>
        <w:r w:rsidR="001D692B" w:rsidRPr="001D692B">
          <w:rPr>
            <w:rStyle w:val="Hyperlink"/>
            <w:rFonts w:eastAsia="Aptos" w:cs="Arial"/>
            <w:iCs/>
            <w:noProof/>
          </w:rPr>
          <w:t>Planirane akcije u okviru Poglavlja Zakonodavni okvir</w:t>
        </w:r>
        <w:r w:rsidR="00C640A0">
          <w:rPr>
            <w:noProof/>
            <w:webHidden/>
          </w:rPr>
          <w:tab/>
        </w:r>
        <w:r w:rsidR="00C640A0">
          <w:rPr>
            <w:noProof/>
            <w:webHidden/>
          </w:rPr>
          <w:fldChar w:fldCharType="begin"/>
        </w:r>
        <w:r w:rsidR="00C640A0">
          <w:rPr>
            <w:noProof/>
            <w:webHidden/>
          </w:rPr>
          <w:instrText xml:space="preserve"> PAGEREF _Toc193895451 \h </w:instrText>
        </w:r>
        <w:r w:rsidR="00C640A0">
          <w:rPr>
            <w:noProof/>
            <w:webHidden/>
          </w:rPr>
        </w:r>
        <w:r w:rsidR="00C640A0">
          <w:rPr>
            <w:noProof/>
            <w:webHidden/>
          </w:rPr>
          <w:fldChar w:fldCharType="separate"/>
        </w:r>
        <w:r w:rsidR="00C640A0">
          <w:rPr>
            <w:noProof/>
            <w:webHidden/>
          </w:rPr>
          <w:t>49</w:t>
        </w:r>
        <w:r w:rsidR="00C640A0">
          <w:rPr>
            <w:noProof/>
            <w:webHidden/>
          </w:rPr>
          <w:fldChar w:fldCharType="end"/>
        </w:r>
      </w:hyperlink>
    </w:p>
    <w:p w14:paraId="052E6196" w14:textId="24E0E2F7"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2" w:history="1">
        <w:r w:rsidR="001D692B">
          <w:rPr>
            <w:rStyle w:val="Hyperlink"/>
            <w:rFonts w:cs="Arial"/>
            <w:iCs/>
            <w:noProof/>
          </w:rPr>
          <w:t>Tabela</w:t>
        </w:r>
        <w:r w:rsidR="00C640A0" w:rsidRPr="007C15A3">
          <w:rPr>
            <w:rStyle w:val="Hyperlink"/>
            <w:rFonts w:cs="Arial"/>
            <w:iCs/>
            <w:noProof/>
          </w:rPr>
          <w:t xml:space="preserve"> 8: </w:t>
        </w:r>
        <w:r w:rsidR="001D692B" w:rsidRPr="001D692B">
          <w:rPr>
            <w:rStyle w:val="Hyperlink"/>
            <w:rFonts w:cs="Arial"/>
            <w:iCs/>
            <w:noProof/>
          </w:rPr>
          <w:t>Planirane akcije u okviru Poglavlja Institucionalni okvir</w:t>
        </w:r>
        <w:r w:rsidR="00C640A0">
          <w:rPr>
            <w:noProof/>
            <w:webHidden/>
          </w:rPr>
          <w:tab/>
        </w:r>
        <w:r w:rsidR="00C640A0">
          <w:rPr>
            <w:noProof/>
            <w:webHidden/>
          </w:rPr>
          <w:fldChar w:fldCharType="begin"/>
        </w:r>
        <w:r w:rsidR="00C640A0">
          <w:rPr>
            <w:noProof/>
            <w:webHidden/>
          </w:rPr>
          <w:instrText xml:space="preserve"> PAGEREF _Toc193895452 \h </w:instrText>
        </w:r>
        <w:r w:rsidR="00C640A0">
          <w:rPr>
            <w:noProof/>
            <w:webHidden/>
          </w:rPr>
        </w:r>
        <w:r w:rsidR="00C640A0">
          <w:rPr>
            <w:noProof/>
            <w:webHidden/>
          </w:rPr>
          <w:fldChar w:fldCharType="separate"/>
        </w:r>
        <w:r w:rsidR="00C640A0">
          <w:rPr>
            <w:noProof/>
            <w:webHidden/>
          </w:rPr>
          <w:t>56</w:t>
        </w:r>
        <w:r w:rsidR="00C640A0">
          <w:rPr>
            <w:noProof/>
            <w:webHidden/>
          </w:rPr>
          <w:fldChar w:fldCharType="end"/>
        </w:r>
      </w:hyperlink>
    </w:p>
    <w:p w14:paraId="5F625FE0" w14:textId="5E198A6B"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3" w:history="1">
        <w:r w:rsidR="001D692B">
          <w:rPr>
            <w:rStyle w:val="Hyperlink"/>
            <w:noProof/>
          </w:rPr>
          <w:t>Tabela</w:t>
        </w:r>
        <w:r w:rsidR="00C640A0" w:rsidRPr="007C15A3">
          <w:rPr>
            <w:rStyle w:val="Hyperlink"/>
            <w:noProof/>
          </w:rPr>
          <w:t xml:space="preserve"> 9: </w:t>
        </w:r>
        <w:r w:rsidR="001D692B" w:rsidRPr="001D692B">
          <w:rPr>
            <w:rStyle w:val="Hyperlink"/>
            <w:noProof/>
          </w:rPr>
          <w:t xml:space="preserve">PPF sa </w:t>
        </w:r>
        <w:r w:rsidR="0086543E">
          <w:rPr>
            <w:rStyle w:val="Hyperlink"/>
            <w:noProof/>
          </w:rPr>
          <w:t>NIPAK</w:t>
        </w:r>
        <w:r w:rsidR="001D692B" w:rsidRPr="001D692B">
          <w:rPr>
            <w:rStyle w:val="Hyperlink"/>
            <w:noProof/>
          </w:rPr>
          <w:t>-om - Nalazi TNA izvještaja</w:t>
        </w:r>
        <w:r w:rsidR="00C640A0">
          <w:rPr>
            <w:noProof/>
            <w:webHidden/>
          </w:rPr>
          <w:tab/>
        </w:r>
        <w:r w:rsidR="00C640A0">
          <w:rPr>
            <w:noProof/>
            <w:webHidden/>
          </w:rPr>
          <w:fldChar w:fldCharType="begin"/>
        </w:r>
        <w:r w:rsidR="00C640A0">
          <w:rPr>
            <w:noProof/>
            <w:webHidden/>
          </w:rPr>
          <w:instrText xml:space="preserve"> PAGEREF _Toc193895453 \h </w:instrText>
        </w:r>
        <w:r w:rsidR="00C640A0">
          <w:rPr>
            <w:noProof/>
            <w:webHidden/>
          </w:rPr>
        </w:r>
        <w:r w:rsidR="00C640A0">
          <w:rPr>
            <w:noProof/>
            <w:webHidden/>
          </w:rPr>
          <w:fldChar w:fldCharType="separate"/>
        </w:r>
        <w:r w:rsidR="00C640A0">
          <w:rPr>
            <w:noProof/>
            <w:webHidden/>
          </w:rPr>
          <w:t>64</w:t>
        </w:r>
        <w:r w:rsidR="00C640A0">
          <w:rPr>
            <w:noProof/>
            <w:webHidden/>
          </w:rPr>
          <w:fldChar w:fldCharType="end"/>
        </w:r>
      </w:hyperlink>
    </w:p>
    <w:p w14:paraId="5C0510E8" w14:textId="39C1130F"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4" w:history="1">
        <w:r w:rsidR="001D692B">
          <w:rPr>
            <w:rStyle w:val="Hyperlink"/>
            <w:rFonts w:cs="Arial"/>
            <w:iCs/>
            <w:noProof/>
          </w:rPr>
          <w:t>Tabela</w:t>
        </w:r>
        <w:r w:rsidR="00C640A0" w:rsidRPr="007C15A3">
          <w:rPr>
            <w:rStyle w:val="Hyperlink"/>
            <w:rFonts w:cs="Arial"/>
            <w:iCs/>
            <w:noProof/>
          </w:rPr>
          <w:t xml:space="preserve"> 10: </w:t>
        </w:r>
        <w:r w:rsidR="001D692B" w:rsidRPr="001D692B">
          <w:rPr>
            <w:rStyle w:val="Hyperlink"/>
            <w:rFonts w:cs="Arial"/>
            <w:iCs/>
            <w:noProof/>
          </w:rPr>
          <w:t>Planirane akcije u okviru Poglavlja Administrativni kapaciteti</w:t>
        </w:r>
        <w:r w:rsidR="00C640A0">
          <w:rPr>
            <w:noProof/>
            <w:webHidden/>
          </w:rPr>
          <w:tab/>
        </w:r>
        <w:r w:rsidR="00C640A0">
          <w:rPr>
            <w:noProof/>
            <w:webHidden/>
          </w:rPr>
          <w:fldChar w:fldCharType="begin"/>
        </w:r>
        <w:r w:rsidR="00C640A0">
          <w:rPr>
            <w:noProof/>
            <w:webHidden/>
          </w:rPr>
          <w:instrText xml:space="preserve"> PAGEREF _Toc193895454 \h </w:instrText>
        </w:r>
        <w:r w:rsidR="00C640A0">
          <w:rPr>
            <w:noProof/>
            <w:webHidden/>
          </w:rPr>
        </w:r>
        <w:r w:rsidR="00C640A0">
          <w:rPr>
            <w:noProof/>
            <w:webHidden/>
          </w:rPr>
          <w:fldChar w:fldCharType="separate"/>
        </w:r>
        <w:r w:rsidR="00C640A0">
          <w:rPr>
            <w:noProof/>
            <w:webHidden/>
          </w:rPr>
          <w:t>69</w:t>
        </w:r>
        <w:r w:rsidR="00C640A0">
          <w:rPr>
            <w:noProof/>
            <w:webHidden/>
          </w:rPr>
          <w:fldChar w:fldCharType="end"/>
        </w:r>
      </w:hyperlink>
    </w:p>
    <w:p w14:paraId="496669C6" w14:textId="0EC35AD6"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5" w:history="1">
        <w:r w:rsidR="001D692B">
          <w:rPr>
            <w:rStyle w:val="Hyperlink"/>
            <w:noProof/>
          </w:rPr>
          <w:t>Tabela</w:t>
        </w:r>
        <w:r w:rsidR="00C640A0" w:rsidRPr="007C15A3">
          <w:rPr>
            <w:rStyle w:val="Hyperlink"/>
            <w:noProof/>
          </w:rPr>
          <w:t xml:space="preserve"> 11: </w:t>
        </w:r>
        <w:r w:rsidR="001D692B" w:rsidRPr="001D692B">
          <w:rPr>
            <w:rStyle w:val="Hyperlink"/>
            <w:noProof/>
          </w:rPr>
          <w:t>Planirane akcije u okviru Poglavlja Strateški okvir i programi</w:t>
        </w:r>
        <w:r w:rsidR="00C640A0">
          <w:rPr>
            <w:noProof/>
            <w:webHidden/>
          </w:rPr>
          <w:tab/>
        </w:r>
        <w:r w:rsidR="00C640A0">
          <w:rPr>
            <w:noProof/>
            <w:webHidden/>
          </w:rPr>
          <w:fldChar w:fldCharType="begin"/>
        </w:r>
        <w:r w:rsidR="00C640A0">
          <w:rPr>
            <w:noProof/>
            <w:webHidden/>
          </w:rPr>
          <w:instrText xml:space="preserve"> PAGEREF _Toc193895455 \h </w:instrText>
        </w:r>
        <w:r w:rsidR="00C640A0">
          <w:rPr>
            <w:noProof/>
            <w:webHidden/>
          </w:rPr>
        </w:r>
        <w:r w:rsidR="00C640A0">
          <w:rPr>
            <w:noProof/>
            <w:webHidden/>
          </w:rPr>
          <w:fldChar w:fldCharType="separate"/>
        </w:r>
        <w:r w:rsidR="00C640A0">
          <w:rPr>
            <w:noProof/>
            <w:webHidden/>
          </w:rPr>
          <w:t>87</w:t>
        </w:r>
        <w:r w:rsidR="00C640A0">
          <w:rPr>
            <w:noProof/>
            <w:webHidden/>
          </w:rPr>
          <w:fldChar w:fldCharType="end"/>
        </w:r>
      </w:hyperlink>
    </w:p>
    <w:p w14:paraId="78F4B46E" w14:textId="7F9FB7FC"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6" w:history="1">
        <w:r w:rsidR="001D692B">
          <w:rPr>
            <w:rStyle w:val="Hyperlink"/>
            <w:noProof/>
          </w:rPr>
          <w:t>Tabela</w:t>
        </w:r>
        <w:r w:rsidR="00C640A0" w:rsidRPr="007C15A3">
          <w:rPr>
            <w:rStyle w:val="Hyperlink"/>
            <w:noProof/>
          </w:rPr>
          <w:t xml:space="preserve"> 12: </w:t>
        </w:r>
        <w:r w:rsidR="001D692B" w:rsidRPr="001D692B">
          <w:rPr>
            <w:rStyle w:val="Hyperlink"/>
            <w:noProof/>
          </w:rPr>
          <w:t>Planirane akcije u okviru Poglavlja Monitoring i evaluacija</w:t>
        </w:r>
        <w:r w:rsidR="00C640A0">
          <w:rPr>
            <w:noProof/>
            <w:webHidden/>
          </w:rPr>
          <w:tab/>
        </w:r>
        <w:r w:rsidR="00C640A0">
          <w:rPr>
            <w:noProof/>
            <w:webHidden/>
          </w:rPr>
          <w:fldChar w:fldCharType="begin"/>
        </w:r>
        <w:r w:rsidR="00C640A0">
          <w:rPr>
            <w:noProof/>
            <w:webHidden/>
          </w:rPr>
          <w:instrText xml:space="preserve"> PAGEREF _Toc193895456 \h </w:instrText>
        </w:r>
        <w:r w:rsidR="00C640A0">
          <w:rPr>
            <w:noProof/>
            <w:webHidden/>
          </w:rPr>
        </w:r>
        <w:r w:rsidR="00C640A0">
          <w:rPr>
            <w:noProof/>
            <w:webHidden/>
          </w:rPr>
          <w:fldChar w:fldCharType="separate"/>
        </w:r>
        <w:r w:rsidR="00C640A0">
          <w:rPr>
            <w:noProof/>
            <w:webHidden/>
          </w:rPr>
          <w:t>102</w:t>
        </w:r>
        <w:r w:rsidR="00C640A0">
          <w:rPr>
            <w:noProof/>
            <w:webHidden/>
          </w:rPr>
          <w:fldChar w:fldCharType="end"/>
        </w:r>
      </w:hyperlink>
    </w:p>
    <w:p w14:paraId="5EBAE88E" w14:textId="03964554"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7" w:history="1">
        <w:r w:rsidR="001D692B">
          <w:rPr>
            <w:rStyle w:val="Hyperlink"/>
            <w:noProof/>
          </w:rPr>
          <w:t>Tabela</w:t>
        </w:r>
        <w:r w:rsidR="00C640A0" w:rsidRPr="007C15A3">
          <w:rPr>
            <w:rStyle w:val="Hyperlink"/>
            <w:noProof/>
          </w:rPr>
          <w:t xml:space="preserve"> 13: </w:t>
        </w:r>
        <w:r w:rsidR="001D692B" w:rsidRPr="001D692B">
          <w:rPr>
            <w:rStyle w:val="Hyperlink"/>
            <w:noProof/>
          </w:rPr>
          <w:t>Planirane akcije u okviru Poglavlja Finansijsko upravljanje i kontrola</w:t>
        </w:r>
        <w:r w:rsidR="00C640A0">
          <w:rPr>
            <w:noProof/>
            <w:webHidden/>
          </w:rPr>
          <w:tab/>
        </w:r>
        <w:r w:rsidR="00C640A0">
          <w:rPr>
            <w:noProof/>
            <w:webHidden/>
          </w:rPr>
          <w:fldChar w:fldCharType="begin"/>
        </w:r>
        <w:r w:rsidR="00C640A0">
          <w:rPr>
            <w:noProof/>
            <w:webHidden/>
          </w:rPr>
          <w:instrText xml:space="preserve"> PAGEREF _Toc193895457 \h </w:instrText>
        </w:r>
        <w:r w:rsidR="00C640A0">
          <w:rPr>
            <w:noProof/>
            <w:webHidden/>
          </w:rPr>
        </w:r>
        <w:r w:rsidR="00C640A0">
          <w:rPr>
            <w:noProof/>
            <w:webHidden/>
          </w:rPr>
          <w:fldChar w:fldCharType="separate"/>
        </w:r>
        <w:r w:rsidR="00C640A0">
          <w:rPr>
            <w:noProof/>
            <w:webHidden/>
          </w:rPr>
          <w:t>115</w:t>
        </w:r>
        <w:r w:rsidR="00C640A0">
          <w:rPr>
            <w:noProof/>
            <w:webHidden/>
          </w:rPr>
          <w:fldChar w:fldCharType="end"/>
        </w:r>
      </w:hyperlink>
    </w:p>
    <w:p w14:paraId="43786E85" w14:textId="4E93E748"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8" w:history="1">
        <w:r w:rsidR="001D692B">
          <w:rPr>
            <w:rStyle w:val="Hyperlink"/>
            <w:noProof/>
          </w:rPr>
          <w:t>Tabela</w:t>
        </w:r>
        <w:r w:rsidR="00C640A0" w:rsidRPr="007C15A3">
          <w:rPr>
            <w:rStyle w:val="Hyperlink"/>
            <w:noProof/>
          </w:rPr>
          <w:t xml:space="preserve"> 14: </w:t>
        </w:r>
        <w:r w:rsidR="001D692B" w:rsidRPr="001D692B">
          <w:rPr>
            <w:rStyle w:val="Hyperlink"/>
            <w:noProof/>
          </w:rPr>
          <w:t>Planirane akcije u okviru Poglavlja Vidljivost, transparentnost i komunikacija</w:t>
        </w:r>
        <w:r w:rsidR="00C640A0">
          <w:rPr>
            <w:noProof/>
            <w:webHidden/>
          </w:rPr>
          <w:tab/>
        </w:r>
        <w:r w:rsidR="00C640A0">
          <w:rPr>
            <w:noProof/>
            <w:webHidden/>
          </w:rPr>
          <w:fldChar w:fldCharType="begin"/>
        </w:r>
        <w:r w:rsidR="00C640A0">
          <w:rPr>
            <w:noProof/>
            <w:webHidden/>
          </w:rPr>
          <w:instrText xml:space="preserve"> PAGEREF _Toc193895458 \h </w:instrText>
        </w:r>
        <w:r w:rsidR="00C640A0">
          <w:rPr>
            <w:noProof/>
            <w:webHidden/>
          </w:rPr>
        </w:r>
        <w:r w:rsidR="00C640A0">
          <w:rPr>
            <w:noProof/>
            <w:webHidden/>
          </w:rPr>
          <w:fldChar w:fldCharType="separate"/>
        </w:r>
        <w:r w:rsidR="00C640A0">
          <w:rPr>
            <w:noProof/>
            <w:webHidden/>
          </w:rPr>
          <w:t>121</w:t>
        </w:r>
        <w:r w:rsidR="00C640A0">
          <w:rPr>
            <w:noProof/>
            <w:webHidden/>
          </w:rPr>
          <w:fldChar w:fldCharType="end"/>
        </w:r>
      </w:hyperlink>
    </w:p>
    <w:p w14:paraId="7E34C379" w14:textId="53B53312"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59" w:history="1">
        <w:r w:rsidR="001D692B">
          <w:rPr>
            <w:rStyle w:val="Hyperlink"/>
            <w:rFonts w:cs="Arial"/>
            <w:iCs/>
            <w:noProof/>
          </w:rPr>
          <w:t>Tabela</w:t>
        </w:r>
        <w:r w:rsidR="00C640A0" w:rsidRPr="007C15A3">
          <w:rPr>
            <w:rStyle w:val="Hyperlink"/>
            <w:rFonts w:cs="Arial"/>
            <w:iCs/>
            <w:noProof/>
          </w:rPr>
          <w:t xml:space="preserve"> 15: </w:t>
        </w:r>
        <w:r w:rsidR="00420726">
          <w:rPr>
            <w:rStyle w:val="Hyperlink"/>
            <w:rFonts w:cs="Arial"/>
            <w:iCs/>
            <w:noProof/>
          </w:rPr>
          <w:t>TJZS</w:t>
        </w:r>
        <w:r w:rsidR="001D692B" w:rsidRPr="001D692B">
          <w:rPr>
            <w:rStyle w:val="Hyperlink"/>
            <w:rFonts w:cs="Arial"/>
            <w:iCs/>
            <w:noProof/>
          </w:rPr>
          <w:t xml:space="preserve"> i </w:t>
        </w:r>
        <w:r w:rsidR="00420726">
          <w:rPr>
            <w:rStyle w:val="Hyperlink"/>
            <w:rFonts w:cs="Arial"/>
            <w:iCs/>
            <w:noProof/>
          </w:rPr>
          <w:t>LAJ</w:t>
        </w:r>
        <w:r w:rsidR="001D692B" w:rsidRPr="001D692B">
          <w:rPr>
            <w:rStyle w:val="Hyperlink"/>
            <w:rFonts w:cs="Arial"/>
            <w:iCs/>
            <w:noProof/>
          </w:rPr>
          <w:t xml:space="preserve"> klasifikacije za Crnu Goru</w:t>
        </w:r>
        <w:r w:rsidR="00C640A0">
          <w:rPr>
            <w:noProof/>
            <w:webHidden/>
          </w:rPr>
          <w:tab/>
        </w:r>
        <w:r w:rsidR="00C640A0">
          <w:rPr>
            <w:noProof/>
            <w:webHidden/>
          </w:rPr>
          <w:fldChar w:fldCharType="begin"/>
        </w:r>
        <w:r w:rsidR="00C640A0">
          <w:rPr>
            <w:noProof/>
            <w:webHidden/>
          </w:rPr>
          <w:instrText xml:space="preserve"> PAGEREF _Toc193895459 \h </w:instrText>
        </w:r>
        <w:r w:rsidR="00C640A0">
          <w:rPr>
            <w:noProof/>
            <w:webHidden/>
          </w:rPr>
        </w:r>
        <w:r w:rsidR="00C640A0">
          <w:rPr>
            <w:noProof/>
            <w:webHidden/>
          </w:rPr>
          <w:fldChar w:fldCharType="separate"/>
        </w:r>
        <w:r w:rsidR="00C640A0">
          <w:rPr>
            <w:noProof/>
            <w:webHidden/>
          </w:rPr>
          <w:t>125</w:t>
        </w:r>
        <w:r w:rsidR="00C640A0">
          <w:rPr>
            <w:noProof/>
            <w:webHidden/>
          </w:rPr>
          <w:fldChar w:fldCharType="end"/>
        </w:r>
      </w:hyperlink>
    </w:p>
    <w:p w14:paraId="493BED05" w14:textId="5EF4781A" w:rsidR="00C640A0" w:rsidRDefault="00B54ABB">
      <w:pPr>
        <w:pStyle w:val="TableofFigures"/>
        <w:tabs>
          <w:tab w:val="right" w:leader="dot" w:pos="9350"/>
        </w:tabs>
        <w:rPr>
          <w:rFonts w:asciiTheme="minorHAnsi" w:eastAsiaTheme="minorEastAsia" w:hAnsiTheme="minorHAnsi"/>
          <w:i w:val="0"/>
          <w:noProof/>
          <w:sz w:val="24"/>
          <w:szCs w:val="24"/>
          <w:lang w:eastAsia="en-GB"/>
        </w:rPr>
      </w:pPr>
      <w:hyperlink w:anchor="_Toc193895460" w:history="1">
        <w:r w:rsidR="001D692B">
          <w:rPr>
            <w:rStyle w:val="Hyperlink"/>
            <w:rFonts w:cs="Arial"/>
            <w:iCs/>
            <w:noProof/>
          </w:rPr>
          <w:t>Tabela</w:t>
        </w:r>
        <w:r w:rsidR="00C640A0" w:rsidRPr="007C15A3">
          <w:rPr>
            <w:rStyle w:val="Hyperlink"/>
            <w:rFonts w:cs="Arial"/>
            <w:iCs/>
            <w:noProof/>
          </w:rPr>
          <w:t xml:space="preserve"> 16: </w:t>
        </w:r>
        <w:r w:rsidR="001D692B" w:rsidRPr="001D692B">
          <w:rPr>
            <w:rStyle w:val="Hyperlink"/>
            <w:rFonts w:cs="Arial"/>
            <w:iCs/>
            <w:noProof/>
          </w:rPr>
          <w:t>Planirane akcije u okviru Poglavlja Statistika</w:t>
        </w:r>
        <w:r w:rsidR="00C640A0">
          <w:rPr>
            <w:noProof/>
            <w:webHidden/>
          </w:rPr>
          <w:tab/>
        </w:r>
        <w:r w:rsidR="00C640A0">
          <w:rPr>
            <w:noProof/>
            <w:webHidden/>
          </w:rPr>
          <w:fldChar w:fldCharType="begin"/>
        </w:r>
        <w:r w:rsidR="00C640A0">
          <w:rPr>
            <w:noProof/>
            <w:webHidden/>
          </w:rPr>
          <w:instrText xml:space="preserve"> PAGEREF _Toc193895460 \h </w:instrText>
        </w:r>
        <w:r w:rsidR="00C640A0">
          <w:rPr>
            <w:noProof/>
            <w:webHidden/>
          </w:rPr>
        </w:r>
        <w:r w:rsidR="00C640A0">
          <w:rPr>
            <w:noProof/>
            <w:webHidden/>
          </w:rPr>
          <w:fldChar w:fldCharType="separate"/>
        </w:r>
        <w:r w:rsidR="00C640A0">
          <w:rPr>
            <w:noProof/>
            <w:webHidden/>
          </w:rPr>
          <w:t>127</w:t>
        </w:r>
        <w:r w:rsidR="00C640A0">
          <w:rPr>
            <w:noProof/>
            <w:webHidden/>
          </w:rPr>
          <w:fldChar w:fldCharType="end"/>
        </w:r>
      </w:hyperlink>
    </w:p>
    <w:p w14:paraId="3F30F8FD" w14:textId="1B00C098" w:rsidR="00736D83" w:rsidRPr="00B83578" w:rsidRDefault="53C1DCBA" w:rsidP="009E6C31">
      <w:pPr>
        <w:rPr>
          <w:rFonts w:cs="Arial"/>
        </w:rPr>
      </w:pPr>
      <w:r w:rsidRPr="00B83578">
        <w:rPr>
          <w:rFonts w:cs="Arial"/>
          <w:i/>
        </w:rPr>
        <w:fldChar w:fldCharType="end"/>
      </w:r>
    </w:p>
    <w:p w14:paraId="0112A80F" w14:textId="4E23B925" w:rsidR="00736D83" w:rsidRPr="00B83578" w:rsidRDefault="00694814" w:rsidP="009E6C31">
      <w:pPr>
        <w:pStyle w:val="Subtitle"/>
        <w:rPr>
          <w:rFonts w:cs="Arial"/>
        </w:rPr>
      </w:pPr>
      <w:r w:rsidRPr="00B83578">
        <w:rPr>
          <w:rFonts w:cs="Arial"/>
        </w:rPr>
        <w:t>List</w:t>
      </w:r>
      <w:r w:rsidR="00CA5A31">
        <w:rPr>
          <w:rFonts w:cs="Arial"/>
        </w:rPr>
        <w:t>a skraćenica</w:t>
      </w:r>
    </w:p>
    <w:tbl>
      <w:tblPr>
        <w:tblW w:w="0" w:type="auto"/>
        <w:tblBorders>
          <w:insideH w:val="single" w:sz="4" w:space="0" w:color="77206D" w:themeColor="accent5" w:themeShade="BF"/>
        </w:tblBorders>
        <w:tblLayout w:type="fixed"/>
        <w:tblLook w:val="04A0" w:firstRow="1" w:lastRow="0" w:firstColumn="1" w:lastColumn="0" w:noHBand="0" w:noVBand="1"/>
      </w:tblPr>
      <w:tblGrid>
        <w:gridCol w:w="1134"/>
        <w:gridCol w:w="7892"/>
      </w:tblGrid>
      <w:tr w:rsidR="00EC139C" w:rsidRPr="00B83578" w14:paraId="093F25F2" w14:textId="77777777" w:rsidTr="00E6468C">
        <w:trPr>
          <w:trHeight w:val="295"/>
        </w:trPr>
        <w:tc>
          <w:tcPr>
            <w:tcW w:w="1134" w:type="dxa"/>
            <w:shd w:val="clear" w:color="auto" w:fill="auto"/>
            <w:noWrap/>
          </w:tcPr>
          <w:p w14:paraId="06FEC028" w14:textId="1E8B712B" w:rsidR="00EC139C" w:rsidRPr="00B83578" w:rsidRDefault="00F6773D" w:rsidP="00E6468C">
            <w:pPr>
              <w:rPr>
                <w:rFonts w:eastAsia="Times New Roman" w:cs="Arial"/>
                <w:b/>
                <w:bCs/>
                <w:sz w:val="16"/>
                <w:szCs w:val="16"/>
                <w:lang w:eastAsia="en-GB"/>
              </w:rPr>
            </w:pPr>
            <w:r>
              <w:rPr>
                <w:rFonts w:eastAsia="Times New Roman" w:cs="Arial"/>
                <w:b/>
                <w:bCs/>
                <w:sz w:val="16"/>
                <w:szCs w:val="16"/>
                <w:lang w:eastAsia="en-GB"/>
              </w:rPr>
              <w:t>RT</w:t>
            </w:r>
          </w:p>
        </w:tc>
        <w:tc>
          <w:tcPr>
            <w:tcW w:w="7892" w:type="dxa"/>
            <w:shd w:val="clear" w:color="auto" w:fill="auto"/>
            <w:noWrap/>
          </w:tcPr>
          <w:p w14:paraId="761E736D" w14:textId="7DD06011" w:rsidR="00EC139C" w:rsidRPr="00B83578" w:rsidRDefault="009933C2" w:rsidP="00E6468C">
            <w:pPr>
              <w:rPr>
                <w:rFonts w:eastAsia="Times New Roman" w:cs="Arial"/>
                <w:sz w:val="16"/>
                <w:szCs w:val="16"/>
                <w:lang w:eastAsia="en-GB"/>
              </w:rPr>
            </w:pPr>
            <w:r>
              <w:rPr>
                <w:rFonts w:eastAsia="Times New Roman" w:cs="Arial"/>
                <w:sz w:val="16"/>
                <w:szCs w:val="16"/>
                <w:lang w:eastAsia="en-GB"/>
              </w:rPr>
              <w:t>Revizorsko tijelo</w:t>
            </w:r>
          </w:p>
        </w:tc>
      </w:tr>
      <w:tr w:rsidR="00EC139C" w:rsidRPr="00B83578" w14:paraId="2C84963C" w14:textId="77777777" w:rsidTr="00E6468C">
        <w:trPr>
          <w:trHeight w:val="295"/>
        </w:trPr>
        <w:tc>
          <w:tcPr>
            <w:tcW w:w="1134" w:type="dxa"/>
            <w:shd w:val="clear" w:color="auto" w:fill="auto"/>
            <w:noWrap/>
          </w:tcPr>
          <w:p w14:paraId="569F6671"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AAP</w:t>
            </w:r>
          </w:p>
        </w:tc>
        <w:tc>
          <w:tcPr>
            <w:tcW w:w="7892" w:type="dxa"/>
            <w:shd w:val="clear" w:color="auto" w:fill="auto"/>
            <w:noWrap/>
          </w:tcPr>
          <w:p w14:paraId="3C29D95D" w14:textId="4020E1D7" w:rsidR="00EC139C" w:rsidRPr="00B83578" w:rsidRDefault="009933C2" w:rsidP="00E6468C">
            <w:pPr>
              <w:rPr>
                <w:rFonts w:eastAsia="Times New Roman" w:cs="Arial"/>
                <w:sz w:val="16"/>
                <w:szCs w:val="16"/>
                <w:lang w:eastAsia="en-GB"/>
              </w:rPr>
            </w:pPr>
            <w:r>
              <w:rPr>
                <w:rFonts w:eastAsia="Times New Roman" w:cs="Arial"/>
                <w:sz w:val="16"/>
                <w:szCs w:val="16"/>
                <w:lang w:eastAsia="en-GB"/>
              </w:rPr>
              <w:t>Godišnji akcioni p</w:t>
            </w:r>
            <w:r w:rsidR="000270DD">
              <w:rPr>
                <w:rFonts w:eastAsia="Times New Roman" w:cs="Arial"/>
                <w:sz w:val="16"/>
                <w:szCs w:val="16"/>
                <w:lang w:eastAsia="en-GB"/>
              </w:rPr>
              <w:t>rogram</w:t>
            </w:r>
          </w:p>
        </w:tc>
      </w:tr>
      <w:tr w:rsidR="00EC139C" w:rsidRPr="00B83578" w14:paraId="1D2E3E18" w14:textId="77777777" w:rsidTr="00E6468C">
        <w:trPr>
          <w:trHeight w:val="295"/>
        </w:trPr>
        <w:tc>
          <w:tcPr>
            <w:tcW w:w="1134" w:type="dxa"/>
            <w:shd w:val="clear" w:color="auto" w:fill="auto"/>
            <w:noWrap/>
          </w:tcPr>
          <w:p w14:paraId="75844047" w14:textId="68B6FBA3" w:rsidR="00EC139C" w:rsidRPr="00BD37BF" w:rsidRDefault="00F6773D" w:rsidP="00E6468C">
            <w:pPr>
              <w:rPr>
                <w:rFonts w:eastAsia="Times New Roman" w:cs="Arial"/>
                <w:b/>
                <w:bCs/>
                <w:sz w:val="16"/>
                <w:szCs w:val="16"/>
                <w:lang w:eastAsia="en-GB"/>
              </w:rPr>
            </w:pPr>
            <w:r>
              <w:rPr>
                <w:rFonts w:eastAsia="Times New Roman" w:cs="Arial"/>
                <w:b/>
                <w:bCs/>
                <w:sz w:val="16"/>
                <w:szCs w:val="16"/>
                <w:lang w:eastAsia="en-GB"/>
              </w:rPr>
              <w:t>TZR</w:t>
            </w:r>
          </w:p>
        </w:tc>
        <w:tc>
          <w:tcPr>
            <w:tcW w:w="7892" w:type="dxa"/>
            <w:shd w:val="clear" w:color="auto" w:fill="auto"/>
            <w:noWrap/>
          </w:tcPr>
          <w:p w14:paraId="6DA2E4BE" w14:textId="02B7BA49" w:rsidR="00EC139C" w:rsidRPr="00BD37BF" w:rsidRDefault="000270DD" w:rsidP="00E6468C">
            <w:pPr>
              <w:rPr>
                <w:rFonts w:eastAsia="Times New Roman" w:cs="Arial"/>
                <w:sz w:val="16"/>
                <w:szCs w:val="16"/>
                <w:lang w:eastAsia="en-GB"/>
              </w:rPr>
            </w:pPr>
            <w:r>
              <w:rPr>
                <w:rFonts w:eastAsia="Times New Roman" w:cs="Arial"/>
                <w:sz w:val="16"/>
                <w:szCs w:val="16"/>
                <w:lang w:eastAsia="en-GB"/>
              </w:rPr>
              <w:t>Tijelo za r</w:t>
            </w:r>
            <w:r w:rsidR="009933C2" w:rsidRPr="00BD37BF">
              <w:rPr>
                <w:rFonts w:eastAsia="Times New Roman" w:cs="Arial"/>
                <w:sz w:val="16"/>
                <w:szCs w:val="16"/>
                <w:lang w:eastAsia="en-GB"/>
              </w:rPr>
              <w:t>ačunovodstv</w:t>
            </w:r>
            <w:r>
              <w:rPr>
                <w:rFonts w:eastAsia="Times New Roman" w:cs="Arial"/>
                <w:sz w:val="16"/>
                <w:szCs w:val="16"/>
                <w:lang w:eastAsia="en-GB"/>
              </w:rPr>
              <w:t>o</w:t>
            </w:r>
          </w:p>
        </w:tc>
      </w:tr>
      <w:tr w:rsidR="00EC139C" w:rsidRPr="00B83578" w14:paraId="47472EAA" w14:textId="77777777" w:rsidTr="00E6468C">
        <w:trPr>
          <w:trHeight w:val="295"/>
        </w:trPr>
        <w:tc>
          <w:tcPr>
            <w:tcW w:w="1134" w:type="dxa"/>
            <w:shd w:val="clear" w:color="auto" w:fill="auto"/>
            <w:noWrap/>
          </w:tcPr>
          <w:p w14:paraId="1210D5F2"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AFCOS</w:t>
            </w:r>
          </w:p>
        </w:tc>
        <w:tc>
          <w:tcPr>
            <w:tcW w:w="7892" w:type="dxa"/>
            <w:shd w:val="clear" w:color="auto" w:fill="auto"/>
            <w:noWrap/>
          </w:tcPr>
          <w:p w14:paraId="2AEC535F" w14:textId="7886664F" w:rsidR="00EC139C" w:rsidRPr="00B83578" w:rsidRDefault="009933C2" w:rsidP="00E6468C">
            <w:pPr>
              <w:rPr>
                <w:rFonts w:eastAsia="Times New Roman" w:cs="Arial"/>
                <w:sz w:val="16"/>
                <w:szCs w:val="16"/>
                <w:lang w:eastAsia="en-GB"/>
              </w:rPr>
            </w:pPr>
            <w:r>
              <w:rPr>
                <w:rFonts w:eastAsia="Times New Roman" w:cs="Arial"/>
                <w:sz w:val="16"/>
                <w:szCs w:val="16"/>
                <w:lang w:eastAsia="en-GB"/>
              </w:rPr>
              <w:t>Sistem za borbu protiv prevara</w:t>
            </w:r>
          </w:p>
        </w:tc>
      </w:tr>
      <w:tr w:rsidR="00446023" w:rsidRPr="00B83578" w14:paraId="7872A0BE" w14:textId="77777777" w:rsidTr="00E6468C">
        <w:trPr>
          <w:trHeight w:val="295"/>
        </w:trPr>
        <w:tc>
          <w:tcPr>
            <w:tcW w:w="1134" w:type="dxa"/>
            <w:shd w:val="clear" w:color="auto" w:fill="auto"/>
            <w:noWrap/>
          </w:tcPr>
          <w:p w14:paraId="2CD9259C" w14:textId="3358D686" w:rsidR="00446023" w:rsidRPr="00B83578" w:rsidRDefault="00446023" w:rsidP="00E6468C">
            <w:pPr>
              <w:rPr>
                <w:rFonts w:eastAsia="Times New Roman" w:cs="Arial"/>
                <w:b/>
                <w:bCs/>
                <w:sz w:val="16"/>
                <w:szCs w:val="16"/>
                <w:lang w:eastAsia="en-GB"/>
              </w:rPr>
            </w:pPr>
            <w:r w:rsidRPr="00B83578">
              <w:rPr>
                <w:rFonts w:eastAsia="Times New Roman" w:cs="Arial"/>
                <w:b/>
                <w:bCs/>
                <w:sz w:val="16"/>
                <w:szCs w:val="16"/>
                <w:lang w:eastAsia="en-GB"/>
              </w:rPr>
              <w:t>AL</w:t>
            </w:r>
          </w:p>
        </w:tc>
        <w:tc>
          <w:tcPr>
            <w:tcW w:w="7892" w:type="dxa"/>
            <w:shd w:val="clear" w:color="auto" w:fill="auto"/>
            <w:noWrap/>
          </w:tcPr>
          <w:p w14:paraId="2184A31F" w14:textId="5404D8A6" w:rsidR="00446023" w:rsidRPr="00B83578" w:rsidRDefault="00446023" w:rsidP="00E6468C">
            <w:pPr>
              <w:rPr>
                <w:rFonts w:eastAsia="Times New Roman" w:cs="Arial"/>
                <w:sz w:val="16"/>
                <w:szCs w:val="16"/>
                <w:lang w:eastAsia="en-GB"/>
              </w:rPr>
            </w:pPr>
            <w:r w:rsidRPr="00B83578">
              <w:rPr>
                <w:rFonts w:eastAsia="Times New Roman" w:cs="Arial"/>
                <w:sz w:val="16"/>
                <w:szCs w:val="16"/>
                <w:lang w:eastAsia="en-GB"/>
              </w:rPr>
              <w:t>Albani</w:t>
            </w:r>
            <w:r w:rsidR="009933C2">
              <w:rPr>
                <w:rFonts w:eastAsia="Times New Roman" w:cs="Arial"/>
                <w:sz w:val="16"/>
                <w:szCs w:val="16"/>
                <w:lang w:eastAsia="en-GB"/>
              </w:rPr>
              <w:t>ja</w:t>
            </w:r>
          </w:p>
        </w:tc>
      </w:tr>
      <w:tr w:rsidR="006E5CDE" w:rsidRPr="00B83578" w14:paraId="00070D68" w14:textId="77777777" w:rsidTr="00E6468C">
        <w:trPr>
          <w:trHeight w:val="295"/>
        </w:trPr>
        <w:tc>
          <w:tcPr>
            <w:tcW w:w="1134" w:type="dxa"/>
            <w:shd w:val="clear" w:color="auto" w:fill="auto"/>
            <w:noWrap/>
          </w:tcPr>
          <w:p w14:paraId="2BF3ED21" w14:textId="15BCBF7D" w:rsidR="006E5CDE" w:rsidRPr="00B83578" w:rsidRDefault="006E5CDE" w:rsidP="00E6468C">
            <w:pPr>
              <w:rPr>
                <w:rFonts w:eastAsia="Times New Roman" w:cs="Arial"/>
                <w:b/>
                <w:bCs/>
                <w:sz w:val="16"/>
                <w:szCs w:val="16"/>
                <w:lang w:eastAsia="en-GB"/>
              </w:rPr>
            </w:pPr>
            <w:r>
              <w:rPr>
                <w:rFonts w:eastAsia="Times New Roman" w:cs="Arial"/>
                <w:b/>
                <w:bCs/>
                <w:sz w:val="16"/>
                <w:szCs w:val="16"/>
                <w:lang w:eastAsia="en-GB"/>
              </w:rPr>
              <w:t>BM</w:t>
            </w:r>
          </w:p>
        </w:tc>
        <w:tc>
          <w:tcPr>
            <w:tcW w:w="7892" w:type="dxa"/>
            <w:shd w:val="clear" w:color="auto" w:fill="auto"/>
            <w:noWrap/>
          </w:tcPr>
          <w:p w14:paraId="47DCE341" w14:textId="0C866C11" w:rsidR="006E5CDE" w:rsidRPr="00B83578" w:rsidRDefault="009933C2" w:rsidP="00E6468C">
            <w:pPr>
              <w:rPr>
                <w:rFonts w:eastAsia="Times New Roman" w:cs="Arial"/>
                <w:sz w:val="16"/>
                <w:szCs w:val="16"/>
                <w:lang w:eastAsia="en-GB"/>
              </w:rPr>
            </w:pPr>
            <w:r>
              <w:rPr>
                <w:rFonts w:eastAsia="Times New Roman" w:cs="Arial"/>
                <w:sz w:val="16"/>
                <w:szCs w:val="16"/>
                <w:lang w:eastAsia="en-GB"/>
              </w:rPr>
              <w:t>Mjerilo</w:t>
            </w:r>
          </w:p>
        </w:tc>
      </w:tr>
      <w:tr w:rsidR="00EC139C" w:rsidRPr="00B83578" w14:paraId="2540569E" w14:textId="77777777" w:rsidTr="00E6468C">
        <w:trPr>
          <w:trHeight w:val="295"/>
        </w:trPr>
        <w:tc>
          <w:tcPr>
            <w:tcW w:w="1134" w:type="dxa"/>
            <w:shd w:val="clear" w:color="auto" w:fill="auto"/>
            <w:noWrap/>
          </w:tcPr>
          <w:p w14:paraId="10D610B8" w14:textId="6758909A"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UGT</w:t>
            </w:r>
          </w:p>
        </w:tc>
        <w:tc>
          <w:tcPr>
            <w:tcW w:w="7892" w:type="dxa"/>
            <w:shd w:val="clear" w:color="auto" w:fill="auto"/>
            <w:noWrap/>
          </w:tcPr>
          <w:p w14:paraId="7F4C17F7" w14:textId="0C31F70E" w:rsidR="00EC139C" w:rsidRPr="00B83578" w:rsidRDefault="009933C2" w:rsidP="00E6468C">
            <w:pPr>
              <w:rPr>
                <w:rFonts w:eastAsia="Times New Roman" w:cs="Arial"/>
                <w:sz w:val="16"/>
                <w:szCs w:val="16"/>
                <w:lang w:eastAsia="en-GB"/>
              </w:rPr>
            </w:pPr>
            <w:r w:rsidRPr="005B55A5">
              <w:rPr>
                <w:rFonts w:eastAsia="Times New Roman" w:cs="Arial"/>
                <w:sz w:val="16"/>
                <w:szCs w:val="16"/>
                <w:lang w:eastAsia="en-GB"/>
              </w:rPr>
              <w:t>Ugovorn</w:t>
            </w:r>
            <w:r w:rsidR="00477A44">
              <w:rPr>
                <w:rFonts w:eastAsia="Times New Roman" w:cs="Arial"/>
                <w:sz w:val="16"/>
                <w:szCs w:val="16"/>
                <w:lang w:eastAsia="en-GB"/>
              </w:rPr>
              <w:t>o tijelo</w:t>
            </w:r>
          </w:p>
        </w:tc>
      </w:tr>
      <w:tr w:rsidR="00446023" w:rsidRPr="00B83578" w14:paraId="1FE4F1A8" w14:textId="77777777" w:rsidTr="00E6468C">
        <w:trPr>
          <w:trHeight w:val="295"/>
        </w:trPr>
        <w:tc>
          <w:tcPr>
            <w:tcW w:w="1134" w:type="dxa"/>
            <w:shd w:val="clear" w:color="auto" w:fill="auto"/>
            <w:noWrap/>
          </w:tcPr>
          <w:p w14:paraId="5FE98168" w14:textId="7EB5BB72" w:rsidR="00446023" w:rsidRPr="00B83578" w:rsidRDefault="00B24B2D" w:rsidP="00E6468C">
            <w:pPr>
              <w:rPr>
                <w:rFonts w:eastAsia="Times New Roman" w:cs="Arial"/>
                <w:b/>
                <w:bCs/>
                <w:sz w:val="16"/>
                <w:szCs w:val="16"/>
                <w:lang w:eastAsia="en-GB"/>
              </w:rPr>
            </w:pPr>
            <w:r>
              <w:rPr>
                <w:rFonts w:eastAsia="Times New Roman" w:cs="Arial"/>
                <w:b/>
                <w:bCs/>
                <w:sz w:val="16"/>
                <w:szCs w:val="16"/>
                <w:lang w:eastAsia="en-GB"/>
              </w:rPr>
              <w:t>DAP</w:t>
            </w:r>
          </w:p>
        </w:tc>
        <w:tc>
          <w:tcPr>
            <w:tcW w:w="7892" w:type="dxa"/>
            <w:shd w:val="clear" w:color="auto" w:fill="auto"/>
            <w:noWrap/>
          </w:tcPr>
          <w:p w14:paraId="1C1655C4" w14:textId="6C2450D8" w:rsidR="00446023" w:rsidRPr="00B83578" w:rsidRDefault="00BC4732" w:rsidP="00E6468C">
            <w:pPr>
              <w:rPr>
                <w:rFonts w:eastAsia="Times New Roman" w:cs="Arial"/>
                <w:sz w:val="16"/>
                <w:szCs w:val="16"/>
                <w:lang w:eastAsia="en-GB"/>
              </w:rPr>
            </w:pPr>
            <w:r>
              <w:rPr>
                <w:rFonts w:eastAsia="Times New Roman" w:cs="Arial"/>
                <w:sz w:val="16"/>
                <w:szCs w:val="16"/>
                <w:lang w:eastAsia="en-GB"/>
              </w:rPr>
              <w:t>Državni akcioni program</w:t>
            </w:r>
          </w:p>
        </w:tc>
      </w:tr>
      <w:tr w:rsidR="00EC139C" w:rsidRPr="00B83578" w14:paraId="5F8007C2" w14:textId="77777777" w:rsidTr="00E6468C">
        <w:trPr>
          <w:trHeight w:val="295"/>
        </w:trPr>
        <w:tc>
          <w:tcPr>
            <w:tcW w:w="1134" w:type="dxa"/>
            <w:shd w:val="clear" w:color="auto" w:fill="auto"/>
            <w:noWrap/>
          </w:tcPr>
          <w:p w14:paraId="3047B6DA" w14:textId="0CB39A91" w:rsidR="00EC139C" w:rsidRPr="00B83578" w:rsidRDefault="00296F66" w:rsidP="00E6468C">
            <w:pPr>
              <w:rPr>
                <w:rFonts w:eastAsia="Times New Roman" w:cs="Arial"/>
                <w:sz w:val="16"/>
                <w:szCs w:val="16"/>
                <w:lang w:eastAsia="en-GB"/>
              </w:rPr>
            </w:pPr>
            <w:r>
              <w:rPr>
                <w:rFonts w:eastAsia="Times New Roman" w:cs="Arial"/>
                <w:b/>
                <w:bCs/>
                <w:sz w:val="16"/>
                <w:szCs w:val="16"/>
                <w:lang w:eastAsia="en-GB"/>
              </w:rPr>
              <w:t>P</w:t>
            </w:r>
            <w:r w:rsidR="00D858E0">
              <w:rPr>
                <w:rFonts w:eastAsia="Times New Roman" w:cs="Arial"/>
                <w:b/>
                <w:bCs/>
                <w:sz w:val="16"/>
                <w:szCs w:val="16"/>
                <w:lang w:eastAsia="en-GB"/>
              </w:rPr>
              <w:t>GS</w:t>
            </w:r>
          </w:p>
        </w:tc>
        <w:tc>
          <w:tcPr>
            <w:tcW w:w="7892" w:type="dxa"/>
            <w:shd w:val="clear" w:color="auto" w:fill="auto"/>
            <w:noWrap/>
          </w:tcPr>
          <w:p w14:paraId="4A3E9FAA" w14:textId="5E6418E9" w:rsidR="00EC139C" w:rsidRPr="00B83578" w:rsidRDefault="00BC4732" w:rsidP="00E6468C">
            <w:pPr>
              <w:rPr>
                <w:rFonts w:eastAsia="Times New Roman" w:cs="Arial"/>
                <w:sz w:val="16"/>
                <w:szCs w:val="16"/>
                <w:lang w:eastAsia="en-GB"/>
              </w:rPr>
            </w:pPr>
            <w:r>
              <w:rPr>
                <w:rFonts w:eastAsia="Times New Roman" w:cs="Arial"/>
                <w:sz w:val="16"/>
                <w:szCs w:val="16"/>
                <w:lang w:eastAsia="en-GB"/>
              </w:rPr>
              <w:t>Prekogranična saradnja</w:t>
            </w:r>
          </w:p>
        </w:tc>
      </w:tr>
      <w:tr w:rsidR="00EC139C" w:rsidRPr="00B83578" w14:paraId="046A2C72" w14:textId="77777777" w:rsidTr="00E6468C">
        <w:trPr>
          <w:trHeight w:val="295"/>
        </w:trPr>
        <w:tc>
          <w:tcPr>
            <w:tcW w:w="1134" w:type="dxa"/>
            <w:shd w:val="clear" w:color="auto" w:fill="auto"/>
            <w:noWrap/>
          </w:tcPr>
          <w:p w14:paraId="4DB696DC"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CFCU</w:t>
            </w:r>
          </w:p>
        </w:tc>
        <w:tc>
          <w:tcPr>
            <w:tcW w:w="7892" w:type="dxa"/>
            <w:shd w:val="clear" w:color="auto" w:fill="auto"/>
            <w:noWrap/>
          </w:tcPr>
          <w:p w14:paraId="70C659A6" w14:textId="2AA8A717" w:rsidR="00EC139C" w:rsidRPr="00B83578" w:rsidRDefault="00BC4732" w:rsidP="00E6468C">
            <w:pPr>
              <w:rPr>
                <w:rFonts w:eastAsia="Times New Roman" w:cs="Arial"/>
                <w:sz w:val="16"/>
                <w:szCs w:val="16"/>
                <w:lang w:eastAsia="en-GB"/>
              </w:rPr>
            </w:pPr>
            <w:r>
              <w:rPr>
                <w:rFonts w:eastAsia="Times New Roman" w:cs="Arial"/>
                <w:sz w:val="16"/>
                <w:szCs w:val="16"/>
                <w:lang w:eastAsia="en-GB"/>
              </w:rPr>
              <w:t xml:space="preserve">Direktorat za finansiranje, ugovaranje i </w:t>
            </w:r>
            <w:r w:rsidR="00A80895">
              <w:rPr>
                <w:rFonts w:eastAsia="Times New Roman" w:cs="Arial"/>
                <w:sz w:val="16"/>
                <w:szCs w:val="16"/>
                <w:lang w:eastAsia="en-GB"/>
              </w:rPr>
              <w:t>implementaciju</w:t>
            </w:r>
            <w:r>
              <w:rPr>
                <w:rFonts w:eastAsia="Times New Roman" w:cs="Arial"/>
                <w:sz w:val="16"/>
                <w:szCs w:val="16"/>
                <w:lang w:eastAsia="en-GB"/>
              </w:rPr>
              <w:t xml:space="preserve"> EU fondova za </w:t>
            </w:r>
            <w:r w:rsidR="00477A44">
              <w:rPr>
                <w:rFonts w:eastAsia="Times New Roman" w:cs="Arial"/>
                <w:sz w:val="16"/>
                <w:szCs w:val="16"/>
                <w:lang w:eastAsia="en-GB"/>
              </w:rPr>
              <w:t>podršku</w:t>
            </w:r>
          </w:p>
        </w:tc>
      </w:tr>
      <w:tr w:rsidR="00EC139C" w:rsidRPr="00B83578" w14:paraId="65AEC289" w14:textId="77777777" w:rsidTr="00E6468C">
        <w:trPr>
          <w:trHeight w:val="295"/>
        </w:trPr>
        <w:tc>
          <w:tcPr>
            <w:tcW w:w="1134" w:type="dxa"/>
            <w:shd w:val="clear" w:color="auto" w:fill="auto"/>
            <w:noWrap/>
          </w:tcPr>
          <w:p w14:paraId="7837BDB2" w14:textId="5CE809EB"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C</w:t>
            </w:r>
            <w:r w:rsidR="00296F66">
              <w:rPr>
                <w:rFonts w:eastAsia="Times New Roman" w:cs="Arial"/>
                <w:b/>
                <w:bCs/>
                <w:sz w:val="16"/>
                <w:szCs w:val="16"/>
                <w:lang w:eastAsia="en-GB"/>
              </w:rPr>
              <w:t>JH</w:t>
            </w:r>
          </w:p>
        </w:tc>
        <w:tc>
          <w:tcPr>
            <w:tcW w:w="7892" w:type="dxa"/>
            <w:shd w:val="clear" w:color="auto" w:fill="auto"/>
            <w:noWrap/>
          </w:tcPr>
          <w:p w14:paraId="0D753CEB" w14:textId="5FBE9881"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Central</w:t>
            </w:r>
            <w:r w:rsidR="00BC4732">
              <w:rPr>
                <w:rFonts w:eastAsia="Times New Roman" w:cs="Arial"/>
                <w:sz w:val="16"/>
                <w:szCs w:val="16"/>
                <w:lang w:eastAsia="en-GB"/>
              </w:rPr>
              <w:t>na jedinica za harmonizaciju</w:t>
            </w:r>
          </w:p>
        </w:tc>
      </w:tr>
      <w:tr w:rsidR="00EC139C" w:rsidRPr="00B83578" w14:paraId="34CC358C" w14:textId="77777777" w:rsidTr="00E6468C">
        <w:trPr>
          <w:trHeight w:val="295"/>
        </w:trPr>
        <w:tc>
          <w:tcPr>
            <w:tcW w:w="1134" w:type="dxa"/>
            <w:shd w:val="clear" w:color="auto" w:fill="auto"/>
            <w:noWrap/>
          </w:tcPr>
          <w:p w14:paraId="7C69E053" w14:textId="698C7898" w:rsidR="00EC139C" w:rsidRPr="00C8498D" w:rsidRDefault="00296F66" w:rsidP="00E6468C">
            <w:pPr>
              <w:rPr>
                <w:rFonts w:eastAsia="Times New Roman" w:cs="Arial"/>
                <w:b/>
                <w:bCs/>
                <w:sz w:val="16"/>
                <w:szCs w:val="16"/>
                <w:lang w:eastAsia="en-GB"/>
              </w:rPr>
            </w:pPr>
            <w:r>
              <w:rPr>
                <w:rFonts w:eastAsia="Times New Roman" w:cs="Arial"/>
                <w:b/>
                <w:bCs/>
                <w:sz w:val="16"/>
                <w:szCs w:val="16"/>
                <w:lang w:eastAsia="en-GB"/>
              </w:rPr>
              <w:t>LRPVZ</w:t>
            </w:r>
          </w:p>
        </w:tc>
        <w:tc>
          <w:tcPr>
            <w:tcW w:w="7892" w:type="dxa"/>
            <w:shd w:val="clear" w:color="auto" w:fill="auto"/>
            <w:noWrap/>
          </w:tcPr>
          <w:p w14:paraId="04CFD933" w14:textId="3466AD83" w:rsidR="00EC139C" w:rsidRPr="00C8498D" w:rsidRDefault="00BC4732" w:rsidP="00E6468C">
            <w:pPr>
              <w:rPr>
                <w:rFonts w:eastAsia="Times New Roman" w:cs="Arial"/>
                <w:sz w:val="16"/>
                <w:szCs w:val="16"/>
                <w:lang w:eastAsia="en-GB"/>
              </w:rPr>
            </w:pPr>
            <w:r w:rsidRPr="00C8498D">
              <w:rPr>
                <w:rFonts w:eastAsia="Times New Roman" w:cs="Arial"/>
                <w:sz w:val="16"/>
                <w:szCs w:val="16"/>
                <w:lang w:eastAsia="en-GB"/>
              </w:rPr>
              <w:t>Lokaln</w:t>
            </w:r>
            <w:r w:rsidR="00C8498D" w:rsidRPr="00C8498D">
              <w:rPr>
                <w:rFonts w:eastAsia="Times New Roman" w:cs="Arial"/>
                <w:sz w:val="16"/>
                <w:szCs w:val="16"/>
                <w:lang w:eastAsia="en-GB"/>
              </w:rPr>
              <w:t>i razvoj pod vođstvom zajednice</w:t>
            </w:r>
          </w:p>
        </w:tc>
      </w:tr>
      <w:tr w:rsidR="00EC139C" w:rsidRPr="00B83578" w14:paraId="7D219BBB" w14:textId="77777777" w:rsidTr="00E6468C">
        <w:trPr>
          <w:trHeight w:val="295"/>
        </w:trPr>
        <w:tc>
          <w:tcPr>
            <w:tcW w:w="1134" w:type="dxa"/>
            <w:shd w:val="clear" w:color="auto" w:fill="auto"/>
            <w:noWrap/>
          </w:tcPr>
          <w:p w14:paraId="192F024B" w14:textId="27B40B54" w:rsidR="00EC139C" w:rsidRPr="00C8498D" w:rsidRDefault="00296F66" w:rsidP="00E6468C">
            <w:pPr>
              <w:rPr>
                <w:rFonts w:eastAsia="Times New Roman" w:cs="Arial"/>
                <w:b/>
                <w:bCs/>
                <w:sz w:val="16"/>
                <w:szCs w:val="16"/>
                <w:lang w:eastAsia="en-GB"/>
              </w:rPr>
            </w:pPr>
            <w:r>
              <w:rPr>
                <w:rFonts w:eastAsia="Times New Roman" w:cs="Arial"/>
                <w:b/>
                <w:bCs/>
                <w:sz w:val="16"/>
                <w:szCs w:val="16"/>
                <w:lang w:eastAsia="en-GB"/>
              </w:rPr>
              <w:t>UKP</w:t>
            </w:r>
          </w:p>
        </w:tc>
        <w:tc>
          <w:tcPr>
            <w:tcW w:w="7892" w:type="dxa"/>
            <w:shd w:val="clear" w:color="auto" w:fill="auto"/>
            <w:noWrap/>
          </w:tcPr>
          <w:p w14:paraId="3B77C732" w14:textId="0D5462FD" w:rsidR="00EC139C" w:rsidRPr="00C8498D" w:rsidRDefault="00A84581" w:rsidP="00E6468C">
            <w:pPr>
              <w:rPr>
                <w:rFonts w:eastAsia="Times New Roman" w:cs="Arial"/>
                <w:sz w:val="16"/>
                <w:szCs w:val="16"/>
                <w:lang w:eastAsia="en-GB"/>
              </w:rPr>
            </w:pPr>
            <w:r w:rsidRPr="00C8498D">
              <w:rPr>
                <w:rFonts w:eastAsia="Times New Roman" w:cs="Arial"/>
                <w:sz w:val="16"/>
                <w:szCs w:val="16"/>
                <w:lang w:eastAsia="en-GB"/>
              </w:rPr>
              <w:t>Uprava za kapitalne projekte</w:t>
            </w:r>
          </w:p>
        </w:tc>
      </w:tr>
      <w:tr w:rsidR="00EC139C" w:rsidRPr="00B83578" w14:paraId="3519AED3" w14:textId="77777777" w:rsidTr="00E6468C">
        <w:trPr>
          <w:trHeight w:val="295"/>
        </w:trPr>
        <w:tc>
          <w:tcPr>
            <w:tcW w:w="1134" w:type="dxa"/>
            <w:shd w:val="clear" w:color="auto" w:fill="auto"/>
            <w:noWrap/>
          </w:tcPr>
          <w:p w14:paraId="0D605B95" w14:textId="7FDDA8D0"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RZO</w:t>
            </w:r>
          </w:p>
        </w:tc>
        <w:tc>
          <w:tcPr>
            <w:tcW w:w="7892" w:type="dxa"/>
            <w:shd w:val="clear" w:color="auto" w:fill="auto"/>
            <w:noWrap/>
          </w:tcPr>
          <w:p w14:paraId="44A62657" w14:textId="374E1487" w:rsidR="00EC139C" w:rsidRPr="00B83578" w:rsidRDefault="00BC4732" w:rsidP="00E6468C">
            <w:pPr>
              <w:rPr>
                <w:rFonts w:eastAsia="Times New Roman" w:cs="Arial"/>
                <w:sz w:val="16"/>
                <w:szCs w:val="16"/>
                <w:lang w:eastAsia="en-GB"/>
              </w:rPr>
            </w:pPr>
            <w:r>
              <w:rPr>
                <w:rFonts w:eastAsia="Times New Roman" w:cs="Arial"/>
                <w:sz w:val="16"/>
                <w:szCs w:val="16"/>
                <w:lang w:eastAsia="en-GB"/>
              </w:rPr>
              <w:t>Regulativa o zajedničkim odredbama</w:t>
            </w:r>
          </w:p>
        </w:tc>
      </w:tr>
      <w:tr w:rsidR="00EC139C" w:rsidRPr="00B83578" w14:paraId="17D5CBBC" w14:textId="77777777" w:rsidTr="00E6468C">
        <w:trPr>
          <w:trHeight w:val="295"/>
        </w:trPr>
        <w:tc>
          <w:tcPr>
            <w:tcW w:w="1134" w:type="dxa"/>
            <w:shd w:val="clear" w:color="auto" w:fill="auto"/>
            <w:noWrap/>
          </w:tcPr>
          <w:p w14:paraId="3554989D" w14:textId="41381F5F"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OCD</w:t>
            </w:r>
          </w:p>
        </w:tc>
        <w:tc>
          <w:tcPr>
            <w:tcW w:w="7892" w:type="dxa"/>
            <w:shd w:val="clear" w:color="auto" w:fill="auto"/>
            <w:noWrap/>
          </w:tcPr>
          <w:p w14:paraId="096F8F36" w14:textId="4C3280C3" w:rsidR="00EC139C" w:rsidRPr="00B83578" w:rsidRDefault="00A84581" w:rsidP="00E6468C">
            <w:pPr>
              <w:rPr>
                <w:rFonts w:eastAsia="Times New Roman" w:cs="Arial"/>
                <w:sz w:val="16"/>
                <w:szCs w:val="16"/>
                <w:lang w:eastAsia="en-GB"/>
              </w:rPr>
            </w:pPr>
            <w:r w:rsidRPr="00C8498D">
              <w:rPr>
                <w:rFonts w:eastAsia="Times New Roman" w:cs="Arial"/>
                <w:sz w:val="16"/>
                <w:szCs w:val="16"/>
                <w:lang w:eastAsia="en-GB"/>
              </w:rPr>
              <w:t>Organizacij</w:t>
            </w:r>
            <w:r w:rsidR="00C8498D">
              <w:rPr>
                <w:rFonts w:eastAsia="Times New Roman" w:cs="Arial"/>
                <w:sz w:val="16"/>
                <w:szCs w:val="16"/>
                <w:lang w:eastAsia="en-GB"/>
              </w:rPr>
              <w:t>e</w:t>
            </w:r>
            <w:r w:rsidRPr="00C8498D">
              <w:rPr>
                <w:rFonts w:eastAsia="Times New Roman" w:cs="Arial"/>
                <w:sz w:val="16"/>
                <w:szCs w:val="16"/>
                <w:lang w:eastAsia="en-GB"/>
              </w:rPr>
              <w:t xml:space="preserve"> civilnog društva</w:t>
            </w:r>
          </w:p>
        </w:tc>
      </w:tr>
      <w:tr w:rsidR="00EC139C" w:rsidRPr="00B83578" w14:paraId="6FE5B70B" w14:textId="77777777" w:rsidTr="00E6468C">
        <w:trPr>
          <w:trHeight w:val="295"/>
        </w:trPr>
        <w:tc>
          <w:tcPr>
            <w:tcW w:w="1134" w:type="dxa"/>
            <w:shd w:val="clear" w:color="auto" w:fill="auto"/>
            <w:noWrap/>
            <w:vAlign w:val="center"/>
          </w:tcPr>
          <w:p w14:paraId="7FF598DA" w14:textId="3ECC7BFF"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D</w:t>
            </w:r>
            <w:r w:rsidR="00296F66">
              <w:rPr>
                <w:rFonts w:eastAsia="Times New Roman" w:cs="Arial"/>
                <w:b/>
                <w:bCs/>
                <w:sz w:val="16"/>
                <w:szCs w:val="16"/>
                <w:lang w:eastAsia="en-GB"/>
              </w:rPr>
              <w:t>U</w:t>
            </w:r>
            <w:r w:rsidRPr="00B83578">
              <w:rPr>
                <w:rFonts w:eastAsia="Times New Roman" w:cs="Arial"/>
                <w:b/>
                <w:bCs/>
                <w:sz w:val="16"/>
                <w:szCs w:val="16"/>
                <w:lang w:eastAsia="en-GB"/>
              </w:rPr>
              <w:t>S</w:t>
            </w:r>
          </w:p>
        </w:tc>
        <w:tc>
          <w:tcPr>
            <w:tcW w:w="7892" w:type="dxa"/>
            <w:shd w:val="clear" w:color="auto" w:fill="auto"/>
            <w:noWrap/>
            <w:vAlign w:val="center"/>
          </w:tcPr>
          <w:p w14:paraId="0BF5CDD2" w14:textId="05D2861A" w:rsidR="00EC139C" w:rsidRPr="00B83578" w:rsidRDefault="000750F7" w:rsidP="00E6468C">
            <w:pPr>
              <w:rPr>
                <w:rFonts w:eastAsia="Times New Roman" w:cs="Arial"/>
                <w:sz w:val="16"/>
                <w:szCs w:val="16"/>
                <w:lang w:eastAsia="en-GB"/>
              </w:rPr>
            </w:pPr>
            <w:r w:rsidRPr="000750F7">
              <w:rPr>
                <w:rFonts w:eastAsia="Times New Roman" w:cs="Arial"/>
                <w:sz w:val="16"/>
                <w:szCs w:val="16"/>
                <w:lang w:eastAsia="en-GB"/>
              </w:rPr>
              <w:t>Direktorat za upravljačku strukturu</w:t>
            </w:r>
          </w:p>
        </w:tc>
      </w:tr>
      <w:tr w:rsidR="00EC139C" w:rsidRPr="00B83578" w14:paraId="10B0C4A6" w14:textId="77777777" w:rsidTr="00E6468C">
        <w:trPr>
          <w:trHeight w:val="295"/>
        </w:trPr>
        <w:tc>
          <w:tcPr>
            <w:tcW w:w="1134" w:type="dxa"/>
            <w:shd w:val="clear" w:color="auto" w:fill="auto"/>
            <w:noWrap/>
            <w:vAlign w:val="center"/>
          </w:tcPr>
          <w:p w14:paraId="5AAC2551" w14:textId="2C5DECB9"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NNZŠ</w:t>
            </w:r>
          </w:p>
        </w:tc>
        <w:tc>
          <w:tcPr>
            <w:tcW w:w="7892" w:type="dxa"/>
            <w:shd w:val="clear" w:color="auto" w:fill="auto"/>
            <w:noWrap/>
            <w:vAlign w:val="center"/>
          </w:tcPr>
          <w:p w14:paraId="19208C3D" w14:textId="0925AB3F" w:rsidR="00EC139C" w:rsidRPr="00B83578" w:rsidRDefault="00A84581" w:rsidP="00E6468C">
            <w:pPr>
              <w:rPr>
                <w:rFonts w:eastAsia="Times New Roman" w:cs="Arial"/>
                <w:sz w:val="16"/>
                <w:szCs w:val="16"/>
                <w:lang w:eastAsia="en-GB"/>
              </w:rPr>
            </w:pPr>
            <w:r>
              <w:rPr>
                <w:rFonts w:eastAsia="Times New Roman" w:cs="Arial"/>
                <w:sz w:val="16"/>
                <w:szCs w:val="16"/>
                <w:lang w:eastAsia="en-GB"/>
              </w:rPr>
              <w:t>Ne nanijeti značajnu štetu</w:t>
            </w:r>
          </w:p>
        </w:tc>
      </w:tr>
      <w:tr w:rsidR="00446023" w:rsidRPr="00B83578" w14:paraId="0493CFBB" w14:textId="77777777" w:rsidTr="00E6468C">
        <w:trPr>
          <w:trHeight w:val="295"/>
        </w:trPr>
        <w:tc>
          <w:tcPr>
            <w:tcW w:w="1134" w:type="dxa"/>
            <w:shd w:val="clear" w:color="auto" w:fill="auto"/>
            <w:noWrap/>
            <w:vAlign w:val="center"/>
          </w:tcPr>
          <w:p w14:paraId="2434AECB" w14:textId="258C6427" w:rsidR="00446023" w:rsidRPr="00B83578" w:rsidRDefault="00296F66" w:rsidP="00E6468C">
            <w:pPr>
              <w:rPr>
                <w:rFonts w:eastAsia="Times New Roman" w:cs="Arial"/>
                <w:b/>
                <w:bCs/>
                <w:sz w:val="16"/>
                <w:szCs w:val="16"/>
                <w:lang w:eastAsia="en-GB"/>
              </w:rPr>
            </w:pPr>
            <w:r>
              <w:rPr>
                <w:rFonts w:eastAsia="Times New Roman" w:cs="Arial"/>
                <w:b/>
                <w:bCs/>
                <w:sz w:val="16"/>
                <w:szCs w:val="16"/>
                <w:lang w:eastAsia="en-GB"/>
              </w:rPr>
              <w:t>ZZZCG</w:t>
            </w:r>
          </w:p>
        </w:tc>
        <w:tc>
          <w:tcPr>
            <w:tcW w:w="7892" w:type="dxa"/>
            <w:shd w:val="clear" w:color="auto" w:fill="auto"/>
            <w:noWrap/>
            <w:vAlign w:val="center"/>
          </w:tcPr>
          <w:p w14:paraId="142257ED" w14:textId="6CBB79FC" w:rsidR="00446023" w:rsidRPr="00B83578" w:rsidRDefault="000750F7" w:rsidP="00E6468C">
            <w:pPr>
              <w:rPr>
                <w:rFonts w:eastAsia="Times New Roman" w:cs="Arial"/>
                <w:sz w:val="16"/>
                <w:szCs w:val="16"/>
                <w:lang w:eastAsia="en-GB"/>
              </w:rPr>
            </w:pPr>
            <w:r>
              <w:rPr>
                <w:rFonts w:eastAsia="Times New Roman" w:cs="Arial"/>
                <w:sz w:val="16"/>
                <w:szCs w:val="16"/>
                <w:lang w:eastAsia="en-GB"/>
              </w:rPr>
              <w:t>Zavod za zapošljavanje Crne Gore</w:t>
            </w:r>
          </w:p>
        </w:tc>
      </w:tr>
      <w:tr w:rsidR="00EC139C" w:rsidRPr="00B83578" w14:paraId="55FC33D0" w14:textId="77777777" w:rsidTr="00E6468C">
        <w:trPr>
          <w:trHeight w:val="295"/>
        </w:trPr>
        <w:tc>
          <w:tcPr>
            <w:tcW w:w="1134" w:type="dxa"/>
            <w:shd w:val="clear" w:color="auto" w:fill="auto"/>
            <w:noWrap/>
            <w:vAlign w:val="center"/>
          </w:tcPr>
          <w:p w14:paraId="6874C887" w14:textId="6EB22D30"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w:t>
            </w:r>
            <w:r w:rsidR="00296F66">
              <w:rPr>
                <w:rFonts w:eastAsia="Times New Roman" w:cs="Arial"/>
                <w:b/>
                <w:bCs/>
                <w:sz w:val="16"/>
                <w:szCs w:val="16"/>
                <w:lang w:eastAsia="en-GB"/>
              </w:rPr>
              <w:t>K</w:t>
            </w:r>
          </w:p>
        </w:tc>
        <w:tc>
          <w:tcPr>
            <w:tcW w:w="7892" w:type="dxa"/>
            <w:shd w:val="clear" w:color="auto" w:fill="auto"/>
            <w:noWrap/>
            <w:vAlign w:val="center"/>
          </w:tcPr>
          <w:p w14:paraId="633DD408" w14:textId="79D5F7C9"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E</w:t>
            </w:r>
            <w:r w:rsidR="000750F7">
              <w:rPr>
                <w:rFonts w:eastAsia="Times New Roman" w:cs="Arial"/>
                <w:sz w:val="16"/>
                <w:szCs w:val="16"/>
                <w:lang w:eastAsia="en-GB"/>
              </w:rPr>
              <w:t>vropska Komisija</w:t>
            </w:r>
          </w:p>
        </w:tc>
      </w:tr>
      <w:tr w:rsidR="00EC139C" w:rsidRPr="00B83578" w14:paraId="3A1E663A" w14:textId="77777777" w:rsidTr="00E6468C">
        <w:trPr>
          <w:trHeight w:val="295"/>
        </w:trPr>
        <w:tc>
          <w:tcPr>
            <w:tcW w:w="1134" w:type="dxa"/>
            <w:shd w:val="clear" w:color="auto" w:fill="auto"/>
            <w:noWrap/>
            <w:vAlign w:val="center"/>
          </w:tcPr>
          <w:p w14:paraId="475C8489" w14:textId="27950CE2"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w:t>
            </w:r>
            <w:r w:rsidR="00296F66">
              <w:rPr>
                <w:rFonts w:eastAsia="Times New Roman" w:cs="Arial"/>
                <w:b/>
                <w:bCs/>
                <w:sz w:val="16"/>
                <w:szCs w:val="16"/>
                <w:lang w:eastAsia="en-GB"/>
              </w:rPr>
              <w:t>KP</w:t>
            </w:r>
            <w:r w:rsidRPr="00B83578">
              <w:rPr>
                <w:rFonts w:eastAsia="Times New Roman" w:cs="Arial"/>
                <w:b/>
                <w:bCs/>
                <w:sz w:val="16"/>
                <w:szCs w:val="16"/>
                <w:lang w:eastAsia="en-GB"/>
              </w:rPr>
              <w:t>P</w:t>
            </w:r>
          </w:p>
        </w:tc>
        <w:tc>
          <w:tcPr>
            <w:tcW w:w="7892" w:type="dxa"/>
            <w:shd w:val="clear" w:color="auto" w:fill="auto"/>
            <w:noWrap/>
            <w:vAlign w:val="center"/>
          </w:tcPr>
          <w:p w14:paraId="43554AAB" w14:textId="39D8A07A"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E</w:t>
            </w:r>
            <w:r w:rsidR="004B7ADD">
              <w:rPr>
                <w:rFonts w:eastAsia="Times New Roman" w:cs="Arial"/>
                <w:sz w:val="16"/>
                <w:szCs w:val="16"/>
                <w:lang w:eastAsia="en-GB"/>
              </w:rPr>
              <w:t>vropski kodeks ponašanja za partnerstvo u okviru evropskih strukturnih i investicionih fondova</w:t>
            </w:r>
          </w:p>
        </w:tc>
      </w:tr>
      <w:tr w:rsidR="00EC139C" w:rsidRPr="00B83578" w14:paraId="4836232F" w14:textId="77777777" w:rsidTr="00E6468C">
        <w:trPr>
          <w:trHeight w:val="295"/>
        </w:trPr>
        <w:tc>
          <w:tcPr>
            <w:tcW w:w="1134" w:type="dxa"/>
            <w:shd w:val="clear" w:color="auto" w:fill="auto"/>
            <w:noWrap/>
            <w:vAlign w:val="center"/>
          </w:tcPr>
          <w:p w14:paraId="3B448C52" w14:textId="25F5D958"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w:t>
            </w:r>
            <w:r w:rsidR="00296F66">
              <w:rPr>
                <w:rFonts w:eastAsia="Times New Roman" w:cs="Arial"/>
                <w:b/>
                <w:bCs/>
                <w:sz w:val="16"/>
                <w:szCs w:val="16"/>
                <w:lang w:eastAsia="en-GB"/>
              </w:rPr>
              <w:t>KPRN</w:t>
            </w:r>
          </w:p>
        </w:tc>
        <w:tc>
          <w:tcPr>
            <w:tcW w:w="7892" w:type="dxa"/>
            <w:shd w:val="clear" w:color="auto" w:fill="auto"/>
            <w:noWrap/>
            <w:vAlign w:val="center"/>
          </w:tcPr>
          <w:p w14:paraId="4FC80A0B" w14:textId="40DD27D5"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E</w:t>
            </w:r>
            <w:r w:rsidR="004B7ADD">
              <w:rPr>
                <w:rFonts w:eastAsia="Times New Roman" w:cs="Arial"/>
                <w:sz w:val="16"/>
                <w:szCs w:val="16"/>
                <w:lang w:eastAsia="en-GB"/>
              </w:rPr>
              <w:t>vropska Komisija protiv rasizma i netolerancije</w:t>
            </w:r>
          </w:p>
        </w:tc>
      </w:tr>
      <w:tr w:rsidR="00EC139C" w:rsidRPr="00B83578" w14:paraId="306AB86E" w14:textId="77777777" w:rsidTr="00E6468C">
        <w:trPr>
          <w:trHeight w:val="295"/>
        </w:trPr>
        <w:tc>
          <w:tcPr>
            <w:tcW w:w="1134" w:type="dxa"/>
            <w:shd w:val="clear" w:color="auto" w:fill="auto"/>
            <w:noWrap/>
            <w:vAlign w:val="center"/>
          </w:tcPr>
          <w:p w14:paraId="5FF09E16" w14:textId="068FA43F" w:rsidR="00EC139C" w:rsidRPr="006D6E25" w:rsidRDefault="00603905" w:rsidP="00E6468C">
            <w:pPr>
              <w:rPr>
                <w:rFonts w:eastAsia="Times New Roman" w:cs="Arial"/>
                <w:b/>
                <w:bCs/>
                <w:sz w:val="16"/>
                <w:szCs w:val="16"/>
                <w:lang w:eastAsia="en-GB"/>
              </w:rPr>
            </w:pPr>
            <w:r>
              <w:rPr>
                <w:rFonts w:eastAsia="Times New Roman" w:cs="Arial"/>
                <w:b/>
                <w:bCs/>
                <w:sz w:val="16"/>
                <w:szCs w:val="16"/>
                <w:lang w:eastAsia="en-GB"/>
              </w:rPr>
              <w:t>EGT</w:t>
            </w:r>
            <w:r w:rsidR="00296F66">
              <w:rPr>
                <w:rFonts w:eastAsia="Times New Roman" w:cs="Arial"/>
                <w:b/>
                <w:bCs/>
                <w:sz w:val="16"/>
                <w:szCs w:val="16"/>
                <w:lang w:eastAsia="en-GB"/>
              </w:rPr>
              <w:t>S</w:t>
            </w:r>
          </w:p>
        </w:tc>
        <w:tc>
          <w:tcPr>
            <w:tcW w:w="7892" w:type="dxa"/>
            <w:shd w:val="clear" w:color="auto" w:fill="auto"/>
            <w:noWrap/>
            <w:vAlign w:val="center"/>
          </w:tcPr>
          <w:p w14:paraId="2CED8DEE" w14:textId="6004E7A0" w:rsidR="00EC139C" w:rsidRPr="006D6E25" w:rsidRDefault="00EC139C" w:rsidP="00E6468C">
            <w:pPr>
              <w:rPr>
                <w:rFonts w:eastAsia="Times New Roman" w:cs="Arial"/>
                <w:sz w:val="16"/>
                <w:szCs w:val="16"/>
                <w:lang w:eastAsia="en-GB"/>
              </w:rPr>
            </w:pPr>
            <w:r w:rsidRPr="006D6E25">
              <w:rPr>
                <w:rFonts w:eastAsia="Times New Roman" w:cs="Arial"/>
                <w:sz w:val="16"/>
                <w:szCs w:val="16"/>
                <w:lang w:eastAsia="en-GB"/>
              </w:rPr>
              <w:t>E</w:t>
            </w:r>
            <w:r w:rsidR="004B7ADD" w:rsidRPr="006D6E25">
              <w:rPr>
                <w:rFonts w:eastAsia="Times New Roman" w:cs="Arial"/>
                <w:sz w:val="16"/>
                <w:szCs w:val="16"/>
                <w:lang w:eastAsia="en-GB"/>
              </w:rPr>
              <w:t>vropsko grupisanje teritorijalne saradnje</w:t>
            </w:r>
          </w:p>
        </w:tc>
      </w:tr>
      <w:tr w:rsidR="00EC139C" w:rsidRPr="00B83578" w14:paraId="783DB8EC" w14:textId="77777777" w:rsidTr="00E6468C">
        <w:trPr>
          <w:trHeight w:val="295"/>
        </w:trPr>
        <w:tc>
          <w:tcPr>
            <w:tcW w:w="1134" w:type="dxa"/>
            <w:shd w:val="clear" w:color="auto" w:fill="auto"/>
            <w:noWrap/>
            <w:vAlign w:val="center"/>
          </w:tcPr>
          <w:p w14:paraId="09322D0E" w14:textId="0222CC07"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PUŽS</w:t>
            </w:r>
          </w:p>
        </w:tc>
        <w:tc>
          <w:tcPr>
            <w:tcW w:w="7892" w:type="dxa"/>
            <w:shd w:val="clear" w:color="auto" w:fill="auto"/>
            <w:noWrap/>
            <w:vAlign w:val="center"/>
          </w:tcPr>
          <w:p w14:paraId="64F72470" w14:textId="4E8E0F69" w:rsidR="00EC139C" w:rsidRPr="00B83578" w:rsidRDefault="005B70F2" w:rsidP="00E6468C">
            <w:pPr>
              <w:rPr>
                <w:rFonts w:eastAsia="Times New Roman" w:cs="Arial"/>
                <w:sz w:val="16"/>
                <w:szCs w:val="16"/>
                <w:lang w:eastAsia="en-GB"/>
              </w:rPr>
            </w:pPr>
            <w:r>
              <w:rPr>
                <w:rFonts w:eastAsia="Times New Roman" w:cs="Arial"/>
                <w:sz w:val="16"/>
                <w:szCs w:val="16"/>
                <w:lang w:eastAsia="en-GB"/>
              </w:rPr>
              <w:t>Procjena uticaja na životnu sredinu</w:t>
            </w:r>
          </w:p>
        </w:tc>
      </w:tr>
      <w:tr w:rsidR="00EC139C" w:rsidRPr="00B83578" w14:paraId="14D00A8B" w14:textId="77777777" w:rsidTr="00E6468C">
        <w:trPr>
          <w:trHeight w:val="295"/>
        </w:trPr>
        <w:tc>
          <w:tcPr>
            <w:tcW w:w="1134" w:type="dxa"/>
            <w:shd w:val="clear" w:color="auto" w:fill="auto"/>
            <w:noWrap/>
            <w:vAlign w:val="center"/>
          </w:tcPr>
          <w:p w14:paraId="72EC2693" w14:textId="43B9EE86"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w:t>
            </w:r>
            <w:r w:rsidR="00296F66">
              <w:rPr>
                <w:rFonts w:eastAsia="Times New Roman" w:cs="Arial"/>
                <w:b/>
                <w:bCs/>
                <w:sz w:val="16"/>
                <w:szCs w:val="16"/>
                <w:lang w:eastAsia="en-GB"/>
              </w:rPr>
              <w:t>MNILJP</w:t>
            </w:r>
          </w:p>
        </w:tc>
        <w:tc>
          <w:tcPr>
            <w:tcW w:w="7892" w:type="dxa"/>
            <w:shd w:val="clear" w:color="auto" w:fill="auto"/>
            <w:noWrap/>
            <w:vAlign w:val="center"/>
          </w:tcPr>
          <w:p w14:paraId="6890C485" w14:textId="0471F9F2"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E</w:t>
            </w:r>
            <w:r w:rsidR="005B70F2">
              <w:rPr>
                <w:rFonts w:eastAsia="Times New Roman" w:cs="Arial"/>
                <w:sz w:val="16"/>
                <w:szCs w:val="16"/>
                <w:lang w:eastAsia="en-GB"/>
              </w:rPr>
              <w:t>vropska mreža nacionalnih institucija za ljudska prava</w:t>
            </w:r>
          </w:p>
        </w:tc>
      </w:tr>
      <w:tr w:rsidR="00EC139C" w:rsidRPr="00B83578" w14:paraId="69708F4F" w14:textId="77777777" w:rsidTr="00E6468C">
        <w:trPr>
          <w:trHeight w:val="295"/>
        </w:trPr>
        <w:tc>
          <w:tcPr>
            <w:tcW w:w="1134" w:type="dxa"/>
            <w:shd w:val="clear" w:color="auto" w:fill="auto"/>
            <w:noWrap/>
            <w:vAlign w:val="center"/>
          </w:tcPr>
          <w:p w14:paraId="0C314360" w14:textId="74700D11"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AZŽS</w:t>
            </w:r>
          </w:p>
        </w:tc>
        <w:tc>
          <w:tcPr>
            <w:tcW w:w="7892" w:type="dxa"/>
            <w:shd w:val="clear" w:color="auto" w:fill="auto"/>
            <w:noWrap/>
            <w:vAlign w:val="center"/>
          </w:tcPr>
          <w:p w14:paraId="58F27B49" w14:textId="28535AFE" w:rsidR="00EC139C" w:rsidRPr="00B83578" w:rsidRDefault="00B46B71" w:rsidP="00E6468C">
            <w:pPr>
              <w:rPr>
                <w:rFonts w:eastAsia="Times New Roman" w:cs="Arial"/>
                <w:sz w:val="16"/>
                <w:szCs w:val="16"/>
                <w:lang w:eastAsia="en-GB"/>
              </w:rPr>
            </w:pPr>
            <w:r>
              <w:rPr>
                <w:rFonts w:eastAsia="Times New Roman" w:cs="Arial"/>
                <w:sz w:val="16"/>
                <w:szCs w:val="16"/>
                <w:lang w:eastAsia="en-GB"/>
              </w:rPr>
              <w:t>Agencija za zaštitu životne sredine Crne Gore</w:t>
            </w:r>
          </w:p>
        </w:tc>
      </w:tr>
      <w:tr w:rsidR="00EC139C" w:rsidRPr="00B83578" w14:paraId="615B45CE" w14:textId="77777777" w:rsidTr="00E6468C">
        <w:trPr>
          <w:trHeight w:val="295"/>
        </w:trPr>
        <w:tc>
          <w:tcPr>
            <w:tcW w:w="1134" w:type="dxa"/>
            <w:shd w:val="clear" w:color="auto" w:fill="auto"/>
            <w:noWrap/>
            <w:vAlign w:val="center"/>
          </w:tcPr>
          <w:p w14:paraId="1E36CA34" w14:textId="7B01437B"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w:t>
            </w:r>
            <w:r w:rsidR="00296F66">
              <w:rPr>
                <w:rFonts w:eastAsia="Times New Roman" w:cs="Arial"/>
                <w:b/>
                <w:bCs/>
                <w:sz w:val="16"/>
                <w:szCs w:val="16"/>
                <w:lang w:eastAsia="en-GB"/>
              </w:rPr>
              <w:t>MTJ</w:t>
            </w:r>
          </w:p>
        </w:tc>
        <w:tc>
          <w:tcPr>
            <w:tcW w:w="7892" w:type="dxa"/>
            <w:shd w:val="clear" w:color="auto" w:fill="auto"/>
            <w:noWrap/>
            <w:vAlign w:val="center"/>
          </w:tcPr>
          <w:p w14:paraId="36F7F413" w14:textId="0393CD20"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E</w:t>
            </w:r>
            <w:r w:rsidR="00B46B71">
              <w:rPr>
                <w:rFonts w:eastAsia="Times New Roman" w:cs="Arial"/>
                <w:sz w:val="16"/>
                <w:szCs w:val="16"/>
                <w:lang w:eastAsia="en-GB"/>
              </w:rPr>
              <w:t>vropska mreža tijela za jednakost</w:t>
            </w:r>
          </w:p>
        </w:tc>
      </w:tr>
      <w:tr w:rsidR="00EC139C" w:rsidRPr="00B83578" w14:paraId="15F58F7D" w14:textId="77777777" w:rsidTr="00E6468C">
        <w:trPr>
          <w:trHeight w:val="295"/>
        </w:trPr>
        <w:tc>
          <w:tcPr>
            <w:tcW w:w="1134" w:type="dxa"/>
            <w:shd w:val="clear" w:color="auto" w:fill="auto"/>
            <w:noWrap/>
            <w:vAlign w:val="center"/>
          </w:tcPr>
          <w:p w14:paraId="0591E5ED" w14:textId="29D0A0A3"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w:t>
            </w:r>
            <w:r w:rsidR="00296F66">
              <w:rPr>
                <w:rFonts w:eastAsia="Times New Roman" w:cs="Arial"/>
                <w:b/>
                <w:bCs/>
                <w:sz w:val="16"/>
                <w:szCs w:val="16"/>
                <w:lang w:eastAsia="en-GB"/>
              </w:rPr>
              <w:t>FRR</w:t>
            </w:r>
          </w:p>
        </w:tc>
        <w:tc>
          <w:tcPr>
            <w:tcW w:w="7892" w:type="dxa"/>
            <w:shd w:val="clear" w:color="auto" w:fill="auto"/>
            <w:noWrap/>
            <w:vAlign w:val="center"/>
          </w:tcPr>
          <w:p w14:paraId="492E72C3" w14:textId="7ED16F69"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E</w:t>
            </w:r>
            <w:r w:rsidR="00B46B71">
              <w:rPr>
                <w:rFonts w:eastAsia="Times New Roman" w:cs="Arial"/>
                <w:sz w:val="16"/>
                <w:szCs w:val="16"/>
                <w:lang w:eastAsia="en-GB"/>
              </w:rPr>
              <w:t>vropski fond za regionalni razvoj</w:t>
            </w:r>
          </w:p>
        </w:tc>
      </w:tr>
      <w:tr w:rsidR="00EC139C" w:rsidRPr="00B83578" w14:paraId="349D3DE5" w14:textId="77777777" w:rsidTr="00E6468C">
        <w:trPr>
          <w:trHeight w:val="295"/>
        </w:trPr>
        <w:tc>
          <w:tcPr>
            <w:tcW w:w="1134" w:type="dxa"/>
            <w:shd w:val="clear" w:color="auto" w:fill="auto"/>
            <w:noWrap/>
            <w:vAlign w:val="center"/>
          </w:tcPr>
          <w:p w14:paraId="088E706D"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ESF+</w:t>
            </w:r>
          </w:p>
        </w:tc>
        <w:tc>
          <w:tcPr>
            <w:tcW w:w="7892" w:type="dxa"/>
            <w:shd w:val="clear" w:color="auto" w:fill="auto"/>
            <w:noWrap/>
            <w:vAlign w:val="center"/>
          </w:tcPr>
          <w:p w14:paraId="5B7BBA0C" w14:textId="252AA60D"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E</w:t>
            </w:r>
            <w:r w:rsidR="00B46B71">
              <w:rPr>
                <w:rFonts w:eastAsia="Times New Roman" w:cs="Arial"/>
                <w:sz w:val="16"/>
                <w:szCs w:val="16"/>
                <w:lang w:eastAsia="en-GB"/>
              </w:rPr>
              <w:t>vropski socijalni fond plus</w:t>
            </w:r>
          </w:p>
        </w:tc>
      </w:tr>
      <w:tr w:rsidR="00EC139C" w:rsidRPr="00B83578" w14:paraId="61D7FC01" w14:textId="77777777" w:rsidTr="00E6468C">
        <w:trPr>
          <w:trHeight w:val="295"/>
        </w:trPr>
        <w:tc>
          <w:tcPr>
            <w:tcW w:w="1134" w:type="dxa"/>
            <w:shd w:val="clear" w:color="auto" w:fill="auto"/>
            <w:noWrap/>
            <w:vAlign w:val="center"/>
          </w:tcPr>
          <w:p w14:paraId="0F5C4460" w14:textId="38511572"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ET</w:t>
            </w:r>
            <w:r w:rsidR="00296F66">
              <w:rPr>
                <w:rFonts w:eastAsia="Times New Roman" w:cs="Arial"/>
                <w:b/>
                <w:bCs/>
                <w:sz w:val="16"/>
                <w:szCs w:val="16"/>
                <w:lang w:eastAsia="en-GB"/>
              </w:rPr>
              <w:t>S</w:t>
            </w:r>
          </w:p>
        </w:tc>
        <w:tc>
          <w:tcPr>
            <w:tcW w:w="7892" w:type="dxa"/>
            <w:shd w:val="clear" w:color="auto" w:fill="auto"/>
            <w:noWrap/>
            <w:vAlign w:val="center"/>
          </w:tcPr>
          <w:p w14:paraId="61B7C39B" w14:textId="338AD5F0"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E</w:t>
            </w:r>
            <w:r w:rsidR="00B46B71">
              <w:rPr>
                <w:rFonts w:eastAsia="Times New Roman" w:cs="Arial"/>
                <w:sz w:val="16"/>
                <w:szCs w:val="16"/>
                <w:lang w:eastAsia="en-GB"/>
              </w:rPr>
              <w:t>vropska teritorijalna saradnja</w:t>
            </w:r>
          </w:p>
        </w:tc>
      </w:tr>
      <w:tr w:rsidR="00EC139C" w:rsidRPr="00B83578" w14:paraId="6D7F00F6" w14:textId="77777777" w:rsidTr="00E6468C">
        <w:trPr>
          <w:trHeight w:val="295"/>
        </w:trPr>
        <w:tc>
          <w:tcPr>
            <w:tcW w:w="1134" w:type="dxa"/>
            <w:shd w:val="clear" w:color="auto" w:fill="auto"/>
            <w:noWrap/>
            <w:vAlign w:val="center"/>
          </w:tcPr>
          <w:p w14:paraId="35EBA561"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EUSAIR</w:t>
            </w:r>
          </w:p>
        </w:tc>
        <w:tc>
          <w:tcPr>
            <w:tcW w:w="7892" w:type="dxa"/>
            <w:shd w:val="clear" w:color="auto" w:fill="auto"/>
            <w:noWrap/>
            <w:vAlign w:val="center"/>
          </w:tcPr>
          <w:p w14:paraId="2C344D1C" w14:textId="032EB715"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Strateg</w:t>
            </w:r>
            <w:r w:rsidR="00B46B71">
              <w:rPr>
                <w:rFonts w:eastAsia="Times New Roman" w:cs="Arial"/>
                <w:sz w:val="16"/>
                <w:szCs w:val="16"/>
                <w:lang w:eastAsia="en-GB"/>
              </w:rPr>
              <w:t>ija EU za Jadransko-jonski region</w:t>
            </w:r>
          </w:p>
        </w:tc>
      </w:tr>
      <w:tr w:rsidR="00EC139C" w:rsidRPr="00B83578" w14:paraId="48F2C1B6" w14:textId="77777777" w:rsidTr="00E6468C">
        <w:trPr>
          <w:trHeight w:val="295"/>
        </w:trPr>
        <w:tc>
          <w:tcPr>
            <w:tcW w:w="1134" w:type="dxa"/>
            <w:shd w:val="clear" w:color="auto" w:fill="auto"/>
            <w:noWrap/>
            <w:vAlign w:val="center"/>
          </w:tcPr>
          <w:p w14:paraId="3C54DCBF"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EUSDR</w:t>
            </w:r>
          </w:p>
        </w:tc>
        <w:tc>
          <w:tcPr>
            <w:tcW w:w="7892" w:type="dxa"/>
            <w:shd w:val="clear" w:color="auto" w:fill="auto"/>
            <w:noWrap/>
            <w:vAlign w:val="center"/>
          </w:tcPr>
          <w:p w14:paraId="1EA55D23" w14:textId="65845895"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Strateg</w:t>
            </w:r>
            <w:r w:rsidR="00B46B71">
              <w:rPr>
                <w:rFonts w:eastAsia="Times New Roman" w:cs="Arial"/>
                <w:sz w:val="16"/>
                <w:szCs w:val="16"/>
                <w:lang w:eastAsia="en-GB"/>
              </w:rPr>
              <w:t>ija EU</w:t>
            </w:r>
            <w:r w:rsidRPr="00B83578">
              <w:rPr>
                <w:rFonts w:eastAsia="Times New Roman" w:cs="Arial"/>
                <w:sz w:val="16"/>
                <w:szCs w:val="16"/>
                <w:lang w:eastAsia="en-GB"/>
              </w:rPr>
              <w:t xml:space="preserve"> </w:t>
            </w:r>
            <w:r w:rsidR="00B46B71">
              <w:rPr>
                <w:rFonts w:eastAsia="Times New Roman" w:cs="Arial"/>
                <w:sz w:val="16"/>
                <w:szCs w:val="16"/>
                <w:lang w:eastAsia="en-GB"/>
              </w:rPr>
              <w:t>za Dunavski region</w:t>
            </w:r>
          </w:p>
        </w:tc>
      </w:tr>
      <w:tr w:rsidR="00EC139C" w:rsidRPr="00B83578" w14:paraId="197B6D33" w14:textId="77777777" w:rsidTr="00E6468C">
        <w:trPr>
          <w:trHeight w:val="295"/>
        </w:trPr>
        <w:tc>
          <w:tcPr>
            <w:tcW w:w="1134" w:type="dxa"/>
            <w:shd w:val="clear" w:color="auto" w:fill="auto"/>
            <w:noWrap/>
          </w:tcPr>
          <w:p w14:paraId="23FE2D39"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lastRenderedPageBreak/>
              <w:t>FFPA</w:t>
            </w:r>
          </w:p>
        </w:tc>
        <w:tc>
          <w:tcPr>
            <w:tcW w:w="7892" w:type="dxa"/>
            <w:shd w:val="clear" w:color="auto" w:fill="auto"/>
            <w:noWrap/>
          </w:tcPr>
          <w:p w14:paraId="6919AFD5" w14:textId="5394B8B3" w:rsidR="00EC139C" w:rsidRPr="00B83578" w:rsidRDefault="00F53948" w:rsidP="00E6468C">
            <w:pPr>
              <w:rPr>
                <w:rFonts w:eastAsia="Times New Roman" w:cs="Arial"/>
                <w:sz w:val="16"/>
                <w:szCs w:val="16"/>
                <w:lang w:eastAsia="en-GB"/>
              </w:rPr>
            </w:pPr>
            <w:r>
              <w:rPr>
                <w:rFonts w:eastAsia="Times New Roman" w:cs="Arial"/>
                <w:sz w:val="16"/>
                <w:szCs w:val="16"/>
                <w:lang w:eastAsia="en-GB"/>
              </w:rPr>
              <w:t>Okvirni finansijski sporazum o partnerstvu</w:t>
            </w:r>
          </w:p>
        </w:tc>
      </w:tr>
      <w:tr w:rsidR="00EC139C" w:rsidRPr="00B83578" w14:paraId="24216D78" w14:textId="77777777" w:rsidTr="00E6468C">
        <w:trPr>
          <w:trHeight w:val="295"/>
        </w:trPr>
        <w:tc>
          <w:tcPr>
            <w:tcW w:w="1134" w:type="dxa"/>
            <w:shd w:val="clear" w:color="auto" w:fill="auto"/>
            <w:noWrap/>
          </w:tcPr>
          <w:p w14:paraId="2F1909CE"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FWA</w:t>
            </w:r>
          </w:p>
        </w:tc>
        <w:tc>
          <w:tcPr>
            <w:tcW w:w="7892" w:type="dxa"/>
            <w:shd w:val="clear" w:color="auto" w:fill="auto"/>
            <w:noWrap/>
          </w:tcPr>
          <w:p w14:paraId="6E99FA3A" w14:textId="09077BC7" w:rsidR="00EC139C" w:rsidRPr="00B83578" w:rsidRDefault="00F53948" w:rsidP="00E6468C">
            <w:pPr>
              <w:rPr>
                <w:rFonts w:eastAsia="Times New Roman" w:cs="Arial"/>
                <w:sz w:val="16"/>
                <w:szCs w:val="16"/>
                <w:lang w:eastAsia="en-GB"/>
              </w:rPr>
            </w:pPr>
            <w:r>
              <w:rPr>
                <w:rFonts w:eastAsia="Times New Roman" w:cs="Arial"/>
                <w:sz w:val="16"/>
                <w:szCs w:val="16"/>
                <w:lang w:eastAsia="en-GB"/>
              </w:rPr>
              <w:t>Okvirni sporazum</w:t>
            </w:r>
          </w:p>
        </w:tc>
      </w:tr>
      <w:tr w:rsidR="00EC139C" w:rsidRPr="00B83578" w14:paraId="745650F6" w14:textId="77777777" w:rsidTr="00E6468C">
        <w:trPr>
          <w:trHeight w:val="295"/>
        </w:trPr>
        <w:tc>
          <w:tcPr>
            <w:tcW w:w="1134" w:type="dxa"/>
            <w:shd w:val="clear" w:color="auto" w:fill="auto"/>
            <w:noWrap/>
          </w:tcPr>
          <w:p w14:paraId="31716BBD" w14:textId="46F85BB9"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G</w:t>
            </w:r>
            <w:r w:rsidR="00296F66">
              <w:rPr>
                <w:rFonts w:eastAsia="Times New Roman" w:cs="Arial"/>
                <w:b/>
                <w:bCs/>
                <w:sz w:val="16"/>
                <w:szCs w:val="16"/>
                <w:lang w:eastAsia="en-GB"/>
              </w:rPr>
              <w:t>ANILJP</w:t>
            </w:r>
          </w:p>
        </w:tc>
        <w:tc>
          <w:tcPr>
            <w:tcW w:w="7892" w:type="dxa"/>
            <w:shd w:val="clear" w:color="auto" w:fill="auto"/>
            <w:noWrap/>
          </w:tcPr>
          <w:p w14:paraId="673EEEA6" w14:textId="04EA576E"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Global</w:t>
            </w:r>
            <w:r w:rsidR="00F53948">
              <w:rPr>
                <w:rFonts w:eastAsia="Times New Roman" w:cs="Arial"/>
                <w:sz w:val="16"/>
                <w:szCs w:val="16"/>
                <w:lang w:eastAsia="en-GB"/>
              </w:rPr>
              <w:t>na alijansa nacionalnih institucija za ljudska prava</w:t>
            </w:r>
          </w:p>
        </w:tc>
      </w:tr>
      <w:tr w:rsidR="00EC139C" w:rsidRPr="00B83578" w14:paraId="00894D24" w14:textId="77777777" w:rsidTr="00E6468C">
        <w:trPr>
          <w:trHeight w:val="295"/>
        </w:trPr>
        <w:tc>
          <w:tcPr>
            <w:tcW w:w="1134" w:type="dxa"/>
            <w:shd w:val="clear" w:color="auto" w:fill="auto"/>
            <w:noWrap/>
          </w:tcPr>
          <w:p w14:paraId="2E6CD478"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HOS</w:t>
            </w:r>
          </w:p>
        </w:tc>
        <w:tc>
          <w:tcPr>
            <w:tcW w:w="7892" w:type="dxa"/>
            <w:shd w:val="clear" w:color="auto" w:fill="auto"/>
            <w:noWrap/>
          </w:tcPr>
          <w:p w14:paraId="201FD70A" w14:textId="596982F0" w:rsidR="00EC139C" w:rsidRPr="00B83578" w:rsidRDefault="00F53948" w:rsidP="00E6468C">
            <w:pPr>
              <w:rPr>
                <w:rFonts w:eastAsia="Times New Roman" w:cs="Arial"/>
                <w:sz w:val="16"/>
                <w:szCs w:val="16"/>
                <w:lang w:eastAsia="en-GB"/>
              </w:rPr>
            </w:pPr>
            <w:r>
              <w:rPr>
                <w:rFonts w:eastAsia="Times New Roman" w:cs="Arial"/>
                <w:sz w:val="16"/>
                <w:szCs w:val="16"/>
                <w:lang w:eastAsia="en-GB"/>
              </w:rPr>
              <w:t>Rukovodilac operativne strukture</w:t>
            </w:r>
          </w:p>
        </w:tc>
      </w:tr>
      <w:tr w:rsidR="00EC139C" w:rsidRPr="00B83578" w14:paraId="24159B04" w14:textId="77777777" w:rsidTr="00E6468C">
        <w:trPr>
          <w:trHeight w:val="295"/>
        </w:trPr>
        <w:tc>
          <w:tcPr>
            <w:tcW w:w="1134" w:type="dxa"/>
            <w:shd w:val="clear" w:color="auto" w:fill="auto"/>
            <w:noWrap/>
          </w:tcPr>
          <w:p w14:paraId="2E60FB87" w14:textId="39A7A70D"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ULJR</w:t>
            </w:r>
          </w:p>
        </w:tc>
        <w:tc>
          <w:tcPr>
            <w:tcW w:w="7892" w:type="dxa"/>
            <w:shd w:val="clear" w:color="auto" w:fill="auto"/>
            <w:noWrap/>
          </w:tcPr>
          <w:p w14:paraId="599E2C48" w14:textId="5EF250DA" w:rsidR="00EC139C" w:rsidRPr="00B83578" w:rsidRDefault="00F53948" w:rsidP="00E6468C">
            <w:pPr>
              <w:rPr>
                <w:rFonts w:eastAsia="Times New Roman" w:cs="Arial"/>
                <w:sz w:val="16"/>
                <w:szCs w:val="16"/>
                <w:lang w:eastAsia="en-GB"/>
              </w:rPr>
            </w:pPr>
            <w:r>
              <w:rPr>
                <w:rFonts w:eastAsia="Times New Roman" w:cs="Arial"/>
                <w:sz w:val="16"/>
                <w:szCs w:val="16"/>
                <w:lang w:eastAsia="en-GB"/>
              </w:rPr>
              <w:t>Uprava za ljudske resurse</w:t>
            </w:r>
          </w:p>
        </w:tc>
      </w:tr>
      <w:tr w:rsidR="00EC139C" w:rsidRPr="00B83578" w14:paraId="5E95F31E" w14:textId="77777777" w:rsidTr="00E6468C">
        <w:trPr>
          <w:trHeight w:val="295"/>
        </w:trPr>
        <w:tc>
          <w:tcPr>
            <w:tcW w:w="1134" w:type="dxa"/>
            <w:shd w:val="clear" w:color="auto" w:fill="auto"/>
            <w:noWrap/>
          </w:tcPr>
          <w:p w14:paraId="6BE8A3F2" w14:textId="1280278E"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PTFU</w:t>
            </w:r>
          </w:p>
        </w:tc>
        <w:tc>
          <w:tcPr>
            <w:tcW w:w="7892" w:type="dxa"/>
            <w:shd w:val="clear" w:color="auto" w:fill="auto"/>
            <w:noWrap/>
          </w:tcPr>
          <w:p w14:paraId="56E65D4B" w14:textId="449292E4" w:rsidR="00EC139C" w:rsidRPr="00B83578" w:rsidRDefault="00F53948" w:rsidP="00E6468C">
            <w:pPr>
              <w:rPr>
                <w:rFonts w:eastAsia="Times New Roman" w:cs="Arial"/>
                <w:sz w:val="16"/>
                <w:szCs w:val="16"/>
                <w:lang w:eastAsia="en-GB"/>
              </w:rPr>
            </w:pPr>
            <w:r>
              <w:rPr>
                <w:rFonts w:eastAsia="Times New Roman" w:cs="Arial"/>
                <w:sz w:val="16"/>
                <w:szCs w:val="16"/>
                <w:lang w:eastAsia="en-GB"/>
              </w:rPr>
              <w:t>Posredničko tijelo za finansijsko upravljanje</w:t>
            </w:r>
          </w:p>
        </w:tc>
      </w:tr>
      <w:tr w:rsidR="00EC139C" w:rsidRPr="00B83578" w14:paraId="46055F88" w14:textId="77777777" w:rsidTr="00E6468C">
        <w:trPr>
          <w:trHeight w:val="295"/>
        </w:trPr>
        <w:tc>
          <w:tcPr>
            <w:tcW w:w="1134" w:type="dxa"/>
            <w:shd w:val="clear" w:color="auto" w:fill="auto"/>
            <w:noWrap/>
            <w:vAlign w:val="center"/>
          </w:tcPr>
          <w:p w14:paraId="399C9CD1" w14:textId="5EE90C1C"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PTUP</w:t>
            </w:r>
          </w:p>
        </w:tc>
        <w:tc>
          <w:tcPr>
            <w:tcW w:w="7892" w:type="dxa"/>
            <w:shd w:val="clear" w:color="auto" w:fill="auto"/>
            <w:noWrap/>
            <w:vAlign w:val="center"/>
          </w:tcPr>
          <w:p w14:paraId="4838CC60" w14:textId="7FE5ADAD" w:rsidR="00EC139C" w:rsidRPr="00B83578" w:rsidRDefault="0066603B" w:rsidP="00E6468C">
            <w:pPr>
              <w:rPr>
                <w:rFonts w:eastAsia="Times New Roman" w:cs="Arial"/>
                <w:sz w:val="16"/>
                <w:szCs w:val="16"/>
                <w:lang w:eastAsia="en-GB"/>
              </w:rPr>
            </w:pPr>
            <w:r>
              <w:rPr>
                <w:rFonts w:eastAsia="Times New Roman" w:cs="Arial"/>
                <w:sz w:val="16"/>
                <w:szCs w:val="16"/>
                <w:lang w:eastAsia="en-GB"/>
              </w:rPr>
              <w:t>Posredničko tijelo za upravljanje politikama</w:t>
            </w:r>
          </w:p>
        </w:tc>
      </w:tr>
      <w:tr w:rsidR="00EC139C" w:rsidRPr="00B83578" w14:paraId="408C71A0" w14:textId="77777777" w:rsidTr="00E6468C">
        <w:trPr>
          <w:trHeight w:val="295"/>
        </w:trPr>
        <w:tc>
          <w:tcPr>
            <w:tcW w:w="1134" w:type="dxa"/>
            <w:shd w:val="clear" w:color="auto" w:fill="auto"/>
            <w:noWrap/>
            <w:vAlign w:val="center"/>
          </w:tcPr>
          <w:p w14:paraId="572ECA62" w14:textId="363159EF"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MFI</w:t>
            </w:r>
          </w:p>
        </w:tc>
        <w:tc>
          <w:tcPr>
            <w:tcW w:w="7892" w:type="dxa"/>
            <w:shd w:val="clear" w:color="auto" w:fill="auto"/>
            <w:noWrap/>
            <w:vAlign w:val="center"/>
          </w:tcPr>
          <w:p w14:paraId="3916F39C" w14:textId="5BC59D1A" w:rsidR="00EC139C" w:rsidRPr="00B83578" w:rsidRDefault="0066603B" w:rsidP="00E6468C">
            <w:pPr>
              <w:rPr>
                <w:rFonts w:eastAsia="Times New Roman" w:cs="Arial"/>
                <w:sz w:val="16"/>
                <w:szCs w:val="16"/>
                <w:lang w:eastAsia="en-GB"/>
              </w:rPr>
            </w:pPr>
            <w:r>
              <w:rPr>
                <w:rFonts w:eastAsia="Times New Roman" w:cs="Arial"/>
                <w:sz w:val="16"/>
                <w:szCs w:val="16"/>
                <w:lang w:eastAsia="en-GB"/>
              </w:rPr>
              <w:t>Međunarodna finansijska institucija</w:t>
            </w:r>
          </w:p>
        </w:tc>
      </w:tr>
      <w:tr w:rsidR="00446023" w:rsidRPr="00B83578" w14:paraId="2D839E09" w14:textId="77777777" w:rsidTr="00E6468C">
        <w:trPr>
          <w:trHeight w:val="295"/>
        </w:trPr>
        <w:tc>
          <w:tcPr>
            <w:tcW w:w="1134" w:type="dxa"/>
            <w:shd w:val="clear" w:color="auto" w:fill="auto"/>
            <w:noWrap/>
            <w:vAlign w:val="center"/>
          </w:tcPr>
          <w:p w14:paraId="1E7366CF" w14:textId="47F0C29F" w:rsidR="00446023" w:rsidRPr="00B83578" w:rsidRDefault="00446023" w:rsidP="00E6468C">
            <w:pPr>
              <w:rPr>
                <w:rFonts w:eastAsia="Times New Roman" w:cs="Arial"/>
                <w:b/>
                <w:bCs/>
                <w:sz w:val="16"/>
                <w:szCs w:val="16"/>
                <w:lang w:eastAsia="en-GB"/>
              </w:rPr>
            </w:pPr>
            <w:r w:rsidRPr="00B83578">
              <w:rPr>
                <w:rFonts w:eastAsia="Times New Roman" w:cs="Arial"/>
                <w:b/>
                <w:bCs/>
                <w:sz w:val="16"/>
                <w:szCs w:val="16"/>
                <w:lang w:eastAsia="en-GB"/>
              </w:rPr>
              <w:t>IM</w:t>
            </w:r>
            <w:r w:rsidR="00296F66">
              <w:rPr>
                <w:rFonts w:eastAsia="Times New Roman" w:cs="Arial"/>
                <w:b/>
                <w:bCs/>
                <w:sz w:val="16"/>
                <w:szCs w:val="16"/>
                <w:lang w:eastAsia="en-GB"/>
              </w:rPr>
              <w:t>DK</w:t>
            </w:r>
          </w:p>
        </w:tc>
        <w:tc>
          <w:tcPr>
            <w:tcW w:w="7892" w:type="dxa"/>
            <w:shd w:val="clear" w:color="auto" w:fill="auto"/>
            <w:noWrap/>
            <w:vAlign w:val="center"/>
          </w:tcPr>
          <w:p w14:paraId="4C3BCF11" w14:textId="613363C6" w:rsidR="00446023" w:rsidRPr="00B83578" w:rsidRDefault="00446023" w:rsidP="00E6468C">
            <w:pPr>
              <w:rPr>
                <w:rFonts w:eastAsia="Times New Roman" w:cs="Arial"/>
                <w:sz w:val="16"/>
                <w:szCs w:val="16"/>
                <w:lang w:eastAsia="en-GB"/>
              </w:rPr>
            </w:pPr>
            <w:r w:rsidRPr="00B83578">
              <w:rPr>
                <w:rFonts w:eastAsia="Times New Roman" w:cs="Arial"/>
                <w:sz w:val="16"/>
                <w:szCs w:val="16"/>
                <w:lang w:eastAsia="en-GB"/>
              </w:rPr>
              <w:t>Indi</w:t>
            </w:r>
            <w:r w:rsidR="0066603B">
              <w:rPr>
                <w:rFonts w:eastAsia="Times New Roman" w:cs="Arial"/>
                <w:sz w:val="16"/>
                <w:szCs w:val="16"/>
                <w:lang w:eastAsia="en-GB"/>
              </w:rPr>
              <w:t>rektno upravljanje sa državom korisnicom</w:t>
            </w:r>
          </w:p>
        </w:tc>
      </w:tr>
      <w:tr w:rsidR="00EC139C" w:rsidRPr="00B83578" w14:paraId="05E0B02D" w14:textId="77777777" w:rsidTr="00E6468C">
        <w:trPr>
          <w:trHeight w:val="295"/>
        </w:trPr>
        <w:tc>
          <w:tcPr>
            <w:tcW w:w="1134" w:type="dxa"/>
            <w:shd w:val="clear" w:color="auto" w:fill="auto"/>
            <w:noWrap/>
            <w:vAlign w:val="center"/>
          </w:tcPr>
          <w:p w14:paraId="66EFEBAD"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IPA</w:t>
            </w:r>
          </w:p>
        </w:tc>
        <w:tc>
          <w:tcPr>
            <w:tcW w:w="7892" w:type="dxa"/>
            <w:shd w:val="clear" w:color="auto" w:fill="auto"/>
            <w:noWrap/>
            <w:vAlign w:val="center"/>
          </w:tcPr>
          <w:p w14:paraId="1D3142E9" w14:textId="721B7794"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 xml:space="preserve">Instrument </w:t>
            </w:r>
            <w:r w:rsidR="0066603B">
              <w:rPr>
                <w:rFonts w:eastAsia="Times New Roman" w:cs="Arial"/>
                <w:sz w:val="16"/>
                <w:szCs w:val="16"/>
                <w:lang w:eastAsia="en-GB"/>
              </w:rPr>
              <w:t xml:space="preserve">za pretpristupnu </w:t>
            </w:r>
            <w:r w:rsidR="00477A44">
              <w:rPr>
                <w:rFonts w:eastAsia="Times New Roman" w:cs="Arial"/>
                <w:sz w:val="16"/>
                <w:szCs w:val="16"/>
                <w:lang w:eastAsia="en-GB"/>
              </w:rPr>
              <w:t>podršku</w:t>
            </w:r>
          </w:p>
        </w:tc>
      </w:tr>
      <w:tr w:rsidR="00EC139C" w:rsidRPr="00B83578" w14:paraId="62A5FD4B" w14:textId="77777777" w:rsidTr="00E6468C">
        <w:trPr>
          <w:trHeight w:val="295"/>
        </w:trPr>
        <w:tc>
          <w:tcPr>
            <w:tcW w:w="1134" w:type="dxa"/>
            <w:shd w:val="clear" w:color="auto" w:fill="auto"/>
            <w:noWrap/>
            <w:vAlign w:val="center"/>
          </w:tcPr>
          <w:p w14:paraId="17D3656C"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IPARD</w:t>
            </w:r>
          </w:p>
        </w:tc>
        <w:tc>
          <w:tcPr>
            <w:tcW w:w="7892" w:type="dxa"/>
            <w:shd w:val="clear" w:color="auto" w:fill="auto"/>
            <w:noWrap/>
            <w:vAlign w:val="center"/>
          </w:tcPr>
          <w:p w14:paraId="23E6A71E" w14:textId="57F8B97E"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 xml:space="preserve">Instrument </w:t>
            </w:r>
            <w:r w:rsidR="0066603B">
              <w:rPr>
                <w:rFonts w:eastAsia="Times New Roman" w:cs="Arial"/>
                <w:sz w:val="16"/>
                <w:szCs w:val="16"/>
                <w:lang w:eastAsia="en-GB"/>
              </w:rPr>
              <w:t xml:space="preserve">za pretpristupnu </w:t>
            </w:r>
            <w:r w:rsidR="00477A44">
              <w:rPr>
                <w:rFonts w:eastAsia="Times New Roman" w:cs="Arial"/>
                <w:sz w:val="16"/>
                <w:szCs w:val="16"/>
                <w:lang w:eastAsia="en-GB"/>
              </w:rPr>
              <w:t>podršku</w:t>
            </w:r>
            <w:r w:rsidR="0066603B">
              <w:rPr>
                <w:rFonts w:eastAsia="Times New Roman" w:cs="Arial"/>
                <w:sz w:val="16"/>
                <w:szCs w:val="16"/>
                <w:lang w:eastAsia="en-GB"/>
              </w:rPr>
              <w:t xml:space="preserve"> za ruralni razvoj</w:t>
            </w:r>
          </w:p>
        </w:tc>
      </w:tr>
      <w:tr w:rsidR="00EC139C" w:rsidRPr="00B83578" w14:paraId="4B7B04DA" w14:textId="77777777" w:rsidTr="00E6468C">
        <w:trPr>
          <w:trHeight w:val="295"/>
        </w:trPr>
        <w:tc>
          <w:tcPr>
            <w:tcW w:w="1134" w:type="dxa"/>
            <w:shd w:val="clear" w:color="auto" w:fill="auto"/>
            <w:noWrap/>
            <w:vAlign w:val="center"/>
          </w:tcPr>
          <w:p w14:paraId="14F30675" w14:textId="5F75DB63" w:rsidR="00EC139C" w:rsidRPr="00B83578" w:rsidRDefault="00296F66" w:rsidP="00E6468C">
            <w:pPr>
              <w:rPr>
                <w:rFonts w:eastAsia="Times New Roman" w:cs="Arial"/>
                <w:b/>
                <w:bCs/>
                <w:sz w:val="16"/>
                <w:szCs w:val="16"/>
                <w:lang w:eastAsia="en-GB"/>
              </w:rPr>
            </w:pPr>
            <w:r>
              <w:rPr>
                <w:rFonts w:eastAsia="Times New Roman" w:cs="Arial"/>
                <w:b/>
                <w:bCs/>
                <w:sz w:val="16"/>
                <w:szCs w:val="16"/>
                <w:lang w:eastAsia="en-GB"/>
              </w:rPr>
              <w:t>FPT</w:t>
            </w:r>
          </w:p>
        </w:tc>
        <w:tc>
          <w:tcPr>
            <w:tcW w:w="7892" w:type="dxa"/>
            <w:shd w:val="clear" w:color="auto" w:fill="auto"/>
            <w:noWrap/>
            <w:vAlign w:val="center"/>
          </w:tcPr>
          <w:p w14:paraId="4A4B72AC" w14:textId="66BE1FB0" w:rsidR="00EC139C" w:rsidRPr="00B83578" w:rsidRDefault="0066603B" w:rsidP="00E6468C">
            <w:pPr>
              <w:rPr>
                <w:rFonts w:eastAsia="Times New Roman" w:cs="Arial"/>
                <w:sz w:val="16"/>
                <w:szCs w:val="16"/>
                <w:lang w:eastAsia="en-GB"/>
              </w:rPr>
            </w:pPr>
            <w:r>
              <w:rPr>
                <w:rFonts w:eastAsia="Times New Roman" w:cs="Arial"/>
                <w:sz w:val="16"/>
                <w:szCs w:val="16"/>
                <w:lang w:eastAsia="en-GB"/>
              </w:rPr>
              <w:t>Fond za pravednu tranziciju</w:t>
            </w:r>
          </w:p>
        </w:tc>
      </w:tr>
      <w:tr w:rsidR="00EC139C" w:rsidRPr="00B83578" w14:paraId="654B686B" w14:textId="77777777" w:rsidTr="00E6468C">
        <w:trPr>
          <w:trHeight w:val="295"/>
        </w:trPr>
        <w:tc>
          <w:tcPr>
            <w:tcW w:w="1134" w:type="dxa"/>
            <w:shd w:val="clear" w:color="auto" w:fill="auto"/>
            <w:noWrap/>
            <w:vAlign w:val="center"/>
          </w:tcPr>
          <w:p w14:paraId="49760D44"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KOS</w:t>
            </w:r>
          </w:p>
        </w:tc>
        <w:tc>
          <w:tcPr>
            <w:tcW w:w="7892" w:type="dxa"/>
            <w:shd w:val="clear" w:color="auto" w:fill="auto"/>
            <w:noWrap/>
            <w:vAlign w:val="center"/>
          </w:tcPr>
          <w:p w14:paraId="50E7BD06" w14:textId="77777777"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Kosovo</w:t>
            </w:r>
            <w:r w:rsidRPr="00B83578">
              <w:rPr>
                <w:rFonts w:eastAsia="Times New Roman" w:cs="Arial"/>
                <w:sz w:val="16"/>
                <w:szCs w:val="16"/>
                <w:vertAlign w:val="superscript"/>
                <w:lang w:eastAsia="en-GB"/>
              </w:rPr>
              <w:footnoteReference w:id="2"/>
            </w:r>
          </w:p>
        </w:tc>
      </w:tr>
      <w:tr w:rsidR="00EC139C" w:rsidRPr="00B83578" w14:paraId="16564FC2" w14:textId="77777777" w:rsidTr="00E6468C">
        <w:trPr>
          <w:trHeight w:val="295"/>
        </w:trPr>
        <w:tc>
          <w:tcPr>
            <w:tcW w:w="1134" w:type="dxa"/>
            <w:shd w:val="clear" w:color="auto" w:fill="auto"/>
            <w:noWrap/>
            <w:vAlign w:val="center"/>
          </w:tcPr>
          <w:p w14:paraId="77565048" w14:textId="0A842BC4"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K</w:t>
            </w:r>
            <w:r w:rsidR="00D858E0">
              <w:rPr>
                <w:rFonts w:eastAsia="Times New Roman" w:cs="Arial"/>
                <w:b/>
                <w:bCs/>
                <w:sz w:val="16"/>
                <w:szCs w:val="16"/>
                <w:lang w:eastAsia="en-GB"/>
              </w:rPr>
              <w:t>IU</w:t>
            </w:r>
          </w:p>
        </w:tc>
        <w:tc>
          <w:tcPr>
            <w:tcW w:w="7892" w:type="dxa"/>
            <w:shd w:val="clear" w:color="auto" w:fill="auto"/>
            <w:noWrap/>
            <w:vAlign w:val="center"/>
          </w:tcPr>
          <w:p w14:paraId="4552D8DC" w14:textId="458FF6A2"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K</w:t>
            </w:r>
            <w:r w:rsidR="0066603B">
              <w:rPr>
                <w:rFonts w:eastAsia="Times New Roman" w:cs="Arial"/>
                <w:sz w:val="16"/>
                <w:szCs w:val="16"/>
                <w:lang w:eastAsia="en-GB"/>
              </w:rPr>
              <w:t>ljučni indi</w:t>
            </w:r>
            <w:r w:rsidR="005A5E7A">
              <w:rPr>
                <w:rFonts w:eastAsia="Times New Roman" w:cs="Arial"/>
                <w:sz w:val="16"/>
                <w:szCs w:val="16"/>
                <w:lang w:eastAsia="en-GB"/>
              </w:rPr>
              <w:t>k</w:t>
            </w:r>
            <w:r w:rsidR="0066603B">
              <w:rPr>
                <w:rFonts w:eastAsia="Times New Roman" w:cs="Arial"/>
                <w:sz w:val="16"/>
                <w:szCs w:val="16"/>
                <w:lang w:eastAsia="en-GB"/>
              </w:rPr>
              <w:t>ator učinka</w:t>
            </w:r>
          </w:p>
        </w:tc>
      </w:tr>
      <w:tr w:rsidR="00131A5E" w:rsidRPr="00B83578" w14:paraId="50152B12" w14:textId="77777777" w:rsidTr="00E6468C">
        <w:trPr>
          <w:trHeight w:val="295"/>
        </w:trPr>
        <w:tc>
          <w:tcPr>
            <w:tcW w:w="1134" w:type="dxa"/>
            <w:shd w:val="clear" w:color="auto" w:fill="auto"/>
            <w:noWrap/>
            <w:vAlign w:val="center"/>
          </w:tcPr>
          <w:p w14:paraId="38F4328D" w14:textId="616A1E60" w:rsidR="00131A5E" w:rsidRPr="00B83578" w:rsidRDefault="00D858E0" w:rsidP="00E6468C">
            <w:pPr>
              <w:rPr>
                <w:rFonts w:eastAsia="Times New Roman" w:cs="Arial"/>
                <w:b/>
                <w:bCs/>
                <w:sz w:val="16"/>
                <w:szCs w:val="16"/>
                <w:lang w:eastAsia="en-GB"/>
              </w:rPr>
            </w:pPr>
            <w:r>
              <w:rPr>
                <w:rFonts w:eastAsia="Times New Roman" w:cs="Arial"/>
                <w:b/>
                <w:bCs/>
                <w:sz w:val="16"/>
                <w:szCs w:val="16"/>
                <w:lang w:eastAsia="en-GB"/>
              </w:rPr>
              <w:t>DAP</w:t>
            </w:r>
          </w:p>
        </w:tc>
        <w:tc>
          <w:tcPr>
            <w:tcW w:w="7892" w:type="dxa"/>
            <w:shd w:val="clear" w:color="auto" w:fill="auto"/>
            <w:noWrap/>
            <w:vAlign w:val="center"/>
          </w:tcPr>
          <w:p w14:paraId="0B442391" w14:textId="3D36B4A1" w:rsidR="00131A5E" w:rsidRPr="00B83578" w:rsidRDefault="0066603B" w:rsidP="00E6468C">
            <w:pPr>
              <w:rPr>
                <w:rFonts w:eastAsia="Times New Roman" w:cs="Arial"/>
                <w:sz w:val="16"/>
                <w:szCs w:val="16"/>
                <w:lang w:eastAsia="en-GB"/>
              </w:rPr>
            </w:pPr>
            <w:r>
              <w:rPr>
                <w:rFonts w:eastAsia="Times New Roman" w:cs="Arial"/>
                <w:sz w:val="16"/>
                <w:szCs w:val="16"/>
                <w:lang w:eastAsia="en-GB"/>
              </w:rPr>
              <w:t>Dugoročni plan</w:t>
            </w:r>
            <w:r w:rsidR="00F310A2">
              <w:rPr>
                <w:rFonts w:eastAsia="Times New Roman" w:cs="Arial"/>
                <w:sz w:val="16"/>
                <w:szCs w:val="16"/>
                <w:lang w:eastAsia="en-GB"/>
              </w:rPr>
              <w:t xml:space="preserve"> aktivnosti</w:t>
            </w:r>
          </w:p>
        </w:tc>
      </w:tr>
      <w:tr w:rsidR="00EC139C" w:rsidRPr="00B83578" w14:paraId="6B6EAF13" w14:textId="77777777" w:rsidTr="00E6468C">
        <w:trPr>
          <w:trHeight w:val="295"/>
        </w:trPr>
        <w:tc>
          <w:tcPr>
            <w:tcW w:w="1134" w:type="dxa"/>
            <w:shd w:val="clear" w:color="auto" w:fill="auto"/>
            <w:noWrap/>
            <w:vAlign w:val="center"/>
          </w:tcPr>
          <w:p w14:paraId="18F1B787"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LGBTIQ</w:t>
            </w:r>
          </w:p>
        </w:tc>
        <w:tc>
          <w:tcPr>
            <w:tcW w:w="7892" w:type="dxa"/>
            <w:shd w:val="clear" w:color="auto" w:fill="auto"/>
            <w:noWrap/>
            <w:vAlign w:val="center"/>
          </w:tcPr>
          <w:p w14:paraId="0C1A63AE" w14:textId="52513EC9" w:rsidR="00EC139C" w:rsidRPr="00B83578" w:rsidRDefault="00B533AA" w:rsidP="00E6468C">
            <w:pPr>
              <w:rPr>
                <w:rFonts w:eastAsia="Times New Roman" w:cs="Arial"/>
                <w:sz w:val="16"/>
                <w:szCs w:val="16"/>
                <w:lang w:eastAsia="en-GB"/>
              </w:rPr>
            </w:pPr>
            <w:r>
              <w:rPr>
                <w:rFonts w:eastAsia="Times New Roman" w:cs="Arial"/>
                <w:sz w:val="16"/>
                <w:szCs w:val="16"/>
                <w:lang w:eastAsia="en-GB"/>
              </w:rPr>
              <w:t>Osobe koje se identifikuju kao</w:t>
            </w:r>
            <w:r w:rsidR="00EC139C" w:rsidRPr="00B83578">
              <w:rPr>
                <w:rFonts w:eastAsia="Times New Roman" w:cs="Arial"/>
                <w:sz w:val="16"/>
                <w:szCs w:val="16"/>
                <w:lang w:eastAsia="en-GB"/>
              </w:rPr>
              <w:t xml:space="preserve"> le</w:t>
            </w:r>
            <w:r>
              <w:rPr>
                <w:rFonts w:eastAsia="Times New Roman" w:cs="Arial"/>
                <w:sz w:val="16"/>
                <w:szCs w:val="16"/>
                <w:lang w:eastAsia="en-GB"/>
              </w:rPr>
              <w:t>zbejke</w:t>
            </w:r>
            <w:r w:rsidR="00EC139C" w:rsidRPr="00B83578">
              <w:rPr>
                <w:rFonts w:eastAsia="Times New Roman" w:cs="Arial"/>
                <w:sz w:val="16"/>
                <w:szCs w:val="16"/>
                <w:lang w:eastAsia="en-GB"/>
              </w:rPr>
              <w:t>, g</w:t>
            </w:r>
            <w:r>
              <w:rPr>
                <w:rFonts w:eastAsia="Times New Roman" w:cs="Arial"/>
                <w:sz w:val="16"/>
                <w:szCs w:val="16"/>
                <w:lang w:eastAsia="en-GB"/>
              </w:rPr>
              <w:t>ej</w:t>
            </w:r>
            <w:r w:rsidR="00EC139C" w:rsidRPr="00B83578">
              <w:rPr>
                <w:rFonts w:eastAsia="Times New Roman" w:cs="Arial"/>
                <w:sz w:val="16"/>
                <w:szCs w:val="16"/>
                <w:lang w:eastAsia="en-GB"/>
              </w:rPr>
              <w:t>, bise</w:t>
            </w:r>
            <w:r>
              <w:rPr>
                <w:rFonts w:eastAsia="Times New Roman" w:cs="Arial"/>
                <w:sz w:val="16"/>
                <w:szCs w:val="16"/>
                <w:lang w:eastAsia="en-GB"/>
              </w:rPr>
              <w:t>ks</w:t>
            </w:r>
            <w:r w:rsidR="00EC139C" w:rsidRPr="00B83578">
              <w:rPr>
                <w:rFonts w:eastAsia="Times New Roman" w:cs="Arial"/>
                <w:sz w:val="16"/>
                <w:szCs w:val="16"/>
                <w:lang w:eastAsia="en-GB"/>
              </w:rPr>
              <w:t>ual</w:t>
            </w:r>
            <w:r>
              <w:rPr>
                <w:rFonts w:eastAsia="Times New Roman" w:cs="Arial"/>
                <w:sz w:val="16"/>
                <w:szCs w:val="16"/>
                <w:lang w:eastAsia="en-GB"/>
              </w:rPr>
              <w:t>ne</w:t>
            </w:r>
            <w:r w:rsidR="00EC139C" w:rsidRPr="00B83578">
              <w:rPr>
                <w:rFonts w:eastAsia="Times New Roman" w:cs="Arial"/>
                <w:sz w:val="16"/>
                <w:szCs w:val="16"/>
                <w:lang w:eastAsia="en-GB"/>
              </w:rPr>
              <w:t>, trans, interse</w:t>
            </w:r>
            <w:r>
              <w:rPr>
                <w:rFonts w:eastAsia="Times New Roman" w:cs="Arial"/>
                <w:sz w:val="16"/>
                <w:szCs w:val="16"/>
                <w:lang w:eastAsia="en-GB"/>
              </w:rPr>
              <w:t>ks</w:t>
            </w:r>
            <w:r w:rsidR="00EC139C" w:rsidRPr="00B83578">
              <w:rPr>
                <w:rFonts w:eastAsia="Times New Roman" w:cs="Arial"/>
                <w:sz w:val="16"/>
                <w:szCs w:val="16"/>
                <w:lang w:eastAsia="en-GB"/>
              </w:rPr>
              <w:t xml:space="preserve"> </w:t>
            </w:r>
            <w:r>
              <w:rPr>
                <w:rFonts w:eastAsia="Times New Roman" w:cs="Arial"/>
                <w:sz w:val="16"/>
                <w:szCs w:val="16"/>
                <w:lang w:eastAsia="en-GB"/>
              </w:rPr>
              <w:t>ili</w:t>
            </w:r>
            <w:r w:rsidR="00EC139C" w:rsidRPr="00B83578">
              <w:rPr>
                <w:rFonts w:eastAsia="Times New Roman" w:cs="Arial"/>
                <w:sz w:val="16"/>
                <w:szCs w:val="16"/>
                <w:lang w:eastAsia="en-GB"/>
              </w:rPr>
              <w:t xml:space="preserve"> </w:t>
            </w:r>
            <w:r>
              <w:rPr>
                <w:rFonts w:eastAsia="Times New Roman" w:cs="Arial"/>
                <w:sz w:val="16"/>
                <w:szCs w:val="16"/>
                <w:lang w:eastAsia="en-GB"/>
              </w:rPr>
              <w:t>kvir</w:t>
            </w:r>
          </w:p>
        </w:tc>
      </w:tr>
      <w:tr w:rsidR="00EC139C" w:rsidRPr="00B83578" w14:paraId="087A385F" w14:textId="77777777" w:rsidTr="00E6468C">
        <w:trPr>
          <w:trHeight w:val="295"/>
        </w:trPr>
        <w:tc>
          <w:tcPr>
            <w:tcW w:w="1134" w:type="dxa"/>
            <w:shd w:val="clear" w:color="auto" w:fill="auto"/>
            <w:noWrap/>
            <w:vAlign w:val="center"/>
          </w:tcPr>
          <w:p w14:paraId="103F53D5" w14:textId="12CF21BD" w:rsidR="00EC139C" w:rsidRPr="00B83578" w:rsidRDefault="00D858E0" w:rsidP="00E6468C">
            <w:pPr>
              <w:rPr>
                <w:rFonts w:eastAsia="Times New Roman" w:cs="Arial"/>
                <w:b/>
                <w:bCs/>
                <w:sz w:val="16"/>
                <w:szCs w:val="16"/>
                <w:lang w:eastAsia="en-GB"/>
              </w:rPr>
            </w:pPr>
            <w:r>
              <w:rPr>
                <w:rFonts w:eastAsia="Times New Roman" w:cs="Arial"/>
                <w:b/>
                <w:bCs/>
                <w:sz w:val="16"/>
                <w:szCs w:val="16"/>
                <w:lang w:eastAsia="en-GB"/>
              </w:rPr>
              <w:t>UT</w:t>
            </w:r>
          </w:p>
        </w:tc>
        <w:tc>
          <w:tcPr>
            <w:tcW w:w="7892" w:type="dxa"/>
            <w:shd w:val="clear" w:color="auto" w:fill="auto"/>
            <w:noWrap/>
            <w:vAlign w:val="center"/>
          </w:tcPr>
          <w:p w14:paraId="687FC374" w14:textId="2FB412A3" w:rsidR="00EC139C" w:rsidRPr="00B83578" w:rsidRDefault="00B533AA" w:rsidP="00E6468C">
            <w:pPr>
              <w:rPr>
                <w:rFonts w:eastAsia="Times New Roman" w:cs="Arial"/>
                <w:sz w:val="16"/>
                <w:szCs w:val="16"/>
                <w:lang w:eastAsia="en-GB"/>
              </w:rPr>
            </w:pPr>
            <w:r>
              <w:rPr>
                <w:rFonts w:eastAsia="Times New Roman" w:cs="Arial"/>
                <w:sz w:val="16"/>
                <w:szCs w:val="16"/>
                <w:lang w:eastAsia="en-GB"/>
              </w:rPr>
              <w:t>Upravljačko tijelo</w:t>
            </w:r>
          </w:p>
        </w:tc>
      </w:tr>
      <w:tr w:rsidR="00EC139C" w:rsidRPr="00B83578" w14:paraId="360507AF" w14:textId="77777777" w:rsidTr="00E6468C">
        <w:trPr>
          <w:trHeight w:val="295"/>
        </w:trPr>
        <w:tc>
          <w:tcPr>
            <w:tcW w:w="1134" w:type="dxa"/>
            <w:shd w:val="clear" w:color="auto" w:fill="auto"/>
            <w:noWrap/>
            <w:vAlign w:val="center"/>
          </w:tcPr>
          <w:p w14:paraId="53D15852" w14:textId="193A2FE4"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ME</w:t>
            </w:r>
            <w:r w:rsidR="00D858E0">
              <w:rPr>
                <w:rFonts w:eastAsia="Times New Roman" w:cs="Arial"/>
                <w:b/>
                <w:bCs/>
                <w:sz w:val="16"/>
                <w:szCs w:val="16"/>
                <w:lang w:eastAsia="en-GB"/>
              </w:rPr>
              <w:t>P</w:t>
            </w:r>
          </w:p>
        </w:tc>
        <w:tc>
          <w:tcPr>
            <w:tcW w:w="7892" w:type="dxa"/>
            <w:shd w:val="clear" w:color="auto" w:fill="auto"/>
            <w:noWrap/>
            <w:vAlign w:val="center"/>
          </w:tcPr>
          <w:p w14:paraId="21362A64" w14:textId="55BCB83F"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Minist</w:t>
            </w:r>
            <w:r w:rsidR="00B533AA">
              <w:rPr>
                <w:rFonts w:eastAsia="Times New Roman" w:cs="Arial"/>
                <w:sz w:val="16"/>
                <w:szCs w:val="16"/>
                <w:lang w:eastAsia="en-GB"/>
              </w:rPr>
              <w:t>arstvo evropskih poslova</w:t>
            </w:r>
          </w:p>
        </w:tc>
      </w:tr>
      <w:tr w:rsidR="00EC139C" w:rsidRPr="00B83578" w14:paraId="79045FE7" w14:textId="77777777" w:rsidTr="00E6468C">
        <w:trPr>
          <w:trHeight w:val="295"/>
        </w:trPr>
        <w:tc>
          <w:tcPr>
            <w:tcW w:w="1134" w:type="dxa"/>
            <w:shd w:val="clear" w:color="auto" w:fill="auto"/>
            <w:noWrap/>
            <w:vAlign w:val="center"/>
          </w:tcPr>
          <w:p w14:paraId="7A0497BE"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MF</w:t>
            </w:r>
          </w:p>
        </w:tc>
        <w:tc>
          <w:tcPr>
            <w:tcW w:w="7892" w:type="dxa"/>
            <w:shd w:val="clear" w:color="auto" w:fill="auto"/>
            <w:noWrap/>
            <w:vAlign w:val="center"/>
          </w:tcPr>
          <w:p w14:paraId="1D3E45B1" w14:textId="181679A4"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Minist</w:t>
            </w:r>
            <w:r w:rsidR="00B533AA">
              <w:rPr>
                <w:rFonts w:eastAsia="Times New Roman" w:cs="Arial"/>
                <w:sz w:val="16"/>
                <w:szCs w:val="16"/>
                <w:lang w:eastAsia="en-GB"/>
              </w:rPr>
              <w:t>arstvo finansija</w:t>
            </w:r>
          </w:p>
        </w:tc>
      </w:tr>
      <w:tr w:rsidR="00EC139C" w:rsidRPr="00B83578" w14:paraId="0E873F18" w14:textId="77777777" w:rsidTr="00E6468C">
        <w:trPr>
          <w:trHeight w:val="295"/>
        </w:trPr>
        <w:tc>
          <w:tcPr>
            <w:tcW w:w="1134" w:type="dxa"/>
            <w:shd w:val="clear" w:color="auto" w:fill="auto"/>
            <w:noWrap/>
            <w:vAlign w:val="center"/>
          </w:tcPr>
          <w:p w14:paraId="1B2BE7CF" w14:textId="20A887E3" w:rsidR="00EC139C" w:rsidRPr="00B83578" w:rsidRDefault="00D858E0" w:rsidP="00E6468C">
            <w:pPr>
              <w:rPr>
                <w:rFonts w:eastAsia="Times New Roman" w:cs="Arial"/>
                <w:b/>
                <w:bCs/>
                <w:sz w:val="16"/>
                <w:szCs w:val="16"/>
                <w:lang w:eastAsia="en-GB"/>
              </w:rPr>
            </w:pPr>
            <w:r>
              <w:rPr>
                <w:rFonts w:eastAsia="Times New Roman" w:cs="Arial"/>
                <w:b/>
                <w:bCs/>
                <w:sz w:val="16"/>
                <w:szCs w:val="16"/>
                <w:lang w:eastAsia="en-GB"/>
              </w:rPr>
              <w:t>VFO</w:t>
            </w:r>
          </w:p>
        </w:tc>
        <w:tc>
          <w:tcPr>
            <w:tcW w:w="7892" w:type="dxa"/>
            <w:shd w:val="clear" w:color="auto" w:fill="auto"/>
            <w:noWrap/>
            <w:vAlign w:val="center"/>
          </w:tcPr>
          <w:p w14:paraId="7E689E20" w14:textId="59648F83" w:rsidR="00EC139C" w:rsidRPr="00B83578" w:rsidRDefault="00B533AA" w:rsidP="00E6468C">
            <w:pPr>
              <w:rPr>
                <w:rFonts w:eastAsia="Times New Roman" w:cs="Arial"/>
                <w:sz w:val="16"/>
                <w:szCs w:val="16"/>
                <w:lang w:eastAsia="en-GB"/>
              </w:rPr>
            </w:pPr>
            <w:r>
              <w:rPr>
                <w:rFonts w:eastAsia="Times New Roman" w:cs="Arial"/>
                <w:sz w:val="16"/>
                <w:szCs w:val="16"/>
                <w:lang w:eastAsia="en-GB"/>
              </w:rPr>
              <w:t>Višegodišnji finansijski okvir</w:t>
            </w:r>
          </w:p>
        </w:tc>
      </w:tr>
      <w:tr w:rsidR="00EC139C" w:rsidRPr="00B83578" w14:paraId="25C382AB" w14:textId="77777777" w:rsidTr="00E6468C">
        <w:trPr>
          <w:trHeight w:val="295"/>
        </w:trPr>
        <w:tc>
          <w:tcPr>
            <w:tcW w:w="1134" w:type="dxa"/>
            <w:shd w:val="clear" w:color="auto" w:fill="auto"/>
            <w:noWrap/>
            <w:vAlign w:val="center"/>
          </w:tcPr>
          <w:p w14:paraId="37E0217F" w14:textId="4ED8DC05" w:rsidR="00EC139C" w:rsidRPr="00B83578" w:rsidRDefault="00D858E0" w:rsidP="00E6468C">
            <w:pPr>
              <w:rPr>
                <w:rFonts w:eastAsia="Times New Roman" w:cs="Arial"/>
                <w:b/>
                <w:bCs/>
                <w:sz w:val="16"/>
                <w:szCs w:val="16"/>
                <w:lang w:eastAsia="en-GB"/>
              </w:rPr>
            </w:pPr>
            <w:r>
              <w:rPr>
                <w:rFonts w:eastAsia="Times New Roman" w:cs="Arial"/>
                <w:b/>
                <w:bCs/>
                <w:sz w:val="16"/>
                <w:szCs w:val="16"/>
                <w:lang w:eastAsia="en-GB"/>
              </w:rPr>
              <w:t>ISU</w:t>
            </w:r>
          </w:p>
        </w:tc>
        <w:tc>
          <w:tcPr>
            <w:tcW w:w="7892" w:type="dxa"/>
            <w:shd w:val="clear" w:color="auto" w:fill="auto"/>
            <w:noWrap/>
            <w:vAlign w:val="center"/>
          </w:tcPr>
          <w:p w14:paraId="2C71D34A" w14:textId="469CB121" w:rsidR="00EC139C" w:rsidRPr="00B83578" w:rsidRDefault="005A5E7A" w:rsidP="00E6468C">
            <w:pPr>
              <w:rPr>
                <w:rFonts w:eastAsia="Times New Roman" w:cs="Arial"/>
                <w:sz w:val="16"/>
                <w:szCs w:val="16"/>
                <w:lang w:eastAsia="en-GB"/>
              </w:rPr>
            </w:pPr>
            <w:r>
              <w:rPr>
                <w:rFonts w:eastAsia="Times New Roman" w:cs="Arial"/>
                <w:sz w:val="16"/>
                <w:szCs w:val="16"/>
                <w:lang w:eastAsia="en-GB"/>
              </w:rPr>
              <w:t>Informacioni sistem za upravljanje</w:t>
            </w:r>
          </w:p>
        </w:tc>
      </w:tr>
      <w:tr w:rsidR="00EC139C" w:rsidRPr="00B83578" w14:paraId="7C3EB13C" w14:textId="77777777" w:rsidTr="00E6468C">
        <w:trPr>
          <w:trHeight w:val="295"/>
        </w:trPr>
        <w:tc>
          <w:tcPr>
            <w:tcW w:w="1134" w:type="dxa"/>
            <w:shd w:val="clear" w:color="auto" w:fill="auto"/>
            <w:noWrap/>
            <w:vAlign w:val="center"/>
          </w:tcPr>
          <w:p w14:paraId="5878AA38"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MNE</w:t>
            </w:r>
          </w:p>
        </w:tc>
        <w:tc>
          <w:tcPr>
            <w:tcW w:w="7892" w:type="dxa"/>
            <w:shd w:val="clear" w:color="auto" w:fill="auto"/>
            <w:noWrap/>
            <w:vAlign w:val="center"/>
          </w:tcPr>
          <w:p w14:paraId="282706DA" w14:textId="20A12066" w:rsidR="00EC139C" w:rsidRPr="00B83578" w:rsidRDefault="00B533AA" w:rsidP="00E6468C">
            <w:pPr>
              <w:rPr>
                <w:rFonts w:eastAsia="Times New Roman" w:cs="Arial"/>
                <w:sz w:val="16"/>
                <w:szCs w:val="16"/>
                <w:lang w:eastAsia="en-GB"/>
              </w:rPr>
            </w:pPr>
            <w:r>
              <w:rPr>
                <w:rFonts w:eastAsia="Times New Roman" w:cs="Arial"/>
                <w:sz w:val="16"/>
                <w:szCs w:val="16"/>
                <w:lang w:eastAsia="en-GB"/>
              </w:rPr>
              <w:t>Crna Gora</w:t>
            </w:r>
          </w:p>
        </w:tc>
      </w:tr>
      <w:tr w:rsidR="00EC139C" w:rsidRPr="00B83578" w14:paraId="6C8EFDA6" w14:textId="77777777" w:rsidTr="00E6468C">
        <w:trPr>
          <w:trHeight w:val="295"/>
        </w:trPr>
        <w:tc>
          <w:tcPr>
            <w:tcW w:w="1134" w:type="dxa"/>
            <w:shd w:val="clear" w:color="auto" w:fill="auto"/>
            <w:noWrap/>
            <w:vAlign w:val="center"/>
          </w:tcPr>
          <w:p w14:paraId="0C22350C" w14:textId="13ECEE56"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M</w:t>
            </w:r>
            <w:r w:rsidR="00D858E0">
              <w:rPr>
                <w:rFonts w:eastAsia="Times New Roman" w:cs="Arial"/>
                <w:b/>
                <w:bCs/>
                <w:sz w:val="16"/>
                <w:szCs w:val="16"/>
                <w:lang w:eastAsia="en-GB"/>
              </w:rPr>
              <w:t>JU</w:t>
            </w:r>
          </w:p>
        </w:tc>
        <w:tc>
          <w:tcPr>
            <w:tcW w:w="7892" w:type="dxa"/>
            <w:shd w:val="clear" w:color="auto" w:fill="auto"/>
            <w:noWrap/>
            <w:vAlign w:val="center"/>
          </w:tcPr>
          <w:p w14:paraId="1759D6B8" w14:textId="6BCB868B"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Minist</w:t>
            </w:r>
            <w:r w:rsidR="00B533AA">
              <w:rPr>
                <w:rFonts w:eastAsia="Times New Roman" w:cs="Arial"/>
                <w:sz w:val="16"/>
                <w:szCs w:val="16"/>
                <w:lang w:eastAsia="en-GB"/>
              </w:rPr>
              <w:t>arstvo javne uprave</w:t>
            </w:r>
          </w:p>
        </w:tc>
      </w:tr>
      <w:tr w:rsidR="00EC139C" w:rsidRPr="00B83578" w14:paraId="72695F06" w14:textId="77777777" w:rsidTr="00E6468C">
        <w:trPr>
          <w:trHeight w:val="295"/>
        </w:trPr>
        <w:tc>
          <w:tcPr>
            <w:tcW w:w="1134" w:type="dxa"/>
            <w:shd w:val="clear" w:color="auto" w:fill="auto"/>
            <w:noWrap/>
            <w:vAlign w:val="center"/>
          </w:tcPr>
          <w:p w14:paraId="44A5BAF9" w14:textId="0CF92A46"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ME</w:t>
            </w:r>
            <w:r w:rsidR="00D858E0">
              <w:rPr>
                <w:rFonts w:eastAsia="Times New Roman" w:cs="Arial"/>
                <w:b/>
                <w:bCs/>
                <w:sz w:val="16"/>
                <w:szCs w:val="16"/>
                <w:lang w:eastAsia="en-GB"/>
              </w:rPr>
              <w:t>ORRS</w:t>
            </w:r>
          </w:p>
        </w:tc>
        <w:tc>
          <w:tcPr>
            <w:tcW w:w="7892" w:type="dxa"/>
            <w:shd w:val="clear" w:color="auto" w:fill="auto"/>
            <w:noWrap/>
            <w:vAlign w:val="center"/>
          </w:tcPr>
          <w:p w14:paraId="2502AB11" w14:textId="40ADCA96"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Minist</w:t>
            </w:r>
            <w:r w:rsidR="00B533AA">
              <w:rPr>
                <w:rFonts w:eastAsia="Times New Roman" w:cs="Arial"/>
                <w:sz w:val="16"/>
                <w:szCs w:val="16"/>
                <w:lang w:eastAsia="en-GB"/>
              </w:rPr>
              <w:t xml:space="preserve">arstvo ekologije, održivog razvoja i razvoja sjevera </w:t>
            </w:r>
          </w:p>
        </w:tc>
      </w:tr>
      <w:tr w:rsidR="00EC139C" w:rsidRPr="00B83578" w14:paraId="4C53FDBF" w14:textId="77777777" w:rsidTr="00E6468C">
        <w:trPr>
          <w:trHeight w:val="295"/>
        </w:trPr>
        <w:tc>
          <w:tcPr>
            <w:tcW w:w="1134" w:type="dxa"/>
            <w:shd w:val="clear" w:color="auto" w:fill="auto"/>
            <w:noWrap/>
            <w:vAlign w:val="center"/>
          </w:tcPr>
          <w:p w14:paraId="4F6F5DB1" w14:textId="5C350D67" w:rsidR="00EC139C" w:rsidRPr="00B83578" w:rsidRDefault="00D858E0" w:rsidP="00E6468C">
            <w:pPr>
              <w:rPr>
                <w:rFonts w:eastAsia="Times New Roman" w:cs="Arial"/>
                <w:b/>
                <w:bCs/>
                <w:sz w:val="16"/>
                <w:szCs w:val="16"/>
                <w:lang w:eastAsia="en-GB"/>
              </w:rPr>
            </w:pPr>
            <w:r>
              <w:rPr>
                <w:rFonts w:eastAsia="Times New Roman" w:cs="Arial"/>
                <w:b/>
                <w:bCs/>
                <w:sz w:val="16"/>
                <w:szCs w:val="16"/>
                <w:lang w:eastAsia="en-GB"/>
              </w:rPr>
              <w:t>P</w:t>
            </w:r>
            <w:r w:rsidR="00EC139C" w:rsidRPr="00B83578">
              <w:rPr>
                <w:rFonts w:eastAsia="Times New Roman" w:cs="Arial"/>
                <w:b/>
                <w:bCs/>
                <w:sz w:val="16"/>
                <w:szCs w:val="16"/>
                <w:lang w:eastAsia="en-GB"/>
              </w:rPr>
              <w:t>oP</w:t>
            </w:r>
          </w:p>
        </w:tc>
        <w:tc>
          <w:tcPr>
            <w:tcW w:w="7892" w:type="dxa"/>
            <w:shd w:val="clear" w:color="auto" w:fill="auto"/>
            <w:noWrap/>
            <w:vAlign w:val="center"/>
          </w:tcPr>
          <w:p w14:paraId="7E6A3A85" w14:textId="78BD8459" w:rsidR="00EC139C" w:rsidRPr="00B83578" w:rsidRDefault="00B533AA" w:rsidP="00E6468C">
            <w:pPr>
              <w:rPr>
                <w:rFonts w:eastAsia="Times New Roman" w:cs="Arial"/>
                <w:sz w:val="16"/>
                <w:szCs w:val="16"/>
                <w:lang w:eastAsia="en-GB"/>
              </w:rPr>
            </w:pPr>
            <w:r>
              <w:rPr>
                <w:rFonts w:eastAsia="Times New Roman" w:cs="Arial"/>
                <w:sz w:val="16"/>
                <w:szCs w:val="16"/>
                <w:lang w:eastAsia="en-GB"/>
              </w:rPr>
              <w:t>Priručnik o procedurama</w:t>
            </w:r>
          </w:p>
        </w:tc>
      </w:tr>
      <w:tr w:rsidR="00EC139C" w:rsidRPr="00B83578" w14:paraId="005D627B" w14:textId="77777777" w:rsidTr="00E6468C">
        <w:trPr>
          <w:trHeight w:val="295"/>
        </w:trPr>
        <w:tc>
          <w:tcPr>
            <w:tcW w:w="1134" w:type="dxa"/>
            <w:shd w:val="clear" w:color="auto" w:fill="auto"/>
            <w:noWrap/>
            <w:vAlign w:val="center"/>
          </w:tcPr>
          <w:p w14:paraId="4D3A64EC" w14:textId="6B5F250B"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N</w:t>
            </w:r>
            <w:r w:rsidR="00D858E0">
              <w:rPr>
                <w:rFonts w:eastAsia="Times New Roman" w:cs="Arial"/>
                <w:b/>
                <w:bCs/>
                <w:sz w:val="16"/>
                <w:szCs w:val="16"/>
                <w:lang w:eastAsia="en-GB"/>
              </w:rPr>
              <w:t>T</w:t>
            </w:r>
          </w:p>
        </w:tc>
        <w:tc>
          <w:tcPr>
            <w:tcW w:w="7892" w:type="dxa"/>
            <w:shd w:val="clear" w:color="auto" w:fill="auto"/>
            <w:noWrap/>
            <w:vAlign w:val="center"/>
          </w:tcPr>
          <w:p w14:paraId="543E9816" w14:textId="32B43591" w:rsidR="00EC139C" w:rsidRPr="00B83578" w:rsidRDefault="00B533AA" w:rsidP="00E6468C">
            <w:pPr>
              <w:rPr>
                <w:rFonts w:eastAsia="Times New Roman" w:cs="Arial"/>
                <w:sz w:val="16"/>
                <w:szCs w:val="16"/>
                <w:lang w:eastAsia="en-GB"/>
              </w:rPr>
            </w:pPr>
            <w:r>
              <w:rPr>
                <w:rFonts w:eastAsia="Times New Roman" w:cs="Arial"/>
                <w:sz w:val="16"/>
                <w:szCs w:val="16"/>
                <w:lang w:eastAsia="en-GB"/>
              </w:rPr>
              <w:t>Nacionalno tijelo</w:t>
            </w:r>
          </w:p>
        </w:tc>
      </w:tr>
      <w:tr w:rsidR="00EC139C" w:rsidRPr="00B83578" w14:paraId="6858F3B2" w14:textId="77777777" w:rsidTr="00E6468C">
        <w:trPr>
          <w:trHeight w:val="295"/>
        </w:trPr>
        <w:tc>
          <w:tcPr>
            <w:tcW w:w="1134" w:type="dxa"/>
            <w:shd w:val="clear" w:color="auto" w:fill="auto"/>
            <w:noWrap/>
            <w:vAlign w:val="center"/>
          </w:tcPr>
          <w:p w14:paraId="1997BE09"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NAO</w:t>
            </w:r>
          </w:p>
        </w:tc>
        <w:tc>
          <w:tcPr>
            <w:tcW w:w="7892" w:type="dxa"/>
            <w:shd w:val="clear" w:color="auto" w:fill="auto"/>
            <w:noWrap/>
            <w:vAlign w:val="center"/>
          </w:tcPr>
          <w:p w14:paraId="6D621F55" w14:textId="26FC2BC4"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Na</w:t>
            </w:r>
            <w:r w:rsidR="00B533AA">
              <w:rPr>
                <w:rFonts w:eastAsia="Times New Roman" w:cs="Arial"/>
                <w:sz w:val="16"/>
                <w:szCs w:val="16"/>
                <w:lang w:eastAsia="en-GB"/>
              </w:rPr>
              <w:t>cionalni službenik za ovjeravanje</w:t>
            </w:r>
          </w:p>
        </w:tc>
      </w:tr>
      <w:tr w:rsidR="00EC139C" w:rsidRPr="00B83578" w14:paraId="3E1EE2DE" w14:textId="77777777" w:rsidTr="00E6468C">
        <w:trPr>
          <w:trHeight w:val="295"/>
        </w:trPr>
        <w:tc>
          <w:tcPr>
            <w:tcW w:w="1134" w:type="dxa"/>
            <w:shd w:val="clear" w:color="auto" w:fill="auto"/>
            <w:noWrap/>
            <w:vAlign w:val="center"/>
          </w:tcPr>
          <w:p w14:paraId="3789F4C4"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NF</w:t>
            </w:r>
          </w:p>
        </w:tc>
        <w:tc>
          <w:tcPr>
            <w:tcW w:w="7892" w:type="dxa"/>
            <w:shd w:val="clear" w:color="auto" w:fill="auto"/>
            <w:noWrap/>
            <w:vAlign w:val="center"/>
          </w:tcPr>
          <w:p w14:paraId="427FDBC5" w14:textId="013D10F4"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Na</w:t>
            </w:r>
            <w:r w:rsidR="00B533AA">
              <w:rPr>
                <w:rFonts w:eastAsia="Times New Roman" w:cs="Arial"/>
                <w:sz w:val="16"/>
                <w:szCs w:val="16"/>
                <w:lang w:eastAsia="en-GB"/>
              </w:rPr>
              <w:t>cionalni fond</w:t>
            </w:r>
          </w:p>
        </w:tc>
      </w:tr>
      <w:tr w:rsidR="00EC139C" w:rsidRPr="00B83578" w14:paraId="1AD8E468" w14:textId="77777777" w:rsidTr="00E6468C">
        <w:trPr>
          <w:trHeight w:val="295"/>
        </w:trPr>
        <w:tc>
          <w:tcPr>
            <w:tcW w:w="1134" w:type="dxa"/>
            <w:shd w:val="clear" w:color="auto" w:fill="auto"/>
            <w:noWrap/>
            <w:vAlign w:val="center"/>
          </w:tcPr>
          <w:p w14:paraId="41F2315F" w14:textId="3E58879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N</w:t>
            </w:r>
            <w:r w:rsidR="00D858E0">
              <w:rPr>
                <w:rFonts w:eastAsia="Times New Roman" w:cs="Arial"/>
                <w:b/>
                <w:bCs/>
                <w:sz w:val="16"/>
                <w:szCs w:val="16"/>
                <w:lang w:eastAsia="en-GB"/>
              </w:rPr>
              <w:t>V</w:t>
            </w:r>
            <w:r w:rsidRPr="00B83578">
              <w:rPr>
                <w:rFonts w:eastAsia="Times New Roman" w:cs="Arial"/>
                <w:b/>
                <w:bCs/>
                <w:sz w:val="16"/>
                <w:szCs w:val="16"/>
                <w:lang w:eastAsia="en-GB"/>
              </w:rPr>
              <w:t>O</w:t>
            </w:r>
          </w:p>
        </w:tc>
        <w:tc>
          <w:tcPr>
            <w:tcW w:w="7892" w:type="dxa"/>
            <w:shd w:val="clear" w:color="auto" w:fill="auto"/>
            <w:noWrap/>
            <w:vAlign w:val="center"/>
          </w:tcPr>
          <w:p w14:paraId="035CD15F" w14:textId="40771D8B"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N</w:t>
            </w:r>
            <w:r w:rsidR="00B533AA">
              <w:rPr>
                <w:rFonts w:eastAsia="Times New Roman" w:cs="Arial"/>
                <w:sz w:val="16"/>
                <w:szCs w:val="16"/>
                <w:lang w:eastAsia="en-GB"/>
              </w:rPr>
              <w:t>evladina organizacija</w:t>
            </w:r>
          </w:p>
        </w:tc>
      </w:tr>
      <w:tr w:rsidR="00EC139C" w:rsidRPr="00B83578" w14:paraId="1019389E" w14:textId="77777777" w:rsidTr="00E6468C">
        <w:trPr>
          <w:trHeight w:val="295"/>
        </w:trPr>
        <w:tc>
          <w:tcPr>
            <w:tcW w:w="1134" w:type="dxa"/>
            <w:shd w:val="clear" w:color="auto" w:fill="auto"/>
            <w:noWrap/>
            <w:vAlign w:val="center"/>
          </w:tcPr>
          <w:p w14:paraId="0DBF3AC8" w14:textId="584B0D55"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N</w:t>
            </w:r>
            <w:r w:rsidR="00D858E0">
              <w:rPr>
                <w:rFonts w:eastAsia="Times New Roman" w:cs="Arial"/>
                <w:b/>
                <w:bCs/>
                <w:sz w:val="16"/>
                <w:szCs w:val="16"/>
                <w:lang w:eastAsia="en-GB"/>
              </w:rPr>
              <w:t>ILJP</w:t>
            </w:r>
          </w:p>
        </w:tc>
        <w:tc>
          <w:tcPr>
            <w:tcW w:w="7892" w:type="dxa"/>
            <w:shd w:val="clear" w:color="auto" w:fill="auto"/>
            <w:noWrap/>
            <w:vAlign w:val="center"/>
          </w:tcPr>
          <w:p w14:paraId="7C3ECBB1" w14:textId="4831ABC5"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Na</w:t>
            </w:r>
            <w:r w:rsidR="00B533AA">
              <w:rPr>
                <w:rFonts w:eastAsia="Times New Roman" w:cs="Arial"/>
                <w:sz w:val="16"/>
                <w:szCs w:val="16"/>
                <w:lang w:eastAsia="en-GB"/>
              </w:rPr>
              <w:t>cionalna institucija za ljudska prava</w:t>
            </w:r>
          </w:p>
        </w:tc>
      </w:tr>
      <w:tr w:rsidR="00EC139C" w:rsidRPr="00B83578" w14:paraId="714BE622" w14:textId="77777777" w:rsidTr="00E6468C">
        <w:trPr>
          <w:trHeight w:val="295"/>
        </w:trPr>
        <w:tc>
          <w:tcPr>
            <w:tcW w:w="1134" w:type="dxa"/>
            <w:shd w:val="clear" w:color="auto" w:fill="auto"/>
            <w:noWrap/>
            <w:vAlign w:val="center"/>
          </w:tcPr>
          <w:p w14:paraId="329DCDDB" w14:textId="307CFDA7" w:rsidR="00EC139C" w:rsidRPr="00B83578" w:rsidRDefault="0086543E" w:rsidP="00E6468C">
            <w:pPr>
              <w:rPr>
                <w:rFonts w:eastAsia="Times New Roman" w:cs="Arial"/>
                <w:b/>
                <w:bCs/>
                <w:sz w:val="16"/>
                <w:szCs w:val="16"/>
                <w:lang w:eastAsia="en-GB"/>
              </w:rPr>
            </w:pPr>
            <w:r w:rsidRPr="0086543E">
              <w:rPr>
                <w:rFonts w:eastAsia="Times New Roman" w:cs="Arial"/>
                <w:b/>
                <w:bCs/>
                <w:sz w:val="16"/>
                <w:szCs w:val="16"/>
                <w:lang w:eastAsia="en-GB"/>
              </w:rPr>
              <w:t>NIPA</w:t>
            </w:r>
            <w:r w:rsidR="00D858E0">
              <w:rPr>
                <w:rFonts w:eastAsia="Times New Roman" w:cs="Arial"/>
                <w:b/>
                <w:bCs/>
                <w:sz w:val="16"/>
                <w:szCs w:val="16"/>
                <w:lang w:eastAsia="en-GB"/>
              </w:rPr>
              <w:t>K</w:t>
            </w:r>
          </w:p>
        </w:tc>
        <w:tc>
          <w:tcPr>
            <w:tcW w:w="7892" w:type="dxa"/>
            <w:shd w:val="clear" w:color="auto" w:fill="auto"/>
            <w:noWrap/>
            <w:vAlign w:val="center"/>
          </w:tcPr>
          <w:p w14:paraId="6AEF16D5" w14:textId="7719B5C8"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Na</w:t>
            </w:r>
            <w:r w:rsidR="00B533AA">
              <w:rPr>
                <w:rFonts w:eastAsia="Times New Roman" w:cs="Arial"/>
                <w:sz w:val="16"/>
                <w:szCs w:val="16"/>
                <w:lang w:eastAsia="en-GB"/>
              </w:rPr>
              <w:t>cionalni IPA koordinator</w:t>
            </w:r>
          </w:p>
        </w:tc>
      </w:tr>
      <w:tr w:rsidR="00EC139C" w:rsidRPr="00B83578" w14:paraId="338713F2" w14:textId="77777777" w:rsidTr="00E6468C">
        <w:trPr>
          <w:trHeight w:val="295"/>
        </w:trPr>
        <w:tc>
          <w:tcPr>
            <w:tcW w:w="1134" w:type="dxa"/>
            <w:shd w:val="clear" w:color="auto" w:fill="auto"/>
            <w:noWrap/>
            <w:vAlign w:val="center"/>
          </w:tcPr>
          <w:p w14:paraId="07C890D4"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NPM</w:t>
            </w:r>
          </w:p>
        </w:tc>
        <w:tc>
          <w:tcPr>
            <w:tcW w:w="7892" w:type="dxa"/>
            <w:shd w:val="clear" w:color="auto" w:fill="auto"/>
            <w:noWrap/>
            <w:vAlign w:val="center"/>
          </w:tcPr>
          <w:p w14:paraId="3468CCD7" w14:textId="42E72557"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Na</w:t>
            </w:r>
            <w:r w:rsidR="00B533AA">
              <w:rPr>
                <w:rFonts w:eastAsia="Times New Roman" w:cs="Arial"/>
                <w:sz w:val="16"/>
                <w:szCs w:val="16"/>
                <w:lang w:eastAsia="en-GB"/>
              </w:rPr>
              <w:t>cionalni preventivni mehanizam za prevenciju torture</w:t>
            </w:r>
          </w:p>
        </w:tc>
      </w:tr>
      <w:tr w:rsidR="00EC139C" w:rsidRPr="00B83578" w14:paraId="31BB7AF8" w14:textId="77777777" w:rsidTr="00E6468C">
        <w:trPr>
          <w:trHeight w:val="295"/>
        </w:trPr>
        <w:tc>
          <w:tcPr>
            <w:tcW w:w="1134" w:type="dxa"/>
            <w:shd w:val="clear" w:color="auto" w:fill="auto"/>
            <w:noWrap/>
            <w:vAlign w:val="center"/>
          </w:tcPr>
          <w:p w14:paraId="6014FB76" w14:textId="529427A3" w:rsidR="00EC139C" w:rsidRPr="006D6E25" w:rsidRDefault="00EC139C" w:rsidP="00E6468C">
            <w:pPr>
              <w:rPr>
                <w:rFonts w:eastAsia="Times New Roman" w:cs="Arial"/>
                <w:b/>
                <w:bCs/>
                <w:sz w:val="16"/>
                <w:szCs w:val="16"/>
                <w:lang w:eastAsia="en-GB"/>
              </w:rPr>
            </w:pPr>
            <w:r w:rsidRPr="006D6E25">
              <w:rPr>
                <w:rFonts w:eastAsia="Times New Roman" w:cs="Arial"/>
                <w:b/>
                <w:bCs/>
                <w:sz w:val="16"/>
                <w:szCs w:val="16"/>
                <w:lang w:eastAsia="en-GB"/>
              </w:rPr>
              <w:t>NS</w:t>
            </w:r>
            <w:r w:rsidR="00D858E0">
              <w:rPr>
                <w:rFonts w:eastAsia="Times New Roman" w:cs="Arial"/>
                <w:b/>
                <w:bCs/>
                <w:sz w:val="16"/>
                <w:szCs w:val="16"/>
                <w:lang w:eastAsia="en-GB"/>
              </w:rPr>
              <w:t>OR</w:t>
            </w:r>
          </w:p>
        </w:tc>
        <w:tc>
          <w:tcPr>
            <w:tcW w:w="7892" w:type="dxa"/>
            <w:shd w:val="clear" w:color="auto" w:fill="auto"/>
            <w:noWrap/>
            <w:vAlign w:val="center"/>
          </w:tcPr>
          <w:p w14:paraId="1FFFC1D3" w14:textId="21A3AF2B" w:rsidR="00EC139C" w:rsidRPr="006D6E25" w:rsidRDefault="00EC139C" w:rsidP="00E6468C">
            <w:pPr>
              <w:rPr>
                <w:rFonts w:eastAsia="Times New Roman" w:cs="Arial"/>
                <w:sz w:val="16"/>
                <w:szCs w:val="16"/>
                <w:lang w:eastAsia="en-GB"/>
              </w:rPr>
            </w:pPr>
            <w:r w:rsidRPr="006D6E25">
              <w:rPr>
                <w:rFonts w:eastAsia="Times New Roman" w:cs="Arial"/>
                <w:sz w:val="16"/>
                <w:szCs w:val="16"/>
                <w:lang w:eastAsia="en-GB"/>
              </w:rPr>
              <w:t>Na</w:t>
            </w:r>
            <w:r w:rsidR="00B533AA" w:rsidRPr="006D6E25">
              <w:rPr>
                <w:rFonts w:eastAsia="Times New Roman" w:cs="Arial"/>
                <w:sz w:val="16"/>
                <w:szCs w:val="16"/>
                <w:lang w:eastAsia="en-GB"/>
              </w:rPr>
              <w:t>cionalna strategija za održivi razvoj Crne Gore</w:t>
            </w:r>
          </w:p>
        </w:tc>
      </w:tr>
      <w:tr w:rsidR="00C962A2" w:rsidRPr="00B83578" w14:paraId="0EE2030D" w14:textId="77777777" w:rsidTr="00E6468C">
        <w:trPr>
          <w:trHeight w:val="295"/>
        </w:trPr>
        <w:tc>
          <w:tcPr>
            <w:tcW w:w="1134" w:type="dxa"/>
            <w:shd w:val="clear" w:color="auto" w:fill="auto"/>
            <w:noWrap/>
            <w:vAlign w:val="center"/>
          </w:tcPr>
          <w:p w14:paraId="42D25F03" w14:textId="11560867" w:rsidR="00C962A2" w:rsidRPr="006D6E25" w:rsidRDefault="00D858E0" w:rsidP="00E6468C">
            <w:pPr>
              <w:rPr>
                <w:rFonts w:eastAsia="Times New Roman" w:cs="Arial"/>
                <w:b/>
                <w:bCs/>
                <w:sz w:val="16"/>
                <w:szCs w:val="16"/>
                <w:lang w:eastAsia="en-GB"/>
              </w:rPr>
            </w:pPr>
            <w:r>
              <w:rPr>
                <w:rFonts w:eastAsia="Times New Roman" w:cs="Arial"/>
                <w:b/>
                <w:bCs/>
                <w:sz w:val="16"/>
                <w:szCs w:val="16"/>
                <w:lang w:eastAsia="en-GB"/>
              </w:rPr>
              <w:t>SOR</w:t>
            </w:r>
          </w:p>
        </w:tc>
        <w:tc>
          <w:tcPr>
            <w:tcW w:w="7892" w:type="dxa"/>
            <w:shd w:val="clear" w:color="auto" w:fill="auto"/>
            <w:noWrap/>
            <w:vAlign w:val="center"/>
          </w:tcPr>
          <w:p w14:paraId="1B93C464" w14:textId="09E3033C" w:rsidR="00C962A2" w:rsidRPr="006D6E25" w:rsidRDefault="005A5E7A" w:rsidP="00E6468C">
            <w:pPr>
              <w:rPr>
                <w:rFonts w:eastAsia="Times New Roman" w:cs="Arial"/>
                <w:sz w:val="16"/>
                <w:szCs w:val="16"/>
                <w:lang w:eastAsia="en-GB"/>
              </w:rPr>
            </w:pPr>
            <w:r w:rsidRPr="006D6E25">
              <w:rPr>
                <w:rFonts w:eastAsia="Times New Roman" w:cs="Arial"/>
                <w:sz w:val="16"/>
                <w:szCs w:val="16"/>
                <w:lang w:eastAsia="en-GB"/>
              </w:rPr>
              <w:t>Strategije organizacionog razvoja</w:t>
            </w:r>
          </w:p>
        </w:tc>
      </w:tr>
      <w:tr w:rsidR="00EC139C" w:rsidRPr="00B83578" w14:paraId="053195C1" w14:textId="77777777" w:rsidTr="00E6468C">
        <w:trPr>
          <w:trHeight w:val="295"/>
        </w:trPr>
        <w:tc>
          <w:tcPr>
            <w:tcW w:w="1134" w:type="dxa"/>
            <w:shd w:val="clear" w:color="auto" w:fill="auto"/>
            <w:noWrap/>
            <w:vAlign w:val="center"/>
          </w:tcPr>
          <w:p w14:paraId="47F54A54"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OECD</w:t>
            </w:r>
          </w:p>
        </w:tc>
        <w:tc>
          <w:tcPr>
            <w:tcW w:w="7892" w:type="dxa"/>
            <w:shd w:val="clear" w:color="auto" w:fill="auto"/>
            <w:noWrap/>
            <w:vAlign w:val="center"/>
          </w:tcPr>
          <w:p w14:paraId="28314505" w14:textId="17AC32A7"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Organi</w:t>
            </w:r>
            <w:r w:rsidR="00083768">
              <w:rPr>
                <w:rFonts w:eastAsia="Times New Roman" w:cs="Arial"/>
                <w:sz w:val="16"/>
                <w:szCs w:val="16"/>
                <w:lang w:eastAsia="en-GB"/>
              </w:rPr>
              <w:t>zacija za ekonomsku saradnju i razvoj</w:t>
            </w:r>
          </w:p>
        </w:tc>
      </w:tr>
      <w:tr w:rsidR="00EC139C" w:rsidRPr="00B83578" w14:paraId="2DC56850" w14:textId="77777777" w:rsidTr="00E6468C">
        <w:trPr>
          <w:trHeight w:val="295"/>
        </w:trPr>
        <w:tc>
          <w:tcPr>
            <w:tcW w:w="1134" w:type="dxa"/>
            <w:shd w:val="clear" w:color="auto" w:fill="auto"/>
            <w:noWrap/>
            <w:vAlign w:val="center"/>
          </w:tcPr>
          <w:p w14:paraId="5A4AC4C9"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OLAF</w:t>
            </w:r>
          </w:p>
        </w:tc>
        <w:tc>
          <w:tcPr>
            <w:tcW w:w="7892" w:type="dxa"/>
            <w:shd w:val="clear" w:color="auto" w:fill="auto"/>
            <w:noWrap/>
            <w:vAlign w:val="center"/>
          </w:tcPr>
          <w:p w14:paraId="016C2B4A" w14:textId="318F4402" w:rsidR="00EC139C" w:rsidRPr="00B83578" w:rsidRDefault="00083768" w:rsidP="00E6468C">
            <w:pPr>
              <w:rPr>
                <w:rFonts w:eastAsia="Times New Roman" w:cs="Arial"/>
                <w:sz w:val="16"/>
                <w:szCs w:val="16"/>
                <w:lang w:eastAsia="en-GB"/>
              </w:rPr>
            </w:pPr>
            <w:r>
              <w:rPr>
                <w:rFonts w:eastAsia="Times New Roman" w:cs="Arial"/>
                <w:sz w:val="16"/>
                <w:szCs w:val="16"/>
                <w:lang w:eastAsia="en-GB"/>
              </w:rPr>
              <w:t>Kancelarija Evropske komisije za borbu protiv prevara</w:t>
            </w:r>
          </w:p>
        </w:tc>
      </w:tr>
      <w:tr w:rsidR="00EC139C" w:rsidRPr="00B83578" w14:paraId="6FB903B4" w14:textId="77777777" w:rsidTr="00E6468C">
        <w:trPr>
          <w:trHeight w:val="295"/>
        </w:trPr>
        <w:tc>
          <w:tcPr>
            <w:tcW w:w="1134" w:type="dxa"/>
            <w:shd w:val="clear" w:color="auto" w:fill="auto"/>
            <w:noWrap/>
            <w:vAlign w:val="center"/>
          </w:tcPr>
          <w:p w14:paraId="093F81E9"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OP</w:t>
            </w:r>
          </w:p>
        </w:tc>
        <w:tc>
          <w:tcPr>
            <w:tcW w:w="7892" w:type="dxa"/>
            <w:shd w:val="clear" w:color="auto" w:fill="auto"/>
            <w:noWrap/>
            <w:vAlign w:val="center"/>
          </w:tcPr>
          <w:p w14:paraId="64677323" w14:textId="63B61F80"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Operati</w:t>
            </w:r>
            <w:r w:rsidR="00083768">
              <w:rPr>
                <w:rFonts w:eastAsia="Times New Roman" w:cs="Arial"/>
                <w:sz w:val="16"/>
                <w:szCs w:val="16"/>
                <w:lang w:eastAsia="en-GB"/>
              </w:rPr>
              <w:t>vni program</w:t>
            </w:r>
          </w:p>
        </w:tc>
      </w:tr>
      <w:tr w:rsidR="00C962A2" w:rsidRPr="00B83578" w14:paraId="2E3ACBE6" w14:textId="77777777" w:rsidTr="00E6468C">
        <w:trPr>
          <w:trHeight w:val="295"/>
        </w:trPr>
        <w:tc>
          <w:tcPr>
            <w:tcW w:w="1134" w:type="dxa"/>
            <w:shd w:val="clear" w:color="auto" w:fill="auto"/>
            <w:noWrap/>
            <w:vAlign w:val="center"/>
          </w:tcPr>
          <w:p w14:paraId="2D5EA29C" w14:textId="369316DC" w:rsidR="00C962A2" w:rsidRPr="00B83578" w:rsidRDefault="00C962A2" w:rsidP="00E6468C">
            <w:pPr>
              <w:rPr>
                <w:rFonts w:eastAsia="Times New Roman" w:cs="Arial"/>
                <w:b/>
                <w:bCs/>
                <w:sz w:val="16"/>
                <w:szCs w:val="16"/>
                <w:lang w:eastAsia="en-GB"/>
              </w:rPr>
            </w:pPr>
            <w:r w:rsidRPr="00B83578">
              <w:rPr>
                <w:rFonts w:eastAsia="Times New Roman" w:cs="Arial"/>
                <w:b/>
                <w:bCs/>
                <w:sz w:val="16"/>
                <w:szCs w:val="16"/>
                <w:lang w:eastAsia="en-GB"/>
              </w:rPr>
              <w:t>O</w:t>
            </w:r>
            <w:r w:rsidR="00D858E0">
              <w:rPr>
                <w:rFonts w:eastAsia="Times New Roman" w:cs="Arial"/>
                <w:b/>
                <w:bCs/>
                <w:sz w:val="16"/>
                <w:szCs w:val="16"/>
                <w:lang w:eastAsia="en-GB"/>
              </w:rPr>
              <w:t>EBS</w:t>
            </w:r>
          </w:p>
        </w:tc>
        <w:tc>
          <w:tcPr>
            <w:tcW w:w="7892" w:type="dxa"/>
            <w:shd w:val="clear" w:color="auto" w:fill="auto"/>
            <w:noWrap/>
            <w:vAlign w:val="center"/>
          </w:tcPr>
          <w:p w14:paraId="2290F604" w14:textId="676161FC" w:rsidR="00C962A2" w:rsidRPr="00B83578" w:rsidRDefault="00C962A2" w:rsidP="00E6468C">
            <w:pPr>
              <w:rPr>
                <w:rFonts w:eastAsia="Times New Roman" w:cs="Arial"/>
                <w:sz w:val="16"/>
                <w:szCs w:val="16"/>
                <w:lang w:eastAsia="en-GB"/>
              </w:rPr>
            </w:pPr>
            <w:r w:rsidRPr="00B83578">
              <w:rPr>
                <w:rFonts w:eastAsia="Times New Roman" w:cs="Arial"/>
                <w:sz w:val="16"/>
                <w:szCs w:val="16"/>
                <w:lang w:eastAsia="en-GB"/>
              </w:rPr>
              <w:t>Organi</w:t>
            </w:r>
            <w:r w:rsidR="00083768">
              <w:rPr>
                <w:rFonts w:eastAsia="Times New Roman" w:cs="Arial"/>
                <w:sz w:val="16"/>
                <w:szCs w:val="16"/>
                <w:lang w:eastAsia="en-GB"/>
              </w:rPr>
              <w:t xml:space="preserve">zacija za bezbjednost i saradnju </w:t>
            </w:r>
          </w:p>
        </w:tc>
      </w:tr>
      <w:tr w:rsidR="00EC139C" w:rsidRPr="00B83578" w14:paraId="1DB23E02" w14:textId="77777777" w:rsidTr="00E6468C">
        <w:trPr>
          <w:trHeight w:val="295"/>
        </w:trPr>
        <w:tc>
          <w:tcPr>
            <w:tcW w:w="1134" w:type="dxa"/>
            <w:shd w:val="clear" w:color="auto" w:fill="auto"/>
            <w:noWrap/>
            <w:vAlign w:val="center"/>
          </w:tcPr>
          <w:p w14:paraId="27D00DD3"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OTSC</w:t>
            </w:r>
          </w:p>
        </w:tc>
        <w:tc>
          <w:tcPr>
            <w:tcW w:w="7892" w:type="dxa"/>
            <w:shd w:val="clear" w:color="auto" w:fill="auto"/>
            <w:noWrap/>
            <w:vAlign w:val="center"/>
          </w:tcPr>
          <w:p w14:paraId="73AF0DD3" w14:textId="41D7A161" w:rsidR="00EC139C" w:rsidRPr="00B83578" w:rsidRDefault="00083768" w:rsidP="00E6468C">
            <w:pPr>
              <w:rPr>
                <w:rFonts w:eastAsia="Times New Roman" w:cs="Arial"/>
                <w:sz w:val="16"/>
                <w:szCs w:val="16"/>
                <w:lang w:eastAsia="en-GB"/>
              </w:rPr>
            </w:pPr>
            <w:r>
              <w:rPr>
                <w:rFonts w:eastAsia="Times New Roman" w:cs="Arial"/>
                <w:sz w:val="16"/>
                <w:szCs w:val="16"/>
                <w:lang w:eastAsia="en-GB"/>
              </w:rPr>
              <w:t>Provjere na licu mjesta</w:t>
            </w:r>
          </w:p>
        </w:tc>
      </w:tr>
      <w:tr w:rsidR="00EC139C" w:rsidRPr="00B83578" w14:paraId="5781C8B4" w14:textId="77777777" w:rsidTr="00E6468C">
        <w:trPr>
          <w:trHeight w:val="295"/>
        </w:trPr>
        <w:tc>
          <w:tcPr>
            <w:tcW w:w="1134" w:type="dxa"/>
            <w:shd w:val="clear" w:color="auto" w:fill="auto"/>
            <w:noWrap/>
            <w:vAlign w:val="center"/>
          </w:tcPr>
          <w:p w14:paraId="5A018AFF"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lastRenderedPageBreak/>
              <w:t>OTSV</w:t>
            </w:r>
          </w:p>
        </w:tc>
        <w:tc>
          <w:tcPr>
            <w:tcW w:w="7892" w:type="dxa"/>
            <w:shd w:val="clear" w:color="auto" w:fill="auto"/>
            <w:noWrap/>
            <w:vAlign w:val="center"/>
          </w:tcPr>
          <w:p w14:paraId="083E424A" w14:textId="75CB9EB8" w:rsidR="00EC139C" w:rsidRPr="00B83578" w:rsidRDefault="00083768" w:rsidP="00E6468C">
            <w:pPr>
              <w:rPr>
                <w:rFonts w:eastAsia="Times New Roman" w:cs="Arial"/>
                <w:sz w:val="16"/>
                <w:szCs w:val="16"/>
                <w:lang w:eastAsia="en-GB"/>
              </w:rPr>
            </w:pPr>
            <w:r>
              <w:rPr>
                <w:rFonts w:eastAsia="Times New Roman" w:cs="Arial"/>
                <w:sz w:val="16"/>
                <w:szCs w:val="16"/>
                <w:lang w:eastAsia="en-GB"/>
              </w:rPr>
              <w:t>Verifikacije na licu mjesta</w:t>
            </w:r>
            <w:r w:rsidR="00EC139C" w:rsidRPr="00B83578">
              <w:rPr>
                <w:rFonts w:eastAsia="Times New Roman" w:cs="Arial"/>
                <w:sz w:val="16"/>
                <w:szCs w:val="16"/>
                <w:lang w:eastAsia="en-GB"/>
              </w:rPr>
              <w:t xml:space="preserve"> </w:t>
            </w:r>
          </w:p>
        </w:tc>
      </w:tr>
      <w:tr w:rsidR="00EC139C" w:rsidRPr="00B83578" w14:paraId="543C1D28" w14:textId="77777777" w:rsidTr="00E6468C">
        <w:trPr>
          <w:trHeight w:val="295"/>
        </w:trPr>
        <w:tc>
          <w:tcPr>
            <w:tcW w:w="1134" w:type="dxa"/>
            <w:shd w:val="clear" w:color="auto" w:fill="auto"/>
            <w:noWrap/>
            <w:vAlign w:val="center"/>
          </w:tcPr>
          <w:p w14:paraId="28FD8798" w14:textId="19F269FC" w:rsidR="00EC139C" w:rsidRPr="006D6E25" w:rsidRDefault="00D858E0" w:rsidP="00E6468C">
            <w:pPr>
              <w:rPr>
                <w:rFonts w:eastAsia="Times New Roman" w:cs="Arial"/>
                <w:b/>
                <w:bCs/>
                <w:sz w:val="16"/>
                <w:szCs w:val="16"/>
                <w:lang w:eastAsia="en-GB"/>
              </w:rPr>
            </w:pPr>
            <w:r>
              <w:rPr>
                <w:rFonts w:eastAsia="Times New Roman" w:cs="Arial"/>
                <w:b/>
                <w:bCs/>
                <w:sz w:val="16"/>
                <w:szCs w:val="16"/>
                <w:lang w:eastAsia="en-GB"/>
              </w:rPr>
              <w:t>SIP</w:t>
            </w:r>
          </w:p>
        </w:tc>
        <w:tc>
          <w:tcPr>
            <w:tcW w:w="7892" w:type="dxa"/>
            <w:shd w:val="clear" w:color="auto" w:fill="auto"/>
            <w:noWrap/>
            <w:vAlign w:val="center"/>
          </w:tcPr>
          <w:p w14:paraId="2147A2C5" w14:textId="69817CBC" w:rsidR="00EC139C" w:rsidRPr="006D6E25" w:rsidRDefault="00083768" w:rsidP="00E6468C">
            <w:pPr>
              <w:rPr>
                <w:rFonts w:eastAsia="Times New Roman" w:cs="Arial"/>
                <w:sz w:val="16"/>
                <w:szCs w:val="16"/>
                <w:lang w:eastAsia="en-GB"/>
              </w:rPr>
            </w:pPr>
            <w:r w:rsidRPr="006D6E25">
              <w:rPr>
                <w:rFonts w:eastAsia="Times New Roman" w:cs="Arial"/>
                <w:sz w:val="16"/>
                <w:szCs w:val="16"/>
                <w:lang w:eastAsia="en-GB"/>
              </w:rPr>
              <w:t>Sistem za informacije o projektu</w:t>
            </w:r>
          </w:p>
        </w:tc>
      </w:tr>
      <w:tr w:rsidR="00EC139C" w:rsidRPr="00B83578" w14:paraId="5D897E30" w14:textId="77777777" w:rsidTr="00E6468C">
        <w:trPr>
          <w:trHeight w:val="295"/>
        </w:trPr>
        <w:tc>
          <w:tcPr>
            <w:tcW w:w="1134" w:type="dxa"/>
            <w:shd w:val="clear" w:color="auto" w:fill="auto"/>
            <w:noWrap/>
            <w:vAlign w:val="center"/>
          </w:tcPr>
          <w:p w14:paraId="21376D36" w14:textId="77777777" w:rsidR="00EC139C" w:rsidRPr="006D6E25" w:rsidRDefault="00EC139C" w:rsidP="00E6468C">
            <w:pPr>
              <w:rPr>
                <w:rFonts w:eastAsia="Times New Roman" w:cs="Arial"/>
                <w:b/>
                <w:bCs/>
                <w:sz w:val="16"/>
                <w:szCs w:val="16"/>
                <w:lang w:eastAsia="en-GB"/>
              </w:rPr>
            </w:pPr>
            <w:r w:rsidRPr="006D6E25">
              <w:rPr>
                <w:rFonts w:eastAsia="Times New Roman" w:cs="Arial"/>
                <w:b/>
                <w:bCs/>
                <w:sz w:val="16"/>
                <w:szCs w:val="16"/>
                <w:lang w:eastAsia="en-GB"/>
              </w:rPr>
              <w:t>PIU</w:t>
            </w:r>
          </w:p>
        </w:tc>
        <w:tc>
          <w:tcPr>
            <w:tcW w:w="7892" w:type="dxa"/>
            <w:shd w:val="clear" w:color="auto" w:fill="auto"/>
            <w:noWrap/>
            <w:vAlign w:val="center"/>
          </w:tcPr>
          <w:p w14:paraId="666576C0" w14:textId="479FDA3E" w:rsidR="00EC139C" w:rsidRPr="006D6E25" w:rsidRDefault="00083768" w:rsidP="00E6468C">
            <w:pPr>
              <w:rPr>
                <w:rFonts w:eastAsia="Times New Roman" w:cs="Arial"/>
                <w:sz w:val="16"/>
                <w:szCs w:val="16"/>
                <w:lang w:eastAsia="en-GB"/>
              </w:rPr>
            </w:pPr>
            <w:r w:rsidRPr="006D6E25">
              <w:rPr>
                <w:rFonts w:eastAsia="Times New Roman" w:cs="Arial"/>
                <w:sz w:val="16"/>
                <w:szCs w:val="16"/>
                <w:lang w:eastAsia="en-GB"/>
              </w:rPr>
              <w:t>Jedinica za implementaciju projekta</w:t>
            </w:r>
          </w:p>
        </w:tc>
      </w:tr>
      <w:tr w:rsidR="00EC139C" w:rsidRPr="00B83578" w14:paraId="45D2293F" w14:textId="77777777" w:rsidTr="00E6468C">
        <w:trPr>
          <w:trHeight w:val="295"/>
        </w:trPr>
        <w:tc>
          <w:tcPr>
            <w:tcW w:w="1134" w:type="dxa"/>
            <w:shd w:val="clear" w:color="auto" w:fill="auto"/>
            <w:noWrap/>
            <w:vAlign w:val="center"/>
          </w:tcPr>
          <w:p w14:paraId="7EBADA7D" w14:textId="77777777" w:rsidR="00EC139C" w:rsidRPr="006D6E25" w:rsidRDefault="00EC139C" w:rsidP="00E6468C">
            <w:pPr>
              <w:rPr>
                <w:rFonts w:eastAsia="Times New Roman" w:cs="Arial"/>
                <w:b/>
                <w:bCs/>
                <w:sz w:val="16"/>
                <w:szCs w:val="16"/>
                <w:lang w:eastAsia="en-GB"/>
              </w:rPr>
            </w:pPr>
            <w:r w:rsidRPr="006D6E25">
              <w:rPr>
                <w:rFonts w:eastAsia="Times New Roman" w:cs="Arial"/>
                <w:b/>
                <w:bCs/>
                <w:sz w:val="16"/>
                <w:szCs w:val="16"/>
                <w:lang w:eastAsia="en-GB"/>
              </w:rPr>
              <w:t>PRAG</w:t>
            </w:r>
          </w:p>
        </w:tc>
        <w:tc>
          <w:tcPr>
            <w:tcW w:w="7892" w:type="dxa"/>
            <w:shd w:val="clear" w:color="auto" w:fill="auto"/>
            <w:noWrap/>
            <w:vAlign w:val="center"/>
          </w:tcPr>
          <w:p w14:paraId="615CF28E" w14:textId="501BB4EE" w:rsidR="00EC139C" w:rsidRPr="006D6E25" w:rsidRDefault="00083768" w:rsidP="00E6468C">
            <w:pPr>
              <w:rPr>
                <w:rFonts w:eastAsia="Times New Roman" w:cs="Arial"/>
                <w:sz w:val="16"/>
                <w:szCs w:val="16"/>
                <w:lang w:eastAsia="en-GB"/>
              </w:rPr>
            </w:pPr>
            <w:r w:rsidRPr="006D6E25">
              <w:rPr>
                <w:rFonts w:eastAsia="Times New Roman" w:cs="Arial"/>
                <w:sz w:val="16"/>
                <w:szCs w:val="16"/>
                <w:lang w:eastAsia="en-GB"/>
              </w:rPr>
              <w:t>Praktični vodič za javne nabavke i donacije Evropske unije</w:t>
            </w:r>
          </w:p>
        </w:tc>
      </w:tr>
      <w:tr w:rsidR="004F5EA5" w:rsidRPr="00B83578" w14:paraId="4BAB7CA7" w14:textId="77777777" w:rsidTr="00E6468C">
        <w:trPr>
          <w:trHeight w:val="295"/>
        </w:trPr>
        <w:tc>
          <w:tcPr>
            <w:tcW w:w="1134" w:type="dxa"/>
            <w:shd w:val="clear" w:color="auto" w:fill="auto"/>
            <w:noWrap/>
            <w:vAlign w:val="center"/>
          </w:tcPr>
          <w:p w14:paraId="33911E6D" w14:textId="21C19EA4" w:rsidR="004F5EA5" w:rsidRPr="00B83578" w:rsidRDefault="004F5EA5" w:rsidP="00E6468C">
            <w:pPr>
              <w:rPr>
                <w:rFonts w:eastAsia="Times New Roman" w:cs="Arial"/>
                <w:b/>
                <w:bCs/>
                <w:sz w:val="16"/>
                <w:szCs w:val="16"/>
                <w:lang w:eastAsia="en-GB"/>
              </w:rPr>
            </w:pPr>
            <w:r w:rsidRPr="00B83578">
              <w:rPr>
                <w:rFonts w:eastAsia="Times New Roman" w:cs="Arial"/>
                <w:b/>
                <w:bCs/>
                <w:sz w:val="16"/>
                <w:szCs w:val="16"/>
                <w:lang w:eastAsia="en-GB"/>
              </w:rPr>
              <w:t>ReSPA</w:t>
            </w:r>
          </w:p>
        </w:tc>
        <w:tc>
          <w:tcPr>
            <w:tcW w:w="7892" w:type="dxa"/>
            <w:shd w:val="clear" w:color="auto" w:fill="auto"/>
            <w:noWrap/>
            <w:vAlign w:val="center"/>
          </w:tcPr>
          <w:p w14:paraId="614914B0" w14:textId="06206AAE" w:rsidR="004F5EA5" w:rsidRPr="00B83578" w:rsidRDefault="00D51B25" w:rsidP="00E6468C">
            <w:pPr>
              <w:rPr>
                <w:rFonts w:eastAsia="Times New Roman" w:cs="Arial"/>
                <w:sz w:val="16"/>
                <w:szCs w:val="16"/>
                <w:lang w:eastAsia="en-GB"/>
              </w:rPr>
            </w:pPr>
            <w:r w:rsidRPr="00B83578">
              <w:rPr>
                <w:rFonts w:eastAsia="Times New Roman" w:cs="Arial"/>
                <w:sz w:val="16"/>
                <w:szCs w:val="16"/>
                <w:lang w:eastAsia="en-GB"/>
              </w:rPr>
              <w:t>Regional</w:t>
            </w:r>
            <w:r w:rsidR="00933D0A">
              <w:rPr>
                <w:rFonts w:eastAsia="Times New Roman" w:cs="Arial"/>
                <w:sz w:val="16"/>
                <w:szCs w:val="16"/>
                <w:lang w:eastAsia="en-GB"/>
              </w:rPr>
              <w:t>na škola javne uprave</w:t>
            </w:r>
          </w:p>
        </w:tc>
      </w:tr>
      <w:tr w:rsidR="00EC139C" w:rsidRPr="00B83578" w14:paraId="72A24288" w14:textId="77777777" w:rsidTr="00E6468C">
        <w:trPr>
          <w:trHeight w:val="295"/>
        </w:trPr>
        <w:tc>
          <w:tcPr>
            <w:tcW w:w="1134" w:type="dxa"/>
            <w:shd w:val="clear" w:color="auto" w:fill="auto"/>
            <w:noWrap/>
            <w:vAlign w:val="center"/>
          </w:tcPr>
          <w:p w14:paraId="0B799699" w14:textId="6D93BD3C" w:rsidR="00EC139C" w:rsidRPr="00B83578" w:rsidRDefault="00D858E0" w:rsidP="00E6468C">
            <w:pPr>
              <w:rPr>
                <w:rFonts w:eastAsia="Times New Roman" w:cs="Arial"/>
                <w:b/>
                <w:bCs/>
                <w:sz w:val="16"/>
                <w:szCs w:val="16"/>
                <w:lang w:eastAsia="en-GB"/>
              </w:rPr>
            </w:pPr>
            <w:r>
              <w:rPr>
                <w:rFonts w:eastAsia="Times New Roman" w:cs="Arial"/>
                <w:b/>
                <w:bCs/>
                <w:sz w:val="16"/>
                <w:szCs w:val="16"/>
                <w:lang w:eastAsia="en-GB"/>
              </w:rPr>
              <w:t>SRR</w:t>
            </w:r>
          </w:p>
        </w:tc>
        <w:tc>
          <w:tcPr>
            <w:tcW w:w="7892" w:type="dxa"/>
            <w:shd w:val="clear" w:color="auto" w:fill="auto"/>
            <w:noWrap/>
            <w:vAlign w:val="center"/>
          </w:tcPr>
          <w:p w14:paraId="5293293F" w14:textId="2AA1E03D" w:rsidR="00EC139C" w:rsidRPr="00B83578" w:rsidRDefault="00933D0A" w:rsidP="00E6468C">
            <w:pPr>
              <w:rPr>
                <w:rFonts w:eastAsia="Times New Roman" w:cs="Arial"/>
                <w:sz w:val="16"/>
                <w:szCs w:val="16"/>
                <w:lang w:eastAsia="en-GB"/>
              </w:rPr>
            </w:pPr>
            <w:r>
              <w:rPr>
                <w:rFonts w:eastAsia="Times New Roman" w:cs="Arial"/>
                <w:sz w:val="16"/>
                <w:szCs w:val="16"/>
                <w:lang w:eastAsia="en-GB"/>
              </w:rPr>
              <w:t>Strategija regionalnog razvoja</w:t>
            </w:r>
          </w:p>
        </w:tc>
      </w:tr>
      <w:tr w:rsidR="00EC139C" w:rsidRPr="00B83578" w14:paraId="73B04D6D" w14:textId="77777777" w:rsidTr="00E6468C">
        <w:trPr>
          <w:trHeight w:val="295"/>
        </w:trPr>
        <w:tc>
          <w:tcPr>
            <w:tcW w:w="1134" w:type="dxa"/>
            <w:shd w:val="clear" w:color="auto" w:fill="auto"/>
            <w:noWrap/>
            <w:vAlign w:val="center"/>
          </w:tcPr>
          <w:p w14:paraId="2A8532CD" w14:textId="5B23E7B9" w:rsidR="00EC139C" w:rsidRPr="00B83578" w:rsidRDefault="00D858E0" w:rsidP="00E6468C">
            <w:pPr>
              <w:rPr>
                <w:rFonts w:eastAsia="Times New Roman" w:cs="Arial"/>
                <w:b/>
                <w:bCs/>
                <w:sz w:val="16"/>
                <w:szCs w:val="16"/>
                <w:lang w:eastAsia="en-GB"/>
              </w:rPr>
            </w:pPr>
            <w:r>
              <w:rPr>
                <w:rFonts w:eastAsia="Times New Roman" w:cs="Arial"/>
                <w:b/>
                <w:bCs/>
                <w:sz w:val="16"/>
                <w:szCs w:val="16"/>
                <w:lang w:eastAsia="en-GB"/>
              </w:rPr>
              <w:t>ZzS</w:t>
            </w:r>
          </w:p>
        </w:tc>
        <w:tc>
          <w:tcPr>
            <w:tcW w:w="7892" w:type="dxa"/>
            <w:shd w:val="clear" w:color="auto" w:fill="auto"/>
            <w:noWrap/>
            <w:vAlign w:val="center"/>
          </w:tcPr>
          <w:p w14:paraId="52FA9EF0" w14:textId="7C5F25F6" w:rsidR="00EC139C" w:rsidRPr="00B83578" w:rsidRDefault="00933D0A" w:rsidP="00E6468C">
            <w:pPr>
              <w:rPr>
                <w:rFonts w:eastAsia="Times New Roman" w:cs="Arial"/>
                <w:sz w:val="16"/>
                <w:szCs w:val="16"/>
                <w:lang w:eastAsia="en-GB"/>
              </w:rPr>
            </w:pPr>
            <w:r>
              <w:rPr>
                <w:rFonts w:eastAsia="Times New Roman" w:cs="Arial"/>
                <w:sz w:val="16"/>
                <w:szCs w:val="16"/>
                <w:lang w:eastAsia="en-GB"/>
              </w:rPr>
              <w:t>Zahtjev za sredstva</w:t>
            </w:r>
          </w:p>
        </w:tc>
      </w:tr>
      <w:tr w:rsidR="00D51B25" w:rsidRPr="00B83578" w14:paraId="366D99A2" w14:textId="77777777" w:rsidTr="00E6468C">
        <w:trPr>
          <w:trHeight w:val="295"/>
        </w:trPr>
        <w:tc>
          <w:tcPr>
            <w:tcW w:w="1134" w:type="dxa"/>
            <w:shd w:val="clear" w:color="auto" w:fill="auto"/>
            <w:noWrap/>
            <w:vAlign w:val="center"/>
          </w:tcPr>
          <w:p w14:paraId="543F731A" w14:textId="61B256B8" w:rsidR="00D51B25" w:rsidRPr="00B83578" w:rsidRDefault="00D858E0" w:rsidP="00E6468C">
            <w:pPr>
              <w:rPr>
                <w:rFonts w:eastAsia="Times New Roman" w:cs="Arial"/>
                <w:b/>
                <w:bCs/>
                <w:sz w:val="16"/>
                <w:szCs w:val="16"/>
                <w:lang w:eastAsia="en-GB"/>
              </w:rPr>
            </w:pPr>
            <w:r>
              <w:rPr>
                <w:rFonts w:eastAsia="Times New Roman" w:cs="Arial"/>
                <w:b/>
                <w:bCs/>
                <w:sz w:val="16"/>
                <w:szCs w:val="16"/>
                <w:lang w:eastAsia="en-GB"/>
              </w:rPr>
              <w:t>MP</w:t>
            </w:r>
          </w:p>
        </w:tc>
        <w:tc>
          <w:tcPr>
            <w:tcW w:w="7892" w:type="dxa"/>
            <w:shd w:val="clear" w:color="auto" w:fill="auto"/>
            <w:noWrap/>
            <w:vAlign w:val="center"/>
          </w:tcPr>
          <w:p w14:paraId="212F80D1" w14:textId="69CC987E" w:rsidR="00D51B25" w:rsidRPr="00B83578" w:rsidRDefault="00933D0A" w:rsidP="00E6468C">
            <w:pPr>
              <w:rPr>
                <w:rFonts w:eastAsia="Times New Roman" w:cs="Arial"/>
                <w:sz w:val="16"/>
                <w:szCs w:val="16"/>
                <w:lang w:eastAsia="en-GB"/>
              </w:rPr>
            </w:pPr>
            <w:r>
              <w:rPr>
                <w:rFonts w:eastAsia="Times New Roman" w:cs="Arial"/>
                <w:sz w:val="16"/>
                <w:szCs w:val="16"/>
                <w:lang w:eastAsia="en-GB"/>
              </w:rPr>
              <w:t>Mapa puta</w:t>
            </w:r>
          </w:p>
        </w:tc>
      </w:tr>
      <w:tr w:rsidR="00EC139C" w:rsidRPr="00B83578" w14:paraId="4C85533C" w14:textId="77777777" w:rsidTr="00E6468C">
        <w:trPr>
          <w:trHeight w:val="295"/>
        </w:trPr>
        <w:tc>
          <w:tcPr>
            <w:tcW w:w="1134" w:type="dxa"/>
            <w:shd w:val="clear" w:color="auto" w:fill="auto"/>
            <w:noWrap/>
            <w:vAlign w:val="center"/>
          </w:tcPr>
          <w:p w14:paraId="4D97528C" w14:textId="5DA1BDCC" w:rsidR="00EC139C" w:rsidRPr="006D6E25" w:rsidRDefault="00D858E0" w:rsidP="00E6468C">
            <w:pPr>
              <w:rPr>
                <w:rFonts w:eastAsia="Times New Roman" w:cs="Arial"/>
                <w:b/>
                <w:bCs/>
                <w:sz w:val="16"/>
                <w:szCs w:val="16"/>
                <w:lang w:eastAsia="en-GB"/>
              </w:rPr>
            </w:pPr>
            <w:r>
              <w:rPr>
                <w:rFonts w:eastAsia="Times New Roman" w:cs="Arial"/>
                <w:b/>
                <w:bCs/>
                <w:sz w:val="16"/>
                <w:szCs w:val="16"/>
                <w:lang w:eastAsia="en-GB"/>
              </w:rPr>
              <w:t>POT</w:t>
            </w:r>
          </w:p>
        </w:tc>
        <w:tc>
          <w:tcPr>
            <w:tcW w:w="7892" w:type="dxa"/>
            <w:shd w:val="clear" w:color="auto" w:fill="auto"/>
            <w:noWrap/>
            <w:vAlign w:val="center"/>
          </w:tcPr>
          <w:p w14:paraId="414699C1" w14:textId="0A92BC7F" w:rsidR="00EC139C" w:rsidRPr="006D6E25" w:rsidRDefault="005A5E7A" w:rsidP="00E6468C">
            <w:pPr>
              <w:rPr>
                <w:rFonts w:eastAsia="Times New Roman" w:cs="Arial"/>
                <w:sz w:val="16"/>
                <w:szCs w:val="16"/>
                <w:lang w:eastAsia="en-GB"/>
              </w:rPr>
            </w:pPr>
            <w:r w:rsidRPr="006D6E25">
              <w:rPr>
                <w:rFonts w:eastAsia="Times New Roman" w:cs="Arial"/>
                <w:sz w:val="16"/>
                <w:szCs w:val="16"/>
                <w:lang w:eastAsia="en-GB"/>
              </w:rPr>
              <w:t>Pojednostavljene opcije troškova</w:t>
            </w:r>
          </w:p>
        </w:tc>
      </w:tr>
      <w:tr w:rsidR="00EC139C" w:rsidRPr="00B83578" w14:paraId="173E5D7C" w14:textId="77777777" w:rsidTr="00E6468C">
        <w:trPr>
          <w:trHeight w:val="295"/>
        </w:trPr>
        <w:tc>
          <w:tcPr>
            <w:tcW w:w="1134" w:type="dxa"/>
            <w:shd w:val="clear" w:color="auto" w:fill="auto"/>
            <w:noWrap/>
            <w:vAlign w:val="center"/>
          </w:tcPr>
          <w:p w14:paraId="31D701A2"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SDGs</w:t>
            </w:r>
          </w:p>
        </w:tc>
        <w:tc>
          <w:tcPr>
            <w:tcW w:w="7892" w:type="dxa"/>
            <w:shd w:val="clear" w:color="auto" w:fill="auto"/>
            <w:noWrap/>
            <w:vAlign w:val="center"/>
          </w:tcPr>
          <w:p w14:paraId="20667FB7" w14:textId="45D42CE3" w:rsidR="00EC139C" w:rsidRPr="00B83578" w:rsidRDefault="00933D0A" w:rsidP="00E6468C">
            <w:pPr>
              <w:rPr>
                <w:rFonts w:eastAsia="Times New Roman" w:cs="Arial"/>
                <w:sz w:val="16"/>
                <w:szCs w:val="16"/>
                <w:lang w:eastAsia="en-GB"/>
              </w:rPr>
            </w:pPr>
            <w:r>
              <w:rPr>
                <w:rFonts w:eastAsia="Times New Roman" w:cs="Arial"/>
                <w:sz w:val="16"/>
                <w:szCs w:val="16"/>
                <w:lang w:eastAsia="en-GB"/>
              </w:rPr>
              <w:t>Ciljevi održivog razvoja</w:t>
            </w:r>
          </w:p>
        </w:tc>
      </w:tr>
      <w:tr w:rsidR="00EC139C" w:rsidRPr="00B83578" w14:paraId="2A29DA2B" w14:textId="77777777" w:rsidTr="00E6468C">
        <w:trPr>
          <w:trHeight w:val="295"/>
        </w:trPr>
        <w:tc>
          <w:tcPr>
            <w:tcW w:w="1134" w:type="dxa"/>
            <w:shd w:val="clear" w:color="auto" w:fill="auto"/>
            <w:noWrap/>
            <w:vAlign w:val="center"/>
          </w:tcPr>
          <w:p w14:paraId="4E9514E5" w14:textId="1DF992E9"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S</w:t>
            </w:r>
            <w:r w:rsidR="00D858E0">
              <w:rPr>
                <w:rFonts w:eastAsia="Times New Roman" w:cs="Arial"/>
                <w:b/>
                <w:bCs/>
                <w:sz w:val="16"/>
                <w:szCs w:val="16"/>
                <w:lang w:eastAsia="en-GB"/>
              </w:rPr>
              <w:t>PUŽS</w:t>
            </w:r>
          </w:p>
        </w:tc>
        <w:tc>
          <w:tcPr>
            <w:tcW w:w="7892" w:type="dxa"/>
            <w:shd w:val="clear" w:color="auto" w:fill="auto"/>
            <w:noWrap/>
            <w:vAlign w:val="center"/>
          </w:tcPr>
          <w:p w14:paraId="484F6D88" w14:textId="62FBAB9E"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Strate</w:t>
            </w:r>
            <w:r w:rsidR="00933D0A">
              <w:rPr>
                <w:rFonts w:eastAsia="Times New Roman" w:cs="Arial"/>
                <w:sz w:val="16"/>
                <w:szCs w:val="16"/>
                <w:lang w:eastAsia="en-GB"/>
              </w:rPr>
              <w:t>ška procjena uticaja na životnu sredinu</w:t>
            </w:r>
          </w:p>
        </w:tc>
      </w:tr>
      <w:tr w:rsidR="00EC139C" w:rsidRPr="00B83578" w14:paraId="3F4958D9" w14:textId="77777777" w:rsidTr="00E6468C">
        <w:trPr>
          <w:trHeight w:val="295"/>
        </w:trPr>
        <w:tc>
          <w:tcPr>
            <w:tcW w:w="1134" w:type="dxa"/>
            <w:shd w:val="clear" w:color="auto" w:fill="auto"/>
            <w:noWrap/>
            <w:vAlign w:val="center"/>
          </w:tcPr>
          <w:p w14:paraId="22A35C58"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SPO</w:t>
            </w:r>
          </w:p>
        </w:tc>
        <w:tc>
          <w:tcPr>
            <w:tcW w:w="7892" w:type="dxa"/>
            <w:shd w:val="clear" w:color="auto" w:fill="auto"/>
            <w:noWrap/>
            <w:vAlign w:val="center"/>
          </w:tcPr>
          <w:p w14:paraId="701A62B3" w14:textId="70D6826C" w:rsidR="00EC139C" w:rsidRPr="00B83578" w:rsidRDefault="00933D0A" w:rsidP="00E6468C">
            <w:pPr>
              <w:rPr>
                <w:rFonts w:eastAsia="Times New Roman" w:cs="Arial"/>
                <w:sz w:val="16"/>
                <w:szCs w:val="16"/>
                <w:lang w:eastAsia="en-GB"/>
              </w:rPr>
            </w:pPr>
            <w:r>
              <w:rPr>
                <w:rFonts w:eastAsia="Times New Roman" w:cs="Arial"/>
                <w:sz w:val="16"/>
                <w:szCs w:val="16"/>
                <w:lang w:eastAsia="en-GB"/>
              </w:rPr>
              <w:t>Visoki programski službenik</w:t>
            </w:r>
          </w:p>
        </w:tc>
      </w:tr>
      <w:tr w:rsidR="00EC139C" w:rsidRPr="00B83578" w14:paraId="28C4A8A4" w14:textId="77777777" w:rsidTr="00E6468C">
        <w:trPr>
          <w:trHeight w:val="295"/>
        </w:trPr>
        <w:tc>
          <w:tcPr>
            <w:tcW w:w="1134" w:type="dxa"/>
            <w:shd w:val="clear" w:color="auto" w:fill="auto"/>
            <w:noWrap/>
            <w:vAlign w:val="center"/>
          </w:tcPr>
          <w:p w14:paraId="7BE2655B" w14:textId="15E6052B"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S</w:t>
            </w:r>
            <w:r w:rsidR="00D858E0">
              <w:rPr>
                <w:rFonts w:eastAsia="Times New Roman" w:cs="Arial"/>
                <w:b/>
                <w:bCs/>
                <w:sz w:val="16"/>
                <w:szCs w:val="16"/>
                <w:lang w:eastAsia="en-GB"/>
              </w:rPr>
              <w:t>RG</w:t>
            </w:r>
          </w:p>
        </w:tc>
        <w:tc>
          <w:tcPr>
            <w:tcW w:w="7892" w:type="dxa"/>
            <w:shd w:val="clear" w:color="auto" w:fill="auto"/>
            <w:noWrap/>
            <w:vAlign w:val="center"/>
          </w:tcPr>
          <w:p w14:paraId="37573CCF" w14:textId="75BB2ECA"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Se</w:t>
            </w:r>
            <w:r w:rsidR="00933D0A">
              <w:rPr>
                <w:rFonts w:eastAsia="Times New Roman" w:cs="Arial"/>
                <w:sz w:val="16"/>
                <w:szCs w:val="16"/>
                <w:lang w:eastAsia="en-GB"/>
              </w:rPr>
              <w:t>ktorska radna grupa</w:t>
            </w:r>
          </w:p>
        </w:tc>
      </w:tr>
      <w:tr w:rsidR="00EC139C" w:rsidRPr="00B83578" w14:paraId="4F585C4E" w14:textId="77777777" w:rsidTr="00E6468C">
        <w:trPr>
          <w:trHeight w:val="295"/>
        </w:trPr>
        <w:tc>
          <w:tcPr>
            <w:tcW w:w="1134" w:type="dxa"/>
            <w:shd w:val="clear" w:color="auto" w:fill="auto"/>
            <w:noWrap/>
            <w:vAlign w:val="center"/>
          </w:tcPr>
          <w:p w14:paraId="1B867472" w14:textId="303DEB97" w:rsidR="00EC139C" w:rsidRPr="00B83578" w:rsidRDefault="00D858E0" w:rsidP="00E6468C">
            <w:pPr>
              <w:rPr>
                <w:rFonts w:eastAsia="Times New Roman" w:cs="Arial"/>
                <w:b/>
                <w:bCs/>
                <w:sz w:val="16"/>
                <w:szCs w:val="16"/>
                <w:lang w:eastAsia="en-GB"/>
              </w:rPr>
            </w:pPr>
            <w:r>
              <w:rPr>
                <w:rFonts w:eastAsia="Times New Roman" w:cs="Arial"/>
                <w:b/>
                <w:bCs/>
                <w:sz w:val="16"/>
                <w:szCs w:val="16"/>
                <w:lang w:eastAsia="en-GB"/>
              </w:rPr>
              <w:t>UPO</w:t>
            </w:r>
          </w:p>
        </w:tc>
        <w:tc>
          <w:tcPr>
            <w:tcW w:w="7892" w:type="dxa"/>
            <w:shd w:val="clear" w:color="auto" w:fill="auto"/>
            <w:noWrap/>
            <w:vAlign w:val="center"/>
          </w:tcPr>
          <w:p w14:paraId="102DFD3A" w14:textId="66B9ABBD" w:rsidR="00EC139C" w:rsidRPr="00B83578" w:rsidRDefault="00933D0A" w:rsidP="00E6468C">
            <w:pPr>
              <w:rPr>
                <w:rFonts w:eastAsia="Times New Roman" w:cs="Arial"/>
                <w:sz w:val="16"/>
                <w:szCs w:val="16"/>
                <w:lang w:eastAsia="en-GB"/>
              </w:rPr>
            </w:pPr>
            <w:r>
              <w:rPr>
                <w:rFonts w:eastAsia="Times New Roman" w:cs="Arial"/>
                <w:sz w:val="16"/>
                <w:szCs w:val="16"/>
                <w:lang w:eastAsia="en-GB"/>
              </w:rPr>
              <w:t>Upitnik potreba za obukama</w:t>
            </w:r>
          </w:p>
        </w:tc>
      </w:tr>
      <w:tr w:rsidR="00EC139C" w:rsidRPr="00B83578" w14:paraId="30A76424" w14:textId="77777777" w:rsidTr="00E6468C">
        <w:trPr>
          <w:trHeight w:val="295"/>
        </w:trPr>
        <w:tc>
          <w:tcPr>
            <w:tcW w:w="1134" w:type="dxa"/>
            <w:shd w:val="clear" w:color="auto" w:fill="auto"/>
            <w:noWrap/>
            <w:vAlign w:val="center"/>
          </w:tcPr>
          <w:p w14:paraId="6610D4E3" w14:textId="07DEEEB9"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UN</w:t>
            </w:r>
          </w:p>
        </w:tc>
        <w:tc>
          <w:tcPr>
            <w:tcW w:w="7892" w:type="dxa"/>
            <w:shd w:val="clear" w:color="auto" w:fill="auto"/>
            <w:noWrap/>
            <w:vAlign w:val="center"/>
          </w:tcPr>
          <w:p w14:paraId="2EC402AD" w14:textId="4D78EF02" w:rsidR="00EC139C" w:rsidRPr="00B83578" w:rsidRDefault="00EC139C" w:rsidP="00E6468C">
            <w:pPr>
              <w:rPr>
                <w:rFonts w:eastAsia="Times New Roman" w:cs="Arial"/>
                <w:sz w:val="16"/>
                <w:szCs w:val="16"/>
                <w:lang w:eastAsia="en-GB"/>
              </w:rPr>
            </w:pPr>
            <w:r w:rsidRPr="00B83578">
              <w:rPr>
                <w:rFonts w:eastAsia="Times New Roman" w:cs="Arial"/>
                <w:sz w:val="16"/>
                <w:szCs w:val="16"/>
                <w:lang w:eastAsia="en-GB"/>
              </w:rPr>
              <w:t>U</w:t>
            </w:r>
            <w:r w:rsidR="00933D0A">
              <w:rPr>
                <w:rFonts w:eastAsia="Times New Roman" w:cs="Arial"/>
                <w:sz w:val="16"/>
                <w:szCs w:val="16"/>
                <w:lang w:eastAsia="en-GB"/>
              </w:rPr>
              <w:t>jedinjene nacije</w:t>
            </w:r>
          </w:p>
        </w:tc>
      </w:tr>
      <w:tr w:rsidR="00EC139C" w:rsidRPr="00B83578" w14:paraId="6399D747" w14:textId="77777777" w:rsidTr="00E6468C">
        <w:trPr>
          <w:trHeight w:val="295"/>
        </w:trPr>
        <w:tc>
          <w:tcPr>
            <w:tcW w:w="1134" w:type="dxa"/>
            <w:shd w:val="clear" w:color="auto" w:fill="auto"/>
            <w:noWrap/>
            <w:vAlign w:val="center"/>
          </w:tcPr>
          <w:p w14:paraId="0BDA0C0F" w14:textId="77777777"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UNCRPD</w:t>
            </w:r>
          </w:p>
        </w:tc>
        <w:tc>
          <w:tcPr>
            <w:tcW w:w="7892" w:type="dxa"/>
            <w:shd w:val="clear" w:color="auto" w:fill="auto"/>
            <w:noWrap/>
            <w:vAlign w:val="center"/>
          </w:tcPr>
          <w:p w14:paraId="470D4842" w14:textId="49EB8215" w:rsidR="00EC139C" w:rsidRPr="00B83578" w:rsidRDefault="00933D0A" w:rsidP="00E6468C">
            <w:pPr>
              <w:rPr>
                <w:rFonts w:eastAsia="Times New Roman" w:cs="Arial"/>
                <w:sz w:val="16"/>
                <w:szCs w:val="16"/>
                <w:lang w:eastAsia="en-GB"/>
              </w:rPr>
            </w:pPr>
            <w:r>
              <w:rPr>
                <w:rFonts w:eastAsia="Times New Roman" w:cs="Arial"/>
                <w:sz w:val="16"/>
                <w:szCs w:val="16"/>
                <w:lang w:eastAsia="en-GB"/>
              </w:rPr>
              <w:t>Konvencija Ujedinjenih nacija o pravima osoba sa invaliditetom</w:t>
            </w:r>
          </w:p>
        </w:tc>
      </w:tr>
      <w:tr w:rsidR="00EC139C" w:rsidRPr="00B83578" w14:paraId="5A7B98EB" w14:textId="77777777" w:rsidTr="00E6468C">
        <w:trPr>
          <w:trHeight w:val="295"/>
        </w:trPr>
        <w:tc>
          <w:tcPr>
            <w:tcW w:w="1134" w:type="dxa"/>
            <w:shd w:val="clear" w:color="auto" w:fill="auto"/>
            <w:noWrap/>
            <w:vAlign w:val="center"/>
          </w:tcPr>
          <w:p w14:paraId="706692A0" w14:textId="5723932F" w:rsidR="00EC139C" w:rsidRPr="00B83578" w:rsidRDefault="00EC139C" w:rsidP="00E6468C">
            <w:pPr>
              <w:rPr>
                <w:rFonts w:eastAsia="Times New Roman" w:cs="Arial"/>
                <w:b/>
                <w:bCs/>
                <w:sz w:val="16"/>
                <w:szCs w:val="16"/>
                <w:lang w:eastAsia="en-GB"/>
              </w:rPr>
            </w:pPr>
            <w:r w:rsidRPr="00B83578">
              <w:rPr>
                <w:rFonts w:eastAsia="Times New Roman" w:cs="Arial"/>
                <w:b/>
                <w:bCs/>
                <w:sz w:val="16"/>
                <w:szCs w:val="16"/>
                <w:lang w:eastAsia="en-GB"/>
              </w:rPr>
              <w:t>UNDP</w:t>
            </w:r>
          </w:p>
        </w:tc>
        <w:tc>
          <w:tcPr>
            <w:tcW w:w="7892" w:type="dxa"/>
            <w:shd w:val="clear" w:color="auto" w:fill="auto"/>
            <w:noWrap/>
            <w:vAlign w:val="center"/>
          </w:tcPr>
          <w:p w14:paraId="2A13F3C5" w14:textId="28511FE8" w:rsidR="00EC139C" w:rsidRPr="00B83578" w:rsidRDefault="00933D0A" w:rsidP="00E6468C">
            <w:pPr>
              <w:rPr>
                <w:rFonts w:eastAsia="Times New Roman" w:cs="Arial"/>
                <w:sz w:val="16"/>
                <w:szCs w:val="16"/>
                <w:lang w:eastAsia="en-GB"/>
              </w:rPr>
            </w:pPr>
            <w:r>
              <w:rPr>
                <w:rFonts w:eastAsia="Times New Roman" w:cs="Arial"/>
                <w:sz w:val="16"/>
                <w:szCs w:val="16"/>
                <w:lang w:eastAsia="en-GB"/>
              </w:rPr>
              <w:t>Program za razvoj Ujedinjenih nacija</w:t>
            </w:r>
          </w:p>
        </w:tc>
      </w:tr>
    </w:tbl>
    <w:p w14:paraId="51593D96" w14:textId="77777777" w:rsidR="00694814" w:rsidRPr="00B83578" w:rsidRDefault="00694814" w:rsidP="005A5802">
      <w:pPr>
        <w:rPr>
          <w:rFonts w:cs="Arial"/>
        </w:rPr>
      </w:pPr>
    </w:p>
    <w:p w14:paraId="29086EC2" w14:textId="77777777" w:rsidR="00B53791" w:rsidRPr="00B83578" w:rsidRDefault="00B53791" w:rsidP="005A5802">
      <w:pPr>
        <w:rPr>
          <w:rFonts w:cs="Arial"/>
        </w:rPr>
        <w:sectPr w:rsidR="00B53791" w:rsidRPr="00B83578" w:rsidSect="00E873F4">
          <w:headerReference w:type="default" r:id="rId9"/>
          <w:footerReference w:type="default" r:id="rId10"/>
          <w:pgSz w:w="12240" w:h="15840"/>
          <w:pgMar w:top="1440" w:right="1440" w:bottom="1440" w:left="1440" w:header="720" w:footer="720" w:gutter="0"/>
          <w:cols w:space="720"/>
          <w:titlePg/>
          <w:docGrid w:linePitch="360"/>
        </w:sectPr>
      </w:pPr>
    </w:p>
    <w:p w14:paraId="1037E21A" w14:textId="4A23D885" w:rsidR="0074555E" w:rsidRPr="00B83578" w:rsidRDefault="00CA5A31" w:rsidP="00673B99">
      <w:pPr>
        <w:pStyle w:val="Title"/>
      </w:pPr>
      <w:r>
        <w:lastRenderedPageBreak/>
        <w:t>Uvod</w:t>
      </w:r>
      <w:r w:rsidR="00BE4699" w:rsidRPr="00B83578">
        <w:rPr>
          <w:sz w:val="44"/>
          <w:szCs w:val="44"/>
        </w:rPr>
        <w:t xml:space="preserve"> </w:t>
      </w:r>
    </w:p>
    <w:p w14:paraId="5B5711F7" w14:textId="7C14D88E" w:rsidR="00771C80" w:rsidRDefault="00771C80" w:rsidP="00B164DB">
      <w:r w:rsidRPr="00771C80">
        <w:t xml:space="preserve">Predstavljanje detaljnog </w:t>
      </w:r>
      <w:r w:rsidR="00F2765C">
        <w:t>Plana aktivnosti</w:t>
      </w:r>
      <w:r w:rsidRPr="00771C80">
        <w:t xml:space="preserve"> i pratećeg rasporeda, kojim se utvrđuju jasni ciljevi i rokovi radi ispunjavanja zahtjeva koji proističu iz Kohezi</w:t>
      </w:r>
      <w:r>
        <w:t>one</w:t>
      </w:r>
      <w:r w:rsidRPr="00771C80">
        <w:t xml:space="preserve"> politike EU, bilo je mjerilo</w:t>
      </w:r>
      <w:r>
        <w:t xml:space="preserve"> za otvaranje</w:t>
      </w:r>
      <w:r w:rsidRPr="00771C80">
        <w:t xml:space="preserve"> Poglavlj</w:t>
      </w:r>
      <w:r w:rsidR="00D92D89">
        <w:t>a</w:t>
      </w:r>
      <w:r w:rsidRPr="00771C80">
        <w:t xml:space="preserve"> 22. </w:t>
      </w:r>
      <w:r w:rsidR="00F2765C">
        <w:t>Plan aktivnosti</w:t>
      </w:r>
      <w:r w:rsidRPr="00771C80">
        <w:t xml:space="preserve"> za ispunjavanje ovih zahtjeva sačinjen je u avgustu 2015, nakon što je Evropski savjet u maju 2013. odobrio Izvještaj </w:t>
      </w:r>
      <w:r>
        <w:t>o detaljnom pregledu usklađenosti zakonodavstva</w:t>
      </w:r>
      <w:r w:rsidRPr="00771C80">
        <w:t xml:space="preserve"> i utvrdio ga kao mjerilo</w:t>
      </w:r>
      <w:r>
        <w:t xml:space="preserve"> za otvaranje</w:t>
      </w:r>
      <w:r w:rsidRPr="00771C80">
        <w:t>.</w:t>
      </w:r>
    </w:p>
    <w:p w14:paraId="58294EA7" w14:textId="74EE8B6C" w:rsidR="00771C80" w:rsidRDefault="00771C80" w:rsidP="00B164DB">
      <w:r w:rsidRPr="00771C80">
        <w:t xml:space="preserve">Pregovaračka pozicija Crne Gore dostavljena je Komisiji 27. juna 2016. Savjet je </w:t>
      </w:r>
      <w:r>
        <w:t>odobrio</w:t>
      </w:r>
      <w:r w:rsidRPr="00771C80">
        <w:t xml:space="preserve"> Zajedničku poziciju 6. juna 2017, a Poglavlje 22 je otvoreno 20. juna 2017.</w:t>
      </w:r>
    </w:p>
    <w:p w14:paraId="24F54FDE" w14:textId="5B44105E" w:rsidR="00402AE0" w:rsidRPr="00B83578" w:rsidRDefault="00F2765C" w:rsidP="00B164DB">
      <w:r>
        <w:t>Plan aktivnosti</w:t>
      </w:r>
      <w:r w:rsidR="00771C80" w:rsidRPr="00771C80">
        <w:t xml:space="preserve"> iz 2015. zasniva se na </w:t>
      </w:r>
      <w:r w:rsidR="00771C80">
        <w:t>regulativama</w:t>
      </w:r>
      <w:r w:rsidR="00771C80" w:rsidRPr="00771C80">
        <w:t xml:space="preserve"> za ESI fondove za period 2014–2020. i sačinjen je prije finalizacije Vladine Pregovaračke pozicije; sada je zastario, imajući u vidu pojednostavljenja koja donosi regulatorni okvir 2021–2027, kao i druge političke orijentacije i obaveze Unije.</w:t>
      </w:r>
      <w:r w:rsidR="00402AE0" w:rsidRPr="00B83578">
        <w:t xml:space="preserve"> </w:t>
      </w:r>
    </w:p>
    <w:p w14:paraId="7205C38C" w14:textId="5D3BE297" w:rsidR="00402AE0" w:rsidRPr="00B83578" w:rsidRDefault="00DB72BC" w:rsidP="00B164DB">
      <w:r w:rsidRPr="00DB72BC">
        <w:t>Stoga su Vlada Crne Gore i Komisija dogovorile ažuriranje</w:t>
      </w:r>
      <w:r>
        <w:t xml:space="preserve"> </w:t>
      </w:r>
      <w:r w:rsidR="007C1A4B">
        <w:t>P</w:t>
      </w:r>
      <w:r>
        <w:t>lana</w:t>
      </w:r>
      <w:r w:rsidR="007C1A4B">
        <w:t xml:space="preserve"> aktivnosti</w:t>
      </w:r>
      <w:r w:rsidRPr="00DB72BC">
        <w:t>.</w:t>
      </w:r>
      <w:r w:rsidR="00402AE0" w:rsidRPr="00B83578">
        <w:t xml:space="preserve"> </w:t>
      </w:r>
    </w:p>
    <w:p w14:paraId="710DE113" w14:textId="4E690519" w:rsidR="00DB72BC" w:rsidRDefault="00DB72BC" w:rsidP="00B164DB">
      <w:r w:rsidRPr="00DB72BC">
        <w:t xml:space="preserve">Pošto je od usvajanja Izvještaja sa skrininga prošlo više od 11 godina, od prethodnog </w:t>
      </w:r>
      <w:r w:rsidR="00A241AA">
        <w:t>Plana aktivnosti</w:t>
      </w:r>
      <w:r w:rsidRPr="00DB72BC">
        <w:t xml:space="preserve"> skoro 10 godina, a od otvaranja Poglavlja više od 7 godina, i pošto su se u međuvremenu u državama članicama pojavile nove najbolje prakse – poput izrade </w:t>
      </w:r>
      <w:r>
        <w:t>M</w:t>
      </w:r>
      <w:r w:rsidRPr="00DB72BC">
        <w:t xml:space="preserve">apa puta za jačanje administrativnih kapaciteta za Kohezionu politiku – iste su uzete u obzir pri ažuriranju </w:t>
      </w:r>
      <w:r w:rsidR="00673E43">
        <w:t>Plana aktivnosti</w:t>
      </w:r>
      <w:r w:rsidRPr="00DB72BC">
        <w:t>.</w:t>
      </w:r>
    </w:p>
    <w:p w14:paraId="307AB40C" w14:textId="6C629A6C" w:rsidR="00DB72BC" w:rsidRDefault="00DB72BC" w:rsidP="00DB72BC">
      <w:r>
        <w:t xml:space="preserve">U ovom pogledu, ovaj </w:t>
      </w:r>
      <w:r w:rsidR="00F2765C">
        <w:t>Plan aktivnosti</w:t>
      </w:r>
      <w:r>
        <w:t xml:space="preserve"> predstavljen je u dva dijela: Mapa puta za ispunjavanje Završnih mjerila (Odjeljak I) i Dugoročni plan</w:t>
      </w:r>
      <w:r w:rsidR="00F2765C">
        <w:t xml:space="preserve"> aktivnosti</w:t>
      </w:r>
      <w:r>
        <w:t xml:space="preserve"> (Odjeljak II), koji obuhvata sve aspekte pripreme i </w:t>
      </w:r>
      <w:r w:rsidR="00682ADE">
        <w:t>sprovođenja</w:t>
      </w:r>
      <w:r>
        <w:t xml:space="preserve"> Kohezione politike, uključujući period nakon pristupanja, sa prilozima. Dugoročni plan ima osam poglavlja, od kojih svako sadrži specifične aktivnosti. U </w:t>
      </w:r>
      <w:r w:rsidR="00D92D89">
        <w:t>Aneksu</w:t>
      </w:r>
      <w:r>
        <w:t xml:space="preserve"> I date su dvije tabele koje hronološki prikazuju aktivnosti iz Mape puta i Dugoročnog plana</w:t>
      </w:r>
      <w:r w:rsidR="00B66006">
        <w:t xml:space="preserve"> aktivnosti</w:t>
      </w:r>
      <w:r>
        <w:t xml:space="preserve">. </w:t>
      </w:r>
      <w:r w:rsidR="00D92D89">
        <w:t>Aneks</w:t>
      </w:r>
      <w:r>
        <w:t xml:space="preserve"> II sadrži opis postojećeg sistema upravljanja i kontrole pretpristupnih fondova, kao i iskustvo i kapacitete u finansijskom upravljanju. </w:t>
      </w:r>
      <w:r w:rsidR="00D92D89">
        <w:t>Aneks</w:t>
      </w:r>
      <w:r>
        <w:t xml:space="preserve"> III daje informacije o programima </w:t>
      </w:r>
      <w:r w:rsidR="00C30F51" w:rsidRPr="00C30F51">
        <w:t>jačanja kapaciteta</w:t>
      </w:r>
      <w:r>
        <w:t xml:space="preserve"> pripremljenim na osnovu Procjene potreba za </w:t>
      </w:r>
      <w:r w:rsidR="00671D09">
        <w:t>obukama</w:t>
      </w:r>
      <w:r>
        <w:t xml:space="preserve"> zaposlenih koji rade s fondovima EU.</w:t>
      </w:r>
    </w:p>
    <w:p w14:paraId="2CB23B4A" w14:textId="7127501D" w:rsidR="00934B5F" w:rsidRDefault="00934B5F" w:rsidP="0089284E">
      <w:r w:rsidRPr="00934B5F">
        <w:t xml:space="preserve">Mapa puta za </w:t>
      </w:r>
      <w:r>
        <w:t>Z</w:t>
      </w:r>
      <w:r w:rsidRPr="00934B5F">
        <w:t xml:space="preserve">avršna mjerila zasnovana je na pretpostavci da će svi koraci za njihovo privremeno zatvaranje biti okončani do sredine 2026, u skladu sa smjernicama Komisije. Iako datum pristupanja još nije utvrđen, pretpostavlja se da Crna Gora neće ući u EU prije finansijske perspektive 2028–2034. </w:t>
      </w:r>
      <w:r>
        <w:t>Posljedično</w:t>
      </w:r>
      <w:r w:rsidRPr="00934B5F">
        <w:t xml:space="preserve"> se trenutni propisi Kohezi</w:t>
      </w:r>
      <w:r>
        <w:t>one</w:t>
      </w:r>
      <w:r w:rsidRPr="00934B5F">
        <w:t xml:space="preserve"> politike neće primjenjivati, iako služe kao referenca za ovu verziju </w:t>
      </w:r>
      <w:r w:rsidR="00673E43">
        <w:t>Plana aktivnosti</w:t>
      </w:r>
      <w:r w:rsidRPr="00934B5F">
        <w:t>. Radi utvrđivanja</w:t>
      </w:r>
      <w:r>
        <w:t xml:space="preserve"> razumnih</w:t>
      </w:r>
      <w:r w:rsidRPr="00934B5F">
        <w:t xml:space="preserve"> rok</w:t>
      </w:r>
      <w:r>
        <w:t>ova</w:t>
      </w:r>
      <w:r w:rsidRPr="00934B5F">
        <w:t>, pretpostavlja se pristupanje 2028</w:t>
      </w:r>
      <w:r>
        <w:t>.</w:t>
      </w:r>
      <w:r w:rsidRPr="00934B5F">
        <w:t xml:space="preserve"> </w:t>
      </w:r>
      <w:r>
        <w:t>K</w:t>
      </w:r>
      <w:r w:rsidRPr="00934B5F">
        <w:t>ada datum bude poznat, rokovi će biti</w:t>
      </w:r>
      <w:r>
        <w:t xml:space="preserve"> prikladno</w:t>
      </w:r>
      <w:r w:rsidRPr="00934B5F">
        <w:t xml:space="preserve"> revidirani.</w:t>
      </w:r>
    </w:p>
    <w:p w14:paraId="2BD13306" w14:textId="7AA516A3" w:rsidR="00934B5F" w:rsidRDefault="00934B5F" w:rsidP="0089284E">
      <w:r w:rsidRPr="00934B5F">
        <w:t>Uvažena je i činjenica da postoji značajna neizvjesnost u pogledu regulatornog okvira za period 2028–2034. Pretpostavlja se da će Komisija svoje prijedloge za budući okvir Kohezi</w:t>
      </w:r>
      <w:r>
        <w:t>one</w:t>
      </w:r>
      <w:r w:rsidRPr="00934B5F">
        <w:t xml:space="preserve"> politike objaviti u drugoj polovini 2025. U tom kontekstu vrijedi napomenuti da je Komisija objavila Komunikaciju „Put ka sljedećem V</w:t>
      </w:r>
      <w:r>
        <w:t>išegodišnjem finansijskom okvir</w:t>
      </w:r>
      <w:r w:rsidRPr="00934B5F">
        <w:t>u</w:t>
      </w:r>
      <w:r>
        <w:t xml:space="preserve"> (</w:t>
      </w:r>
      <w:r w:rsidR="00A067C3">
        <w:t>VFO</w:t>
      </w:r>
      <w:r>
        <w:t>)</w:t>
      </w:r>
      <w:r w:rsidR="00D92D89">
        <w:rPr>
          <w:rStyle w:val="FootnoteReference"/>
        </w:rPr>
        <w:footnoteReference w:id="3"/>
      </w:r>
      <w:r w:rsidRPr="00934B5F">
        <w:t xml:space="preserve">“, koja ističe ključne političke i budžetske izazove za novi </w:t>
      </w:r>
      <w:r w:rsidR="00A067C3">
        <w:t>VFO</w:t>
      </w:r>
      <w:r w:rsidRPr="00934B5F">
        <w:t xml:space="preserve">. Komunikacija ukazuje na potrebu za „osnaženom, modernizovanom politikom kohezije i rasta, u partnerstvu sa nacionalnim, regionalnim i lokalnim </w:t>
      </w:r>
      <w:proofErr w:type="gramStart"/>
      <w:r w:rsidRPr="00934B5F">
        <w:t>vlastima“</w:t>
      </w:r>
      <w:proofErr w:type="gramEnd"/>
      <w:r w:rsidRPr="00934B5F">
        <w:t xml:space="preserve">. </w:t>
      </w:r>
      <w:r>
        <w:t>U Komunikaciji se p</w:t>
      </w:r>
      <w:r w:rsidRPr="00934B5F">
        <w:t>osebno navodi (str. 15):</w:t>
      </w:r>
    </w:p>
    <w:p w14:paraId="6D3AE17A" w14:textId="77777777" w:rsidR="00934B5F" w:rsidRPr="00934B5F" w:rsidRDefault="00934B5F" w:rsidP="00934B5F">
      <w:pPr>
        <w:rPr>
          <w:bCs/>
          <w:i/>
          <w:iCs/>
        </w:rPr>
      </w:pPr>
      <w:r w:rsidRPr="00934B5F">
        <w:rPr>
          <w:bCs/>
          <w:i/>
          <w:iCs/>
        </w:rPr>
        <w:t>„Novi pristup modernom budžetu EU treba u svojoj srži da sadrži:</w:t>
      </w:r>
    </w:p>
    <w:p w14:paraId="24B24CEC" w14:textId="41CEE831" w:rsidR="00934B5F" w:rsidRDefault="00934B5F" w:rsidP="00934B5F">
      <w:pPr>
        <w:rPr>
          <w:bCs/>
          <w:i/>
          <w:iCs/>
        </w:rPr>
      </w:pPr>
      <w:r w:rsidRPr="00934B5F">
        <w:rPr>
          <w:bCs/>
          <w:i/>
          <w:iCs/>
        </w:rPr>
        <w:t xml:space="preserve">• plan za svaku državu sa ključnim reformama i investicijama, usmjerenim na naše zajedničke prioritete, uključujući </w:t>
      </w:r>
      <w:r w:rsidR="00CA6030">
        <w:rPr>
          <w:bCs/>
          <w:i/>
          <w:iCs/>
        </w:rPr>
        <w:t>unaprje</w:t>
      </w:r>
      <w:r w:rsidRPr="00934B5F">
        <w:rPr>
          <w:bCs/>
          <w:i/>
          <w:iCs/>
        </w:rPr>
        <w:t xml:space="preserve">đenje ekonomske, socijalne i teritorijalne kohezije. Ojačana politika kohezije i </w:t>
      </w:r>
      <w:r>
        <w:rPr>
          <w:bCs/>
          <w:i/>
          <w:iCs/>
        </w:rPr>
        <w:t>rasta sa regionima u svom centru mora biti dizajnirana i sprovedena u partnerstvu sa nacionalnim, regionalnim i lokalnim vlastima.”</w:t>
      </w:r>
    </w:p>
    <w:p w14:paraId="78683A29" w14:textId="161AA53D" w:rsidR="00761F2C" w:rsidRDefault="00761F2C" w:rsidP="00B164DB">
      <w:pPr>
        <w:rPr>
          <w:bCs/>
        </w:rPr>
      </w:pPr>
      <w:r w:rsidRPr="00761F2C">
        <w:rPr>
          <w:bCs/>
        </w:rPr>
        <w:t>Uzimajući to u obzir, v</w:t>
      </w:r>
      <w:r>
        <w:rPr>
          <w:bCs/>
        </w:rPr>
        <w:t>j</w:t>
      </w:r>
      <w:r w:rsidRPr="00761F2C">
        <w:rPr>
          <w:bCs/>
        </w:rPr>
        <w:t>erovatno će doći do značajnih prom</w:t>
      </w:r>
      <w:r>
        <w:rPr>
          <w:bCs/>
        </w:rPr>
        <w:t>j</w:t>
      </w:r>
      <w:r w:rsidRPr="00761F2C">
        <w:rPr>
          <w:bCs/>
        </w:rPr>
        <w:t xml:space="preserve">ena u budućem </w:t>
      </w:r>
      <w:r>
        <w:rPr>
          <w:bCs/>
        </w:rPr>
        <w:t>zakonodavnom</w:t>
      </w:r>
      <w:r w:rsidRPr="00761F2C">
        <w:rPr>
          <w:bCs/>
        </w:rPr>
        <w:t xml:space="preserve"> okviru; pored toga, pods</w:t>
      </w:r>
      <w:r>
        <w:rPr>
          <w:bCs/>
        </w:rPr>
        <w:t>j</w:t>
      </w:r>
      <w:r w:rsidRPr="00761F2C">
        <w:rPr>
          <w:bCs/>
        </w:rPr>
        <w:t>eća se da će pravna sigurnost biti obezb</w:t>
      </w:r>
      <w:r>
        <w:rPr>
          <w:bCs/>
        </w:rPr>
        <w:t>ij</w:t>
      </w:r>
      <w:r w:rsidRPr="00761F2C">
        <w:rPr>
          <w:bCs/>
        </w:rPr>
        <w:t>eđena tek nakon usvajanja propisa, što je vrlo malo v</w:t>
      </w:r>
      <w:r>
        <w:rPr>
          <w:bCs/>
        </w:rPr>
        <w:t>j</w:t>
      </w:r>
      <w:r w:rsidRPr="00761F2C">
        <w:rPr>
          <w:bCs/>
        </w:rPr>
        <w:t>erovatno pr</w:t>
      </w:r>
      <w:r>
        <w:rPr>
          <w:bCs/>
        </w:rPr>
        <w:t>ij</w:t>
      </w:r>
      <w:r w:rsidRPr="00761F2C">
        <w:rPr>
          <w:bCs/>
        </w:rPr>
        <w:t>e 2027. godine.</w:t>
      </w:r>
    </w:p>
    <w:p w14:paraId="708AD6E1" w14:textId="0F37A983" w:rsidR="00761F2C" w:rsidRDefault="00761F2C" w:rsidP="00B164DB">
      <w:r w:rsidRPr="00761F2C">
        <w:t xml:space="preserve">Stoga, </w:t>
      </w:r>
      <w:r w:rsidR="00F2765C">
        <w:t xml:space="preserve">Plan aktivnosti </w:t>
      </w:r>
      <w:r w:rsidRPr="00761F2C">
        <w:t>treba posmatrati kao živ</w:t>
      </w:r>
      <w:r>
        <w:t>i</w:t>
      </w:r>
      <w:r w:rsidRPr="00761F2C">
        <w:t xml:space="preserve"> dokument, uzimajući u obzir aktuelnu debatu o budućnosti Kohezi</w:t>
      </w:r>
      <w:r>
        <w:t>one</w:t>
      </w:r>
      <w:r w:rsidRPr="00761F2C">
        <w:t xml:space="preserve"> politike i pr</w:t>
      </w:r>
      <w:r>
        <w:t>ij</w:t>
      </w:r>
      <w:r w:rsidRPr="00761F2C">
        <w:t>edloge Komisije za</w:t>
      </w:r>
      <w:r>
        <w:t xml:space="preserve"> regulatorni</w:t>
      </w:r>
      <w:r w:rsidRPr="00761F2C">
        <w:t xml:space="preserve"> okvir za fondove nakon 2027. godine (za period </w:t>
      </w:r>
      <w:r w:rsidRPr="00761F2C">
        <w:lastRenderedPageBreak/>
        <w:t>2028–2034). Dalja analiza biće potrebna kada budu objavljeni pr</w:t>
      </w:r>
      <w:r>
        <w:t>ij</w:t>
      </w:r>
      <w:r w:rsidRPr="00761F2C">
        <w:t>edlozi Komisije za regulatorni okvir nakon 2027. godine, i odgovarajuće izm</w:t>
      </w:r>
      <w:r>
        <w:t>j</w:t>
      </w:r>
      <w:r w:rsidRPr="00761F2C">
        <w:t xml:space="preserve">ene </w:t>
      </w:r>
      <w:r w:rsidR="00FD7983">
        <w:t>Plana aktivnosti</w:t>
      </w:r>
      <w:r w:rsidRPr="00761F2C">
        <w:t xml:space="preserve"> biće razmotrene na osnovu ove analize.</w:t>
      </w:r>
    </w:p>
    <w:p w14:paraId="3A2C4BF7" w14:textId="3F669FC8" w:rsidR="00402AE0" w:rsidRPr="00B83578" w:rsidRDefault="00402AE0" w:rsidP="00B164DB"/>
    <w:p w14:paraId="38CDF651" w14:textId="77777777" w:rsidR="00B53791" w:rsidRPr="00B83578" w:rsidRDefault="00B53791" w:rsidP="009E6C31">
      <w:pPr>
        <w:rPr>
          <w:rFonts w:cs="Arial"/>
        </w:rPr>
        <w:sectPr w:rsidR="00B53791" w:rsidRPr="00B83578" w:rsidSect="00AB0195">
          <w:pgSz w:w="12240" w:h="15840"/>
          <w:pgMar w:top="1440" w:right="1440" w:bottom="1440" w:left="1440" w:header="720" w:footer="720" w:gutter="0"/>
          <w:cols w:space="720"/>
          <w:docGrid w:linePitch="360"/>
        </w:sectPr>
      </w:pPr>
    </w:p>
    <w:p w14:paraId="7685B7B7" w14:textId="77ADBAD4" w:rsidR="00711FDC" w:rsidRPr="00B83578" w:rsidRDefault="00761F2C" w:rsidP="00673B99">
      <w:pPr>
        <w:pStyle w:val="Title"/>
      </w:pPr>
      <w:r w:rsidRPr="00761F2C">
        <w:lastRenderedPageBreak/>
        <w:t>Mapa puta za ispunjavanje završnih mjerila</w:t>
      </w:r>
      <w:r>
        <w:t xml:space="preserve"> za Poglavlje 22</w:t>
      </w:r>
    </w:p>
    <w:p w14:paraId="73EB1B85" w14:textId="0FDA6101" w:rsidR="00C55DA5" w:rsidRPr="00B83578" w:rsidRDefault="00761F2C" w:rsidP="00673B99">
      <w:pPr>
        <w:pStyle w:val="Heading1"/>
      </w:pPr>
      <w:bookmarkStart w:id="1" w:name="_Toc201700290"/>
      <w:r>
        <w:t>Završno mjerilo</w:t>
      </w:r>
      <w:r w:rsidR="00952BA4" w:rsidRPr="00B83578">
        <w:t xml:space="preserve"> 1</w:t>
      </w:r>
      <w:bookmarkEnd w:id="1"/>
    </w:p>
    <w:p w14:paraId="34E5E391" w14:textId="7081A4EE" w:rsidR="00C55DA5" w:rsidRPr="00B83578" w:rsidRDefault="00761F2C" w:rsidP="00C55DA5">
      <w:pPr>
        <w:pBdr>
          <w:top w:val="single" w:sz="4" w:space="1" w:color="auto"/>
          <w:left w:val="single" w:sz="4" w:space="4" w:color="auto"/>
          <w:bottom w:val="single" w:sz="4" w:space="1" w:color="auto"/>
          <w:right w:val="single" w:sz="4" w:space="4" w:color="auto"/>
        </w:pBdr>
        <w:shd w:val="clear" w:color="auto" w:fill="C1E4F5"/>
        <w:spacing w:before="120" w:line="276" w:lineRule="auto"/>
        <w:rPr>
          <w:rFonts w:eastAsia="Calibri" w:cs="Arial"/>
          <w:b/>
          <w:i/>
          <w:iCs/>
          <w:kern w:val="0"/>
          <w:sz w:val="22"/>
        </w:rPr>
      </w:pPr>
      <w:r>
        <w:rPr>
          <w:rFonts w:eastAsia="Calibri" w:cs="Arial"/>
          <w:b/>
          <w:i/>
          <w:iCs/>
          <w:kern w:val="0"/>
          <w:sz w:val="22"/>
        </w:rPr>
        <w:t>ZAVRŠNO MJERILO</w:t>
      </w:r>
      <w:r w:rsidR="00C55DA5" w:rsidRPr="00B83578">
        <w:rPr>
          <w:rFonts w:eastAsia="Calibri" w:cs="Arial"/>
          <w:b/>
          <w:i/>
          <w:iCs/>
          <w:kern w:val="0"/>
          <w:sz w:val="22"/>
        </w:rPr>
        <w:t xml:space="preserve"> 1. </w:t>
      </w:r>
      <w:r w:rsidR="00E16317">
        <w:rPr>
          <w:rFonts w:eastAsia="Calibri" w:cs="Arial"/>
          <w:b/>
          <w:i/>
          <w:iCs/>
          <w:kern w:val="0"/>
          <w:sz w:val="22"/>
        </w:rPr>
        <w:t xml:space="preserve">Crna Gora treba da demonstrira zadovoljavajući nivo impementacije sredstava EU pretpristupne </w:t>
      </w:r>
      <w:r w:rsidR="00477A44">
        <w:rPr>
          <w:rFonts w:eastAsia="Calibri" w:cs="Arial"/>
          <w:b/>
          <w:i/>
          <w:iCs/>
          <w:kern w:val="0"/>
          <w:sz w:val="22"/>
        </w:rPr>
        <w:t>podrške</w:t>
      </w:r>
      <w:r w:rsidR="00E16317">
        <w:rPr>
          <w:rFonts w:eastAsia="Calibri" w:cs="Arial"/>
          <w:b/>
          <w:i/>
          <w:iCs/>
          <w:kern w:val="0"/>
          <w:sz w:val="22"/>
        </w:rPr>
        <w:t>, odobrenih za indirektno upravljanje, posebno za komponente i oblasti relevantne za buduću implementaciju ESI fondova.</w:t>
      </w:r>
    </w:p>
    <w:p w14:paraId="7257F782" w14:textId="078D390D" w:rsidR="00C55DA5" w:rsidRPr="00B83578" w:rsidRDefault="00227D22" w:rsidP="00E676DF">
      <w:pPr>
        <w:pStyle w:val="Heading2"/>
      </w:pPr>
      <w:bookmarkStart w:id="2" w:name="_Toc201700291"/>
      <w:r w:rsidRPr="00227D22">
        <w:t>Faktori identifikovani za ocjenu zadovoljavajućeg nivoa implementacije sredstava EU pretpristupne podrške odobrenih za indirektno upravljanje</w:t>
      </w:r>
      <w:bookmarkEnd w:id="2"/>
    </w:p>
    <w:p w14:paraId="33BF1B28" w14:textId="77777777" w:rsidR="00C55DA5" w:rsidRPr="00B83578" w:rsidRDefault="00C55DA5" w:rsidP="00C55DA5">
      <w:pPr>
        <w:shd w:val="clear" w:color="auto" w:fill="FFFFFF"/>
        <w:spacing w:after="0"/>
        <w:rPr>
          <w:rFonts w:eastAsia="Calibri" w:cs="Arial"/>
          <w:bCs/>
          <w:kern w:val="0"/>
          <w:szCs w:val="20"/>
        </w:rPr>
      </w:pPr>
    </w:p>
    <w:p w14:paraId="181BCEEA" w14:textId="1895637B" w:rsidR="00C55DA5" w:rsidRPr="00B83578" w:rsidRDefault="00227D22" w:rsidP="007B764F">
      <w:r w:rsidRPr="00227D22">
        <w:t xml:space="preserve">Implementacija EU pretpristupne </w:t>
      </w:r>
      <w:r w:rsidR="00477A44">
        <w:t>podrške</w:t>
      </w:r>
      <w:r w:rsidRPr="00227D22">
        <w:t xml:space="preserve"> je u toku i trenutno se sprovodi u okviru IPA II i IPA III.</w:t>
      </w:r>
      <w:r w:rsidR="00C55DA5" w:rsidRPr="00B83578">
        <w:t xml:space="preserve"> </w:t>
      </w:r>
    </w:p>
    <w:p w14:paraId="67144ADF" w14:textId="0C090674" w:rsidR="00227D22" w:rsidRDefault="00227D22" w:rsidP="007B764F">
      <w:r w:rsidRPr="00227D22">
        <w:t xml:space="preserve">Faktori utvrđeni za ocjenu implementacije EU pretpristupne </w:t>
      </w:r>
      <w:r w:rsidR="00477A44">
        <w:t>podrške</w:t>
      </w:r>
      <w:r w:rsidRPr="00227D22">
        <w:t xml:space="preserve"> obuhvataju procjenu sistema upravljanja i kontrole uspostavljenih za </w:t>
      </w:r>
      <w:r w:rsidR="00A80895">
        <w:t>implementaciju</w:t>
      </w:r>
      <w:r w:rsidRPr="00227D22">
        <w:t xml:space="preserve"> IPA-e i nivo apsorpcije IPA sredstava koja Crna Gora realizuje putem indirektnog upravljanja.</w:t>
      </w:r>
    </w:p>
    <w:p w14:paraId="427F544F" w14:textId="115991B1" w:rsidR="00227D22" w:rsidRDefault="00227D22" w:rsidP="007B764F">
      <w:r w:rsidRPr="00227D22">
        <w:t xml:space="preserve">Kada je riječ o godišnjim akcionim programima i višegodišnjim operativnim programima, Crna Gora redovno vrši samoprocjenu sistema upravljanja i kontrole podnošenjem zahtjeva za povjeravanje zadataka izvršenja budžeta. U Izvještaju o </w:t>
      </w:r>
      <w:r>
        <w:t>državi</w:t>
      </w:r>
      <w:r w:rsidRPr="00227D22">
        <w:t xml:space="preserve"> za 2024. godinu, Komisija konstatuje da je Vlada Crne Gore pokrenula proces jačanja svojih kapaciteta i</w:t>
      </w:r>
      <w:r>
        <w:t xml:space="preserve"> osiguravajućih</w:t>
      </w:r>
      <w:r w:rsidRPr="00227D22">
        <w:t xml:space="preserve"> mehanizama za upravljanje programima IPA II i IPA III, te da je postupak podnošenja zahtjeva za povjeravanje upravljanja operativnim programima IPA III uznapredovao, ali mora biti završen u skladu s dogovorenim rokovima.</w:t>
      </w:r>
    </w:p>
    <w:p w14:paraId="556907A3" w14:textId="656EB9B0" w:rsidR="00227D22" w:rsidRDefault="00227D22" w:rsidP="007B764F">
      <w:r w:rsidRPr="00227D22">
        <w:t xml:space="preserve">Odobrenje Komisije </w:t>
      </w:r>
      <w:r>
        <w:t>z</w:t>
      </w:r>
      <w:r w:rsidRPr="00227D22">
        <w:t xml:space="preserve">a zahtjeve za povjeravanje zadataka izvršenja budžeta za odobrene IPA programe koji se sprovode putem indirektnog upravljanja, kao i </w:t>
      </w:r>
      <w:r w:rsidRPr="00227D22">
        <w:rPr>
          <w:b/>
        </w:rPr>
        <w:t xml:space="preserve">redovno dostavljanje izjava o upravljanju od strane službenika za ovjeravanje, koje pružaju </w:t>
      </w:r>
      <w:r>
        <w:rPr>
          <w:b/>
        </w:rPr>
        <w:t>osiguranja</w:t>
      </w:r>
      <w:r w:rsidRPr="00227D22">
        <w:rPr>
          <w:b/>
        </w:rPr>
        <w:t xml:space="preserve"> propisana relevantnim sporazumima između Komisije i Vlade za svaki </w:t>
      </w:r>
      <w:r w:rsidR="00720AF1">
        <w:rPr>
          <w:b/>
        </w:rPr>
        <w:t xml:space="preserve">implementirani </w:t>
      </w:r>
      <w:r w:rsidRPr="00227D22">
        <w:rPr>
          <w:b/>
        </w:rPr>
        <w:t>program</w:t>
      </w:r>
      <w:r w:rsidRPr="00227D22">
        <w:t>, potvrđuju da uspostavljeni sistem upravljanja i kontrole za programe u indirektnom upravljanju daje neophodne garancije u pogledu zakonitosti i pravilnosti osnovnih transakcija, namjenskog korišćenja sredstava i adekvatnosti, potpunosti i tačnosti podataka u godišnjim računima i finansijskim izvještajima ili izjavama.</w:t>
      </w:r>
    </w:p>
    <w:p w14:paraId="75AD922B" w14:textId="689B828E" w:rsidR="00720AF1" w:rsidRDefault="00720AF1" w:rsidP="007B764F">
      <w:r w:rsidRPr="00720AF1">
        <w:t>Smatra se da visok stepen apsorpcije IPA sredstava odobrenih za indirektno upravljanje od strane Crne Gore u periodu 2014–2020 (prosječno97 % od preko 115 miliona eura povjerenih sredstava EU tokom finansijske perspektive</w:t>
      </w:r>
      <w:r w:rsidRPr="00B83578">
        <w:rPr>
          <w:rStyle w:val="FootnoteReference"/>
          <w:rFonts w:cs="Arial"/>
          <w:bCs/>
        </w:rPr>
        <w:footnoteReference w:id="4"/>
      </w:r>
      <w:r w:rsidRPr="00720AF1">
        <w:t xml:space="preserve">) pokazuje sposobnost crnogorskih institucija i struktura da planiraju IPA </w:t>
      </w:r>
      <w:r w:rsidR="00477A44">
        <w:t>podršku</w:t>
      </w:r>
      <w:r w:rsidRPr="00720AF1">
        <w:t xml:space="preserve">, osmisle grant šeme i odaberu projekte, te nesmetano sprovode tenderske procedure i proces ugovaranja kroz potpisivanje relevantnih ugovora i sporazuma. Shodno tome, </w:t>
      </w:r>
      <w:r>
        <w:t>implementacija</w:t>
      </w:r>
      <w:r w:rsidRPr="00720AF1">
        <w:t xml:space="preserve"> završnog mjerila pratiće se i putem podataka o dodjeli ugovora i isplati IPA sredstava.</w:t>
      </w:r>
    </w:p>
    <w:p w14:paraId="7E3E05B1" w14:textId="2F975DFA" w:rsidR="00C55DA5" w:rsidRPr="007B764F" w:rsidRDefault="00720AF1" w:rsidP="00E676DF">
      <w:pPr>
        <w:pStyle w:val="Heading2"/>
      </w:pPr>
      <w:bookmarkStart w:id="3" w:name="_Toc201700292"/>
      <w:r>
        <w:t>Sažetak faktora procjene</w:t>
      </w:r>
      <w:bookmarkEnd w:id="3"/>
    </w:p>
    <w:p w14:paraId="2C6D5E8C" w14:textId="57AA10A3" w:rsidR="00C55DA5" w:rsidRPr="00E676DF" w:rsidRDefault="00720AF1" w:rsidP="0079439E">
      <w:pPr>
        <w:pStyle w:val="ListParagraph"/>
        <w:numPr>
          <w:ilvl w:val="0"/>
          <w:numId w:val="3"/>
        </w:numPr>
        <w:rPr>
          <w:bCs/>
        </w:rPr>
      </w:pPr>
      <w:r w:rsidRPr="00720AF1">
        <w:t>Uvjeravanje o pravilnom funkcionisanju sistema upravljanja i kontrole, potvrđeno relevantnim procjenama usklađenosti i revizorskim mišljenjima.</w:t>
      </w:r>
    </w:p>
    <w:p w14:paraId="3D653FC1" w14:textId="0A7F870F" w:rsidR="00C55DA5" w:rsidRPr="00E676DF" w:rsidRDefault="00720AF1" w:rsidP="0079439E">
      <w:pPr>
        <w:pStyle w:val="ListParagraph"/>
        <w:numPr>
          <w:ilvl w:val="0"/>
          <w:numId w:val="3"/>
        </w:numPr>
        <w:rPr>
          <w:bCs/>
        </w:rPr>
      </w:pPr>
      <w:r w:rsidRPr="00720AF1">
        <w:t xml:space="preserve">Pozitivan trend stopa ugovaranja IPA sredstava koja se </w:t>
      </w:r>
      <w:r w:rsidR="006F13C7">
        <w:t>implementiraju</w:t>
      </w:r>
      <w:r w:rsidRPr="00720AF1">
        <w:t xml:space="preserve"> putem indirektnog upravljanja u okviru godišnjih i višegodišnjih IPA programa i programa prekogranične saradnje (za crnogorske partnere).</w:t>
      </w:r>
    </w:p>
    <w:p w14:paraId="704B9611" w14:textId="58218753" w:rsidR="00C55DA5" w:rsidRPr="00E676DF" w:rsidRDefault="00720AF1" w:rsidP="0079439E">
      <w:pPr>
        <w:pStyle w:val="ListParagraph"/>
        <w:numPr>
          <w:ilvl w:val="0"/>
          <w:numId w:val="3"/>
        </w:numPr>
        <w:rPr>
          <w:bCs/>
        </w:rPr>
      </w:pPr>
      <w:r w:rsidRPr="00720AF1">
        <w:lastRenderedPageBreak/>
        <w:t xml:space="preserve">Pozitivan trend stopa isplata IPA sredstava koja se </w:t>
      </w:r>
      <w:r w:rsidR="006F13C7">
        <w:t>implementiraju</w:t>
      </w:r>
      <w:r w:rsidRPr="00720AF1">
        <w:t xml:space="preserve"> putem indirektnog upravljanja u okviru godišnjih i višegodišnjih IPA programa.</w:t>
      </w:r>
    </w:p>
    <w:p w14:paraId="33ED94A8" w14:textId="77777777" w:rsidR="00F40BE3" w:rsidRPr="00B83578" w:rsidRDefault="00F40BE3" w:rsidP="00F40BE3">
      <w:pPr>
        <w:shd w:val="clear" w:color="auto" w:fill="FFFFFF"/>
        <w:spacing w:after="0"/>
        <w:rPr>
          <w:rFonts w:eastAsia="Calibri" w:cs="Arial"/>
          <w:b/>
          <w:kern w:val="0"/>
          <w:sz w:val="22"/>
          <w:u w:val="single"/>
        </w:rPr>
      </w:pPr>
    </w:p>
    <w:p w14:paraId="15A8F503" w14:textId="29D2D0EE" w:rsidR="00C55DA5" w:rsidRPr="00B83578" w:rsidRDefault="00720AF1" w:rsidP="00E676DF">
      <w:pPr>
        <w:pStyle w:val="Heading2"/>
      </w:pPr>
      <w:bookmarkStart w:id="4" w:name="_Toc201700293"/>
      <w:r>
        <w:t>Procjena trenutne situacije</w:t>
      </w:r>
      <w:bookmarkEnd w:id="4"/>
      <w:r w:rsidR="00C55DA5" w:rsidRPr="00B83578">
        <w:t xml:space="preserve"> </w:t>
      </w:r>
    </w:p>
    <w:p w14:paraId="0DCC3CB3" w14:textId="7F87A263" w:rsidR="00C55DA5" w:rsidRPr="00B83578" w:rsidRDefault="00720AF1" w:rsidP="00BF3111">
      <w:pPr>
        <w:pStyle w:val="IntenseQuote"/>
      </w:pPr>
      <w:r>
        <w:t xml:space="preserve">Iskustvo u pripremi zahtjeva za povjeravanje i osiguranje sprovođenja EU budžeta </w:t>
      </w:r>
    </w:p>
    <w:p w14:paraId="1E0AC2E4" w14:textId="0DB22668" w:rsidR="003F0A19" w:rsidRDefault="003F0A19" w:rsidP="00DF1C52">
      <w:r w:rsidRPr="003F0A19">
        <w:t xml:space="preserve">Nacionalne IPA strukture u Crnoj Gori imaju značajno iskustvo u pripremi akreditacionih/povjerilačkih paketa i </w:t>
      </w:r>
      <w:r>
        <w:t>obezbjeđenja</w:t>
      </w:r>
      <w:r w:rsidRPr="003F0A19">
        <w:t xml:space="preserve"> spremnosti postojećeg sistema za </w:t>
      </w:r>
      <w:r w:rsidR="00A80895">
        <w:t>implementaciju</w:t>
      </w:r>
      <w:r w:rsidRPr="003F0A19">
        <w:t xml:space="preserve"> IPA programa. Ovi procesi obuhvataju definisanje pravnog okvira, usvajanje međuinstitucionalnih sporazuma, izradu i usvajanje procedura, kao i obezbjeđivanje određenih garancija kroz procjenu institucionalnog okvira neophodnog za uspješnu realizaciju IPA programa u skladu sa sporazumima potpisanim između Evropske komisije i Crne Gore. Iskustvo je stečeno u okviru IPA I 2007–2013, IPA II 2014–2020, a dodatno se </w:t>
      </w:r>
      <w:r w:rsidR="00CA6030">
        <w:t>unaprje</w:t>
      </w:r>
      <w:r w:rsidRPr="003F0A19">
        <w:t xml:space="preserve">đuje kroz IPA III 2021–2027. Akreditacioni paketi su pripremljeni za višegodišnje operativne programe, godišnje akcione programe, programe prekogranične saradnje i IPARD mjere u okviru odgovarajućih IPA perspektiva. U sklopu IPA III perspektive, aplikacije za povjeravanje podnijete su Evropskoj komisiji za dva godišnja akciona programa (2021. i 2024.), dva </w:t>
      </w:r>
      <w:r w:rsidR="00D858E0">
        <w:t>PGS</w:t>
      </w:r>
      <w:r w:rsidRPr="003F0A19">
        <w:t xml:space="preserve"> programa i dva višegodišnja Operativna programa 2024–2027. Ministarstvo finansija – NAO/Struktura za upravljanje ima koordinacionu ulogu.</w:t>
      </w:r>
    </w:p>
    <w:p w14:paraId="38D4FD9D" w14:textId="237BF1B0" w:rsidR="00C55DA5" w:rsidRPr="00B83578" w:rsidRDefault="003F0A19" w:rsidP="00BF3111">
      <w:pPr>
        <w:pStyle w:val="IntenseQuote"/>
      </w:pPr>
      <w:r>
        <w:t>Stope ugovaranja i isplata IPA II sredstava sprovedenih putem indirektnog upravljanja sa Crnom Gorom (</w:t>
      </w:r>
      <w:r w:rsidR="00A067C3">
        <w:t>IUDK</w:t>
      </w:r>
      <w:r>
        <w:t xml:space="preserve">) u okviru godišnjih i višegodišnjih IPA i </w:t>
      </w:r>
      <w:r w:rsidR="00D858E0">
        <w:t>PGS</w:t>
      </w:r>
      <w:r>
        <w:t xml:space="preserve"> programa</w:t>
      </w:r>
    </w:p>
    <w:p w14:paraId="69A12196" w14:textId="583C2722" w:rsidR="00F40BE3" w:rsidRPr="00B83578" w:rsidRDefault="00076BC1" w:rsidP="00076BC1">
      <w:bookmarkStart w:id="5" w:name="_Hlk193076668"/>
      <w:bookmarkStart w:id="6" w:name="_Hlk193070613"/>
      <w:r>
        <w:t xml:space="preserve">Dva ugovorna </w:t>
      </w:r>
      <w:r w:rsidR="00477A44">
        <w:t>tijela</w:t>
      </w:r>
      <w:r>
        <w:t xml:space="preserve"> trenutno dostavljaju dokumentaciju Delegaciji EU na ex-ante provjeru: </w:t>
      </w:r>
      <w:r w:rsidR="00F80B04" w:rsidRPr="00F80B04">
        <w:t xml:space="preserve">Direktorat za finansiranje i ugovaranje sredstava EU </w:t>
      </w:r>
      <w:r w:rsidR="00477A44">
        <w:t>podrške</w:t>
      </w:r>
      <w:r w:rsidRPr="00F80B04">
        <w:t xml:space="preserve"> (</w:t>
      </w:r>
      <w:r w:rsidRPr="00D92D89">
        <w:t>CFCU) i Uprava za kapitalne projekte (</w:t>
      </w:r>
      <w:r w:rsidR="00AF5AA9">
        <w:t>UKP</w:t>
      </w:r>
      <w:r w:rsidRPr="00D92D89">
        <w:t>).</w:t>
      </w:r>
    </w:p>
    <w:bookmarkEnd w:id="5"/>
    <w:p w14:paraId="688A574E" w14:textId="718EEB0A" w:rsidR="00076BC1" w:rsidRDefault="00076BC1" w:rsidP="00BC3962">
      <w:r w:rsidRPr="00076BC1">
        <w:t xml:space="preserve">Direktorat </w:t>
      </w:r>
      <w:r>
        <w:t xml:space="preserve">za finansiranje, ugovaranje i </w:t>
      </w:r>
      <w:r w:rsidR="00F80B04" w:rsidRPr="00F80B04">
        <w:t>implementaciju</w:t>
      </w:r>
      <w:r>
        <w:t xml:space="preserve"> sredstava EU </w:t>
      </w:r>
      <w:r w:rsidR="00477A44">
        <w:t>podrške</w:t>
      </w:r>
      <w:r>
        <w:t xml:space="preserve"> (</w:t>
      </w:r>
      <w:r w:rsidRPr="00076BC1">
        <w:t>CFCU</w:t>
      </w:r>
      <w:r>
        <w:t>)</w:t>
      </w:r>
      <w:r w:rsidRPr="00076BC1">
        <w:t xml:space="preserve"> </w:t>
      </w:r>
      <w:r w:rsidRPr="00076BC1">
        <w:rPr>
          <w:b/>
        </w:rPr>
        <w:t>nastupa kao Ugov</w:t>
      </w:r>
      <w:r>
        <w:rPr>
          <w:b/>
        </w:rPr>
        <w:t>orn</w:t>
      </w:r>
      <w:r w:rsidR="00477A44">
        <w:rPr>
          <w:b/>
        </w:rPr>
        <w:t>o</w:t>
      </w:r>
      <w:r>
        <w:rPr>
          <w:b/>
        </w:rPr>
        <w:t xml:space="preserve"> </w:t>
      </w:r>
      <w:r w:rsidR="00477A44">
        <w:rPr>
          <w:b/>
        </w:rPr>
        <w:t>tijelo</w:t>
      </w:r>
      <w:r w:rsidRPr="00076BC1">
        <w:t xml:space="preserve"> za osam programa finansiranih iz IPA II u režimu indirektnog upravljanja. </w:t>
      </w:r>
      <w:r w:rsidRPr="00076BC1">
        <w:rPr>
          <w:b/>
        </w:rPr>
        <w:t>Ukupna vrijednost sredstava EU povjerenih CFCU-u iznosi 66,6 miliona eura</w:t>
      </w:r>
      <w:r w:rsidRPr="00502A6C">
        <w:rPr>
          <w:rStyle w:val="FootnoteReference"/>
          <w:rFonts w:eastAsia="Calibri" w:cs="Arial"/>
          <w:b/>
          <w:color w:val="000000" w:themeColor="text1"/>
          <w:kern w:val="0"/>
          <w:szCs w:val="20"/>
        </w:rPr>
        <w:footnoteReference w:id="5"/>
      </w:r>
      <w:r>
        <w:t>.</w:t>
      </w:r>
      <w:r w:rsidRPr="00076BC1">
        <w:t xml:space="preserve"> </w:t>
      </w:r>
      <w:r>
        <w:t>U</w:t>
      </w:r>
      <w:r w:rsidRPr="00076BC1">
        <w:t xml:space="preserve">kupan broj ugovora koje je CFCU potpisao je 257. </w:t>
      </w:r>
      <w:r w:rsidR="00AF5AA9">
        <w:rPr>
          <w:b/>
        </w:rPr>
        <w:t>UKP</w:t>
      </w:r>
      <w:r w:rsidRPr="00076BC1">
        <w:rPr>
          <w:b/>
        </w:rPr>
        <w:t xml:space="preserve"> nastupa kao Ugovorn</w:t>
      </w:r>
      <w:r w:rsidR="00477A44">
        <w:rPr>
          <w:b/>
        </w:rPr>
        <w:t>o</w:t>
      </w:r>
      <w:r w:rsidRPr="00076BC1">
        <w:rPr>
          <w:b/>
        </w:rPr>
        <w:t xml:space="preserve"> </w:t>
      </w:r>
      <w:r w:rsidR="00477A44">
        <w:rPr>
          <w:b/>
        </w:rPr>
        <w:t>tijelo</w:t>
      </w:r>
      <w:r w:rsidRPr="00076BC1">
        <w:t xml:space="preserve"> za pet IPA II programa finansiranih u indirektnom upravljanju. </w:t>
      </w:r>
      <w:r w:rsidRPr="00076BC1">
        <w:rPr>
          <w:b/>
        </w:rPr>
        <w:t xml:space="preserve">Ukupna vrijednost sredstava EU povjerenih </w:t>
      </w:r>
      <w:r w:rsidR="00AF5AA9">
        <w:rPr>
          <w:b/>
        </w:rPr>
        <w:t>UKP</w:t>
      </w:r>
      <w:r w:rsidRPr="00076BC1">
        <w:rPr>
          <w:b/>
        </w:rPr>
        <w:t>-u iznosi 43,3 miliona eura</w:t>
      </w:r>
      <w:r>
        <w:t>.</w:t>
      </w:r>
      <w:r w:rsidRPr="00076BC1">
        <w:t xml:space="preserve"> </w:t>
      </w:r>
      <w:r>
        <w:t>U</w:t>
      </w:r>
      <w:r w:rsidRPr="00076BC1">
        <w:t>kupan broj potpisanih ugovora</w:t>
      </w:r>
      <w:r>
        <w:t xml:space="preserve"> od strane </w:t>
      </w:r>
      <w:r w:rsidR="00AF5AA9">
        <w:t>UKP</w:t>
      </w:r>
      <w:r>
        <w:t xml:space="preserve"> je</w:t>
      </w:r>
      <w:r w:rsidRPr="00076BC1">
        <w:t xml:space="preserve"> 50.</w:t>
      </w:r>
    </w:p>
    <w:p w14:paraId="51FAAADC" w14:textId="4958F6B7" w:rsidR="00076BC1" w:rsidRDefault="00FD7983" w:rsidP="00076BC1">
      <w:r>
        <w:t>Nacionalni s</w:t>
      </w:r>
      <w:r w:rsidR="00076BC1">
        <w:t>lužbenik za ovjeravanje (NAO) prati korišćenje EU sredstava pod indirektnim upravljanjem, i to iznos ugovorenih i isplaćenih sredstava u odnosu na ukupno odobrena sredstva,</w:t>
      </w:r>
      <w:r w:rsidR="007A7746">
        <w:t xml:space="preserve"> kao i</w:t>
      </w:r>
      <w:r w:rsidR="00D92D89">
        <w:t xml:space="preserve"> povučene</w:t>
      </w:r>
      <w:r w:rsidR="00076BC1">
        <w:t xml:space="preserve"> </w:t>
      </w:r>
      <w:r w:rsidR="007A7746">
        <w:t xml:space="preserve">iznose </w:t>
      </w:r>
      <w:r w:rsidR="00076BC1">
        <w:t xml:space="preserve">pri zatvaranju zbog ušteda ostvarenih na osnovu potpisanih ugovora, ušteda nakon konačnog zatvaranja ugovora, kao i zbog propuštanja rokova za ugovaranje definisanih u Finansijskim sporazumima. U okviru IPA II ukupna stopa ugovaranja sredstava (bez </w:t>
      </w:r>
      <w:r w:rsidR="00D858E0">
        <w:t>PGS</w:t>
      </w:r>
      <w:r w:rsidR="00076BC1">
        <w:t xml:space="preserve"> programa) iznosi 96,7%</w:t>
      </w:r>
      <w:r w:rsidR="007A7746" w:rsidRPr="00B83578">
        <w:rPr>
          <w:vertAlign w:val="superscript"/>
        </w:rPr>
        <w:footnoteReference w:id="6"/>
      </w:r>
      <w:r w:rsidR="00076BC1">
        <w:t>. Stopa ugovaranja za programe prekogranične saradnje (</w:t>
      </w:r>
      <w:r w:rsidR="00D858E0">
        <w:t>PGS</w:t>
      </w:r>
      <w:r w:rsidR="00076BC1">
        <w:t xml:space="preserve">) je 90,71%. Niža stopa kod </w:t>
      </w:r>
      <w:r w:rsidR="00D858E0">
        <w:t>PGS</w:t>
      </w:r>
      <w:r w:rsidR="00076BC1">
        <w:t xml:space="preserve"> programa proističe iz činjenice da rok za dodjelu ugovora u okviru programa MNE-AL 2019 nije ispoštovan.</w:t>
      </w:r>
      <w:r w:rsidR="007A7746">
        <w:t xml:space="preserve"> </w:t>
      </w:r>
      <w:r w:rsidR="00076BC1">
        <w:t xml:space="preserve">Sa više programa koji se još uvijek nalaze u fazi operativne realizacije, stope isplate na dan 31. 12. 2024. su sljedeće: i) svi programi: 86,24%; ii) godišnji i višegodišnji državni programi: 86,67%; iii) </w:t>
      </w:r>
      <w:r w:rsidR="00D858E0">
        <w:t>PGS</w:t>
      </w:r>
      <w:r w:rsidR="00076BC1">
        <w:t xml:space="preserve"> programi:83 %.</w:t>
      </w:r>
    </w:p>
    <w:p w14:paraId="0032FFAC" w14:textId="709129F6" w:rsidR="00C55DA5" w:rsidRPr="00B83578" w:rsidRDefault="000E3D8D" w:rsidP="00DF1C52">
      <w:pPr>
        <w:pStyle w:val="Heading3"/>
      </w:pPr>
      <w:bookmarkStart w:id="7" w:name="_Toc201700294"/>
      <w:bookmarkStart w:id="8" w:name="_Hlk201143082"/>
      <w:bookmarkEnd w:id="6"/>
      <w:r>
        <w:t>Godišnji akcioni program za Crnu Goru za</w:t>
      </w:r>
      <w:r w:rsidR="00C55DA5" w:rsidRPr="00B83578">
        <w:t xml:space="preserve"> 2014</w:t>
      </w:r>
      <w:r>
        <w:t>. godinu</w:t>
      </w:r>
      <w:bookmarkEnd w:id="7"/>
      <w:r>
        <w:t xml:space="preserve"> </w:t>
      </w:r>
      <w:r w:rsidR="00C83CA6" w:rsidRPr="00B83578">
        <w:t xml:space="preserve">   </w:t>
      </w:r>
    </w:p>
    <w:bookmarkEnd w:id="8"/>
    <w:p w14:paraId="4B49730E" w14:textId="26E45DB7" w:rsidR="000E3D8D" w:rsidRDefault="000E3D8D" w:rsidP="00BF3111">
      <w:r w:rsidRPr="000E3D8D">
        <w:t xml:space="preserve">Ukupan iznos raspoloživ za </w:t>
      </w:r>
      <w:r w:rsidR="00F80B04" w:rsidRPr="00F80B04">
        <w:t>implementaciju</w:t>
      </w:r>
      <w:r w:rsidRPr="000E3D8D">
        <w:t xml:space="preserve"> </w:t>
      </w:r>
      <w:r w:rsidR="00A067C3">
        <w:t>IUDK</w:t>
      </w:r>
      <w:r w:rsidRPr="000E3D8D">
        <w:t xml:space="preserve"> bio je 25.561.408 EUR, od čega je 21.288.220 EUR predstavljalo doprinos EU. Sporazum o finansiranju između Evropske komisije i Vlade Crne Gore potpisan </w:t>
      </w:r>
      <w:r w:rsidRPr="000E3D8D">
        <w:lastRenderedPageBreak/>
        <w:t xml:space="preserve">je 10. decembra 2015, dok je rok za ugovaranje istekao 10. decembra 2018. Ukupna vrijednost potpisanih ugovora iznosi 25.259.884 EUR, što predstavlja </w:t>
      </w:r>
      <w:r w:rsidRPr="000E3D8D">
        <w:rPr>
          <w:b/>
        </w:rPr>
        <w:t>98,82 % sredstava dostupnih</w:t>
      </w:r>
      <w:r w:rsidRPr="000E3D8D">
        <w:t xml:space="preserve"> Crnoj Gori u okviru programa. Isplaćena sredstva iznosila su 24.710.580 EUR, odnosno </w:t>
      </w:r>
      <w:r w:rsidRPr="000E3D8D">
        <w:rPr>
          <w:b/>
        </w:rPr>
        <w:t>97,83 % ugovorenih sredstava</w:t>
      </w:r>
      <w:r w:rsidRPr="000E3D8D">
        <w:t>. Proces zatvaranja predmetnog programa je započet.</w:t>
      </w:r>
    </w:p>
    <w:p w14:paraId="3B3CEA0A" w14:textId="78F94B9E" w:rsidR="00135EB6" w:rsidRPr="00B83578" w:rsidRDefault="00C228B3" w:rsidP="00C228B3">
      <w:pPr>
        <w:pStyle w:val="Heading3"/>
      </w:pPr>
      <w:bookmarkStart w:id="9" w:name="_Toc201700295"/>
      <w:r w:rsidRPr="00C228B3">
        <w:t>Godišnji akcioni program za Crnu Goru za 201</w:t>
      </w:r>
      <w:r>
        <w:t>5</w:t>
      </w:r>
      <w:r w:rsidRPr="00C228B3">
        <w:t>. godinu</w:t>
      </w:r>
      <w:bookmarkEnd w:id="9"/>
      <w:r w:rsidR="00135EB6" w:rsidRPr="00B83578">
        <w:t xml:space="preserve">   </w:t>
      </w:r>
    </w:p>
    <w:p w14:paraId="0F28B776" w14:textId="74267BB9" w:rsidR="00C228B3" w:rsidRDefault="00C228B3" w:rsidP="00BF3111">
      <w:pPr>
        <w:rPr>
          <w:rFonts w:eastAsia="Calibri"/>
          <w:kern w:val="0"/>
        </w:rPr>
      </w:pPr>
      <w:r w:rsidRPr="00C228B3">
        <w:rPr>
          <w:rFonts w:eastAsia="Calibri"/>
          <w:kern w:val="0"/>
        </w:rPr>
        <w:t xml:space="preserve">Ukupan iznos raspoloživ za </w:t>
      </w:r>
      <w:r w:rsidR="00F80B04" w:rsidRPr="00F80B04">
        <w:rPr>
          <w:rFonts w:eastAsia="Calibri"/>
          <w:kern w:val="0"/>
        </w:rPr>
        <w:t>implementaciju</w:t>
      </w:r>
      <w:r w:rsidRPr="00C228B3">
        <w:rPr>
          <w:rFonts w:eastAsia="Calibri"/>
          <w:kern w:val="0"/>
        </w:rPr>
        <w:t xml:space="preserve"> </w:t>
      </w:r>
      <w:r w:rsidR="00A067C3">
        <w:rPr>
          <w:rFonts w:eastAsia="Calibri"/>
          <w:kern w:val="0"/>
        </w:rPr>
        <w:t>IUDK</w:t>
      </w:r>
      <w:r w:rsidRPr="00C228B3">
        <w:rPr>
          <w:rFonts w:eastAsia="Calibri"/>
          <w:kern w:val="0"/>
        </w:rPr>
        <w:t xml:space="preserve"> bio je 3.272.161 EUR, od čega je 1.684.580 EUR predstavljao doprinos EU. Ukupna vrijednost potpisanih ugovora iznosi 3.098.902 EUR, što predstavlja </w:t>
      </w:r>
      <w:r w:rsidRPr="00C228B3">
        <w:rPr>
          <w:rFonts w:eastAsia="Calibri"/>
          <w:b/>
          <w:kern w:val="0"/>
        </w:rPr>
        <w:t>94,70 % sredstava koja su bila na raspolaganju</w:t>
      </w:r>
      <w:r w:rsidRPr="00C228B3">
        <w:rPr>
          <w:rFonts w:eastAsia="Calibri"/>
          <w:kern w:val="0"/>
        </w:rPr>
        <w:t xml:space="preserve"> Crnoj Gori u okviru programa. Isplaćena sredstva iznose 3.098.902 EUR, odnosno </w:t>
      </w:r>
      <w:r w:rsidRPr="00C228B3">
        <w:rPr>
          <w:rFonts w:eastAsia="Calibri"/>
          <w:b/>
          <w:kern w:val="0"/>
        </w:rPr>
        <w:t>100 % ugovorenih sredstava</w:t>
      </w:r>
      <w:r w:rsidRPr="00C228B3">
        <w:rPr>
          <w:rFonts w:eastAsia="Calibri"/>
          <w:kern w:val="0"/>
        </w:rPr>
        <w:t>. Treba naglasiti da su se u okviru ovog programa finansirale isključivo aktivnosti u vezi sa programima Unije. Proces zatvaranja datog programa je započet.</w:t>
      </w:r>
    </w:p>
    <w:p w14:paraId="232F96C3" w14:textId="072EE542" w:rsidR="00C55DA5" w:rsidRPr="00B83578" w:rsidRDefault="00C228B3" w:rsidP="00C228B3">
      <w:pPr>
        <w:pStyle w:val="Heading3"/>
      </w:pPr>
      <w:bookmarkStart w:id="10" w:name="_Toc201700296"/>
      <w:r w:rsidRPr="00C228B3">
        <w:t>Godišnji akcioni program za Crnu Goru za 201</w:t>
      </w:r>
      <w:r>
        <w:t>6</w:t>
      </w:r>
      <w:r w:rsidRPr="00C228B3">
        <w:t>. godinu</w:t>
      </w:r>
      <w:bookmarkEnd w:id="10"/>
      <w:r w:rsidRPr="00C228B3">
        <w:t xml:space="preserve">    </w:t>
      </w:r>
    </w:p>
    <w:p w14:paraId="7762BE3A" w14:textId="6201F14E" w:rsidR="00C228B3" w:rsidRDefault="00C228B3" w:rsidP="00BF3111">
      <w:r w:rsidRPr="00C228B3">
        <w:t xml:space="preserve">Ukupan iznos raspoloživ za </w:t>
      </w:r>
      <w:r w:rsidR="00F80B04" w:rsidRPr="00F80B04">
        <w:t>implementaciju</w:t>
      </w:r>
      <w:r w:rsidRPr="00C228B3">
        <w:t xml:space="preserve"> </w:t>
      </w:r>
      <w:r w:rsidR="00A067C3">
        <w:t>IUDK</w:t>
      </w:r>
      <w:r w:rsidRPr="00C228B3">
        <w:t xml:space="preserve"> bio je 15.730.316,43 EUR, od čega je 13.028.926,43 EUR predstavljao doprinos EU. Sporazum o finansiranju između Evropske komisije i Vlade Crne Gore potpisan je 22. decembra 2017, a rok za ugovaranje istekao je 22. decembra 2020. Ukupna vrijednost potpisanih ugovora iznosi 14.598.974,12 EUR, što predstavlja </w:t>
      </w:r>
      <w:r w:rsidRPr="00C228B3">
        <w:rPr>
          <w:b/>
        </w:rPr>
        <w:t>92,81 % sredstava dostupnih</w:t>
      </w:r>
      <w:r w:rsidRPr="00C228B3">
        <w:t xml:space="preserve"> Crnoj Gori u okviru programa. Isplaćena sredstva iznose 12.236.466,19 EUR, odnosno </w:t>
      </w:r>
      <w:r w:rsidRPr="00C228B3">
        <w:rPr>
          <w:b/>
        </w:rPr>
        <w:t>83,76 % ugovorenih sredstava</w:t>
      </w:r>
      <w:r w:rsidRPr="00C228B3">
        <w:t>. U pogledu perioda sprovođenja Sporazuma o finansiranju, svi ugovori su okončani 2024. godine, poštujući rok za operativn</w:t>
      </w:r>
      <w:r w:rsidR="00A80895">
        <w:t>u</w:t>
      </w:r>
      <w:r w:rsidRPr="00C228B3">
        <w:t xml:space="preserve"> </w:t>
      </w:r>
      <w:r w:rsidR="00A80895">
        <w:t>implementaciju</w:t>
      </w:r>
      <w:r w:rsidRPr="00C228B3">
        <w:t>.</w:t>
      </w:r>
    </w:p>
    <w:p w14:paraId="3E48AAC4" w14:textId="13A13DF7" w:rsidR="00C55DA5" w:rsidRPr="00B83578" w:rsidRDefault="00C228B3" w:rsidP="00C228B3">
      <w:pPr>
        <w:pStyle w:val="Heading3"/>
      </w:pPr>
      <w:bookmarkStart w:id="11" w:name="_Toc201700297"/>
      <w:bookmarkStart w:id="12" w:name="_Hlk166038680"/>
      <w:r>
        <w:t>Godišnji akcioni program za Crnu Goru za</w:t>
      </w:r>
      <w:r w:rsidRPr="00B83578">
        <w:t xml:space="preserve"> 201</w:t>
      </w:r>
      <w:r>
        <w:t>7. godinu</w:t>
      </w:r>
      <w:bookmarkEnd w:id="11"/>
      <w:r>
        <w:t xml:space="preserve"> </w:t>
      </w:r>
      <w:r w:rsidRPr="00B83578">
        <w:t xml:space="preserve">  </w:t>
      </w:r>
    </w:p>
    <w:bookmarkEnd w:id="12"/>
    <w:p w14:paraId="3544A01B" w14:textId="4E594C8E" w:rsidR="00C228B3" w:rsidRDefault="00C228B3" w:rsidP="00C228B3">
      <w:r>
        <w:t xml:space="preserve">Ukupan iznos raspoloživ za </w:t>
      </w:r>
      <w:r w:rsidR="00F80B04" w:rsidRPr="00F80B04">
        <w:t>implementaciju</w:t>
      </w:r>
      <w:r>
        <w:t xml:space="preserve"> </w:t>
      </w:r>
      <w:r w:rsidR="00A067C3">
        <w:t>IUDK</w:t>
      </w:r>
      <w:r>
        <w:t xml:space="preserve"> bio je 16.924.199 EUR, od čega je 13.511.103 EUR predstavljao doprinos EU. Sporazum o finansiranju između Evropske komisije i Vlade Crne Gore potpisan je 17. decembra 2018, dok je rok za ugovaranje istekao 17. decembra 2021. Ukupna vrijednost potpisanih ugovora iznosi 15.819.932,21 EUR, što predstavlja </w:t>
      </w:r>
      <w:r w:rsidRPr="00063244">
        <w:rPr>
          <w:b/>
        </w:rPr>
        <w:t>93,48 % sredstava dostupnih</w:t>
      </w:r>
      <w:r>
        <w:t xml:space="preserve"> Crnoj Gori u okviru programa. Isplaćena sredstva iznose 13.707.284,07 EUR, odnosno </w:t>
      </w:r>
      <w:r w:rsidRPr="00063244">
        <w:rPr>
          <w:b/>
        </w:rPr>
        <w:t>86,65 % ugovorenih sredstava</w:t>
      </w:r>
      <w:r>
        <w:t>. Rok za operativn</w:t>
      </w:r>
      <w:r w:rsidR="00A80895">
        <w:t>u</w:t>
      </w:r>
      <w:r>
        <w:t xml:space="preserve"> </w:t>
      </w:r>
      <w:r w:rsidR="00A80895">
        <w:t>implementaciju</w:t>
      </w:r>
      <w:r>
        <w:t xml:space="preserve"> je decembar 2025.</w:t>
      </w:r>
    </w:p>
    <w:p w14:paraId="686F6575" w14:textId="70A3A0C6" w:rsidR="00C55DA5" w:rsidRPr="00B83578" w:rsidRDefault="00C228B3" w:rsidP="00C228B3">
      <w:pPr>
        <w:pStyle w:val="Heading3"/>
      </w:pPr>
      <w:bookmarkStart w:id="13" w:name="_Toc201700298"/>
      <w:r>
        <w:t>Godišnji akcioni program za Crnu Goru za</w:t>
      </w:r>
      <w:r w:rsidRPr="00B83578">
        <w:t xml:space="preserve"> 201</w:t>
      </w:r>
      <w:r>
        <w:t>8. godinu</w:t>
      </w:r>
      <w:bookmarkEnd w:id="13"/>
      <w:r>
        <w:t xml:space="preserve"> </w:t>
      </w:r>
      <w:r w:rsidRPr="00B83578">
        <w:t xml:space="preserve">   </w:t>
      </w:r>
    </w:p>
    <w:p w14:paraId="6F59F2DD" w14:textId="2D3D094A" w:rsidR="00063244" w:rsidRDefault="00063244" w:rsidP="00BF3111">
      <w:r w:rsidRPr="00063244">
        <w:t xml:space="preserve">Ukupan iznos raspoloživ za </w:t>
      </w:r>
      <w:r w:rsidR="00F80B04" w:rsidRPr="00F80B04">
        <w:t>implementaciju</w:t>
      </w:r>
      <w:r w:rsidRPr="00063244">
        <w:t xml:space="preserve"> </w:t>
      </w:r>
      <w:r w:rsidR="00A067C3">
        <w:t>IUDK</w:t>
      </w:r>
      <w:r w:rsidRPr="00063244">
        <w:t xml:space="preserve"> bio je 37.816.014,34 EUR, od čega je 24.539.137 EUR predstavljao doprinos EU. Sporazum o finansiranju između Evropske komisije i Vlade Crne Gore potpisan je 2. decembra 2019, dok je rok za ugovaranje istekao 2. decembra 2022. Ukupna vrijednost potpisanih ugovora iznosi 38.927.493,03 EUR, što prevazilazi </w:t>
      </w:r>
      <w:r w:rsidRPr="00063244">
        <w:rPr>
          <w:b/>
        </w:rPr>
        <w:t>100 % sredstava dostupnih</w:t>
      </w:r>
      <w:r w:rsidRPr="00063244">
        <w:t xml:space="preserve"> Crnoj Gori u okviru programa (zahvaljujući dodatnom nacionalnom doprinosu). Isplaćena sredstva iznose 30.080.571,55 EUR, odnosno </w:t>
      </w:r>
      <w:r w:rsidRPr="00063244">
        <w:rPr>
          <w:b/>
        </w:rPr>
        <w:t>77,27 % ugovorenih sredstava</w:t>
      </w:r>
      <w:r w:rsidRPr="00063244">
        <w:t>. Rok za operativn</w:t>
      </w:r>
      <w:r w:rsidR="00A80895">
        <w:t>u</w:t>
      </w:r>
      <w:r w:rsidRPr="00063244">
        <w:t xml:space="preserve"> </w:t>
      </w:r>
      <w:r w:rsidR="00A80895">
        <w:t>implementaciju</w:t>
      </w:r>
      <w:r w:rsidRPr="00063244">
        <w:t xml:space="preserve"> je decembar 2025.</w:t>
      </w:r>
    </w:p>
    <w:p w14:paraId="50D2D449" w14:textId="43A038F9" w:rsidR="00C55DA5" w:rsidRPr="00B83578" w:rsidRDefault="00C228B3" w:rsidP="00C228B3">
      <w:pPr>
        <w:pStyle w:val="Heading3"/>
      </w:pPr>
      <w:bookmarkStart w:id="14" w:name="_Toc201700299"/>
      <w:r>
        <w:t>Godišnji akcioni program za Crnu Goru za</w:t>
      </w:r>
      <w:r w:rsidRPr="00B83578">
        <w:t xml:space="preserve"> 201</w:t>
      </w:r>
      <w:r>
        <w:t>9. godinu</w:t>
      </w:r>
      <w:bookmarkEnd w:id="14"/>
      <w:r>
        <w:t xml:space="preserve"> </w:t>
      </w:r>
      <w:r w:rsidRPr="00B83578">
        <w:t xml:space="preserve">   </w:t>
      </w:r>
    </w:p>
    <w:p w14:paraId="0AA9566C" w14:textId="476001AE" w:rsidR="00063244" w:rsidRDefault="00063244" w:rsidP="00BF3111">
      <w:r w:rsidRPr="00063244">
        <w:t xml:space="preserve">Ukupan iznos raspoloživ za </w:t>
      </w:r>
      <w:bookmarkStart w:id="15" w:name="_Hlk201612302"/>
      <w:r w:rsidR="00F80B04">
        <w:t>implementaciju</w:t>
      </w:r>
      <w:bookmarkEnd w:id="15"/>
      <w:r w:rsidRPr="00063244">
        <w:t xml:space="preserve"> </w:t>
      </w:r>
      <w:r w:rsidR="00A067C3">
        <w:t>IUDK</w:t>
      </w:r>
      <w:r w:rsidRPr="00063244">
        <w:t xml:space="preserve"> bio je 11.238.234,94 EUR, od čega je 2.385.734,94 EUR predstavljao doprinos EU. Sporazum o finansiranju između Evropske komisije i Vlade Crne Gore potpisan je 28. avgusta 2020, dok je rok za ugovaranje istekao 28. avgusta 2023. Ukupna vrijednost potpisanih ugovora iznosi 9.294.523,81 EUR, što predstavlja </w:t>
      </w:r>
      <w:r w:rsidRPr="00063244">
        <w:rPr>
          <w:b/>
        </w:rPr>
        <w:t>82,70 % sredstava dostupnih</w:t>
      </w:r>
      <w:r w:rsidRPr="00063244">
        <w:t xml:space="preserve"> Crnoj Gori u okviru programa. Isplaćena sredstva iznose 7.741.187,18 EUR, odnosno </w:t>
      </w:r>
      <w:r w:rsidRPr="00063244">
        <w:rPr>
          <w:b/>
        </w:rPr>
        <w:t>83,29 % ugovorenih sredstava</w:t>
      </w:r>
      <w:r w:rsidRPr="00063244">
        <w:t>. Rok za operativn</w:t>
      </w:r>
      <w:r w:rsidR="00A80895">
        <w:t>u</w:t>
      </w:r>
      <w:r w:rsidRPr="00063244">
        <w:t xml:space="preserve"> </w:t>
      </w:r>
      <w:r w:rsidR="00A80895">
        <w:t>implementaciju</w:t>
      </w:r>
      <w:r w:rsidRPr="00063244">
        <w:t xml:space="preserve"> je avgust 2026, u skladu sa potpisanim Sporazumom o finansiranju.</w:t>
      </w:r>
    </w:p>
    <w:p w14:paraId="29B58E7D" w14:textId="5E1ECF4D" w:rsidR="00893B82" w:rsidRPr="00B83578" w:rsidRDefault="009247C7" w:rsidP="00DF1C52">
      <w:pPr>
        <w:pStyle w:val="Heading3"/>
      </w:pPr>
      <w:bookmarkStart w:id="16" w:name="_Toc201700300"/>
      <w:r>
        <w:t xml:space="preserve">Sektorski Operativni program za zapošljavanje, edukaciju i socijalkne politike 2015-2017 </w:t>
      </w:r>
      <w:r w:rsidR="00893B82" w:rsidRPr="00B83578">
        <w:t>(SOPEES 2015-2017)</w:t>
      </w:r>
      <w:bookmarkEnd w:id="16"/>
    </w:p>
    <w:p w14:paraId="5CA4AAC3" w14:textId="67A17BDC" w:rsidR="009247C7" w:rsidRDefault="009247C7" w:rsidP="00BF3111">
      <w:pPr>
        <w:rPr>
          <w:rFonts w:eastAsia="Calibri"/>
        </w:rPr>
      </w:pPr>
      <w:r w:rsidRPr="009247C7">
        <w:rPr>
          <w:rFonts w:eastAsia="Calibri"/>
        </w:rPr>
        <w:t xml:space="preserve">Ukupan iznos raspoloživ za </w:t>
      </w:r>
      <w:r w:rsidR="00F80B04">
        <w:rPr>
          <w:rFonts w:eastAsia="Calibri"/>
        </w:rPr>
        <w:t>implementaciju</w:t>
      </w:r>
      <w:r w:rsidRPr="009247C7">
        <w:rPr>
          <w:rFonts w:eastAsia="Calibri"/>
        </w:rPr>
        <w:t xml:space="preserve"> </w:t>
      </w:r>
      <w:r w:rsidR="00A067C3">
        <w:rPr>
          <w:rFonts w:eastAsia="Calibri"/>
        </w:rPr>
        <w:t>IUDK</w:t>
      </w:r>
      <w:r w:rsidRPr="009247C7">
        <w:rPr>
          <w:rFonts w:eastAsia="Calibri"/>
        </w:rPr>
        <w:t xml:space="preserve"> iznosio je 18.000.000 EUR, od čega je 15.300.000 EUR predstavljao doprinos EU. Prema Sporazumu o finansiranju, kraj perioda prihvatljivosti troškova bio je decembar 2023. Ukupna vrijednost potpisanih ugovora iznosi </w:t>
      </w:r>
      <w:r w:rsidRPr="009247C7">
        <w:rPr>
          <w:rFonts w:eastAsia="Calibri"/>
          <w:b/>
        </w:rPr>
        <w:t>96,09 % sredstava dostupnih</w:t>
      </w:r>
      <w:r w:rsidRPr="009247C7">
        <w:rPr>
          <w:rFonts w:eastAsia="Calibri"/>
        </w:rPr>
        <w:t xml:space="preserve"> Crnoj Gori u okviru programa, dok isplaćena sredstva predstavljaju </w:t>
      </w:r>
      <w:r w:rsidRPr="009247C7">
        <w:rPr>
          <w:rFonts w:eastAsia="Calibri"/>
          <w:b/>
        </w:rPr>
        <w:t>81,50 % ugovorenih sredstava</w:t>
      </w:r>
      <w:r w:rsidRPr="009247C7">
        <w:rPr>
          <w:rFonts w:eastAsia="Calibri"/>
        </w:rPr>
        <w:t>.</w:t>
      </w:r>
    </w:p>
    <w:p w14:paraId="1AC43605" w14:textId="6806C33B" w:rsidR="00C55DA5" w:rsidRPr="00B83578" w:rsidRDefault="00D858E0" w:rsidP="00DF1C52">
      <w:pPr>
        <w:pStyle w:val="Heading3"/>
      </w:pPr>
      <w:bookmarkStart w:id="17" w:name="_Toc201700301"/>
      <w:r>
        <w:lastRenderedPageBreak/>
        <w:t>PGS</w:t>
      </w:r>
      <w:r w:rsidR="00C55DA5" w:rsidRPr="00B83578">
        <w:t xml:space="preserve"> Program </w:t>
      </w:r>
      <w:r w:rsidR="009247C7">
        <w:t>Crna Gora</w:t>
      </w:r>
      <w:r w:rsidR="00C55DA5" w:rsidRPr="00B83578">
        <w:t>-Albani</w:t>
      </w:r>
      <w:r w:rsidR="009247C7">
        <w:t>j</w:t>
      </w:r>
      <w:r w:rsidR="00C55DA5" w:rsidRPr="00B83578">
        <w:t>a 2014-2020</w:t>
      </w:r>
      <w:bookmarkEnd w:id="17"/>
    </w:p>
    <w:p w14:paraId="11C1CFD7" w14:textId="121BBA37" w:rsidR="009247C7" w:rsidRDefault="009247C7" w:rsidP="00BF3111">
      <w:r w:rsidRPr="009247C7">
        <w:t xml:space="preserve">Ukupna vrijednost programa iznosila je 12.600.000 EUR, od čega je 10.710.000 EUR predstavljao doprinos EU. Ukupno ugovoreni iznos bio je 9.059.307,48 EUR. Napominje se da je oko 1,2 miliona EUR </w:t>
      </w:r>
      <w:r w:rsidR="00F80B04" w:rsidRPr="00F80B04">
        <w:t>povučeno</w:t>
      </w:r>
      <w:r w:rsidRPr="009247C7">
        <w:t xml:space="preserve"> 2023. godine zbog isteka roka za dodjelu ugovora za alokaciju 2019. Ukupna stopa ugovaranja za period 2014–2020 iznosi 84,59 %. Na dan 31. 12. 2024. isplaćena sredstva od 7.322.101,76 EUR predstavljaju 80,82 % ugovorenih sredstava. Završne deklaracije za </w:t>
      </w:r>
      <w:r w:rsidR="00D858E0">
        <w:t>PGS</w:t>
      </w:r>
      <w:r w:rsidRPr="009247C7">
        <w:t xml:space="preserve"> MNE-ALB 2014 i </w:t>
      </w:r>
      <w:r w:rsidR="00D858E0">
        <w:t>PGS</w:t>
      </w:r>
      <w:r w:rsidRPr="009247C7">
        <w:t xml:space="preserve"> MNE-ALB 2015 dostavljene su Evropskoj komisiji 2023. godine. Svi ugovori za programe </w:t>
      </w:r>
      <w:r w:rsidR="00D858E0">
        <w:t>PGS</w:t>
      </w:r>
      <w:r w:rsidRPr="009247C7">
        <w:t xml:space="preserve"> MNE-ALB 2016 i </w:t>
      </w:r>
      <w:r w:rsidR="00D858E0">
        <w:t>PGS</w:t>
      </w:r>
      <w:r w:rsidRPr="009247C7">
        <w:t xml:space="preserve"> MNE-ALB 2017 su okončani, dok za </w:t>
      </w:r>
      <w:r w:rsidR="00D858E0">
        <w:t>PGS</w:t>
      </w:r>
      <w:r w:rsidRPr="009247C7">
        <w:t xml:space="preserve"> MNE-ALB 2018, </w:t>
      </w:r>
      <w:r w:rsidR="00D858E0">
        <w:t>PGS</w:t>
      </w:r>
      <w:r w:rsidRPr="009247C7">
        <w:t xml:space="preserve"> MNE-ALB 2019 i </w:t>
      </w:r>
      <w:r w:rsidR="00D858E0">
        <w:t>PGS</w:t>
      </w:r>
      <w:r w:rsidRPr="009247C7">
        <w:t xml:space="preserve"> MNE-ALB 2020 svi ugovori još nijesu završeni.</w:t>
      </w:r>
    </w:p>
    <w:p w14:paraId="4F806392" w14:textId="03353594" w:rsidR="00C55DA5" w:rsidRPr="00B83578" w:rsidRDefault="00D858E0" w:rsidP="00DF1C52">
      <w:pPr>
        <w:pStyle w:val="Heading3"/>
      </w:pPr>
      <w:bookmarkStart w:id="18" w:name="_Toc201700302"/>
      <w:r>
        <w:t>PGS</w:t>
      </w:r>
      <w:r w:rsidR="00C55DA5" w:rsidRPr="00B83578">
        <w:t xml:space="preserve"> Program </w:t>
      </w:r>
      <w:r w:rsidR="009B02D1">
        <w:t>Crna Gora</w:t>
      </w:r>
      <w:r w:rsidR="00C55DA5" w:rsidRPr="00B83578">
        <w:t>-Kosovo 2014-2020</w:t>
      </w:r>
      <w:bookmarkEnd w:id="18"/>
    </w:p>
    <w:p w14:paraId="040373F2" w14:textId="77777777" w:rsidR="009B02D1" w:rsidRDefault="009B02D1" w:rsidP="00BF3111">
      <w:r w:rsidRPr="009B02D1">
        <w:t xml:space="preserve">Ukupna vrijednost programa iznosi 8.894.116,30 EUR, od čega je 7.560.000 EUR predstavljao doprinos EU. Ukupno ugovoreni iznos za period 2014–2020 bio je 7.514.147,77 EUR, što predstavlja 99,39 % raspoloživih sredstava. </w:t>
      </w:r>
    </w:p>
    <w:p w14:paraId="643E4F2D" w14:textId="617E96C5" w:rsidR="009B02D1" w:rsidRDefault="009B02D1" w:rsidP="00BF3111">
      <w:r w:rsidRPr="009B02D1">
        <w:t xml:space="preserve">Na dan 31. 12. 2024. isplaćena sredstva od 6.433.824,70 EUR predstavljaju 85,62 % ugovorenih sredstava. Završne deklaracije za </w:t>
      </w:r>
      <w:r w:rsidR="00D858E0">
        <w:t>PGS</w:t>
      </w:r>
      <w:r w:rsidRPr="009B02D1">
        <w:t xml:space="preserve"> MNE-KOS 2014 i </w:t>
      </w:r>
      <w:r w:rsidR="00D858E0">
        <w:t>PGS</w:t>
      </w:r>
      <w:r w:rsidRPr="009B02D1">
        <w:t xml:space="preserve"> MNE-KOS 2015 dostavljene su Evropskoj komisiji 2024. godine. Svi ugovori za programe </w:t>
      </w:r>
      <w:r w:rsidR="00D858E0">
        <w:t>PGS</w:t>
      </w:r>
      <w:r w:rsidRPr="009B02D1">
        <w:t xml:space="preserve"> MNE-KOS 2016 i </w:t>
      </w:r>
      <w:r w:rsidR="00D858E0">
        <w:t>PGS</w:t>
      </w:r>
      <w:r w:rsidRPr="009B02D1">
        <w:t xml:space="preserve"> MNE-KOS 2017 su okončani, dok ugovori za </w:t>
      </w:r>
      <w:r w:rsidR="00D858E0">
        <w:t>PGS</w:t>
      </w:r>
      <w:r w:rsidRPr="009B02D1">
        <w:t xml:space="preserve"> MNE-KOS 2018, </w:t>
      </w:r>
      <w:r w:rsidR="00D858E0">
        <w:t>PGS</w:t>
      </w:r>
      <w:r w:rsidRPr="009B02D1">
        <w:t xml:space="preserve"> MNE-KOS 2019 i </w:t>
      </w:r>
      <w:r w:rsidR="00D858E0">
        <w:t>PGS</w:t>
      </w:r>
      <w:r w:rsidRPr="009B02D1">
        <w:t xml:space="preserve"> MNE-KOS 2020 još nijesu završeni.</w:t>
      </w:r>
    </w:p>
    <w:p w14:paraId="47237485" w14:textId="25C539C8" w:rsidR="00F40BE3" w:rsidRPr="00B83578" w:rsidRDefault="009B02D1" w:rsidP="001840E9">
      <w:pPr>
        <w:pStyle w:val="IntenseQuote"/>
      </w:pPr>
      <w:r>
        <w:t>Odbijanje i suspenzija dokumenata tokom ex-ante verifikacije u sklopu IPA programa implementiranih indirektnim upravljanjem</w:t>
      </w:r>
    </w:p>
    <w:p w14:paraId="571C2F96" w14:textId="174E6870" w:rsidR="009B02D1" w:rsidRDefault="009B02D1" w:rsidP="009B02D1">
      <w:r>
        <w:t xml:space="preserve">Dva Ugovorna </w:t>
      </w:r>
      <w:r w:rsidR="00477A44">
        <w:t>tijela</w:t>
      </w:r>
      <w:r>
        <w:t xml:space="preserve"> trenutno dostavljaju dokumentaciju Delegaciji EU na ex-ante provjeru</w:t>
      </w:r>
      <w:r w:rsidRPr="00F80B04">
        <w:t>: Direktorat za finansi</w:t>
      </w:r>
      <w:r w:rsidR="00F80B04" w:rsidRPr="00F80B04">
        <w:t>ranje i</w:t>
      </w:r>
      <w:r w:rsidRPr="00F80B04">
        <w:t xml:space="preserve"> ugovaranje sredstava EU </w:t>
      </w:r>
      <w:r w:rsidR="00477A44">
        <w:t>podrške</w:t>
      </w:r>
      <w:r w:rsidRPr="00F80B04">
        <w:t xml:space="preserve"> (CFCU) i Uprava za kapitalne projekte (</w:t>
      </w:r>
      <w:r w:rsidR="00AF5AA9">
        <w:t>UKP</w:t>
      </w:r>
      <w:r>
        <w:t>).</w:t>
      </w:r>
    </w:p>
    <w:p w14:paraId="0FE13A08" w14:textId="4900F7FC" w:rsidR="009B02D1" w:rsidRDefault="009B02D1" w:rsidP="009B02D1">
      <w:r>
        <w:t xml:space="preserve">Broj suspenzija i odbijanja smanjen je u 2024. u odnosu na 2023. godinu za oba Ugovorna </w:t>
      </w:r>
      <w:r w:rsidR="00477A44">
        <w:t>tijela</w:t>
      </w:r>
      <w:r>
        <w:t xml:space="preserve">. Aneks II </w:t>
      </w:r>
      <w:r w:rsidR="00B66006">
        <w:t>Plana aktivnosti</w:t>
      </w:r>
      <w:r>
        <w:t xml:space="preserve"> sadrži detaljnu kvantitativnu i kvalitativnu analizu odbijanja i suspenzija po vrsti ugovora i proceduralnim koracima</w:t>
      </w:r>
      <w:r w:rsidRPr="00B83578">
        <w:rPr>
          <w:rStyle w:val="FootnoteReference"/>
          <w:rFonts w:eastAsia="Calibri" w:cs="Arial"/>
          <w:color w:val="000000" w:themeColor="text1"/>
          <w:kern w:val="0"/>
          <w:szCs w:val="20"/>
        </w:rPr>
        <w:footnoteReference w:id="7"/>
      </w:r>
      <w:r>
        <w:t xml:space="preserve">. Analiza i naučene lekcije doprinijeće </w:t>
      </w:r>
      <w:r w:rsidR="00CA6030">
        <w:t>unaprje</w:t>
      </w:r>
      <w:r>
        <w:t>đenju kvaliteta relevantnih dokumenata.</w:t>
      </w:r>
    </w:p>
    <w:p w14:paraId="065F2B7A" w14:textId="4CA8AA66" w:rsidR="00C55DA5" w:rsidRPr="00B83578" w:rsidRDefault="009B02D1" w:rsidP="001840E9">
      <w:pPr>
        <w:pStyle w:val="IntenseQuote"/>
      </w:pPr>
      <w:r>
        <w:t>Upravljanje nepravilnostima i borba protiv prevare u cilju zaštite finansijskih interesa EU</w:t>
      </w:r>
    </w:p>
    <w:p w14:paraId="1D5E0DC2" w14:textId="06AE716C" w:rsidR="009B02D1" w:rsidRDefault="009B02D1" w:rsidP="001840E9">
      <w:r w:rsidRPr="009B02D1">
        <w:t xml:space="preserve">Crna Gora preduzima sve neophodne mjere radi zaštite finansijskih interesa EU. Postupci upravljanja nepravilnostima primjenjuju se od strane svih nadležnih </w:t>
      </w:r>
      <w:r w:rsidR="00106577">
        <w:t>tijela</w:t>
      </w:r>
      <w:r w:rsidRPr="009B02D1">
        <w:t xml:space="preserve"> i struktura u svim fazama procesa: prevencija nepravilnosti, otkrivanje nepravilnosti, naknadne procedure (npr. postupci utvrđivanja nepravilnosti), postupanje po utvrđenim nepravilnostima (npr. povraćaj sredstava), izvještavanje o nepravilnostima i naknadne procedure po prijavljenim nepravilnostima.</w:t>
      </w:r>
    </w:p>
    <w:p w14:paraId="0415ADF2" w14:textId="3F131CBA" w:rsidR="00C639F6" w:rsidRDefault="00C639F6" w:rsidP="001840E9">
      <w:r w:rsidRPr="00C639F6">
        <w:t xml:space="preserve">Službenici za nepravilnosti i njihovi zamjenici imenovani su u svim institucijama koje upravljaju sredstvima </w:t>
      </w:r>
      <w:r w:rsidRPr="00F80B04">
        <w:t>EU, kako bi se osigurala usklađena i dosljedna institucionalna praksa u izvještavanju o nepravilnostima. Sistem za borbu protiv prevara (AFCOS kancelarija)</w:t>
      </w:r>
      <w:r w:rsidRPr="00C639F6">
        <w:t xml:space="preserve"> nalazi se u Ministarstvu finansija. Sve otkrivene nepravilnosti nadležn</w:t>
      </w:r>
      <w:r w:rsidR="00106577">
        <w:t xml:space="preserve">a tijela </w:t>
      </w:r>
      <w:r w:rsidRPr="00C639F6">
        <w:t>evidentiraju u Sistem za upravljanje nepravilnostima (IMS), kojim upravlja Evropska kancelarija za borbu protiv prevara (OLAF). Takođe je uspostavljen i sistem za prijavljiva</w:t>
      </w:r>
      <w:r w:rsidR="0013334C">
        <w:t xml:space="preserve">nje nepravilnosti </w:t>
      </w:r>
      <w:r w:rsidRPr="00C639F6">
        <w:t>(</w:t>
      </w:r>
      <w:r>
        <w:t>zviždači</w:t>
      </w:r>
      <w:r w:rsidR="0013334C">
        <w:t>/uzbunjivači</w:t>
      </w:r>
      <w:r w:rsidRPr="00C639F6">
        <w:t>)</w:t>
      </w:r>
      <w:r w:rsidRPr="00C639F6">
        <w:rPr>
          <w:rStyle w:val="FootnoteReference"/>
          <w:rFonts w:eastAsia="Calibri" w:cs="Arial"/>
          <w:color w:val="000000" w:themeColor="text1"/>
          <w:kern w:val="0"/>
          <w:szCs w:val="20"/>
        </w:rPr>
        <w:t xml:space="preserve"> </w:t>
      </w:r>
      <w:r w:rsidRPr="00B83578">
        <w:rPr>
          <w:rStyle w:val="FootnoteReference"/>
          <w:rFonts w:eastAsia="Calibri" w:cs="Arial"/>
          <w:color w:val="000000" w:themeColor="text1"/>
          <w:kern w:val="0"/>
          <w:szCs w:val="20"/>
        </w:rPr>
        <w:footnoteReference w:id="8"/>
      </w:r>
      <w:r w:rsidRPr="00C639F6">
        <w:t>.</w:t>
      </w:r>
    </w:p>
    <w:p w14:paraId="7E832673" w14:textId="47480363" w:rsidR="00C639F6" w:rsidRDefault="00C639F6" w:rsidP="00C639F6">
      <w:r>
        <w:lastRenderedPageBreak/>
        <w:t>U okviru priprema za Poglavlje 32, Završno mjerilo 3 predviđa da Crna Gora mora obezbijediti efikasnu i djelotvornu koordinaciju mjera za borbu protiv prevara, kako bi ispunila buduće obaveze iz člana 325(3) TFEU, kao i primjenu odredbi</w:t>
      </w:r>
      <w:r w:rsidR="0013334C">
        <w:t xml:space="preserve"> Regulative</w:t>
      </w:r>
      <w:r>
        <w:t xml:space="preserve"> (</w:t>
      </w:r>
      <w:r w:rsidR="00EA1B2F">
        <w:t>EZ</w:t>
      </w:r>
      <w:r>
        <w:t xml:space="preserve">) br. 2185/96 o kontrolama i inspekcijama na licu mjesta koje sprovodi Evropska komisija, posebno obavezu pružanja </w:t>
      </w:r>
      <w:r w:rsidR="00477A44">
        <w:t>podrške</w:t>
      </w:r>
      <w:r>
        <w:t xml:space="preserve"> inspektorima Komisije. Crna Gora takođe mora prikazati konkretne rezultate saradnje sa Komisijom u vezi sa prijavljenim nepravilnostima i istragama koje uključuju sredstva EU.</w:t>
      </w:r>
    </w:p>
    <w:p w14:paraId="5EA9A262" w14:textId="4D1A37B4" w:rsidR="00C55DA5" w:rsidRPr="00C639F6" w:rsidRDefault="00C639F6" w:rsidP="001840E9">
      <w:r>
        <w:t xml:space="preserve">Sve IPA strukture i nadležni </w:t>
      </w:r>
      <w:r w:rsidR="00106577">
        <w:t>tijela</w:t>
      </w:r>
      <w:r>
        <w:t xml:space="preserve"> u Crnoj Gori posvećen</w:t>
      </w:r>
      <w:r w:rsidR="00106577">
        <w:t>a</w:t>
      </w:r>
      <w:r>
        <w:t xml:space="preserve"> su sprovođenju Akcionog plana u okviru Strategije za borbu protiv prevara i upravljanje nepravilnostima 2025–2028, sa ciljem zaštite finansijskih interesa Evropske unije.</w:t>
      </w:r>
    </w:p>
    <w:p w14:paraId="2CC782B0" w14:textId="569403D2" w:rsidR="00C55DA5" w:rsidRPr="00B83578" w:rsidRDefault="00C639F6" w:rsidP="00DF1C52">
      <w:pPr>
        <w:pStyle w:val="Heading2"/>
      </w:pPr>
      <w:bookmarkStart w:id="19" w:name="_Toc201700303"/>
      <w:r>
        <w:t>Izazovi povezani sa implementacijom Završnog mjerila 1</w:t>
      </w:r>
      <w:bookmarkEnd w:id="19"/>
      <w:r w:rsidR="00C55DA5" w:rsidRPr="00B83578">
        <w:t xml:space="preserve"> </w:t>
      </w:r>
    </w:p>
    <w:p w14:paraId="4AA63F28" w14:textId="2724D432" w:rsidR="00C639F6" w:rsidRDefault="00C639F6" w:rsidP="00C639F6">
      <w:r>
        <w:t>U okviru IPA III uspostavljene su nove institucije i strukture, uključujući Upravljačk</w:t>
      </w:r>
      <w:r w:rsidR="00F24E34">
        <w:t>a</w:t>
      </w:r>
      <w:r w:rsidR="00771250">
        <w:t xml:space="preserve"> </w:t>
      </w:r>
      <w:r w:rsidR="00F24E34">
        <w:t>tijela</w:t>
      </w:r>
      <w:r>
        <w:t xml:space="preserve"> i </w:t>
      </w:r>
      <w:r w:rsidRPr="00683B6B">
        <w:t>Posrednička tijela,</w:t>
      </w:r>
      <w:r>
        <w:t xml:space="preserve"> radi sprovođenja višegodišnjih </w:t>
      </w:r>
      <w:r w:rsidR="00771250">
        <w:t>O</w:t>
      </w:r>
      <w:r>
        <w:t xml:space="preserve">perativnih programa – Višegodišnjeg operativnog programa za životnu sredinu i klimatske promjene za Crnu Goru za period 2024–2027 i Višegodišnjeg operativnog programa za zapošljavanje i socijalnu inkluziju za Crnu Goru za period 2024–2027, koje je Evropska komisija odobrila u avgustu 2024. Noviteti u pogledu zadataka za neka od novoformiranih tijela predstavljaju izazov, iako dva od tri Posrednička tijela za finansijsko upravljanje imaju iskustvo u sprovođenju IPA sredstava u okviru </w:t>
      </w:r>
      <w:r w:rsidR="00A067C3">
        <w:t>IUDK</w:t>
      </w:r>
      <w:r>
        <w:t>-a.</w:t>
      </w:r>
    </w:p>
    <w:p w14:paraId="133D6E08" w14:textId="348CD374" w:rsidR="00771250" w:rsidRDefault="00C639F6" w:rsidP="00C639F6">
      <w:r>
        <w:t xml:space="preserve">Postepeni prelazak na ex-post kontrolne mehanizme u okviru višegodišnjih </w:t>
      </w:r>
      <w:r w:rsidR="00771250">
        <w:t>O</w:t>
      </w:r>
      <w:r>
        <w:t xml:space="preserve">perativnih programa IPA III zahtijeva jačanje sistema interne kontrole i procedura osiguranja kvaliteta, uz punu odgovornost i nadzor nacionalnih </w:t>
      </w:r>
      <w:r w:rsidR="00106577">
        <w:t>tijela</w:t>
      </w:r>
      <w:r>
        <w:t xml:space="preserve"> nad postupcima javnih nabavki i dodjele grantova. Ovo bi trebalo da ubrza usklađivanje postojećih IPA struktura i nadležnih institucija sa administrativnim sistemima država članica EU koje koriste sredstva</w:t>
      </w:r>
      <w:r w:rsidR="00771250">
        <w:t xml:space="preserve"> za podršku</w:t>
      </w:r>
      <w:r>
        <w:t xml:space="preserve"> Kohezionog fonda.</w:t>
      </w:r>
    </w:p>
    <w:p w14:paraId="72C38590" w14:textId="0221E0C0" w:rsidR="00C55DA5" w:rsidRPr="00B83578" w:rsidRDefault="00771250" w:rsidP="00DF1C52">
      <w:pPr>
        <w:pStyle w:val="Heading2"/>
      </w:pPr>
      <w:bookmarkStart w:id="20" w:name="_Toc201700304"/>
      <w:r>
        <w:t>Planirane ak</w:t>
      </w:r>
      <w:r w:rsidR="0013334C">
        <w:t>cije</w:t>
      </w:r>
      <w:bookmarkEnd w:id="20"/>
    </w:p>
    <w:p w14:paraId="51E7D062" w14:textId="2615CE84" w:rsidR="00C55DA5" w:rsidRPr="00B83578" w:rsidRDefault="00771250" w:rsidP="001840E9">
      <w:r>
        <w:t>Sljedeće ak</w:t>
      </w:r>
      <w:r w:rsidR="0013334C">
        <w:t>cije</w:t>
      </w:r>
      <w:r>
        <w:t xml:space="preserve"> su planirane radi postizanja zadovoljavajućeg nivoa implementacije Završnog mjerila1: </w:t>
      </w:r>
    </w:p>
    <w:p w14:paraId="45322F2B" w14:textId="6612084E" w:rsidR="00C55DA5" w:rsidRPr="00B83578" w:rsidRDefault="001D692B" w:rsidP="003B55E8">
      <w:pPr>
        <w:pStyle w:val="Caption"/>
        <w:rPr>
          <w:rFonts w:eastAsia="Calibri"/>
          <w:color w:val="44546A"/>
        </w:rPr>
      </w:pPr>
      <w:bookmarkStart w:id="21" w:name="_Toc193895445"/>
      <w:r>
        <w:t>Tabela</w:t>
      </w:r>
      <w:r w:rsidR="00116B99" w:rsidRPr="00B83578">
        <w:t xml:space="preserve"> </w:t>
      </w:r>
      <w:r w:rsidR="00D51B25" w:rsidRPr="00B83578">
        <w:t>1</w:t>
      </w:r>
      <w:r w:rsidR="00D35829" w:rsidRPr="00B83578">
        <w:t>.</w:t>
      </w:r>
      <w:r w:rsidR="003B55E8" w:rsidRPr="00B83578">
        <w:t xml:space="preserve"> </w:t>
      </w:r>
      <w:r w:rsidR="00C17022">
        <w:t>MP</w:t>
      </w:r>
      <w:fldSimple w:instr=" SEQ Table \* ARABIC ">
        <w:r w:rsidR="003C2962">
          <w:rPr>
            <w:noProof/>
          </w:rPr>
          <w:t>1</w:t>
        </w:r>
      </w:fldSimple>
      <w:r w:rsidR="00263534" w:rsidRPr="00B83578">
        <w:t>: Plan</w:t>
      </w:r>
      <w:r w:rsidR="00771250">
        <w:t>irane ak</w:t>
      </w:r>
      <w:r w:rsidR="0013334C">
        <w:t>cije</w:t>
      </w:r>
      <w:r w:rsidR="00771250">
        <w:t xml:space="preserve"> za Završno mjerilo 1</w:t>
      </w:r>
      <w:bookmarkEnd w:id="21"/>
    </w:p>
    <w:tbl>
      <w:tblPr>
        <w:tblStyle w:val="GridTable5Dark-Accent11"/>
        <w:tblW w:w="5000" w:type="pct"/>
        <w:tblInd w:w="-5" w:type="dxa"/>
        <w:tblLook w:val="04A0" w:firstRow="1" w:lastRow="0" w:firstColumn="1" w:lastColumn="0" w:noHBand="0" w:noVBand="1"/>
      </w:tblPr>
      <w:tblGrid>
        <w:gridCol w:w="731"/>
        <w:gridCol w:w="1692"/>
        <w:gridCol w:w="1302"/>
        <w:gridCol w:w="862"/>
        <w:gridCol w:w="1132"/>
        <w:gridCol w:w="868"/>
        <w:gridCol w:w="1036"/>
        <w:gridCol w:w="1036"/>
        <w:gridCol w:w="691"/>
      </w:tblGrid>
      <w:tr w:rsidR="00992B8E" w:rsidRPr="00992B8E" w14:paraId="429A7F25" w14:textId="77777777" w:rsidTr="00992B8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02" w:type="pct"/>
            <w:hideMark/>
          </w:tcPr>
          <w:p w14:paraId="203D8EDE" w14:textId="5DF4A807" w:rsidR="00992B8E" w:rsidRPr="00992B8E" w:rsidRDefault="00543023" w:rsidP="00992B8E">
            <w:pPr>
              <w:spacing w:after="0"/>
              <w:jc w:val="left"/>
              <w:rPr>
                <w:rFonts w:eastAsia="Times New Roman"/>
                <w:kern w:val="0"/>
                <w:sz w:val="14"/>
                <w:szCs w:val="14"/>
                <w:lang w:eastAsia="en-GB"/>
                <w14:ligatures w14:val="none"/>
              </w:rPr>
            </w:pPr>
            <w:r>
              <w:rPr>
                <w:rFonts w:eastAsia="Times New Roman"/>
                <w:kern w:val="0"/>
                <w:sz w:val="14"/>
                <w:szCs w:val="14"/>
                <w:lang w:eastAsia="en-GB"/>
                <w14:ligatures w14:val="none"/>
              </w:rPr>
              <w:t>Kod akcije</w:t>
            </w:r>
          </w:p>
        </w:tc>
        <w:tc>
          <w:tcPr>
            <w:tcW w:w="975" w:type="pct"/>
            <w:hideMark/>
          </w:tcPr>
          <w:p w14:paraId="749E9FCE" w14:textId="3BBF7F09" w:rsidR="00992B8E" w:rsidRPr="00992B8E" w:rsidRDefault="00543023"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Naziv akcije</w:t>
            </w:r>
          </w:p>
        </w:tc>
        <w:tc>
          <w:tcPr>
            <w:tcW w:w="737" w:type="pct"/>
            <w:hideMark/>
          </w:tcPr>
          <w:p w14:paraId="046594C8" w14:textId="0D67344D" w:rsidR="00992B8E" w:rsidRPr="00992B8E" w:rsidRDefault="0013334C"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Nadležnost</w:t>
            </w:r>
          </w:p>
        </w:tc>
        <w:tc>
          <w:tcPr>
            <w:tcW w:w="419" w:type="pct"/>
            <w:hideMark/>
          </w:tcPr>
          <w:p w14:paraId="48096258" w14:textId="11F502BE" w:rsidR="00992B8E" w:rsidRPr="00992B8E" w:rsidRDefault="0013334C"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Raspored</w:t>
            </w:r>
          </w:p>
        </w:tc>
        <w:tc>
          <w:tcPr>
            <w:tcW w:w="565" w:type="pct"/>
            <w:hideMark/>
          </w:tcPr>
          <w:p w14:paraId="2B0EB1D2" w14:textId="78A667B9" w:rsidR="00992B8E" w:rsidRPr="00992B8E" w:rsidRDefault="0013334C"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Indikator</w:t>
            </w:r>
            <w:r w:rsidR="00992B8E" w:rsidRPr="00992B8E">
              <w:rPr>
                <w:rFonts w:eastAsia="Times New Roman"/>
                <w:kern w:val="0"/>
                <w:sz w:val="14"/>
                <w:szCs w:val="14"/>
                <w:lang w:eastAsia="en-GB"/>
                <w14:ligatures w14:val="none"/>
              </w:rPr>
              <w:t xml:space="preserve"> </w:t>
            </w:r>
          </w:p>
        </w:tc>
        <w:tc>
          <w:tcPr>
            <w:tcW w:w="434" w:type="pct"/>
            <w:hideMark/>
          </w:tcPr>
          <w:p w14:paraId="6DC895AF" w14:textId="71CBABD8" w:rsidR="00992B8E" w:rsidRPr="00992B8E" w:rsidRDefault="00683B6B"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Vrsta</w:t>
            </w:r>
          </w:p>
        </w:tc>
        <w:tc>
          <w:tcPr>
            <w:tcW w:w="594" w:type="pct"/>
            <w:hideMark/>
          </w:tcPr>
          <w:p w14:paraId="432356F5" w14:textId="470C8339" w:rsidR="00992B8E" w:rsidRPr="00992B8E" w:rsidRDefault="00683B6B"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Resursi</w:t>
            </w:r>
          </w:p>
        </w:tc>
        <w:tc>
          <w:tcPr>
            <w:tcW w:w="594" w:type="pct"/>
            <w:hideMark/>
          </w:tcPr>
          <w:p w14:paraId="3DCBBC90" w14:textId="332C4E10" w:rsidR="00992B8E" w:rsidRPr="00992B8E" w:rsidRDefault="00683B6B"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Napomene</w:t>
            </w:r>
          </w:p>
        </w:tc>
        <w:tc>
          <w:tcPr>
            <w:tcW w:w="279" w:type="pct"/>
            <w:hideMark/>
          </w:tcPr>
          <w:p w14:paraId="4C0DA5B2" w14:textId="112952D8" w:rsidR="00992B8E" w:rsidRPr="00992B8E" w:rsidRDefault="00A067C3"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DAP</w:t>
            </w:r>
            <w:r w:rsidR="007029BB">
              <w:rPr>
                <w:rFonts w:eastAsia="Times New Roman"/>
                <w:kern w:val="0"/>
                <w:sz w:val="14"/>
                <w:szCs w:val="14"/>
                <w:lang w:eastAsia="en-GB"/>
                <w14:ligatures w14:val="none"/>
              </w:rPr>
              <w:t xml:space="preserve"> oznaka</w:t>
            </w:r>
          </w:p>
        </w:tc>
      </w:tr>
      <w:tr w:rsidR="00992B8E" w:rsidRPr="00992B8E" w14:paraId="177B3860" w14:textId="77777777" w:rsidTr="00992B8E">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02" w:type="pct"/>
            <w:vMerge w:val="restart"/>
            <w:hideMark/>
          </w:tcPr>
          <w:p w14:paraId="3C0C9458" w14:textId="6B085E47"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.1.01.</w:t>
            </w:r>
          </w:p>
        </w:tc>
        <w:tc>
          <w:tcPr>
            <w:tcW w:w="975" w:type="pct"/>
            <w:hideMark/>
          </w:tcPr>
          <w:p w14:paraId="49A3CF02" w14:textId="521ACD90"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Redovno podnošenje Izjava o upravljanju od strane Nacionalnog službenika za ovjeravanje za svaki Program koji se sprovodi u indirektnom upravljanju od strane Crne Gore.</w:t>
            </w:r>
          </w:p>
        </w:tc>
        <w:tc>
          <w:tcPr>
            <w:tcW w:w="737" w:type="pct"/>
            <w:hideMark/>
          </w:tcPr>
          <w:p w14:paraId="2C494DCE" w14:textId="58615304"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419" w:type="pct"/>
            <w:hideMark/>
          </w:tcPr>
          <w:p w14:paraId="133A95A8" w14:textId="5CA261D6"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1</w:t>
            </w:r>
          </w:p>
        </w:tc>
        <w:tc>
          <w:tcPr>
            <w:tcW w:w="565" w:type="pct"/>
            <w:hideMark/>
          </w:tcPr>
          <w:p w14:paraId="498BFBE3" w14:textId="7AB1BA64" w:rsidR="00992B8E" w:rsidRPr="00992B8E" w:rsidRDefault="009C7879"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Pismo o predaji.</w:t>
            </w:r>
          </w:p>
        </w:tc>
        <w:tc>
          <w:tcPr>
            <w:tcW w:w="434" w:type="pct"/>
            <w:hideMark/>
          </w:tcPr>
          <w:p w14:paraId="1A4B139A" w14:textId="72FE373B"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594" w:type="pct"/>
            <w:hideMark/>
          </w:tcPr>
          <w:p w14:paraId="4D3BB025"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594" w:type="pct"/>
            <w:hideMark/>
          </w:tcPr>
          <w:p w14:paraId="05E153F0"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279" w:type="pct"/>
            <w:hideMark/>
          </w:tcPr>
          <w:p w14:paraId="305DBF28"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6.01.</w:t>
            </w:r>
          </w:p>
        </w:tc>
      </w:tr>
      <w:tr w:rsidR="00992B8E" w:rsidRPr="00992B8E" w14:paraId="3A420BD6" w14:textId="77777777" w:rsidTr="00992B8E">
        <w:trPr>
          <w:trHeight w:val="960"/>
        </w:trPr>
        <w:tc>
          <w:tcPr>
            <w:cnfStyle w:val="001000000000" w:firstRow="0" w:lastRow="0" w:firstColumn="1" w:lastColumn="0" w:oddVBand="0" w:evenVBand="0" w:oddHBand="0" w:evenHBand="0" w:firstRowFirstColumn="0" w:firstRowLastColumn="0" w:lastRowFirstColumn="0" w:lastRowLastColumn="0"/>
            <w:tcW w:w="402" w:type="pct"/>
            <w:vMerge/>
            <w:hideMark/>
          </w:tcPr>
          <w:p w14:paraId="6D2E825B" w14:textId="77777777" w:rsidR="00992B8E" w:rsidRPr="00992B8E" w:rsidRDefault="00992B8E" w:rsidP="00992B8E">
            <w:pPr>
              <w:spacing w:after="0"/>
              <w:jc w:val="left"/>
              <w:rPr>
                <w:rFonts w:ascii="Aptos" w:eastAsia="Times New Roman" w:hAnsi="Aptos"/>
                <w:kern w:val="0"/>
                <w:sz w:val="14"/>
                <w:szCs w:val="14"/>
                <w:lang w:eastAsia="en-GB"/>
                <w14:ligatures w14:val="none"/>
              </w:rPr>
            </w:pPr>
          </w:p>
        </w:tc>
        <w:tc>
          <w:tcPr>
            <w:tcW w:w="975" w:type="pct"/>
            <w:hideMark/>
          </w:tcPr>
          <w:p w14:paraId="2C4BC1D7" w14:textId="7E1FC1ED"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Redovno podnošenje Izjava o upravljanju od strane Nacionalnog službenika za ovjeravanje za svaki Program koji se sprovodi u indirektnom upravljanju od strane Crne Gore.</w:t>
            </w:r>
          </w:p>
        </w:tc>
        <w:tc>
          <w:tcPr>
            <w:tcW w:w="737" w:type="pct"/>
            <w:hideMark/>
          </w:tcPr>
          <w:p w14:paraId="7158146B" w14:textId="19E63F1C"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419" w:type="pct"/>
            <w:hideMark/>
          </w:tcPr>
          <w:p w14:paraId="5B14395E" w14:textId="2188ACC5"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1</w:t>
            </w:r>
          </w:p>
        </w:tc>
        <w:tc>
          <w:tcPr>
            <w:tcW w:w="565" w:type="pct"/>
            <w:hideMark/>
          </w:tcPr>
          <w:p w14:paraId="31E9A597" w14:textId="69F612BD" w:rsidR="00992B8E" w:rsidRPr="00992B8E" w:rsidRDefault="009C7879"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Pismo o predaji.</w:t>
            </w:r>
          </w:p>
        </w:tc>
        <w:tc>
          <w:tcPr>
            <w:tcW w:w="434" w:type="pct"/>
            <w:hideMark/>
          </w:tcPr>
          <w:p w14:paraId="6B824E8C" w14:textId="2DF3CE6A"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594" w:type="pct"/>
            <w:hideMark/>
          </w:tcPr>
          <w:p w14:paraId="010C2FA6"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594" w:type="pct"/>
            <w:hideMark/>
          </w:tcPr>
          <w:p w14:paraId="4B8C9E3D"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279" w:type="pct"/>
            <w:hideMark/>
          </w:tcPr>
          <w:p w14:paraId="6C9F6712"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6.01.</w:t>
            </w:r>
          </w:p>
        </w:tc>
      </w:tr>
      <w:tr w:rsidR="00992B8E" w:rsidRPr="00992B8E" w14:paraId="5E78AE52" w14:textId="77777777" w:rsidTr="00992B8E">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02" w:type="pct"/>
            <w:vMerge w:val="restart"/>
            <w:hideMark/>
          </w:tcPr>
          <w:p w14:paraId="12CCD29B" w14:textId="4E016CA9"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.1.02.</w:t>
            </w:r>
          </w:p>
        </w:tc>
        <w:tc>
          <w:tcPr>
            <w:tcW w:w="975" w:type="pct"/>
            <w:hideMark/>
          </w:tcPr>
          <w:p w14:paraId="56B8512F" w14:textId="093B1880"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Redovno praćenje isplate sredstava iz finansijskog okvira IPA II i planiranje sredstava iz IPA III, o čemu se izvještava EK.   </w:t>
            </w:r>
          </w:p>
        </w:tc>
        <w:tc>
          <w:tcPr>
            <w:tcW w:w="737" w:type="pct"/>
            <w:hideMark/>
          </w:tcPr>
          <w:p w14:paraId="780F5FD9" w14:textId="485A39E7"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419" w:type="pct"/>
            <w:hideMark/>
          </w:tcPr>
          <w:p w14:paraId="00DCF7A1" w14:textId="4DE3F022"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565" w:type="pct"/>
            <w:hideMark/>
          </w:tcPr>
          <w:p w14:paraId="38148F44" w14:textId="005E7702" w:rsidR="00992B8E" w:rsidRPr="00992B8E" w:rsidRDefault="009C7879"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Zadovoljavajuće stope isplate sredstava iz IPA II fondova, kako je prikazano u IPA aplikaciji.</w:t>
            </w:r>
          </w:p>
        </w:tc>
        <w:tc>
          <w:tcPr>
            <w:tcW w:w="434" w:type="pct"/>
            <w:hideMark/>
          </w:tcPr>
          <w:p w14:paraId="07C8EAE4" w14:textId="7A7CF9F6"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594" w:type="pct"/>
            <w:hideMark/>
          </w:tcPr>
          <w:p w14:paraId="41E7DAD6"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594" w:type="pct"/>
            <w:hideMark/>
          </w:tcPr>
          <w:p w14:paraId="76C30B72"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279" w:type="pct"/>
            <w:hideMark/>
          </w:tcPr>
          <w:p w14:paraId="339B0E19"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6.02.</w:t>
            </w:r>
          </w:p>
        </w:tc>
      </w:tr>
      <w:tr w:rsidR="00992B8E" w:rsidRPr="00992B8E" w14:paraId="1FEC33BD" w14:textId="77777777" w:rsidTr="00992B8E">
        <w:trPr>
          <w:trHeight w:val="960"/>
        </w:trPr>
        <w:tc>
          <w:tcPr>
            <w:cnfStyle w:val="001000000000" w:firstRow="0" w:lastRow="0" w:firstColumn="1" w:lastColumn="0" w:oddVBand="0" w:evenVBand="0" w:oddHBand="0" w:evenHBand="0" w:firstRowFirstColumn="0" w:firstRowLastColumn="0" w:lastRowFirstColumn="0" w:lastRowLastColumn="0"/>
            <w:tcW w:w="402" w:type="pct"/>
            <w:vMerge/>
            <w:hideMark/>
          </w:tcPr>
          <w:p w14:paraId="56C46671" w14:textId="77777777" w:rsidR="00992B8E" w:rsidRPr="00992B8E" w:rsidRDefault="00992B8E" w:rsidP="00992B8E">
            <w:pPr>
              <w:spacing w:after="0"/>
              <w:jc w:val="left"/>
              <w:rPr>
                <w:rFonts w:ascii="Aptos" w:eastAsia="Times New Roman" w:hAnsi="Aptos"/>
                <w:kern w:val="0"/>
                <w:sz w:val="14"/>
                <w:szCs w:val="14"/>
                <w:lang w:eastAsia="en-GB"/>
                <w14:ligatures w14:val="none"/>
              </w:rPr>
            </w:pPr>
          </w:p>
        </w:tc>
        <w:tc>
          <w:tcPr>
            <w:tcW w:w="975" w:type="pct"/>
            <w:hideMark/>
          </w:tcPr>
          <w:p w14:paraId="479AD10C" w14:textId="79679C32"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Redovno praćenje isplate sredstava iz finansijskog okvira IPA II i planiranje sredstava iz IPA III, o čemu se izvještava EK.   </w:t>
            </w:r>
          </w:p>
        </w:tc>
        <w:tc>
          <w:tcPr>
            <w:tcW w:w="737" w:type="pct"/>
            <w:hideMark/>
          </w:tcPr>
          <w:p w14:paraId="19528497" w14:textId="7AFD8920"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419" w:type="pct"/>
            <w:hideMark/>
          </w:tcPr>
          <w:p w14:paraId="0DB5566C" w14:textId="1A170A33"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565" w:type="pct"/>
            <w:hideMark/>
          </w:tcPr>
          <w:p w14:paraId="00C11E3E" w14:textId="2BFCA0C6" w:rsidR="00992B8E" w:rsidRPr="00992B8E" w:rsidRDefault="009C7879"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Zadovoljavajuće stope isplate sredstava iz IPA II fondova, kako je prikazano u IPA aplikaciji.</w:t>
            </w:r>
          </w:p>
        </w:tc>
        <w:tc>
          <w:tcPr>
            <w:tcW w:w="434" w:type="pct"/>
            <w:hideMark/>
          </w:tcPr>
          <w:p w14:paraId="0BB1DC0F" w14:textId="1B10B0A2"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594" w:type="pct"/>
            <w:hideMark/>
          </w:tcPr>
          <w:p w14:paraId="4153F362"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594" w:type="pct"/>
            <w:hideMark/>
          </w:tcPr>
          <w:p w14:paraId="4CACC3F7"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279" w:type="pct"/>
            <w:hideMark/>
          </w:tcPr>
          <w:p w14:paraId="1AE6B64C"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6.02.</w:t>
            </w:r>
          </w:p>
        </w:tc>
      </w:tr>
      <w:tr w:rsidR="00992B8E" w:rsidRPr="00992B8E" w14:paraId="2BA900F4" w14:textId="77777777" w:rsidTr="00992B8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2" w:type="pct"/>
            <w:vMerge w:val="restart"/>
            <w:hideMark/>
          </w:tcPr>
          <w:p w14:paraId="4389A0FE" w14:textId="0513F699"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lastRenderedPageBreak/>
              <w:t>ZM</w:t>
            </w:r>
            <w:r w:rsidR="00992B8E" w:rsidRPr="00992B8E">
              <w:rPr>
                <w:rFonts w:ascii="Aptos" w:eastAsia="Times New Roman" w:hAnsi="Aptos"/>
                <w:kern w:val="0"/>
                <w:sz w:val="14"/>
                <w:szCs w:val="14"/>
                <w:lang w:eastAsia="en-GB"/>
                <w14:ligatures w14:val="none"/>
              </w:rPr>
              <w:t>.1.03.</w:t>
            </w:r>
          </w:p>
        </w:tc>
        <w:tc>
          <w:tcPr>
            <w:tcW w:w="975" w:type="pct"/>
            <w:hideMark/>
          </w:tcPr>
          <w:p w14:paraId="11F2071E" w14:textId="2C8AE75D"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Redovno praćenje ugovaranja sredstava iz finansijskog okvira IPA II i planiranje sredstava iz IPA III, o čemu se izvještava EK.        </w:t>
            </w:r>
          </w:p>
        </w:tc>
        <w:tc>
          <w:tcPr>
            <w:tcW w:w="737" w:type="pct"/>
            <w:hideMark/>
          </w:tcPr>
          <w:p w14:paraId="0D07D162" w14:textId="0A376F8F"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419" w:type="pct"/>
            <w:hideMark/>
          </w:tcPr>
          <w:p w14:paraId="7FF85B03" w14:textId="6E46E403"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565" w:type="pct"/>
            <w:hideMark/>
          </w:tcPr>
          <w:p w14:paraId="75C88E0E" w14:textId="475415A5" w:rsidR="00992B8E" w:rsidRPr="00992B8E" w:rsidRDefault="009C7879"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Zadovoljavajuća ugovorenost sredstava iz IPA fondova, prema izvještajima iz IPA aplikacije.</w:t>
            </w:r>
          </w:p>
        </w:tc>
        <w:tc>
          <w:tcPr>
            <w:tcW w:w="434" w:type="pct"/>
            <w:hideMark/>
          </w:tcPr>
          <w:p w14:paraId="29FE949E" w14:textId="5718C567"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594" w:type="pct"/>
            <w:hideMark/>
          </w:tcPr>
          <w:p w14:paraId="269829AC"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594" w:type="pct"/>
            <w:hideMark/>
          </w:tcPr>
          <w:p w14:paraId="36836EC5"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279" w:type="pct"/>
            <w:hideMark/>
          </w:tcPr>
          <w:p w14:paraId="6B3D59C0"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6.03.</w:t>
            </w:r>
          </w:p>
        </w:tc>
      </w:tr>
      <w:tr w:rsidR="00992B8E" w:rsidRPr="00992B8E" w14:paraId="022499A0" w14:textId="77777777" w:rsidTr="00992B8E">
        <w:trPr>
          <w:trHeight w:val="720"/>
        </w:trPr>
        <w:tc>
          <w:tcPr>
            <w:cnfStyle w:val="001000000000" w:firstRow="0" w:lastRow="0" w:firstColumn="1" w:lastColumn="0" w:oddVBand="0" w:evenVBand="0" w:oddHBand="0" w:evenHBand="0" w:firstRowFirstColumn="0" w:firstRowLastColumn="0" w:lastRowFirstColumn="0" w:lastRowLastColumn="0"/>
            <w:tcW w:w="402" w:type="pct"/>
            <w:vMerge/>
            <w:hideMark/>
          </w:tcPr>
          <w:p w14:paraId="0D966131" w14:textId="77777777" w:rsidR="00992B8E" w:rsidRPr="00992B8E" w:rsidRDefault="00992B8E" w:rsidP="00992B8E">
            <w:pPr>
              <w:spacing w:after="0"/>
              <w:jc w:val="left"/>
              <w:rPr>
                <w:rFonts w:ascii="Aptos" w:eastAsia="Times New Roman" w:hAnsi="Aptos"/>
                <w:kern w:val="0"/>
                <w:sz w:val="14"/>
                <w:szCs w:val="14"/>
                <w:lang w:eastAsia="en-GB"/>
                <w14:ligatures w14:val="none"/>
              </w:rPr>
            </w:pPr>
          </w:p>
        </w:tc>
        <w:tc>
          <w:tcPr>
            <w:tcW w:w="975" w:type="pct"/>
            <w:hideMark/>
          </w:tcPr>
          <w:p w14:paraId="5D1B5264" w14:textId="47A46599"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Redovno praćenje ugovaranja sredstava iz finansijskog okvira IPA II i planiranje sredstava iz IPA III, o čemu se izvještava EK.        </w:t>
            </w:r>
          </w:p>
        </w:tc>
        <w:tc>
          <w:tcPr>
            <w:tcW w:w="737" w:type="pct"/>
            <w:hideMark/>
          </w:tcPr>
          <w:p w14:paraId="7C34AC01" w14:textId="5BA7F127"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419" w:type="pct"/>
            <w:hideMark/>
          </w:tcPr>
          <w:p w14:paraId="0BB78EDD" w14:textId="72A00CD8"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565" w:type="pct"/>
            <w:hideMark/>
          </w:tcPr>
          <w:p w14:paraId="1BF0685D" w14:textId="4ADDF1B1" w:rsidR="00992B8E" w:rsidRPr="00992B8E" w:rsidRDefault="009C7879"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Zadovoljavajuća ugovorenost sredstava iz IPA fondova, prema izvještajima iz IPA aplikacije.</w:t>
            </w:r>
          </w:p>
        </w:tc>
        <w:tc>
          <w:tcPr>
            <w:tcW w:w="434" w:type="pct"/>
            <w:hideMark/>
          </w:tcPr>
          <w:p w14:paraId="70E07479" w14:textId="4BEB85C2"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594" w:type="pct"/>
            <w:hideMark/>
          </w:tcPr>
          <w:p w14:paraId="6DE14B1A"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594" w:type="pct"/>
            <w:hideMark/>
          </w:tcPr>
          <w:p w14:paraId="770B1C1A"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279" w:type="pct"/>
            <w:hideMark/>
          </w:tcPr>
          <w:p w14:paraId="004214CC"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6.03.</w:t>
            </w:r>
          </w:p>
        </w:tc>
      </w:tr>
    </w:tbl>
    <w:p w14:paraId="64BE05A4" w14:textId="009E4EBE" w:rsidR="00856026" w:rsidRPr="00B83578" w:rsidRDefault="00856026" w:rsidP="00B479FB"/>
    <w:p w14:paraId="6FCA16BA" w14:textId="33053C5C" w:rsidR="00DD7EEE" w:rsidRPr="00B83578" w:rsidRDefault="00927DA6" w:rsidP="00DF1C52">
      <w:pPr>
        <w:pStyle w:val="Heading1"/>
      </w:pPr>
      <w:bookmarkStart w:id="22" w:name="_Toc201700305"/>
      <w:r>
        <w:t>Završna mjerila 2 i 3</w:t>
      </w:r>
      <w:bookmarkEnd w:id="22"/>
    </w:p>
    <w:p w14:paraId="36D6C6B2" w14:textId="70B41426" w:rsidR="00DD7EEE" w:rsidRPr="00B83578" w:rsidRDefault="00927DA6" w:rsidP="00DD7EEE">
      <w:pPr>
        <w:pBdr>
          <w:top w:val="single" w:sz="4" w:space="1" w:color="auto"/>
          <w:left w:val="single" w:sz="4" w:space="4" w:color="auto"/>
          <w:bottom w:val="single" w:sz="4" w:space="1" w:color="auto"/>
          <w:right w:val="single" w:sz="4" w:space="4" w:color="auto"/>
        </w:pBdr>
        <w:shd w:val="clear" w:color="auto" w:fill="C1E4F5"/>
        <w:spacing w:before="120" w:line="276" w:lineRule="auto"/>
        <w:rPr>
          <w:rFonts w:eastAsia="Calibri" w:cs="Arial"/>
          <w:b/>
          <w:i/>
          <w:iCs/>
          <w:kern w:val="0"/>
          <w:sz w:val="22"/>
        </w:rPr>
      </w:pPr>
      <w:r>
        <w:rPr>
          <w:rFonts w:eastAsia="Calibri" w:cs="Arial"/>
          <w:b/>
          <w:i/>
          <w:iCs/>
          <w:kern w:val="0"/>
          <w:sz w:val="22"/>
        </w:rPr>
        <w:t xml:space="preserve">ZAVRŠNO MJERILO </w:t>
      </w:r>
      <w:r w:rsidR="00DD7EEE" w:rsidRPr="00B83578">
        <w:rPr>
          <w:rFonts w:eastAsia="Calibri" w:cs="Arial"/>
          <w:b/>
          <w:i/>
          <w:iCs/>
          <w:kern w:val="0"/>
          <w:sz w:val="22"/>
        </w:rPr>
        <w:t xml:space="preserve">2. </w:t>
      </w:r>
      <w:r>
        <w:rPr>
          <w:rFonts w:eastAsia="Calibri" w:cs="Arial"/>
          <w:b/>
          <w:i/>
          <w:iCs/>
          <w:kern w:val="0"/>
          <w:sz w:val="22"/>
        </w:rPr>
        <w:t xml:space="preserve">Crna Gora dostavlja Komisiji napredni i sveobuhvatni nacrt svog dokumenta </w:t>
      </w:r>
      <w:r w:rsidR="00700FF9">
        <w:rPr>
          <w:rFonts w:eastAsia="Calibri" w:cs="Arial"/>
          <w:b/>
          <w:i/>
          <w:iCs/>
          <w:kern w:val="0"/>
          <w:sz w:val="22"/>
        </w:rPr>
        <w:t>Sporazuma o partnerstvu</w:t>
      </w:r>
      <w:r>
        <w:rPr>
          <w:rFonts w:eastAsia="Calibri" w:cs="Arial"/>
          <w:b/>
          <w:i/>
          <w:iCs/>
          <w:kern w:val="0"/>
          <w:sz w:val="22"/>
        </w:rPr>
        <w:t xml:space="preserve"> (PA), koji prikazuje aranžmane za usklađivanje sa strategijom Unije za pametan, održiv i inkluzivan rast, odabrane tematske ciljeve i glavne očekivane rezultate za svaki od ESI Fondova; dokument sadrži i okvirne naznake planiranog Operativnog programa, uključujući izvore finansiranja, kao i rezime procjene ispunjenosti relevantnih ex-ante uslov</w:t>
      </w:r>
      <w:r w:rsidR="00683B6B">
        <w:rPr>
          <w:rFonts w:eastAsia="Calibri" w:cs="Arial"/>
          <w:b/>
          <w:i/>
          <w:iCs/>
          <w:kern w:val="0"/>
          <w:sz w:val="22"/>
        </w:rPr>
        <w:t>ljavanja</w:t>
      </w:r>
      <w:r>
        <w:rPr>
          <w:rFonts w:eastAsia="Calibri" w:cs="Arial"/>
          <w:b/>
          <w:i/>
          <w:iCs/>
          <w:kern w:val="0"/>
          <w:sz w:val="22"/>
        </w:rPr>
        <w:t>.</w:t>
      </w:r>
    </w:p>
    <w:p w14:paraId="68916E82" w14:textId="77777777" w:rsidR="00DD7EEE" w:rsidRPr="00B83578" w:rsidRDefault="00DD7EEE" w:rsidP="00DD7EEE"/>
    <w:p w14:paraId="2E4954E2" w14:textId="4116C74E" w:rsidR="00DD7EEE" w:rsidRPr="00B83578" w:rsidRDefault="00927DA6" w:rsidP="00DD7EEE">
      <w:pPr>
        <w:pBdr>
          <w:top w:val="single" w:sz="4" w:space="1" w:color="auto"/>
          <w:left w:val="single" w:sz="4" w:space="4" w:color="auto"/>
          <w:bottom w:val="single" w:sz="4" w:space="1" w:color="auto"/>
          <w:right w:val="single" w:sz="4" w:space="4" w:color="auto"/>
        </w:pBdr>
        <w:shd w:val="clear" w:color="auto" w:fill="C1E4F5"/>
        <w:spacing w:before="120" w:line="276" w:lineRule="auto"/>
        <w:rPr>
          <w:rFonts w:eastAsia="Calibri" w:cs="Arial"/>
          <w:b/>
          <w:i/>
          <w:iCs/>
          <w:kern w:val="0"/>
          <w:sz w:val="22"/>
        </w:rPr>
      </w:pPr>
      <w:r>
        <w:rPr>
          <w:rFonts w:eastAsia="Calibri" w:cs="Arial"/>
          <w:b/>
          <w:i/>
          <w:iCs/>
          <w:kern w:val="0"/>
          <w:sz w:val="22"/>
        </w:rPr>
        <w:t>ZAVRŠNO MJERILO</w:t>
      </w:r>
      <w:r w:rsidR="00DD7EEE" w:rsidRPr="00B83578">
        <w:rPr>
          <w:rFonts w:eastAsia="Calibri" w:cs="Arial"/>
          <w:b/>
          <w:i/>
          <w:iCs/>
          <w:kern w:val="0"/>
          <w:sz w:val="22"/>
        </w:rPr>
        <w:t xml:space="preserve"> 3. </w:t>
      </w:r>
      <w:r>
        <w:rPr>
          <w:rFonts w:eastAsia="Calibri" w:cs="Arial"/>
          <w:b/>
          <w:i/>
          <w:iCs/>
          <w:kern w:val="0"/>
          <w:sz w:val="22"/>
        </w:rPr>
        <w:t xml:space="preserve">Crna Gora dostavlja detaljan plan i raspored za finalizaciju svog PA i za </w:t>
      </w:r>
      <w:r w:rsidR="00E93FA0">
        <w:rPr>
          <w:rFonts w:eastAsia="Calibri" w:cs="Arial"/>
          <w:b/>
          <w:i/>
          <w:iCs/>
          <w:kern w:val="0"/>
          <w:sz w:val="22"/>
        </w:rPr>
        <w:t>pripremu i finalizaciju Operativnog programa. Ovaj plan treba da sadrži informacije o tome kako in a kojem nivou Crna Gora planira da organizuje proces programiranja</w:t>
      </w:r>
      <w:r w:rsidR="00683B6B">
        <w:rPr>
          <w:rFonts w:eastAsia="Calibri" w:cs="Arial"/>
          <w:b/>
          <w:i/>
          <w:iCs/>
          <w:kern w:val="0"/>
          <w:sz w:val="22"/>
        </w:rPr>
        <w:t>,</w:t>
      </w:r>
      <w:r w:rsidR="00E93FA0">
        <w:rPr>
          <w:rFonts w:eastAsia="Calibri" w:cs="Arial"/>
          <w:b/>
          <w:i/>
          <w:iCs/>
          <w:kern w:val="0"/>
          <w:sz w:val="22"/>
        </w:rPr>
        <w:t xml:space="preserve"> te o preciznoj ulozi i zadacima svih institucija uključenih na nacionalnom i regionalnom/lokalnom nivou. </w:t>
      </w:r>
    </w:p>
    <w:p w14:paraId="4E4A2BE8" w14:textId="77777777" w:rsidR="00DD7EEE" w:rsidRPr="00B83578" w:rsidRDefault="00DD7EEE" w:rsidP="00DD7EEE"/>
    <w:p w14:paraId="0E8339E7" w14:textId="40192B2C" w:rsidR="00DD7EEE" w:rsidRPr="00B83578" w:rsidRDefault="00E93FA0" w:rsidP="002A41FC">
      <w:r>
        <w:t xml:space="preserve">Imajući u obzir da se Završno mjerilo 2 i Završno mjerilo 3 oba odnose na programiranje i usko su povezana, naredna analiza se odnosi na oba; planirane aktivnosti, ipak, su odvojene kako bi se omogućio precizan monitoring progresa u ispunjenju oba Završna mjerila. </w:t>
      </w:r>
    </w:p>
    <w:p w14:paraId="5B51057E" w14:textId="6CAFF1C6" w:rsidR="00DD7EEE" w:rsidRPr="00B83578" w:rsidRDefault="009E36FF" w:rsidP="00DF1C52">
      <w:pPr>
        <w:pStyle w:val="Heading2"/>
      </w:pPr>
      <w:bookmarkStart w:id="23" w:name="_Toc201700306"/>
      <w:r>
        <w:t>Relevantni zahtjevi Kohezione politike</w:t>
      </w:r>
      <w:bookmarkEnd w:id="23"/>
    </w:p>
    <w:p w14:paraId="12913C9A" w14:textId="2102A2CC" w:rsidR="007B16CC" w:rsidRDefault="006113A0" w:rsidP="007B16CC">
      <w:r>
        <w:t>Regulativa</w:t>
      </w:r>
      <w:r w:rsidR="007B16CC">
        <w:t xml:space="preserve"> o zajedničkim odredbama (</w:t>
      </w:r>
      <w:r w:rsidR="00CD0020">
        <w:t>RZO</w:t>
      </w:r>
      <w:r w:rsidR="007B16CC">
        <w:t xml:space="preserve">) propisuje opšte zahtjeve za programiranje </w:t>
      </w:r>
      <w:r>
        <w:t>F</w:t>
      </w:r>
      <w:r w:rsidR="007B16CC">
        <w:t>ondova kohezi</w:t>
      </w:r>
      <w:r>
        <w:t>one</w:t>
      </w:r>
      <w:r w:rsidR="007B16CC">
        <w:t xml:space="preserve"> politike, uključujući i šablon za </w:t>
      </w:r>
      <w:r w:rsidR="00700FF9">
        <w:t>Sporazum o partnerstvu</w:t>
      </w:r>
      <w:r w:rsidR="007B16CC">
        <w:t>. Dodatni</w:t>
      </w:r>
      <w:r w:rsidR="008A5FAC">
        <w:t xml:space="preserve"> </w:t>
      </w:r>
      <w:r w:rsidR="007B16CC">
        <w:t>zahtjevi</w:t>
      </w:r>
      <w:r w:rsidR="008A5FAC">
        <w:t>,</w:t>
      </w:r>
      <w:r w:rsidR="007B16CC">
        <w:t xml:space="preserve"> </w:t>
      </w:r>
      <w:r>
        <w:t>specifični za fondove</w:t>
      </w:r>
      <w:r w:rsidR="008A5FAC">
        <w:t>,</w:t>
      </w:r>
      <w:r>
        <w:t xml:space="preserve"> </w:t>
      </w:r>
      <w:r w:rsidR="007B16CC">
        <w:t xml:space="preserve">utvrđeni su u pojedinačnim regulativama za svaki fond. Partnerstvo ima ključnu ulogu u programiranju </w:t>
      </w:r>
      <w:r w:rsidR="008A5FAC">
        <w:t>K</w:t>
      </w:r>
      <w:r w:rsidR="007B16CC">
        <w:t>ohezi</w:t>
      </w:r>
      <w:r w:rsidR="008A5FAC">
        <w:t>one</w:t>
      </w:r>
      <w:r w:rsidR="007B16CC">
        <w:t xml:space="preserve"> politike, jer se </w:t>
      </w:r>
      <w:r w:rsidR="00700FF9">
        <w:t>Sporazum o partnerstvu</w:t>
      </w:r>
      <w:r w:rsidR="007B16CC">
        <w:t xml:space="preserve"> priprema uz uspostavljanje sveobuhvatnog partnerstva u skladu s Evropskim kodeksom ponašanja za partnerstvo. Takođe se tokom čitave pripreme programa vodi računa o ravnopravnosti žena i muškaraca, </w:t>
      </w:r>
      <w:r w:rsidR="000430C0" w:rsidRPr="000430C0">
        <w:t>uvođenju principa rodne ravnopravnosti</w:t>
      </w:r>
      <w:r w:rsidR="007B16CC">
        <w:t xml:space="preserve"> i integraciji rodne perspektive; preduzimaju se odgovarajuće mjere za sprečavanje svake diskriminacije zasnovane na polu, rasnom ili etničkom porijeklu, vjeri ili uvjerenju, invaliditetu, starosnoj dobi ili seksualnoj orijentaciji, uz posebno uvažavanje pristupačnosti za osobe sa invaliditetom.</w:t>
      </w:r>
    </w:p>
    <w:p w14:paraId="4E4CA3EA" w14:textId="1CBE662E" w:rsidR="00DD7EEE" w:rsidRPr="00B83578" w:rsidRDefault="00700FF9" w:rsidP="007B16CC">
      <w:r>
        <w:t>Sporazum o partnerstvu</w:t>
      </w:r>
      <w:r w:rsidR="007B16CC">
        <w:t xml:space="preserve"> je strateški i sažet dokument koji, okvirno, </w:t>
      </w:r>
      <w:r w:rsidR="008A5FAC">
        <w:t xml:space="preserve">ne bi </w:t>
      </w:r>
      <w:r w:rsidR="007B16CC">
        <w:t xml:space="preserve">trebalo da prelazi 35 stranica. Priprema se u skladu s Evropskim kodeksom ponašanja za partnerstvo. Član 11 određuje sadržaj </w:t>
      </w:r>
      <w:r>
        <w:t>Sporazuma o partnerstvu</w:t>
      </w:r>
      <w:r w:rsidR="007B16CC">
        <w:t xml:space="preserve">. Njegov sadržaj je znatno pojednostavljen u finansijskoj perspektivi 2021–2027; u skladu s ciljem pojednostavljenja </w:t>
      </w:r>
      <w:r w:rsidR="008A5FAC">
        <w:t>Kohezione</w:t>
      </w:r>
      <w:r w:rsidR="007B16CC">
        <w:t xml:space="preserve"> politike</w:t>
      </w:r>
      <w:r w:rsidR="008A5FAC" w:rsidRPr="00B83578">
        <w:rPr>
          <w:vertAlign w:val="superscript"/>
        </w:rPr>
        <w:footnoteReference w:id="9"/>
      </w:r>
      <w:r w:rsidR="008A5FAC" w:rsidRPr="00B83578">
        <w:t xml:space="preserve"> </w:t>
      </w:r>
      <w:r w:rsidR="007B16CC">
        <w:t xml:space="preserve"> za ovaj period, </w:t>
      </w:r>
      <w:r>
        <w:t>Sporazum o partnerstvu</w:t>
      </w:r>
      <w:r w:rsidR="007B16CC">
        <w:t xml:space="preserve"> je jedinstven strateški dokument koji na nacionalnom nivou obuhvata sedam fondova podijeljenog upravljanja i postavlja aranžmane koordinacije između ovih fondova i drugih instrumenata EU.</w:t>
      </w:r>
      <w:r w:rsidR="00DD7EEE" w:rsidRPr="00B83578">
        <w:t xml:space="preserve"> </w:t>
      </w:r>
      <w:r w:rsidR="008A5FAC">
        <w:t xml:space="preserve">Sadrži manje detalja i </w:t>
      </w:r>
      <w:r w:rsidR="008A5FAC">
        <w:lastRenderedPageBreak/>
        <w:t xml:space="preserve">manje opisa ali ima više strukturnih podataka od </w:t>
      </w:r>
      <w:r>
        <w:t>Sporazuma o partnerstvu</w:t>
      </w:r>
      <w:r w:rsidR="008A5FAC">
        <w:t xml:space="preserve"> za period 2014-2020. Nema preklapanja sadržaja između </w:t>
      </w:r>
      <w:r>
        <w:t>Sporazuma o partnerstvu</w:t>
      </w:r>
      <w:r w:rsidR="008A5FAC">
        <w:t xml:space="preserve"> i programa.</w:t>
      </w:r>
    </w:p>
    <w:p w14:paraId="456C8124" w14:textId="2453C62B" w:rsidR="00DD7EEE" w:rsidRPr="00B83578" w:rsidRDefault="008A5FAC" w:rsidP="002A41FC">
      <w:r w:rsidRPr="008A5FAC">
        <w:t xml:space="preserve">Šablon se nalazi u </w:t>
      </w:r>
      <w:r w:rsidRPr="006319B8">
        <w:rPr>
          <w:b/>
        </w:rPr>
        <w:t xml:space="preserve">Aneksu II </w:t>
      </w:r>
      <w:r w:rsidR="00CD0020">
        <w:rPr>
          <w:b/>
        </w:rPr>
        <w:t>RZO</w:t>
      </w:r>
      <w:r w:rsidRPr="008A5FAC">
        <w:t>.</w:t>
      </w:r>
    </w:p>
    <w:p w14:paraId="6EA311B9" w14:textId="66DB39AD" w:rsidR="00DD7EEE" w:rsidRPr="00B83578" w:rsidRDefault="006319B8" w:rsidP="002A41FC">
      <w:pPr>
        <w:rPr>
          <w:b/>
          <w:bCs/>
        </w:rPr>
      </w:pPr>
      <w:r w:rsidRPr="006319B8">
        <w:t xml:space="preserve">Šablon za sve programe, osim INTERREG programa, nalazi se u </w:t>
      </w:r>
      <w:r w:rsidRPr="006319B8">
        <w:rPr>
          <w:b/>
        </w:rPr>
        <w:t xml:space="preserve">Aneksu V </w:t>
      </w:r>
      <w:r w:rsidR="00CD0020">
        <w:rPr>
          <w:b/>
        </w:rPr>
        <w:t>RZO</w:t>
      </w:r>
      <w:r>
        <w:t>.</w:t>
      </w:r>
    </w:p>
    <w:p w14:paraId="00EBE9A3" w14:textId="2D7859AF" w:rsidR="00DD7EEE" w:rsidRPr="00B83578" w:rsidRDefault="006319B8" w:rsidP="002A41FC">
      <w:r w:rsidRPr="006319B8">
        <w:t xml:space="preserve">Integrisani teritorijalni razvoj može se podržati iz </w:t>
      </w:r>
      <w:r>
        <w:t>F</w:t>
      </w:r>
      <w:r w:rsidRPr="006319B8">
        <w:t>ondova putem teritorijalnih ili lokalnih razvojnih strategija.</w:t>
      </w:r>
      <w:r>
        <w:t xml:space="preserve"> </w:t>
      </w:r>
    </w:p>
    <w:p w14:paraId="756EB667" w14:textId="605DA1B2" w:rsidR="00DD7EEE" w:rsidRPr="00B83578" w:rsidRDefault="006319B8" w:rsidP="002A41FC">
      <w:r w:rsidRPr="006319B8">
        <w:t>Upravljač</w:t>
      </w:r>
      <w:r>
        <w:t>k</w:t>
      </w:r>
      <w:r w:rsidR="00106577">
        <w:t>a tijela</w:t>
      </w:r>
      <w:r w:rsidRPr="006319B8">
        <w:t xml:space="preserve"> mogu obezbijediti programski doprinos iz jednog ili više programa postojećim ili novoosnovanim finansijskim instrumentima uspostavljenim na nacionalnom, regionalnom, transnacionalnom ili prekograničnom nivou i koji se sprovode direktno od strane, ili pod odgovornošću, Upravljačkog </w:t>
      </w:r>
      <w:r w:rsidR="00106577">
        <w:t>tijela</w:t>
      </w:r>
      <w:r w:rsidRPr="006319B8">
        <w:t xml:space="preserve">, a koji doprinose ostvarivanju specifičnih ciljeva. Ovo mora biti zasnovano na ex-ante procjeni sačinjenoj pod odgovornošću Upravljačkog </w:t>
      </w:r>
      <w:r w:rsidR="00106577">
        <w:t>tijela</w:t>
      </w:r>
      <w:r>
        <w:t>.</w:t>
      </w:r>
      <w:r w:rsidR="00DD7EEE" w:rsidRPr="00B83578">
        <w:t xml:space="preserve"> </w:t>
      </w:r>
    </w:p>
    <w:p w14:paraId="5041B716" w14:textId="46CB2889" w:rsidR="006319B8" w:rsidRDefault="006319B8" w:rsidP="006319B8">
      <w:r>
        <w:t>Regulative specifične za fondove sadrže i odredbe relevantne za Programiranje.</w:t>
      </w:r>
    </w:p>
    <w:p w14:paraId="62322FD2" w14:textId="1F950D31" w:rsidR="006319B8" w:rsidRDefault="006319B8" w:rsidP="006319B8">
      <w:r>
        <w:t xml:space="preserve">Posebno, </w:t>
      </w:r>
      <w:r w:rsidR="003D7057">
        <w:t>EFRR</w:t>
      </w:r>
      <w:r>
        <w:t xml:space="preserve"> može da podrži integrisani teritorijalni razvoj i poseban akcenat stavlja na rješavanje izazova nerazvijenih regiona i područja, naročito ruralnih zona i teritorija koje trpe ozbiljne i trajne prirodne ili demografske nepogodnosti. Član 11 (Održivi urbani razvoj) propisuje da se najmanje 8% sredstava </w:t>
      </w:r>
      <w:r w:rsidR="003D7057">
        <w:t>EFRR</w:t>
      </w:r>
      <w:r>
        <w:t xml:space="preserve">-a na nacionalnom nivou, u okviru cilja „Investicije za rast i </w:t>
      </w:r>
      <w:proofErr w:type="gramStart"/>
      <w:r>
        <w:t>zapošljavanje“</w:t>
      </w:r>
      <w:r w:rsidR="002B6113">
        <w:t xml:space="preserve"> </w:t>
      </w:r>
      <w:r>
        <w:t>(</w:t>
      </w:r>
      <w:proofErr w:type="gramEnd"/>
      <w:r>
        <w:t xml:space="preserve">izuzev sredstava za </w:t>
      </w:r>
      <w:r w:rsidR="00F6773D">
        <w:t>tehničku pomoć</w:t>
      </w:r>
      <w:r>
        <w:t>), mora usmjeriti na održivi urbani razvoj zasnovan na teritorijalnim ili strategijama</w:t>
      </w:r>
      <w:r w:rsidR="00C8498D">
        <w:t xml:space="preserve"> za lokalni razvoj</w:t>
      </w:r>
      <w:r>
        <w:t xml:space="preserve"> </w:t>
      </w:r>
      <w:r w:rsidR="00BD37BF">
        <w:t>pod vođstvom</w:t>
      </w:r>
      <w:r>
        <w:t xml:space="preserve"> zajednic</w:t>
      </w:r>
      <w:r w:rsidR="00BD37BF">
        <w:t>e</w:t>
      </w:r>
      <w:r>
        <w:t xml:space="preserve"> i usmjerenim na urbana područja, uključujući funkcionalna urbana područja.</w:t>
      </w:r>
    </w:p>
    <w:p w14:paraId="1C34D552" w14:textId="29FB9E1B" w:rsidR="006319B8" w:rsidRDefault="006319B8" w:rsidP="006319B8">
      <w:r w:rsidRPr="002B6113">
        <w:rPr>
          <w:b/>
        </w:rPr>
        <w:t>Fond za pravednu tranziciju</w:t>
      </w:r>
      <w:r>
        <w:t xml:space="preserve"> (</w:t>
      </w:r>
      <w:r w:rsidR="00A067C3">
        <w:t>FPT</w:t>
      </w:r>
      <w:r>
        <w:t>), uspostavljen prvi put za perspektivu 2021–2027, doprinosi posebnom cilju omogućavanja regionima i stanovništvu da se suoče sa socijalnim, radnim, ekonomskim i ekološkim uticajima tranzicije ka ciljevima Unije za energiju i klimu do 2030. i klimatski neutralnoj ekonomiji do 2050, u skladu sa Pariskim sporazumom.</w:t>
      </w:r>
      <w:r w:rsidR="002B6113">
        <w:t xml:space="preserve"> </w:t>
      </w:r>
      <w:r w:rsidR="00A067C3">
        <w:t>FPT</w:t>
      </w:r>
      <w:r>
        <w:t xml:space="preserve"> može da </w:t>
      </w:r>
      <w:r w:rsidR="002B6113">
        <w:t>podrži</w:t>
      </w:r>
      <w:r>
        <w:t xml:space="preserve"> samo aktivnosti koje doprinose sprovođenju teritorijalnih planova pravedne tranzicije.</w:t>
      </w:r>
      <w:r w:rsidR="002B6113">
        <w:t xml:space="preserve"> </w:t>
      </w:r>
      <w:r>
        <w:t>Države članice, u saradnji sa relevantnim lokalnim i regionalnim vlastima pogođenih teritorija, pripremaju jedan ili više teritorijalnih planova pravedne tranzicije koji obuhvataju jedno ili više naj</w:t>
      </w:r>
      <w:r w:rsidR="00DD5ED3">
        <w:t>gore</w:t>
      </w:r>
      <w:r>
        <w:t xml:space="preserve"> pogođenih područja, zasnovano na ekonomskim i socijalnim uticajima </w:t>
      </w:r>
      <w:r w:rsidR="00DD5ED3">
        <w:t xml:space="preserve">koji su rezultat </w:t>
      </w:r>
      <w:r>
        <w:t>tranzicije.</w:t>
      </w:r>
    </w:p>
    <w:p w14:paraId="400D0E4E" w14:textId="4E144F72" w:rsidR="00DD5ED3" w:rsidRPr="00DD5ED3" w:rsidRDefault="00DD5ED3" w:rsidP="00DD5ED3">
      <w:pPr>
        <w:rPr>
          <w:rFonts w:eastAsia="Calibri" w:cs="Arial"/>
          <w:bCs/>
          <w:kern w:val="0"/>
          <w:szCs w:val="20"/>
        </w:rPr>
      </w:pPr>
      <w:r>
        <w:rPr>
          <w:rFonts w:eastAsia="Calibri" w:cs="Arial"/>
          <w:b/>
          <w:bCs/>
          <w:kern w:val="0"/>
          <w:szCs w:val="20"/>
        </w:rPr>
        <w:t>Regulativa</w:t>
      </w:r>
      <w:r w:rsidRPr="00DD5ED3">
        <w:rPr>
          <w:rFonts w:eastAsia="Calibri" w:cs="Arial"/>
          <w:b/>
          <w:bCs/>
          <w:kern w:val="0"/>
          <w:szCs w:val="20"/>
        </w:rPr>
        <w:t xml:space="preserve"> o ESF+ </w:t>
      </w:r>
      <w:r w:rsidRPr="00DD5ED3">
        <w:rPr>
          <w:rFonts w:eastAsia="Calibri" w:cs="Arial"/>
          <w:bCs/>
          <w:kern w:val="0"/>
          <w:szCs w:val="20"/>
        </w:rPr>
        <w:t>objedinjuje tri fonda</w:t>
      </w:r>
      <w:r w:rsidRPr="00B83578">
        <w:rPr>
          <w:rFonts w:eastAsia="Calibri" w:cs="Arial"/>
          <w:kern w:val="0"/>
          <w:szCs w:val="20"/>
          <w:vertAlign w:val="superscript"/>
        </w:rPr>
        <w:footnoteReference w:id="10"/>
      </w:r>
      <w:r w:rsidRPr="00DD5ED3">
        <w:rPr>
          <w:rFonts w:eastAsia="Calibri" w:cs="Arial"/>
          <w:bCs/>
          <w:kern w:val="0"/>
          <w:szCs w:val="20"/>
        </w:rPr>
        <w:t xml:space="preserve"> iz perioda 2014–2020 u oblasti zapošljavanja i socijalnih pitanja</w:t>
      </w:r>
      <w:r w:rsidRPr="00B83578">
        <w:rPr>
          <w:rFonts w:eastAsia="Calibri" w:cs="Arial"/>
          <w:kern w:val="0"/>
          <w:szCs w:val="20"/>
          <w:vertAlign w:val="superscript"/>
        </w:rPr>
        <w:footnoteReference w:id="11"/>
      </w:r>
      <w:r w:rsidRPr="00DD5ED3">
        <w:rPr>
          <w:rFonts w:eastAsia="Calibri" w:cs="Arial"/>
          <w:bCs/>
          <w:kern w:val="0"/>
          <w:szCs w:val="20"/>
        </w:rPr>
        <w:t>.</w:t>
      </w:r>
    </w:p>
    <w:p w14:paraId="07CFE42F" w14:textId="24B2F8CA" w:rsidR="00DD7EEE" w:rsidRPr="00DD5ED3" w:rsidRDefault="00DD5ED3" w:rsidP="00DD5ED3">
      <w:pPr>
        <w:rPr>
          <w:rFonts w:eastAsia="Calibri" w:cs="Arial"/>
          <w:bCs/>
          <w:kern w:val="0"/>
          <w:szCs w:val="20"/>
        </w:rPr>
      </w:pPr>
      <w:r w:rsidRPr="00DD5ED3">
        <w:rPr>
          <w:rFonts w:eastAsia="Calibri" w:cs="Arial"/>
          <w:bCs/>
          <w:kern w:val="0"/>
          <w:szCs w:val="20"/>
        </w:rPr>
        <w:t xml:space="preserve">Specifični ciljevi ESF+ u oblastima zapošljavanja i mobilnosti radne snage, obrazovanja i socijalne inkluzije, uključujući doprinos iskorjenjivanju siromaštva, doprinose ostvarenju političkog cilja „socijalnija i inkluzivnija Evropa koja primjenjuje Evropski stub socijalnih </w:t>
      </w:r>
      <w:proofErr w:type="gramStart"/>
      <w:r w:rsidRPr="00DD5ED3">
        <w:rPr>
          <w:rFonts w:eastAsia="Calibri" w:cs="Arial"/>
          <w:bCs/>
          <w:kern w:val="0"/>
          <w:szCs w:val="20"/>
        </w:rPr>
        <w:t>prava“</w:t>
      </w:r>
      <w:proofErr w:type="gramEnd"/>
      <w:r w:rsidRPr="00DD5ED3">
        <w:rPr>
          <w:rFonts w:eastAsia="Calibri" w:cs="Arial"/>
          <w:bCs/>
          <w:kern w:val="0"/>
          <w:szCs w:val="20"/>
        </w:rPr>
        <w:t xml:space="preserve">. </w:t>
      </w:r>
      <w:r>
        <w:rPr>
          <w:rFonts w:eastAsia="Calibri" w:cs="Arial"/>
          <w:bCs/>
          <w:kern w:val="0"/>
          <w:szCs w:val="20"/>
        </w:rPr>
        <w:t>Regulativa</w:t>
      </w:r>
      <w:r w:rsidRPr="00DD5ED3">
        <w:rPr>
          <w:rFonts w:eastAsia="Calibri" w:cs="Arial"/>
          <w:bCs/>
          <w:kern w:val="0"/>
          <w:szCs w:val="20"/>
        </w:rPr>
        <w:t xml:space="preserve"> propisuje minimalna izdvajanja ESF+ sredstava za socijalnu inkluziju (25%) i podršku najugroženijima (3%), kao i odgovarajuća sredstva za rješavanje dječjeg siromaštva</w:t>
      </w:r>
      <w:r w:rsidRPr="00B83578">
        <w:rPr>
          <w:rFonts w:eastAsia="Calibri" w:cs="Arial"/>
          <w:kern w:val="0"/>
          <w:szCs w:val="20"/>
          <w:vertAlign w:val="superscript"/>
        </w:rPr>
        <w:footnoteReference w:id="12"/>
      </w:r>
      <w:r w:rsidRPr="00DD5ED3">
        <w:rPr>
          <w:rFonts w:eastAsia="Calibri" w:cs="Arial"/>
          <w:bCs/>
          <w:kern w:val="0"/>
          <w:szCs w:val="20"/>
        </w:rPr>
        <w:t xml:space="preserve"> i zapošljavanja mladih</w:t>
      </w:r>
      <w:r w:rsidRPr="00B83578">
        <w:rPr>
          <w:rFonts w:eastAsia="Calibri" w:cs="Arial"/>
          <w:kern w:val="0"/>
          <w:szCs w:val="20"/>
          <w:vertAlign w:val="superscript"/>
        </w:rPr>
        <w:footnoteReference w:id="13"/>
      </w:r>
      <w:r w:rsidRPr="00DD5ED3">
        <w:rPr>
          <w:rFonts w:eastAsia="Calibri" w:cs="Arial"/>
          <w:bCs/>
          <w:kern w:val="0"/>
          <w:szCs w:val="20"/>
        </w:rPr>
        <w:t>. Takođe obuhvata podršku ESF+ za suzbijanje materijalne deprivacije.</w:t>
      </w:r>
    </w:p>
    <w:p w14:paraId="62394AB6" w14:textId="37A7FE1B" w:rsidR="00DD5ED3" w:rsidRDefault="00DD5ED3" w:rsidP="00DD7EEE">
      <w:pPr>
        <w:rPr>
          <w:rFonts w:eastAsia="Calibri" w:cs="Arial"/>
          <w:b/>
          <w:bCs/>
          <w:kern w:val="0"/>
          <w:szCs w:val="20"/>
        </w:rPr>
      </w:pPr>
      <w:r>
        <w:rPr>
          <w:rFonts w:eastAsia="Calibri" w:cs="Arial"/>
          <w:b/>
          <w:bCs/>
          <w:kern w:val="0"/>
          <w:szCs w:val="20"/>
        </w:rPr>
        <w:t>Regulativa</w:t>
      </w:r>
      <w:r w:rsidRPr="00DD5ED3">
        <w:rPr>
          <w:rFonts w:eastAsia="Calibri" w:cs="Arial"/>
          <w:b/>
          <w:bCs/>
          <w:kern w:val="0"/>
          <w:szCs w:val="20"/>
        </w:rPr>
        <w:t xml:space="preserve"> o </w:t>
      </w:r>
      <w:r w:rsidR="003D7057">
        <w:rPr>
          <w:rFonts w:eastAsia="Calibri" w:cs="Arial"/>
          <w:b/>
          <w:bCs/>
          <w:kern w:val="0"/>
          <w:szCs w:val="20"/>
        </w:rPr>
        <w:t>ETS</w:t>
      </w:r>
      <w:r w:rsidRPr="00DD5ED3">
        <w:rPr>
          <w:rFonts w:eastAsia="Calibri" w:cs="Arial"/>
          <w:b/>
          <w:bCs/>
          <w:kern w:val="0"/>
          <w:szCs w:val="20"/>
        </w:rPr>
        <w:t xml:space="preserve"> </w:t>
      </w:r>
      <w:r w:rsidRPr="00DD5ED3">
        <w:rPr>
          <w:rFonts w:eastAsia="Calibri" w:cs="Arial"/>
          <w:bCs/>
          <w:kern w:val="0"/>
          <w:szCs w:val="20"/>
        </w:rPr>
        <w:t>obuhvata pripremu, odobravanje i izmjene Interreg programa. Član 16 uređuje pripremu Interreg programa od strane država članica učesnica, trećih zemalja i partnerskih zemalja</w:t>
      </w:r>
      <w:r w:rsidR="007C0114" w:rsidRPr="00B83578">
        <w:rPr>
          <w:rFonts w:eastAsia="Calibri" w:cs="Arial"/>
          <w:kern w:val="0"/>
          <w:szCs w:val="20"/>
          <w:vertAlign w:val="superscript"/>
        </w:rPr>
        <w:footnoteReference w:id="14"/>
      </w:r>
      <w:r w:rsidRPr="00DD5ED3">
        <w:rPr>
          <w:rFonts w:eastAsia="Calibri" w:cs="Arial"/>
          <w:bCs/>
          <w:kern w:val="0"/>
          <w:szCs w:val="20"/>
        </w:rPr>
        <w:t xml:space="preserve">, u saradnji sa partnerskim institucijama programa. Države članice učesnice, treće zemlje i partnerske zemlje moraju pisanim putem potvrditi svoju saglasnost sa sadržajem Interreg programa prije njegovog podnošenja Komisiji. Sadržaj INTERREG programa utvrđen je članom 17, a šablon je priložen kao Aneks </w:t>
      </w:r>
      <w:r w:rsidR="007C0114">
        <w:rPr>
          <w:rFonts w:eastAsia="Calibri" w:cs="Arial"/>
          <w:bCs/>
          <w:kern w:val="0"/>
          <w:szCs w:val="20"/>
        </w:rPr>
        <w:t>Regulativi</w:t>
      </w:r>
      <w:r w:rsidRPr="00DD5ED3">
        <w:rPr>
          <w:rFonts w:eastAsia="Calibri" w:cs="Arial"/>
          <w:bCs/>
          <w:kern w:val="0"/>
          <w:szCs w:val="20"/>
        </w:rPr>
        <w:t>.</w:t>
      </w:r>
    </w:p>
    <w:p w14:paraId="198E7735" w14:textId="681487EC" w:rsidR="00DD7EEE" w:rsidRPr="00B83578" w:rsidRDefault="007C0114" w:rsidP="00DF1C52">
      <w:pPr>
        <w:pStyle w:val="Heading2"/>
      </w:pPr>
      <w:bookmarkStart w:id="24" w:name="_Toc201700307"/>
      <w:r>
        <w:lastRenderedPageBreak/>
        <w:t>Procjena trenutne situacije</w:t>
      </w:r>
      <w:bookmarkEnd w:id="24"/>
      <w:r w:rsidR="00DD7EEE" w:rsidRPr="00B83578">
        <w:t xml:space="preserve"> </w:t>
      </w:r>
    </w:p>
    <w:p w14:paraId="097FE9C6" w14:textId="66458F32" w:rsidR="00DD7EEE" w:rsidRPr="00B83578" w:rsidRDefault="007C0114" w:rsidP="002A41FC">
      <w:r>
        <w:t xml:space="preserve">Dolje navedena procjena pokriva kapacitete za strateško programiranje i planiranje i kao takva je relevantna za Završno mjerilo 2 i Završno mjerilo 3. </w:t>
      </w:r>
    </w:p>
    <w:p w14:paraId="0B380948" w14:textId="52AF5037" w:rsidR="00DD7EEE" w:rsidRPr="00B83578" w:rsidRDefault="00DD7EEE" w:rsidP="002A41FC">
      <w:pPr>
        <w:pStyle w:val="Heading3"/>
      </w:pPr>
      <w:bookmarkStart w:id="25" w:name="_Toc201700308"/>
      <w:r w:rsidRPr="00B83578">
        <w:t>P</w:t>
      </w:r>
      <w:r w:rsidR="007C0114">
        <w:t>laniranje u oblasti javnih politika</w:t>
      </w:r>
      <w:bookmarkEnd w:id="25"/>
    </w:p>
    <w:p w14:paraId="568FD3C1" w14:textId="0B64B1B7" w:rsidR="007C0114" w:rsidRDefault="007C0114" w:rsidP="002A41FC">
      <w:r w:rsidRPr="00B21F0B">
        <w:t xml:space="preserve">Crna Gora je uspostavila </w:t>
      </w:r>
      <w:r w:rsidRPr="00B21F0B">
        <w:rPr>
          <w:b/>
        </w:rPr>
        <w:t>snažan pravni okvir</w:t>
      </w:r>
      <w:r w:rsidRPr="00B21F0B">
        <w:t xml:space="preserve"> za planiranje javnih politika, usklađen sa zahtjevima EU</w:t>
      </w:r>
      <w:r w:rsidRPr="00B21F0B">
        <w:rPr>
          <w:vertAlign w:val="superscript"/>
        </w:rPr>
        <w:footnoteReference w:id="15"/>
      </w:r>
      <w:r w:rsidRPr="00B21F0B">
        <w:t>. Zakon o državnoj upravi („Službeni</w:t>
      </w:r>
      <w:r w:rsidRPr="007C0114">
        <w:t xml:space="preserve"> list Crne Gore”, br. 78/2018, 70/2021 i 52/2022) predstavlja osnovu za strukturisano planiranje politika i koordinaciju na različitim nivoima vlasti, obezbjeđujući usklađenost između nacionalnih strategija i lokalnih razvojnih planova, čime se </w:t>
      </w:r>
      <w:r w:rsidR="00CA6030">
        <w:t>unaprje</w:t>
      </w:r>
      <w:r w:rsidRPr="007C0114">
        <w:t xml:space="preserve">đuje </w:t>
      </w:r>
      <w:r w:rsidR="00A80895">
        <w:t>implementacija</w:t>
      </w:r>
      <w:r w:rsidRPr="007C0114">
        <w:t xml:space="preserve"> politika i njihova efikasnost. Institucionalne strukture za koherentan sistem kreiranja politika su uspostavljene, a Generalni sekretarijat Vlade obezbjeđuje da se rodni i ekološki principi integrišu u sve politike.</w:t>
      </w:r>
    </w:p>
    <w:p w14:paraId="765A84A5" w14:textId="163E4A0F" w:rsidR="007C0114" w:rsidRDefault="007C0114" w:rsidP="002A41FC">
      <w:bookmarkStart w:id="26" w:name="_Hlk169689524"/>
      <w:r w:rsidRPr="007C0114">
        <w:rPr>
          <w:i/>
        </w:rPr>
        <w:t>Uredba o metodologiji i postupku izrade</w:t>
      </w:r>
      <w:r w:rsidRPr="007C0114">
        <w:t xml:space="preserve">, </w:t>
      </w:r>
      <w:r w:rsidRPr="007C0114">
        <w:rPr>
          <w:i/>
        </w:rPr>
        <w:t>usklađivanja i praćenja sprovođenja strateških dokumenata</w:t>
      </w:r>
      <w:r w:rsidRPr="007C0114">
        <w:t xml:space="preserve"> („Službeni list Crne </w:t>
      </w:r>
      <w:proofErr w:type="gramStart"/>
      <w:r w:rsidRPr="007C0114">
        <w:t>Gore“</w:t>
      </w:r>
      <w:proofErr w:type="gramEnd"/>
      <w:r w:rsidRPr="007C0114">
        <w:t xml:space="preserve">, br. 54/2018) utvrđuje minimalne kriterijume kvaliteta za sve strateške dokumente koje usvaja Vlada Crne Gore. Ona propisuje postupak izrade strategija i programa koji predlažu interne i eksterne politike u datoj oblasti, a koje usvaja Vlada Crne Gore. Takođe određuje aktivnosti za </w:t>
      </w:r>
      <w:r w:rsidR="00A80895">
        <w:t>implementaciju</w:t>
      </w:r>
      <w:r w:rsidRPr="007C0114">
        <w:t xml:space="preserve"> strateških dokumenata, postupke provjere njihove međusobne usklađenosti i usklađenosti sa planskim i strateškim dokumentima koji određuju opšte pravce razvoja Crne Gore, kao i sa finansijskim strateškim dokumentima. Uredba definiše modalitete praćenja sprovođenja strateških dokumenata i druga pitanja u vezi sa njihovom izradom i </w:t>
      </w:r>
      <w:r w:rsidR="00A80895">
        <w:t>implementacijo</w:t>
      </w:r>
      <w:r w:rsidRPr="007C0114">
        <w:t>m</w:t>
      </w:r>
      <w:r w:rsidRPr="00B83578">
        <w:rPr>
          <w:vertAlign w:val="superscript"/>
        </w:rPr>
        <w:footnoteReference w:id="16"/>
      </w:r>
      <w:r w:rsidRPr="007C0114">
        <w:t>. Ključni principi za kreiranje politika utvrđeni Uredbom obuhvataju princip usklađenosti, princip finansijske održivosti, princip odgovornosti, princip saradnje, princip transparentnosti, princip kontinuiteta i princip ekonomičnosti i racionalnog planiranja.</w:t>
      </w:r>
    </w:p>
    <w:bookmarkEnd w:id="26"/>
    <w:p w14:paraId="5313377B" w14:textId="2EE83D71" w:rsidR="007C0114" w:rsidRDefault="007C0114" w:rsidP="00DD7EEE">
      <w:pPr>
        <w:rPr>
          <w:rFonts w:eastAsia="Aptos" w:cs="Arial"/>
        </w:rPr>
      </w:pPr>
      <w:r w:rsidRPr="007C0114">
        <w:rPr>
          <w:rFonts w:eastAsia="Aptos" w:cs="Arial"/>
        </w:rPr>
        <w:t xml:space="preserve">Uredbu prati i dodatno razrađuje Metodologija za izradu, pisanje i </w:t>
      </w:r>
      <w:r w:rsidR="00E26D99" w:rsidRPr="00E26D99">
        <w:rPr>
          <w:rFonts w:eastAsia="Aptos" w:cs="Arial"/>
        </w:rPr>
        <w:t>monitoring</w:t>
      </w:r>
      <w:r w:rsidRPr="007C0114">
        <w:rPr>
          <w:rFonts w:eastAsia="Aptos" w:cs="Arial"/>
        </w:rPr>
        <w:t xml:space="preserve"> sprovođenja strateških dokumenata, koju sprovodi Generalni sekretarijat Vlade</w:t>
      </w:r>
      <w:r w:rsidR="00DD4431" w:rsidRPr="00B83578">
        <w:rPr>
          <w:rFonts w:eastAsia="Aptos" w:cs="Arial"/>
          <w:vertAlign w:val="superscript"/>
        </w:rPr>
        <w:footnoteReference w:id="17"/>
      </w:r>
      <w:r w:rsidRPr="007C0114">
        <w:rPr>
          <w:rFonts w:eastAsia="Aptos" w:cs="Arial"/>
        </w:rPr>
        <w:t xml:space="preserve">. Ocjenjivanje predloženih strateških dokumenata obuhvata procjenu usklađenosti sa procesom evropskih integracija i ključnim politikama EU. Metodologija je nedavno ažurirana instrumentima za </w:t>
      </w:r>
      <w:r w:rsidR="00B21F0B">
        <w:rPr>
          <w:rFonts w:eastAsia="Aptos" w:cs="Arial"/>
        </w:rPr>
        <w:t>uvođenje principa</w:t>
      </w:r>
      <w:r w:rsidRPr="007C0114">
        <w:rPr>
          <w:rFonts w:eastAsia="Aptos" w:cs="Arial"/>
        </w:rPr>
        <w:t xml:space="preserve"> rodne ravnopravnosti (2023)</w:t>
      </w:r>
      <w:r w:rsidR="00DD4431" w:rsidRPr="00B83578">
        <w:rPr>
          <w:rFonts w:eastAsia="Aptos" w:cs="Arial"/>
          <w:vertAlign w:val="superscript"/>
        </w:rPr>
        <w:footnoteReference w:id="18"/>
      </w:r>
      <w:r w:rsidRPr="007C0114">
        <w:rPr>
          <w:rFonts w:eastAsia="Aptos" w:cs="Arial"/>
        </w:rPr>
        <w:t xml:space="preserve">, uključujući posebno raščlanjene vrijednosti pokazatelja praćenja po polu, gdje je primjenjivo, i procjenu eventualnih prepreka ili rizika iz rodne perspektive tokom sprovođenja. Kriterijumi za uključivanje zainteresovanih strana i javne </w:t>
      </w:r>
      <w:r w:rsidRPr="00B21F0B">
        <w:rPr>
          <w:rFonts w:eastAsia="Aptos" w:cs="Arial"/>
        </w:rPr>
        <w:t>konsultacije u pripremi strateških dokumenata i programa definisani su Metodologijom</w:t>
      </w:r>
      <w:r w:rsidR="00DD4431" w:rsidRPr="00B21F0B">
        <w:rPr>
          <w:rFonts w:eastAsia="Aptos" w:cs="Arial"/>
          <w:vertAlign w:val="superscript"/>
        </w:rPr>
        <w:footnoteReference w:id="19"/>
      </w:r>
      <w:r w:rsidRPr="00B21F0B">
        <w:rPr>
          <w:rFonts w:eastAsia="Aptos" w:cs="Arial"/>
        </w:rPr>
        <w:t xml:space="preserve">. Uz podršku Uprave za </w:t>
      </w:r>
      <w:r w:rsidR="00DD4431" w:rsidRPr="00B21F0B">
        <w:rPr>
          <w:rFonts w:eastAsia="Aptos" w:cs="Arial"/>
        </w:rPr>
        <w:t>ljudske resurse</w:t>
      </w:r>
      <w:r w:rsidRPr="00B21F0B">
        <w:rPr>
          <w:rFonts w:eastAsia="Aptos" w:cs="Arial"/>
        </w:rPr>
        <w:t xml:space="preserve"> razvijen</w:t>
      </w:r>
      <w:r w:rsidRPr="007C0114">
        <w:rPr>
          <w:rFonts w:eastAsia="Aptos" w:cs="Arial"/>
        </w:rPr>
        <w:t xml:space="preserve"> je poseban program obuke za strateško planiranje – sastoji se od šest modula – koji je do sada pohađalo 120 državnih službenika.</w:t>
      </w:r>
    </w:p>
    <w:p w14:paraId="02B22E56" w14:textId="43D02368" w:rsidR="00DD7EEE" w:rsidRPr="00B83578" w:rsidRDefault="002627E3" w:rsidP="002A41FC">
      <w:pPr>
        <w:pStyle w:val="Heading3"/>
      </w:pPr>
      <w:bookmarkStart w:id="27" w:name="_Toc201700309"/>
      <w:r>
        <w:t>Višeslojno upravljanje</w:t>
      </w:r>
      <w:bookmarkEnd w:id="27"/>
    </w:p>
    <w:p w14:paraId="1D115278" w14:textId="1A7BB80E" w:rsidR="00DD4431" w:rsidRDefault="00DD4431" w:rsidP="00DD4431">
      <w:pPr>
        <w:rPr>
          <w:rFonts w:eastAsia="Aptos" w:cs="Arial"/>
        </w:rPr>
      </w:pPr>
      <w:r w:rsidRPr="00DD4431">
        <w:rPr>
          <w:rFonts w:eastAsia="Aptos" w:cs="Arial"/>
        </w:rPr>
        <w:t xml:space="preserve">Crna Gora je uspostavila </w:t>
      </w:r>
      <w:r w:rsidRPr="00205679">
        <w:rPr>
          <w:rFonts w:eastAsia="Aptos" w:cs="Arial"/>
          <w:b/>
        </w:rPr>
        <w:t>relativno sveobuhvatan okvir za višeslojno upravljanje</w:t>
      </w:r>
      <w:r w:rsidRPr="00DD4431">
        <w:rPr>
          <w:rFonts w:eastAsia="Aptos" w:cs="Arial"/>
        </w:rPr>
        <w:t>, obezbjeđujući uključivanje lokalnih vlasti u nacionalno strateško planiranje.</w:t>
      </w:r>
      <w:r>
        <w:rPr>
          <w:rFonts w:eastAsia="Aptos" w:cs="Arial"/>
        </w:rPr>
        <w:t xml:space="preserve"> </w:t>
      </w:r>
      <w:r w:rsidRPr="00205679">
        <w:rPr>
          <w:rFonts w:eastAsia="Aptos" w:cs="Arial"/>
          <w:i/>
        </w:rPr>
        <w:t>Zakon o lokalnoj samoupravi</w:t>
      </w:r>
      <w:r w:rsidRPr="00DD4431">
        <w:rPr>
          <w:rFonts w:eastAsia="Aptos" w:cs="Arial"/>
        </w:rPr>
        <w:t xml:space="preserve"> („Službeni list Crne </w:t>
      </w:r>
      <w:proofErr w:type="gramStart"/>
      <w:r w:rsidRPr="00DD4431">
        <w:rPr>
          <w:rFonts w:eastAsia="Aptos" w:cs="Arial"/>
        </w:rPr>
        <w:t>Gore“</w:t>
      </w:r>
      <w:proofErr w:type="gramEnd"/>
      <w:r w:rsidRPr="00DD4431">
        <w:rPr>
          <w:rFonts w:eastAsia="Aptos" w:cs="Arial"/>
        </w:rPr>
        <w:t xml:space="preserve">, br. 002/18, 034/19, 038/20, 050/22, 084/22) propisuje obavezno učešće lokalnih </w:t>
      </w:r>
      <w:r w:rsidR="00106577">
        <w:rPr>
          <w:rFonts w:eastAsia="Aptos" w:cs="Arial"/>
        </w:rPr>
        <w:t>tijela</w:t>
      </w:r>
      <w:r w:rsidRPr="00DD4431">
        <w:rPr>
          <w:rFonts w:eastAsia="Aptos" w:cs="Arial"/>
        </w:rPr>
        <w:t xml:space="preserve"> u izradi nacionalnih strategija.</w:t>
      </w:r>
      <w:r>
        <w:rPr>
          <w:rFonts w:eastAsia="Aptos" w:cs="Arial"/>
        </w:rPr>
        <w:t xml:space="preserve"> </w:t>
      </w:r>
      <w:r w:rsidRPr="00DD4431">
        <w:rPr>
          <w:rFonts w:eastAsia="Aptos" w:cs="Arial"/>
        </w:rPr>
        <w:t>Ovim zakonom podstiče se saradnja između različitih nivoa vlasti, obezbjeđujući da se lokalne potrebe i prioriteti integrišu u nacionalne razvojne planove.</w:t>
      </w:r>
      <w:r>
        <w:rPr>
          <w:rFonts w:eastAsia="Aptos" w:cs="Arial"/>
        </w:rPr>
        <w:t xml:space="preserve"> </w:t>
      </w:r>
      <w:r w:rsidRPr="00DD4431">
        <w:rPr>
          <w:rFonts w:eastAsia="Aptos" w:cs="Arial"/>
        </w:rPr>
        <w:t>Lokalne vlasti aktivno učestvuju u izradi, konsultovanju i sprovođenju strategija, doprinoseći koherentnom i inkluzivnom procesu kreiranja politika.</w:t>
      </w:r>
      <w:r>
        <w:rPr>
          <w:rFonts w:eastAsia="Aptos" w:cs="Arial"/>
        </w:rPr>
        <w:t xml:space="preserve"> </w:t>
      </w:r>
      <w:r w:rsidRPr="00DD4431">
        <w:rPr>
          <w:rFonts w:eastAsia="Aptos" w:cs="Arial"/>
        </w:rPr>
        <w:t>Ministarstvo javne uprave je nadležni organ za lokalnu samoupravu, dok Zajednica opština ima ulogu predstavljanja lokalnih uprava pred centralnom vlašću i na međunarodnom nivou.</w:t>
      </w:r>
      <w:r>
        <w:rPr>
          <w:rFonts w:eastAsia="Aptos" w:cs="Arial"/>
        </w:rPr>
        <w:t xml:space="preserve"> </w:t>
      </w:r>
      <w:r w:rsidRPr="00DD4431">
        <w:rPr>
          <w:rFonts w:eastAsia="Aptos" w:cs="Arial"/>
        </w:rPr>
        <w:t>Zajednica opština predstavlja sve lokalne uprave i finansira se od članarina i projektnih sredstava.</w:t>
      </w:r>
      <w:r>
        <w:rPr>
          <w:rFonts w:eastAsia="Aptos" w:cs="Arial"/>
        </w:rPr>
        <w:t xml:space="preserve"> </w:t>
      </w:r>
      <w:r w:rsidRPr="00DD4431">
        <w:rPr>
          <w:rFonts w:eastAsia="Aptos" w:cs="Arial"/>
        </w:rPr>
        <w:t>Upravni odbor Zajednice čine predsjednici svih opština.</w:t>
      </w:r>
      <w:r>
        <w:rPr>
          <w:rFonts w:eastAsia="Aptos" w:cs="Arial"/>
        </w:rPr>
        <w:t xml:space="preserve"> </w:t>
      </w:r>
      <w:r w:rsidRPr="00DD4431">
        <w:rPr>
          <w:rFonts w:eastAsia="Aptos" w:cs="Arial"/>
        </w:rPr>
        <w:t xml:space="preserve">U skladu sa svojim statutarnim zadacima, Zajednica opština olakšava višeslojno upravljanje, komunicira s lokalnim vlastima radi pribavljanja njihovih doprinosa i njihovog </w:t>
      </w:r>
      <w:r w:rsidRPr="00DD4431">
        <w:rPr>
          <w:rFonts w:eastAsia="Aptos" w:cs="Arial"/>
        </w:rPr>
        <w:lastRenderedPageBreak/>
        <w:t>objedinjavanja; napominje se da sve lokalne uprave nijesu nužno dovoljno proaktivne.</w:t>
      </w:r>
      <w:r>
        <w:rPr>
          <w:rFonts w:eastAsia="Aptos" w:cs="Arial"/>
        </w:rPr>
        <w:t xml:space="preserve"> </w:t>
      </w:r>
      <w:r w:rsidRPr="00DD4431">
        <w:rPr>
          <w:rFonts w:eastAsia="Aptos" w:cs="Arial"/>
        </w:rPr>
        <w:t>Prema navodima Zajednice opština, za konsultativni proces u pravilu se obezbjeđuje dovoljno vremena.</w:t>
      </w:r>
      <w:r>
        <w:rPr>
          <w:rFonts w:eastAsia="Aptos" w:cs="Arial"/>
        </w:rPr>
        <w:t xml:space="preserve"> </w:t>
      </w:r>
      <w:r w:rsidRPr="00DD4431">
        <w:rPr>
          <w:rFonts w:eastAsia="Aptos" w:cs="Arial"/>
        </w:rPr>
        <w:t>Ipak, u najnovijem SIGMA izvještaju (2024)</w:t>
      </w:r>
      <w:r w:rsidR="00205679" w:rsidRPr="00B83578">
        <w:rPr>
          <w:rFonts w:eastAsia="Aptos" w:cs="Arial"/>
          <w:vertAlign w:val="superscript"/>
        </w:rPr>
        <w:footnoteReference w:id="20"/>
      </w:r>
      <w:r w:rsidRPr="00DD4431">
        <w:rPr>
          <w:rFonts w:eastAsia="Aptos" w:cs="Arial"/>
        </w:rPr>
        <w:t xml:space="preserve"> konstatuje se da se takve konsultacije u mnogim slučajevima nijesu sprovele posljednjih godina.</w:t>
      </w:r>
    </w:p>
    <w:p w14:paraId="4E6177F8" w14:textId="08203437" w:rsidR="00205679" w:rsidRDefault="00205679" w:rsidP="00DD7EEE">
      <w:pPr>
        <w:rPr>
          <w:rFonts w:eastAsia="Aptos" w:cs="Arial"/>
        </w:rPr>
      </w:pPr>
      <w:r w:rsidRPr="00205679">
        <w:rPr>
          <w:rFonts w:eastAsia="Aptos" w:cs="Arial"/>
        </w:rPr>
        <w:t>Dalji razvoj višeslojnog upravljanja definisan je Strategijom reforme javne uprave (RJU) 2022–2026</w:t>
      </w:r>
      <w:r w:rsidRPr="00B83578">
        <w:rPr>
          <w:rFonts w:eastAsia="Aptos" w:cs="Arial"/>
          <w:vertAlign w:val="superscript"/>
        </w:rPr>
        <w:footnoteReference w:id="21"/>
      </w:r>
      <w:r w:rsidRPr="00B83578">
        <w:rPr>
          <w:rFonts w:eastAsia="Aptos" w:cs="Arial"/>
        </w:rPr>
        <w:t xml:space="preserve"> </w:t>
      </w:r>
      <w:r w:rsidRPr="00205679">
        <w:rPr>
          <w:rFonts w:eastAsia="Aptos" w:cs="Arial"/>
        </w:rPr>
        <w:t xml:space="preserve"> i Strategijom regionalnog razvoja 2023–2027</w:t>
      </w:r>
      <w:r w:rsidRPr="00B83578">
        <w:rPr>
          <w:rFonts w:eastAsia="Aptos" w:cs="Arial"/>
          <w:vertAlign w:val="superscript"/>
        </w:rPr>
        <w:footnoteReference w:id="22"/>
      </w:r>
      <w:r w:rsidRPr="00205679">
        <w:rPr>
          <w:rFonts w:eastAsia="Aptos" w:cs="Arial"/>
        </w:rPr>
        <w:t xml:space="preserve">. </w:t>
      </w:r>
    </w:p>
    <w:p w14:paraId="61FD3ABF" w14:textId="457F6026" w:rsidR="00205679" w:rsidRDefault="00205679" w:rsidP="00DD7EEE">
      <w:pPr>
        <w:rPr>
          <w:rFonts w:eastAsia="Aptos" w:cs="Arial"/>
        </w:rPr>
      </w:pPr>
      <w:r w:rsidRPr="00205679">
        <w:rPr>
          <w:rFonts w:eastAsia="Aptos" w:cs="Arial"/>
        </w:rPr>
        <w:t>Trenutno lokalna samouprava nema značajnu ulogu u prostornom planiranju i razvoju gradova, primarnoj zdravstvenoj zaštiti i bolnicama, niti u predškolskom, osnovnom i srednjem obrazovanju. Novi Zakon o lokalnoj samoupravi nalazi se u poodmakloj fazi i uspostaviće okvir za asimetričnu decentralizaciju i politipski model organizacije lokalne samouprave, u skladu s preporukama Analize funkcionisanja sistema lokalne samouprave</w:t>
      </w:r>
      <w:r w:rsidRPr="00B83578">
        <w:rPr>
          <w:rStyle w:val="FootnoteReference"/>
          <w:rFonts w:eastAsia="Aptos" w:cs="Arial"/>
        </w:rPr>
        <w:footnoteReference w:id="23"/>
      </w:r>
      <w:r w:rsidRPr="00205679">
        <w:rPr>
          <w:rFonts w:eastAsia="Aptos" w:cs="Arial"/>
        </w:rPr>
        <w:t xml:space="preserve">. Time se uvode gradovi kao jedinice lokalne samouprave koje će preuzeti šira ovlašćenja u oblastima kao što su predškolsko obrazovanje, primarna zdravstvena zaštita, socijalna i dječja zaštita i prostorno planiranje. Predloženi su i specifični i mjerljivi kriterijumi za sticanje statusa grada. Ovakav sistem postavlja snažnu osnovu za </w:t>
      </w:r>
      <w:r w:rsidR="00CA6030">
        <w:rPr>
          <w:rFonts w:eastAsia="Aptos" w:cs="Arial"/>
        </w:rPr>
        <w:t>unaprje</w:t>
      </w:r>
      <w:r w:rsidRPr="00205679">
        <w:rPr>
          <w:rFonts w:eastAsia="Aptos" w:cs="Arial"/>
        </w:rPr>
        <w:t>đenje decentralizacije zasnovane na meritornosti, odgovornosti i dobrom upravljanju. Analiza funkcionisanja sistema lokalne samouprave pokazala je da sve jedinice lokalne samouprave nijesu spremne za dalju decentralizaciju. Nacrt zakona dodatno naglašava proces evropskih integracija na lokalnom nivou, među</w:t>
      </w:r>
      <w:r w:rsidR="00975088">
        <w:rPr>
          <w:rFonts w:eastAsia="Aptos" w:cs="Arial"/>
        </w:rPr>
        <w:t>opštinsku</w:t>
      </w:r>
      <w:r w:rsidRPr="00205679">
        <w:rPr>
          <w:rFonts w:eastAsia="Aptos" w:cs="Arial"/>
        </w:rPr>
        <w:t xml:space="preserve"> saradnju, saradnju između centralnih i lokalnih vlasti i nadzor nad sprovođenjem propisa na lokalnom nivou.</w:t>
      </w:r>
    </w:p>
    <w:p w14:paraId="23FA44CA" w14:textId="42B66156" w:rsidR="00DD7EEE" w:rsidRPr="00B83578" w:rsidRDefault="002627E3" w:rsidP="002A41FC">
      <w:pPr>
        <w:pStyle w:val="Heading3"/>
      </w:pPr>
      <w:bookmarkStart w:id="28" w:name="_Toc201700310"/>
      <w:r>
        <w:t>Konsultacije sa zainteresovanim stranama i javnošću</w:t>
      </w:r>
      <w:r w:rsidR="00DD7EEE" w:rsidRPr="00B83578">
        <w:t>.</w:t>
      </w:r>
      <w:bookmarkEnd w:id="28"/>
    </w:p>
    <w:p w14:paraId="08632C3B" w14:textId="75B31B60" w:rsidR="00205679" w:rsidRDefault="00205679" w:rsidP="00DD7EEE">
      <w:pPr>
        <w:rPr>
          <w:rFonts w:eastAsia="Aptos" w:cs="Arial"/>
        </w:rPr>
      </w:pPr>
      <w:r w:rsidRPr="00205679">
        <w:rPr>
          <w:rFonts w:eastAsia="Aptos" w:cs="Arial"/>
        </w:rPr>
        <w:t xml:space="preserve">Konsultacije sa zainteresovanim stranama i javne konsultacije sastavni su dio strateškog programiranja Crne Gore kako bi se osiguralo da se uzmu u obzir različite perspektive, čime se podstiču transparentnost i odgovornost. Postoje objedinjeni primjeri konsultacija sa zainteresovanim stranama u vezi sa </w:t>
      </w:r>
      <w:r w:rsidRPr="004569F4">
        <w:rPr>
          <w:rFonts w:eastAsia="Aptos" w:cs="Arial"/>
          <w:b/>
        </w:rPr>
        <w:t>Programom ekonomskih reformi (</w:t>
      </w:r>
      <w:r w:rsidR="004569F4" w:rsidRPr="004569F4">
        <w:rPr>
          <w:rFonts w:eastAsia="Aptos" w:cs="Arial"/>
          <w:b/>
        </w:rPr>
        <w:t>ERP</w:t>
      </w:r>
      <w:r w:rsidRPr="004569F4">
        <w:rPr>
          <w:rFonts w:eastAsia="Aptos" w:cs="Arial"/>
          <w:b/>
        </w:rPr>
        <w:t>)</w:t>
      </w:r>
      <w:r w:rsidRPr="004569F4">
        <w:rPr>
          <w:rFonts w:eastAsia="Aptos" w:cs="Arial"/>
        </w:rPr>
        <w:t>;</w:t>
      </w:r>
      <w:r w:rsidRPr="00205679">
        <w:rPr>
          <w:rFonts w:eastAsia="Aptos" w:cs="Arial"/>
        </w:rPr>
        <w:t xml:space="preserve"> njegovo pripremanje se odvijalo kroz sveobuhvatne konsultacije sa relevantnim </w:t>
      </w:r>
      <w:r w:rsidR="007D576F">
        <w:rPr>
          <w:rFonts w:eastAsia="Aptos" w:cs="Arial"/>
        </w:rPr>
        <w:t>zainteresovanim stranama</w:t>
      </w:r>
      <w:r w:rsidR="004569F4" w:rsidRPr="00B83578">
        <w:rPr>
          <w:rFonts w:eastAsia="Aptos" w:cs="Arial"/>
          <w:vertAlign w:val="superscript"/>
        </w:rPr>
        <w:footnoteReference w:id="24"/>
      </w:r>
      <w:r w:rsidRPr="00205679">
        <w:rPr>
          <w:rFonts w:eastAsia="Aptos" w:cs="Arial"/>
        </w:rPr>
        <w:t xml:space="preserve">, čime se obezbjeđuje da su ekonomske politike inkluzivne i odraz razvojnih potreba zemlje, te da se uzimaju u obzir i rješavaju doprinosi i komentari zainteresovanih strana. Međutim, u Godišnjem izvještaju EK za 2024. (str.25) navodi se: „Vladin izvještaj iz avgusta 2023. ukazuje da ministarstva ne sprovode redovno javne konsultacije i da se široko koriste izuzeća. Pored toga, državna uprava ne ispunjava svoju obavezu da objavi godišnju listu zakona i strategija predviđenih za javnu raspravu, a portal za e-participaciju ne koriste građani i zainteresovane </w:t>
      </w:r>
      <w:proofErr w:type="gramStart"/>
      <w:r w:rsidRPr="00205679">
        <w:rPr>
          <w:rFonts w:eastAsia="Aptos" w:cs="Arial"/>
        </w:rPr>
        <w:t>strane.“</w:t>
      </w:r>
      <w:proofErr w:type="gramEnd"/>
    </w:p>
    <w:p w14:paraId="5E3EAA29" w14:textId="2630E4C8" w:rsidR="007C242E" w:rsidRDefault="007C242E" w:rsidP="00DD7EEE">
      <w:pPr>
        <w:rPr>
          <w:rFonts w:eastAsia="Aptos" w:cs="Arial"/>
        </w:rPr>
      </w:pPr>
      <w:r w:rsidRPr="007C242E">
        <w:rPr>
          <w:rFonts w:eastAsia="Aptos" w:cs="Arial"/>
        </w:rPr>
        <w:t>Reformska agenda je predstavljala dodatni programski izazov za Crnu Goru, s obzirom na strogi programski okvir koji je postavio DG NEAR</w:t>
      </w:r>
      <w:r w:rsidRPr="00B83578">
        <w:rPr>
          <w:rFonts w:eastAsia="Aptos" w:cs="Arial"/>
          <w:vertAlign w:val="superscript"/>
        </w:rPr>
        <w:footnoteReference w:id="25"/>
      </w:r>
      <w:r w:rsidRPr="007C242E">
        <w:rPr>
          <w:rFonts w:eastAsia="Aptos" w:cs="Arial"/>
        </w:rPr>
        <w:t>, nedostatak regulatorne jasnoće</w:t>
      </w:r>
      <w:r w:rsidRPr="00B83578">
        <w:rPr>
          <w:rFonts w:eastAsia="Aptos" w:cs="Arial"/>
          <w:vertAlign w:val="superscript"/>
        </w:rPr>
        <w:footnoteReference w:id="26"/>
      </w:r>
      <w:r w:rsidRPr="007C242E">
        <w:rPr>
          <w:rFonts w:eastAsia="Aptos" w:cs="Arial"/>
        </w:rPr>
        <w:t xml:space="preserve"> i donekle kontradiktorna uputstva i informacije koje su tokom procesa upućivane </w:t>
      </w:r>
      <w:r w:rsidR="0086543E" w:rsidRPr="0086543E">
        <w:rPr>
          <w:rFonts w:eastAsia="Aptos" w:cs="Arial"/>
        </w:rPr>
        <w:t>NIPAK</w:t>
      </w:r>
      <w:r w:rsidRPr="007C242E">
        <w:rPr>
          <w:rFonts w:eastAsia="Aptos" w:cs="Arial"/>
        </w:rPr>
        <w:t>-u</w:t>
      </w:r>
      <w:r w:rsidRPr="00B83578">
        <w:rPr>
          <w:rFonts w:eastAsia="Aptos" w:cs="Arial"/>
          <w:vertAlign w:val="superscript"/>
        </w:rPr>
        <w:footnoteReference w:id="27"/>
      </w:r>
      <w:r w:rsidRPr="007C242E">
        <w:rPr>
          <w:rFonts w:eastAsia="Aptos" w:cs="Arial"/>
        </w:rPr>
        <w:t xml:space="preserve">. Uprkos tome, </w:t>
      </w:r>
      <w:r w:rsidR="0086543E" w:rsidRPr="0086543E">
        <w:rPr>
          <w:rFonts w:eastAsia="Aptos" w:cs="Arial"/>
        </w:rPr>
        <w:t>NIPAK</w:t>
      </w:r>
      <w:r w:rsidRPr="007C242E">
        <w:rPr>
          <w:rFonts w:eastAsia="Aptos" w:cs="Arial"/>
        </w:rPr>
        <w:t xml:space="preserve"> je uložio značajne napore da koordinira pripremu Reformske agende i osigura njeno adekvatno konsultovanje sa zainteresovanim stranama. Za pripremu Reformske agende uspostavljena je institucionalna Radna grupa koja obuhvata relevantne javne institucije za identifikovana područja politika. Unutar Radne grupe imenovana su 4 koordinatora za oblasti politika, po jedan za svaku oblast, uz podređene koordinatore na </w:t>
      </w:r>
      <w:r w:rsidRPr="007C242E">
        <w:rPr>
          <w:rFonts w:eastAsia="Aptos" w:cs="Arial"/>
        </w:rPr>
        <w:lastRenderedPageBreak/>
        <w:t>sektorskom nivou za svaki sektor Reformske agende; oni su bili odgovorni za koordinaciju pripreme više reformi u sektoru. Predviđene su ciljne konsultacije sa zainteresovanim stranama kako bi se podržala izrada Reformske agende i osiguralo da su relevantni akteri – lokalne vlasti, ekonomski i socijalni partneri i civilno društvo – u Crnoj Gori adekvatno konsultovani tokom izrade Reformske agende zemlje</w:t>
      </w:r>
      <w:r w:rsidRPr="00B83578">
        <w:rPr>
          <w:rFonts w:eastAsia="Aptos" w:cs="Arial"/>
          <w:vertAlign w:val="superscript"/>
        </w:rPr>
        <w:footnoteReference w:id="28"/>
      </w:r>
      <w:r w:rsidRPr="007C242E">
        <w:rPr>
          <w:rFonts w:eastAsia="Aptos" w:cs="Arial"/>
        </w:rPr>
        <w:t>.</w:t>
      </w:r>
    </w:p>
    <w:p w14:paraId="015A5C2A" w14:textId="504760FF" w:rsidR="007C242E" w:rsidRDefault="007C242E" w:rsidP="00DD7EEE">
      <w:pPr>
        <w:rPr>
          <w:rFonts w:eastAsia="Aptos" w:cs="Arial"/>
        </w:rPr>
      </w:pPr>
      <w:r w:rsidRPr="007C242E">
        <w:rPr>
          <w:rFonts w:eastAsia="Aptos" w:cs="Arial"/>
        </w:rPr>
        <w:t xml:space="preserve">Identifikacija zainteresovanih strana zasnivala se na principu partnerstva utvrđenom za Kohezionu politiku, kako je propisano Delegiranom </w:t>
      </w:r>
      <w:r w:rsidR="00765DC1">
        <w:rPr>
          <w:rFonts w:eastAsia="Aptos" w:cs="Arial"/>
        </w:rPr>
        <w:t>Regulativom</w:t>
      </w:r>
      <w:r w:rsidRPr="007C242E">
        <w:rPr>
          <w:rFonts w:eastAsia="Aptos" w:cs="Arial"/>
        </w:rPr>
        <w:t xml:space="preserve"> Komisije (EU) br. 240/2014 od 7. januara 2014. o Evropskom kodeksu ponašanja za partnerstvo u okviru </w:t>
      </w:r>
      <w:r w:rsidR="00042005">
        <w:rPr>
          <w:rFonts w:eastAsia="Aptos" w:cs="Arial"/>
        </w:rPr>
        <w:t>E</w:t>
      </w:r>
      <w:r w:rsidRPr="007C242E">
        <w:rPr>
          <w:rFonts w:eastAsia="Aptos" w:cs="Arial"/>
        </w:rPr>
        <w:t xml:space="preserve">vropskih strukturnih i investicionih fondova (u daljem tekstu </w:t>
      </w:r>
      <w:r w:rsidR="00CD0020">
        <w:rPr>
          <w:rFonts w:eastAsia="Aptos" w:cs="Arial"/>
        </w:rPr>
        <w:t>EKPP</w:t>
      </w:r>
      <w:r w:rsidRPr="007C242E">
        <w:rPr>
          <w:rFonts w:eastAsia="Aptos" w:cs="Arial"/>
        </w:rPr>
        <w:t>), kako bi se obezbijedila uravnotežena zastupljenost svih strana. Pripremljena je onlajn anketa koja je poslata svim zainteresovanim stranama radi njihovog doprinosa finalizaciji prvog nacrta. Međutim, uprkos namjeri crnogorskih vlasti da sprovedu konsultativni proces sa svim akterima, dinamičan proces, kratki rokovi i uputstva službi Komisije ograničili su konsultacije na poslovnu zajednicu, akademsku zajednicu i NVO</w:t>
      </w:r>
      <w:r w:rsidR="00042005">
        <w:rPr>
          <w:rFonts w:eastAsia="Aptos" w:cs="Arial"/>
        </w:rPr>
        <w:t xml:space="preserve"> sektor</w:t>
      </w:r>
      <w:r w:rsidRPr="007C242E">
        <w:rPr>
          <w:rFonts w:eastAsia="Aptos" w:cs="Arial"/>
        </w:rPr>
        <w:t xml:space="preserve">. </w:t>
      </w:r>
    </w:p>
    <w:p w14:paraId="2F08A44C" w14:textId="2438648D" w:rsidR="007C242E" w:rsidRDefault="007C242E" w:rsidP="00DD7EEE">
      <w:pPr>
        <w:rPr>
          <w:rFonts w:eastAsia="Aptos" w:cs="Arial"/>
        </w:rPr>
      </w:pPr>
      <w:r w:rsidRPr="007C242E">
        <w:rPr>
          <w:rFonts w:eastAsia="Aptos" w:cs="Arial"/>
        </w:rPr>
        <w:t xml:space="preserve">Uprkos sveobuhvatnom pravnom okviru, Crna Gora se suočava s </w:t>
      </w:r>
      <w:r w:rsidRPr="00042005">
        <w:rPr>
          <w:rFonts w:eastAsia="Aptos" w:cs="Arial"/>
          <w:b/>
        </w:rPr>
        <w:t>nekoliko izazova u pogledu razvoja politika i koordinacije</w:t>
      </w:r>
      <w:r w:rsidRPr="007C242E">
        <w:rPr>
          <w:rFonts w:eastAsia="Aptos" w:cs="Arial"/>
        </w:rPr>
        <w:t>. Kako se navodi u Godišnjem izvještaju EK za 2024, potrebno je dodatno raditi na tome da integrisanje rodne</w:t>
      </w:r>
      <w:r w:rsidRPr="00B83578">
        <w:rPr>
          <w:rFonts w:eastAsia="Aptos" w:cs="Arial"/>
          <w:vertAlign w:val="superscript"/>
        </w:rPr>
        <w:footnoteReference w:id="29"/>
      </w:r>
      <w:r w:rsidRPr="007C242E">
        <w:rPr>
          <w:rFonts w:eastAsia="Aptos" w:cs="Arial"/>
        </w:rPr>
        <w:t xml:space="preserve"> perspektive postane djelotvornije i praktičnije, uključujući i obuke za sve zainteresovane strane. Kada je riječ o životnoj sredini (str.82), „Crna Gora treba da obezbijedi institucionalnu strukturu koja će omogućiti koordinisano, strateško planiranje ulaganja u životnu sredinu i klimatske </w:t>
      </w:r>
      <w:proofErr w:type="gramStart"/>
      <w:r w:rsidRPr="007C242E">
        <w:rPr>
          <w:rFonts w:eastAsia="Aptos" w:cs="Arial"/>
        </w:rPr>
        <w:t>akcije“</w:t>
      </w:r>
      <w:proofErr w:type="gramEnd"/>
      <w:r w:rsidRPr="007C242E">
        <w:rPr>
          <w:rFonts w:eastAsia="Aptos" w:cs="Arial"/>
        </w:rPr>
        <w:t xml:space="preserve">. </w:t>
      </w:r>
    </w:p>
    <w:p w14:paraId="613F2CEE" w14:textId="6DB6BB7B" w:rsidR="007C242E" w:rsidRDefault="007C242E" w:rsidP="00DD7EEE">
      <w:pPr>
        <w:rPr>
          <w:rFonts w:eastAsia="Aptos" w:cs="Arial"/>
        </w:rPr>
      </w:pPr>
      <w:r w:rsidRPr="007C242E">
        <w:rPr>
          <w:rFonts w:eastAsia="Aptos" w:cs="Arial"/>
        </w:rPr>
        <w:t>Iako su strateško programiranje i procesi konsultacija u Crnoj Gori dobro strukturirani i uopšteno usklađeni sa zahtjevima EU, što obezbjeđuje solidnu osnovu za rad na Poglavlju</w:t>
      </w:r>
      <w:r w:rsidR="001C446E">
        <w:rPr>
          <w:rFonts w:eastAsia="Aptos" w:cs="Arial"/>
        </w:rPr>
        <w:t xml:space="preserve"> </w:t>
      </w:r>
      <w:r w:rsidRPr="007C242E">
        <w:rPr>
          <w:rFonts w:eastAsia="Aptos" w:cs="Arial"/>
        </w:rPr>
        <w:t xml:space="preserve">22, jačanje institucionalnih kapaciteta i podsticanje kulture kontinuiranog </w:t>
      </w:r>
      <w:r w:rsidR="00CA6030">
        <w:rPr>
          <w:rFonts w:eastAsia="Aptos" w:cs="Arial"/>
        </w:rPr>
        <w:t>unaprje</w:t>
      </w:r>
      <w:r w:rsidRPr="007C242E">
        <w:rPr>
          <w:rFonts w:eastAsia="Aptos" w:cs="Arial"/>
        </w:rPr>
        <w:t>đenja ključni su za prevazilaženje ovih izazova. Jačanje administrativnih kapaciteta i obezbjeđivanje djelotvornog višeslojnog upravljanja, partnerskih mehanizama i uključenosti zainteresovanih strana biće presudno za uspješno programiranje Kohezione politike.</w:t>
      </w:r>
    </w:p>
    <w:p w14:paraId="3B5DFD63" w14:textId="16C72C83" w:rsidR="00DD7EEE" w:rsidRPr="00B83578" w:rsidRDefault="002627E3" w:rsidP="002A41FC">
      <w:pPr>
        <w:pStyle w:val="Heading3"/>
      </w:pPr>
      <w:bookmarkStart w:id="29" w:name="_Toc201700311"/>
      <w:r>
        <w:t>Makro-regionalne strategije</w:t>
      </w:r>
      <w:bookmarkEnd w:id="29"/>
      <w:r w:rsidR="00DD7EEE" w:rsidRPr="00B83578">
        <w:t xml:space="preserve"> </w:t>
      </w:r>
    </w:p>
    <w:p w14:paraId="4709D555" w14:textId="7AB253CB" w:rsidR="00042005" w:rsidRDefault="00042005" w:rsidP="00DD7EEE">
      <w:pPr>
        <w:rPr>
          <w:rFonts w:eastAsia="Aptos" w:cs="Arial"/>
        </w:rPr>
      </w:pPr>
      <w:r w:rsidRPr="00042005">
        <w:rPr>
          <w:rFonts w:eastAsia="Aptos" w:cs="Arial"/>
        </w:rPr>
        <w:t xml:space="preserve">Crna Gora učestvuje u </w:t>
      </w:r>
      <w:r w:rsidRPr="00042005">
        <w:rPr>
          <w:rFonts w:eastAsia="Aptos" w:cs="Arial"/>
          <w:b/>
        </w:rPr>
        <w:t>Strategiji EU za dunavski region</w:t>
      </w:r>
      <w:r w:rsidRPr="00042005">
        <w:rPr>
          <w:rFonts w:eastAsia="Aptos" w:cs="Arial"/>
        </w:rPr>
        <w:t xml:space="preserve"> (EUSDR) i </w:t>
      </w:r>
      <w:r w:rsidRPr="00042005">
        <w:rPr>
          <w:rFonts w:eastAsia="Aptos" w:cs="Arial"/>
          <w:b/>
        </w:rPr>
        <w:t>Strategiji EU za jadransko-jonski region</w:t>
      </w:r>
      <w:r w:rsidRPr="00042005">
        <w:rPr>
          <w:rFonts w:eastAsia="Aptos" w:cs="Arial"/>
        </w:rPr>
        <w:t xml:space="preserve"> (EUSAIR). Ministarstvo evropskih poslova koordinira makroregionalne strategije na nacionalnom nivou. Kod EUSAIR-a MEP radi zajedno sa Ministarstvom vanjskih poslova, dok je koordinacija EUSDR-a isključivo u nadležnosti MEP-a. Učešće Crne Gore u EUSDR-u podrazumijeva usvajanje lokalnih i nacionalnih politika u skladu sa strateškim dokumentima EUSDR-a, s fokusom na regionalni razvoj, ekonomsk</w:t>
      </w:r>
      <w:r w:rsidR="00694D9C">
        <w:rPr>
          <w:rFonts w:eastAsia="Aptos" w:cs="Arial"/>
        </w:rPr>
        <w:t>i</w:t>
      </w:r>
      <w:r w:rsidRPr="00042005">
        <w:rPr>
          <w:rFonts w:eastAsia="Aptos" w:cs="Arial"/>
        </w:rPr>
        <w:t xml:space="preserve"> prosperitet i zaštitu životne sredine. Ključne nacionalne inicijative usklađene sa EUSDR-om uključuju Strategiju digitalne transformacije Crne Gore 2022-2026, Akcioni plan za energetsku efikasnost i Strategiju regionalnog razvoja Crne Gore 2023-2027. </w:t>
      </w:r>
    </w:p>
    <w:p w14:paraId="3AB1CEAD" w14:textId="73DA473B" w:rsidR="00042005" w:rsidRDefault="00042005" w:rsidP="00DD7EEE">
      <w:pPr>
        <w:rPr>
          <w:rFonts w:eastAsia="Aptos" w:cs="Arial"/>
        </w:rPr>
      </w:pPr>
      <w:r w:rsidRPr="00042005">
        <w:rPr>
          <w:rFonts w:eastAsia="Aptos" w:cs="Arial"/>
        </w:rPr>
        <w:t xml:space="preserve">Svijest o značaju EUSDR-a među glavnim nacionalnim </w:t>
      </w:r>
      <w:r w:rsidR="00694D9C">
        <w:rPr>
          <w:rFonts w:eastAsia="Aptos" w:cs="Arial"/>
        </w:rPr>
        <w:t>akterima</w:t>
      </w:r>
      <w:r w:rsidRPr="00042005">
        <w:rPr>
          <w:rFonts w:eastAsia="Aptos" w:cs="Arial"/>
        </w:rPr>
        <w:t xml:space="preserve"> je porasla, naročito u planiranju i definisanju nacionalnih politika. Efikasno učešće nacionalnih zainteresovanih strana u sprovođenju EUSDR-a zahtijeva aktivnije uključivanje u sastanke Uprav</w:t>
      </w:r>
      <w:r w:rsidR="00694D9C">
        <w:rPr>
          <w:rFonts w:eastAsia="Aptos" w:cs="Arial"/>
        </w:rPr>
        <w:t>ljačke</w:t>
      </w:r>
      <w:r w:rsidRPr="00042005">
        <w:rPr>
          <w:rFonts w:eastAsia="Aptos" w:cs="Arial"/>
        </w:rPr>
        <w:t xml:space="preserve"> grupe. Aktivnosti upravljanja koje sprovode </w:t>
      </w:r>
      <w:r w:rsidR="00694D9C">
        <w:rPr>
          <w:rFonts w:eastAsia="Aptos" w:cs="Arial"/>
        </w:rPr>
        <w:t>P</w:t>
      </w:r>
      <w:r w:rsidRPr="00042005">
        <w:rPr>
          <w:rFonts w:eastAsia="Aptos" w:cs="Arial"/>
        </w:rPr>
        <w:t>redsjed</w:t>
      </w:r>
      <w:r w:rsidR="00694D9C">
        <w:rPr>
          <w:rFonts w:eastAsia="Aptos" w:cs="Arial"/>
        </w:rPr>
        <w:t>ništva</w:t>
      </w:r>
      <w:r w:rsidRPr="00042005">
        <w:rPr>
          <w:rFonts w:eastAsia="Aptos" w:cs="Arial"/>
        </w:rPr>
        <w:t xml:space="preserve">, </w:t>
      </w:r>
      <w:r w:rsidR="00694D9C">
        <w:rPr>
          <w:rFonts w:eastAsia="Aptos" w:cs="Arial"/>
        </w:rPr>
        <w:t>N</w:t>
      </w:r>
      <w:r w:rsidRPr="00042005">
        <w:rPr>
          <w:rFonts w:eastAsia="Aptos" w:cs="Arial"/>
        </w:rPr>
        <w:t xml:space="preserve">acionalni koordinatori i </w:t>
      </w:r>
      <w:r w:rsidR="00694D9C">
        <w:rPr>
          <w:rFonts w:eastAsia="Aptos" w:cs="Arial"/>
        </w:rPr>
        <w:t>K</w:t>
      </w:r>
      <w:r w:rsidRPr="00042005">
        <w:rPr>
          <w:rFonts w:eastAsia="Aptos" w:cs="Arial"/>
        </w:rPr>
        <w:t xml:space="preserve">oordinatori prioritetnih oblasti dale su prioritet ugradnji EUSDR-a u programe finansirane iz EU, praćenju, evaluaciji, strateškim projektima, komunikaciji i </w:t>
      </w:r>
      <w:r w:rsidR="00C30F51" w:rsidRPr="00C30F51">
        <w:rPr>
          <w:rFonts w:eastAsia="Aptos" w:cs="Arial"/>
        </w:rPr>
        <w:t>jačanju kapaciteta</w:t>
      </w:r>
      <w:r w:rsidRPr="00042005">
        <w:rPr>
          <w:rFonts w:eastAsia="Aptos" w:cs="Arial"/>
        </w:rPr>
        <w:t xml:space="preserve">. Revidirani Akcioni plan EUSDR-a, usvojen početkom 2020, olakšao je ugradnju EUSDR-a u EU programe, uspostavljanje novog sistema praćenja i jačanje komunikacije. Uprkos ovom napretku, Crna Gora se suočava s izazovima u finansiranju sprovođenja EUSDR-a, posebno jer nije koordinator nijedne prioritetne oblasti i nema pristup </w:t>
      </w:r>
      <w:r w:rsidR="00F6773D">
        <w:rPr>
          <w:rFonts w:eastAsia="Aptos" w:cs="Arial"/>
        </w:rPr>
        <w:t>tehničkoj pomoći</w:t>
      </w:r>
      <w:r w:rsidRPr="00042005">
        <w:rPr>
          <w:rFonts w:eastAsia="Aptos" w:cs="Arial"/>
        </w:rPr>
        <w:t xml:space="preserve"> dostupnoj IPA zemljama u okviru EUSAIR-a. Nacionalni okvir praćenja oslanja se na dokumenta internih i eksternih aktera i godišnje posjete projektima radi praćenja.</w:t>
      </w:r>
    </w:p>
    <w:p w14:paraId="7AD0F6AE" w14:textId="74D36DE2" w:rsidR="006A3E7C" w:rsidRDefault="006A3E7C" w:rsidP="00DD7EEE">
      <w:pPr>
        <w:rPr>
          <w:rFonts w:eastAsia="Aptos" w:cs="Arial"/>
        </w:rPr>
      </w:pPr>
      <w:r w:rsidRPr="006A3E7C">
        <w:rPr>
          <w:rFonts w:eastAsia="Aptos" w:cs="Arial"/>
        </w:rPr>
        <w:lastRenderedPageBreak/>
        <w:t>Učešće Crne Gore u EUSAIR-u naglašava regionalnu saradnju i održivi razvoj, jačajući nacionalne kapacitete, infrastrukturu i regionalne veze. Ministarstvo evropskih poslova ima ključnu ulogu u ugradnji EUSAIR-a u nacionalne politike i finansijske okvire, organizujući događaje pop</w:t>
      </w:r>
      <w:r w:rsidRPr="001C446E">
        <w:rPr>
          <w:rFonts w:eastAsia="Aptos" w:cs="Arial"/>
        </w:rPr>
        <w:t xml:space="preserve">ut sastanka EUSAIR Finansijskog dijaloga u julu 2023. i radionica o ubrzanju pristupanja EU kroz </w:t>
      </w:r>
      <w:r w:rsidR="00A80895">
        <w:rPr>
          <w:rFonts w:eastAsia="Aptos" w:cs="Arial"/>
        </w:rPr>
        <w:t>implementaciju</w:t>
      </w:r>
      <w:r w:rsidRPr="001C446E">
        <w:rPr>
          <w:rFonts w:eastAsia="Aptos" w:cs="Arial"/>
        </w:rPr>
        <w:t xml:space="preserve"> EUSAIR-a. Aktivno učešće Crne Gore u upravljačkim strukturama i strateškim projektima</w:t>
      </w:r>
      <w:r w:rsidRPr="001C446E">
        <w:rPr>
          <w:rFonts w:eastAsia="Aptos" w:cs="Arial"/>
          <w:vertAlign w:val="superscript"/>
        </w:rPr>
        <w:footnoteReference w:id="30"/>
      </w:r>
      <w:r w:rsidRPr="001C446E">
        <w:rPr>
          <w:rFonts w:eastAsia="Aptos" w:cs="Arial"/>
        </w:rPr>
        <w:t xml:space="preserve">  EUSAIR-a usklađuje nacionalne napore s makro-regionalnim ciljevima. Crna Gora takođe učestvuje u strateškom projektu EUSAIR Facility Point, koji podržava upravljanje i </w:t>
      </w:r>
      <w:r w:rsidR="00A80895">
        <w:rPr>
          <w:rFonts w:eastAsia="Aptos" w:cs="Arial"/>
        </w:rPr>
        <w:t>implementacija</w:t>
      </w:r>
      <w:r w:rsidRPr="006A3E7C">
        <w:rPr>
          <w:rFonts w:eastAsia="Aptos" w:cs="Arial"/>
        </w:rPr>
        <w:t xml:space="preserve"> EUSAIR-a obezbjeđivanjem administrativne, tehničke i finansijske </w:t>
      </w:r>
      <w:r w:rsidR="00477A44">
        <w:rPr>
          <w:rFonts w:eastAsia="Aptos" w:cs="Arial"/>
        </w:rPr>
        <w:t>podrške</w:t>
      </w:r>
      <w:r w:rsidRPr="006A3E7C">
        <w:rPr>
          <w:rFonts w:eastAsia="Aptos" w:cs="Arial"/>
        </w:rPr>
        <w:t xml:space="preserve">. Ministarstvo evropskih poslova djeluje kao nacionalni koordinator, usklađujući nacionalne politike s ciljevima EUSAIR-a i služeći kao komunikaciona spona između crnogorskih aktera i tijela EUSAIR-a. Uključivanje državnih organa, lokalnih vlasti, NVO, akademske zajednice i privatnog sektora obezbjeđuje usklađenost nacionalnih interesa s regionalnim ciljevima i omogućava Crnoj Gori da ima koristi od zajedničkih napora. Ovakav inkluzivan pristup podstiče ugradnju različitih perspektiva i doprinosi uspjehu makro-regionalnih strategija. Crna Gora je koordinator stuba za </w:t>
      </w:r>
      <w:r w:rsidRPr="001C446E">
        <w:rPr>
          <w:rFonts w:eastAsia="Aptos" w:cs="Arial"/>
        </w:rPr>
        <w:t xml:space="preserve">Tematsku upravljačku grupu 1 – Plavi rast zajedno sa Grčkom, a novi koordinator stuba imenovan je u Ministarstvu poljoprivrede, šumarstva i vodoprivrede u julu 2024. Sprovođenje i koordinacija EUSAIR-a u Crnoj Gori odvijaju se kroz Nacionalnu radnu grupu za </w:t>
      </w:r>
      <w:r w:rsidR="00A80895">
        <w:rPr>
          <w:rFonts w:eastAsia="Aptos" w:cs="Arial"/>
        </w:rPr>
        <w:t>implementaciju</w:t>
      </w:r>
      <w:r w:rsidRPr="001C446E">
        <w:rPr>
          <w:rFonts w:eastAsia="Aptos" w:cs="Arial"/>
        </w:rPr>
        <w:t xml:space="preserve"> EUSAIR-a, koja uključuje predstavnike Ministarstva vanjskih poslova, Ministarstva prosvjete, nauke i inovacija, Ministarstva poljoprivrede, šumarstva i vodoprivrede, Ministarstva ekologije, održivog razvoja i razvoja sjevera, Ministarstva saobraćaja, Instituta za biologiju mora Univerziteta Crne Gore, Privredne komore i Nacionalne turističke organizacije. Pojačanu internu koordinaciju nadgleda Direktorat za evropsku teritorijalnu saradnju u Ministarstvu evropskih poslova kako bi se obezbijedio doprinos Crne Gore revidiranom akcionom planu i veće vlasništvo.</w:t>
      </w:r>
    </w:p>
    <w:p w14:paraId="54C5CDB0" w14:textId="170CCDE0" w:rsidR="00DD7EEE" w:rsidRPr="00B83578" w:rsidRDefault="002627E3" w:rsidP="002A41FC">
      <w:pPr>
        <w:pStyle w:val="Heading3"/>
      </w:pPr>
      <w:bookmarkStart w:id="30" w:name="_Toc201700312"/>
      <w:r>
        <w:t>Kapaciteti za planiranje strateških projekata i investicija</w:t>
      </w:r>
      <w:bookmarkEnd w:id="30"/>
    </w:p>
    <w:p w14:paraId="120F0FA8" w14:textId="2E1FE5B3" w:rsidR="00D457C1" w:rsidRPr="00C36B9F" w:rsidRDefault="00D457C1" w:rsidP="00D457C1">
      <w:pPr>
        <w:rPr>
          <w:rFonts w:eastAsia="Aptos" w:cs="Arial"/>
        </w:rPr>
      </w:pPr>
      <w:r w:rsidRPr="00D457C1">
        <w:rPr>
          <w:rFonts w:eastAsia="Aptos" w:cs="Arial"/>
          <w:b/>
        </w:rPr>
        <w:t>Savjet za javn</w:t>
      </w:r>
      <w:r>
        <w:rPr>
          <w:rFonts w:eastAsia="Aptos" w:cs="Arial"/>
          <w:b/>
        </w:rPr>
        <w:t>e investicije</w:t>
      </w:r>
      <w:r w:rsidRPr="00D457C1">
        <w:rPr>
          <w:rFonts w:eastAsia="Aptos" w:cs="Arial"/>
        </w:rPr>
        <w:t xml:space="preserve"> osnovan je u januaru 2024</w:t>
      </w:r>
      <w:r w:rsidRPr="00B83578">
        <w:rPr>
          <w:rFonts w:eastAsia="Aptos" w:cs="Arial"/>
          <w:vertAlign w:val="superscript"/>
        </w:rPr>
        <w:footnoteReference w:id="31"/>
      </w:r>
      <w:r w:rsidRPr="00D457C1">
        <w:rPr>
          <w:rFonts w:eastAsia="Aptos" w:cs="Arial"/>
        </w:rPr>
        <w:t xml:space="preserve">. godine kao dio novog institucionalnog okvira usmjerenog na </w:t>
      </w:r>
      <w:r w:rsidR="00CA6030">
        <w:rPr>
          <w:rFonts w:eastAsia="Aptos" w:cs="Arial"/>
        </w:rPr>
        <w:t>unaprje</w:t>
      </w:r>
      <w:r w:rsidRPr="00D457C1">
        <w:rPr>
          <w:rFonts w:eastAsia="Aptos" w:cs="Arial"/>
        </w:rPr>
        <w:t xml:space="preserve">đenje javnih </w:t>
      </w:r>
      <w:r>
        <w:rPr>
          <w:rFonts w:eastAsia="Aptos" w:cs="Arial"/>
        </w:rPr>
        <w:t>investicija</w:t>
      </w:r>
      <w:r w:rsidRPr="00D457C1">
        <w:rPr>
          <w:rFonts w:eastAsia="Aptos" w:cs="Arial"/>
        </w:rPr>
        <w:t>, poboljšanje koordinacije i sprovođenje aktivnosti vezanih za Kapitalni budžet Crne Gore i druge projekte infrastrukturnog razvoja.</w:t>
      </w:r>
      <w:r>
        <w:rPr>
          <w:rFonts w:eastAsia="Aptos" w:cs="Arial"/>
        </w:rPr>
        <w:t xml:space="preserve"> </w:t>
      </w:r>
      <w:r w:rsidRPr="00D457C1">
        <w:rPr>
          <w:rFonts w:eastAsia="Aptos" w:cs="Arial"/>
        </w:rPr>
        <w:t>Nadležnosti Savjeta obuhvataju:</w:t>
      </w:r>
      <w:r>
        <w:rPr>
          <w:rFonts w:eastAsia="Aptos" w:cs="Arial"/>
        </w:rPr>
        <w:t xml:space="preserve"> </w:t>
      </w:r>
      <w:r w:rsidRPr="00D457C1">
        <w:rPr>
          <w:rFonts w:eastAsia="Aptos" w:cs="Arial"/>
        </w:rPr>
        <w:t>koordinaciju pripreme i realizacije projekata javno-privatnog partnerstva</w:t>
      </w:r>
      <w:r>
        <w:rPr>
          <w:rFonts w:eastAsia="Aptos" w:cs="Arial"/>
        </w:rPr>
        <w:t xml:space="preserve">, </w:t>
      </w:r>
      <w:r w:rsidRPr="00D457C1">
        <w:rPr>
          <w:rFonts w:eastAsia="Aptos" w:cs="Arial"/>
        </w:rPr>
        <w:t>podsticanje saradnje s međunarodnim finansijskim institucijama i investitorima u oblastima kao što su transport, pomorstvo, energetika, rudarstvo, zaštita životne sredine i ekonomski razvoj</w:t>
      </w:r>
      <w:r>
        <w:rPr>
          <w:rFonts w:eastAsia="Aptos" w:cs="Arial"/>
        </w:rPr>
        <w:t xml:space="preserve">. Takođe nastoji da </w:t>
      </w:r>
      <w:r w:rsidRPr="00D457C1">
        <w:rPr>
          <w:rFonts w:eastAsia="Aptos" w:cs="Arial"/>
        </w:rPr>
        <w:t>unapr</w:t>
      </w:r>
      <w:r>
        <w:rPr>
          <w:rFonts w:eastAsia="Aptos" w:cs="Arial"/>
        </w:rPr>
        <w:t>ijedi</w:t>
      </w:r>
      <w:r w:rsidRPr="00D457C1">
        <w:rPr>
          <w:rFonts w:eastAsia="Aptos" w:cs="Arial"/>
        </w:rPr>
        <w:t xml:space="preserve"> međunarodn</w:t>
      </w:r>
      <w:r>
        <w:rPr>
          <w:rFonts w:eastAsia="Aptos" w:cs="Arial"/>
        </w:rPr>
        <w:t>u</w:t>
      </w:r>
      <w:r w:rsidRPr="00D457C1">
        <w:rPr>
          <w:rFonts w:eastAsia="Aptos" w:cs="Arial"/>
        </w:rPr>
        <w:t xml:space="preserve"> saradnj</w:t>
      </w:r>
      <w:r>
        <w:rPr>
          <w:rFonts w:eastAsia="Aptos" w:cs="Arial"/>
        </w:rPr>
        <w:t>u</w:t>
      </w:r>
      <w:r w:rsidRPr="00D457C1">
        <w:rPr>
          <w:rFonts w:eastAsia="Aptos" w:cs="Arial"/>
        </w:rPr>
        <w:t xml:space="preserve"> s organizacijama radi boljeg planiranja i realizacije kapitalnog budžeta</w:t>
      </w:r>
      <w:r>
        <w:rPr>
          <w:rFonts w:eastAsia="Aptos" w:cs="Arial"/>
        </w:rPr>
        <w:t xml:space="preserve">. Dodatno, Savjet </w:t>
      </w:r>
      <w:r w:rsidRPr="00D457C1">
        <w:rPr>
          <w:rFonts w:eastAsia="Aptos" w:cs="Arial"/>
        </w:rPr>
        <w:t>razmatra prijedlog</w:t>
      </w:r>
      <w:r>
        <w:rPr>
          <w:rFonts w:eastAsia="Aptos" w:cs="Arial"/>
        </w:rPr>
        <w:t>e</w:t>
      </w:r>
      <w:r w:rsidRPr="00D457C1">
        <w:rPr>
          <w:rFonts w:eastAsia="Aptos" w:cs="Arial"/>
        </w:rPr>
        <w:t xml:space="preserve"> infrastrukturnih, javnih i drugih kapitalnih projekata u ime resornih ministarstava</w:t>
      </w:r>
      <w:r>
        <w:rPr>
          <w:rFonts w:eastAsia="Aptos" w:cs="Arial"/>
        </w:rPr>
        <w:t xml:space="preserve">, </w:t>
      </w:r>
      <w:r w:rsidRPr="00D457C1">
        <w:rPr>
          <w:rFonts w:eastAsia="Aptos" w:cs="Arial"/>
        </w:rPr>
        <w:t>preporuč</w:t>
      </w:r>
      <w:r>
        <w:rPr>
          <w:rFonts w:eastAsia="Aptos" w:cs="Arial"/>
        </w:rPr>
        <w:t>uje</w:t>
      </w:r>
      <w:r w:rsidRPr="00D457C1">
        <w:rPr>
          <w:rFonts w:eastAsia="Aptos" w:cs="Arial"/>
        </w:rPr>
        <w:t xml:space="preserve"> infrastrukturn</w:t>
      </w:r>
      <w:r>
        <w:rPr>
          <w:rFonts w:eastAsia="Aptos" w:cs="Arial"/>
        </w:rPr>
        <w:t>e</w:t>
      </w:r>
      <w:r w:rsidRPr="00D457C1">
        <w:rPr>
          <w:rFonts w:eastAsia="Aptos" w:cs="Arial"/>
        </w:rPr>
        <w:t xml:space="preserve"> projek</w:t>
      </w:r>
      <w:r>
        <w:rPr>
          <w:rFonts w:eastAsia="Aptos" w:cs="Arial"/>
        </w:rPr>
        <w:t>te</w:t>
      </w:r>
      <w:r w:rsidRPr="00D457C1">
        <w:rPr>
          <w:rFonts w:eastAsia="Aptos" w:cs="Arial"/>
        </w:rPr>
        <w:t xml:space="preserve"> međunarodnim finansijskim institucijama, međunarodnim organizacijama i potencijalnim partnerima radi </w:t>
      </w:r>
      <w:r w:rsidRPr="00C36B9F">
        <w:rPr>
          <w:rFonts w:eastAsia="Aptos" w:cs="Arial"/>
        </w:rPr>
        <w:t xml:space="preserve">obezbjeđivanja podrške za </w:t>
      </w:r>
      <w:r w:rsidR="00A80895">
        <w:rPr>
          <w:rFonts w:eastAsia="Aptos" w:cs="Arial"/>
        </w:rPr>
        <w:t>implementaciju</w:t>
      </w:r>
      <w:r w:rsidRPr="00C36B9F">
        <w:rPr>
          <w:rFonts w:eastAsia="Aptos" w:cs="Arial"/>
        </w:rPr>
        <w:t xml:space="preserve"> i finansiranje.</w:t>
      </w:r>
    </w:p>
    <w:p w14:paraId="72DF4E09" w14:textId="0CBAA3DB" w:rsidR="00D457C1" w:rsidRPr="00D457C1" w:rsidRDefault="00D457C1" w:rsidP="00D457C1">
      <w:pPr>
        <w:rPr>
          <w:rFonts w:eastAsia="Aptos" w:cs="Arial"/>
        </w:rPr>
      </w:pPr>
      <w:r w:rsidRPr="00C36B9F">
        <w:rPr>
          <w:rFonts w:eastAsia="Aptos" w:cs="Arial"/>
        </w:rPr>
        <w:t>Nacionalna jedinstvena lista</w:t>
      </w:r>
      <w:r w:rsidR="00F327AA" w:rsidRPr="00C36B9F">
        <w:rPr>
          <w:rFonts w:eastAsia="Aptos" w:cs="Arial"/>
        </w:rPr>
        <w:t xml:space="preserve"> prioritetnih infrastrukturnih projekata</w:t>
      </w:r>
      <w:r w:rsidRPr="00C36B9F">
        <w:rPr>
          <w:rFonts w:eastAsia="Aptos" w:cs="Arial"/>
        </w:rPr>
        <w:t xml:space="preserve"> (National Single Project Pipeline) posljednji put je ažurirana u decembru 2021. godine i služi kao okvir za predlaganje projekata za različite izvore finansiranja, uključujući i Evropsku komisiju u okviru </w:t>
      </w:r>
      <w:r w:rsidR="00C36B9F" w:rsidRPr="00C36B9F">
        <w:rPr>
          <w:rFonts w:eastAsia="Aptos" w:cs="Arial"/>
        </w:rPr>
        <w:t>Zapadnobalkanskog investicionog okvira</w:t>
      </w:r>
      <w:r w:rsidRPr="00C36B9F">
        <w:rPr>
          <w:rFonts w:eastAsia="Aptos" w:cs="Arial"/>
        </w:rPr>
        <w:t xml:space="preserve"> (WBIF). Listu projekata za finansiranje iz WBIF-a usvojio je Savjet za javn</w:t>
      </w:r>
      <w:r w:rsidR="00F327AA" w:rsidRPr="00C36B9F">
        <w:rPr>
          <w:rFonts w:eastAsia="Aptos" w:cs="Arial"/>
        </w:rPr>
        <w:t>e investicije</w:t>
      </w:r>
      <w:r w:rsidRPr="00C36B9F">
        <w:rPr>
          <w:rFonts w:eastAsia="Aptos" w:cs="Arial"/>
        </w:rPr>
        <w:t>.</w:t>
      </w:r>
      <w:r w:rsidR="00F327AA" w:rsidRPr="00C36B9F">
        <w:rPr>
          <w:rFonts w:eastAsia="Aptos" w:cs="Arial"/>
        </w:rPr>
        <w:t xml:space="preserve"> </w:t>
      </w:r>
      <w:r w:rsidRPr="00C36B9F">
        <w:rPr>
          <w:rFonts w:eastAsia="Aptos" w:cs="Arial"/>
        </w:rPr>
        <w:t>Od 2024. godine, kako bi se osigurala snažna podrška, projekte predložene za finansiranje od</w:t>
      </w:r>
      <w:r w:rsidRPr="00D457C1">
        <w:rPr>
          <w:rFonts w:eastAsia="Aptos" w:cs="Arial"/>
        </w:rPr>
        <w:t xml:space="preserve"> strane Evropske komisije mora odobriti Savjet za javn</w:t>
      </w:r>
      <w:r w:rsidR="00F327AA">
        <w:rPr>
          <w:rFonts w:eastAsia="Aptos" w:cs="Arial"/>
        </w:rPr>
        <w:t>e investicije</w:t>
      </w:r>
      <w:r w:rsidRPr="00D457C1">
        <w:rPr>
          <w:rFonts w:eastAsia="Aptos" w:cs="Arial"/>
        </w:rPr>
        <w:t xml:space="preserve">, a potom i Vlada. Jedinstvena lista prioritetnih infrastrukturnih projekata u sektorima transporta i energetike ažurirana je krajem 2024. godine, s ciljem ispunjavanja </w:t>
      </w:r>
      <w:r w:rsidR="00F327AA">
        <w:rPr>
          <w:rFonts w:eastAsia="Aptos" w:cs="Arial"/>
        </w:rPr>
        <w:t>Z</w:t>
      </w:r>
      <w:r w:rsidRPr="00D457C1">
        <w:rPr>
          <w:rFonts w:eastAsia="Aptos" w:cs="Arial"/>
        </w:rPr>
        <w:t>avršnog mjerila 2 za “Pregovaračko poglavlje 21 – Trans-evropske mreže”.</w:t>
      </w:r>
    </w:p>
    <w:p w14:paraId="53A91B21" w14:textId="137AD02B" w:rsidR="00D457C1" w:rsidRDefault="00D457C1" w:rsidP="00D457C1">
      <w:pPr>
        <w:rPr>
          <w:rFonts w:eastAsia="Aptos" w:cs="Arial"/>
        </w:rPr>
      </w:pPr>
      <w:r w:rsidRPr="00D457C1">
        <w:rPr>
          <w:rFonts w:eastAsia="Aptos" w:cs="Arial"/>
        </w:rPr>
        <w:t xml:space="preserve">Godišnji izvještaj Evropske komisije za 2024. preporučuje da Crna Gora „radi na čvrstoj </w:t>
      </w:r>
      <w:r w:rsidR="00F327AA">
        <w:rPr>
          <w:rFonts w:eastAsia="Aptos" w:cs="Arial"/>
        </w:rPr>
        <w:t>listi projekata</w:t>
      </w:r>
      <w:r w:rsidRPr="00D457C1">
        <w:rPr>
          <w:rFonts w:eastAsia="Aptos" w:cs="Arial"/>
        </w:rPr>
        <w:t xml:space="preserve">, bez obzira na izvor finansiranja, uz uspostavljanje okvira za strateške sektorske orijentacije i politike, te poboljšanje pripreme, </w:t>
      </w:r>
      <w:r w:rsidR="009821CC">
        <w:rPr>
          <w:rFonts w:eastAsia="Aptos" w:cs="Arial"/>
        </w:rPr>
        <w:t>nabavke</w:t>
      </w:r>
      <w:r w:rsidRPr="00D457C1">
        <w:rPr>
          <w:rFonts w:eastAsia="Aptos" w:cs="Arial"/>
        </w:rPr>
        <w:t xml:space="preserve"> i realizacije projekata u skladu s EU i međunarodnim </w:t>
      </w:r>
      <w:proofErr w:type="gramStart"/>
      <w:r w:rsidRPr="00D457C1">
        <w:rPr>
          <w:rFonts w:eastAsia="Aptos" w:cs="Arial"/>
        </w:rPr>
        <w:t>standardima“</w:t>
      </w:r>
      <w:proofErr w:type="gramEnd"/>
      <w:r w:rsidRPr="00D457C1">
        <w:rPr>
          <w:rFonts w:eastAsia="Aptos" w:cs="Arial"/>
        </w:rPr>
        <w:t>.</w:t>
      </w:r>
    </w:p>
    <w:p w14:paraId="7E692C7C" w14:textId="3F95D9EE" w:rsidR="009821CC" w:rsidRPr="009821CC" w:rsidRDefault="009821CC" w:rsidP="009821CC">
      <w:pPr>
        <w:rPr>
          <w:rFonts w:eastAsia="Aptos" w:cs="Arial"/>
        </w:rPr>
      </w:pPr>
      <w:r w:rsidRPr="009821CC">
        <w:rPr>
          <w:rFonts w:eastAsia="Aptos" w:cs="Arial"/>
        </w:rPr>
        <w:t>Novi mehanizam za finansiranje projekata iz kapitalnog budžeta je uspostavljen, čime je efektivno stavljena u funkciju jedinstvena Lista prioritetnih kapitalnih projekata (</w:t>
      </w:r>
      <w:r w:rsidRPr="00C36B9F">
        <w:rPr>
          <w:rFonts w:eastAsia="Aptos" w:cs="Arial"/>
          <w:i/>
        </w:rPr>
        <w:t>pipeline</w:t>
      </w:r>
      <w:r w:rsidRPr="009821CC">
        <w:rPr>
          <w:rFonts w:eastAsia="Aptos" w:cs="Arial"/>
        </w:rPr>
        <w:t>) koja obuhvata i projekte opštinskih investicija</w:t>
      </w:r>
      <w:r w:rsidRPr="00B83578">
        <w:rPr>
          <w:rFonts w:eastAsia="Aptos" w:cs="Arial"/>
          <w:vertAlign w:val="superscript"/>
        </w:rPr>
        <w:footnoteReference w:id="32"/>
      </w:r>
      <w:r w:rsidRPr="009821CC">
        <w:rPr>
          <w:rFonts w:eastAsia="Aptos" w:cs="Arial"/>
        </w:rPr>
        <w:t xml:space="preserve">; izuzeti su samo projekti manjeg obima. Mehanizam propisuje uslove, kriterijume i bodovanje </w:t>
      </w:r>
      <w:r w:rsidRPr="009821CC">
        <w:rPr>
          <w:rFonts w:eastAsia="Aptos" w:cs="Arial"/>
        </w:rPr>
        <w:lastRenderedPageBreak/>
        <w:t>za ocjenjivanje kapitalnih projekata</w:t>
      </w:r>
      <w:r w:rsidRPr="00B83578">
        <w:rPr>
          <w:rFonts w:eastAsia="Aptos" w:cs="Arial"/>
          <w:vertAlign w:val="superscript"/>
        </w:rPr>
        <w:footnoteReference w:id="33"/>
      </w:r>
      <w:r w:rsidRPr="009821CC">
        <w:rPr>
          <w:rFonts w:eastAsia="Aptos" w:cs="Arial"/>
        </w:rPr>
        <w:t xml:space="preserve">. Dodatne informacije date su u Poglavlju 4 dugoročnog </w:t>
      </w:r>
      <w:r w:rsidR="00B66006">
        <w:t>Plana aktivnosti</w:t>
      </w:r>
      <w:r w:rsidRPr="009821CC">
        <w:rPr>
          <w:rFonts w:eastAsia="Aptos" w:cs="Arial"/>
        </w:rPr>
        <w:t>.</w:t>
      </w:r>
    </w:p>
    <w:p w14:paraId="5F0DBDF6" w14:textId="5A374283" w:rsidR="009821CC" w:rsidRPr="009821CC" w:rsidRDefault="009821CC" w:rsidP="009821CC">
      <w:pPr>
        <w:rPr>
          <w:rFonts w:eastAsia="Aptos" w:cs="Arial"/>
        </w:rPr>
      </w:pPr>
      <w:r w:rsidRPr="009821CC">
        <w:rPr>
          <w:rFonts w:eastAsia="Aptos" w:cs="Arial"/>
        </w:rPr>
        <w:t xml:space="preserve">Prepoznato je da efikasna koordinacija i prioritetizacija infrastrukturnih projekata treba da se unaprijede, s posebnim fokusom na povećanje zrelosti projekata jačanjem institucionalnih kapaciteta, a ne isključivo oslanjanjem na projekte </w:t>
      </w:r>
      <w:r w:rsidR="00F6773D">
        <w:rPr>
          <w:rFonts w:eastAsia="Aptos" w:cs="Arial"/>
        </w:rPr>
        <w:t>tehničke pomoći</w:t>
      </w:r>
      <w:r w:rsidRPr="009821CC">
        <w:rPr>
          <w:rFonts w:eastAsia="Aptos" w:cs="Arial"/>
        </w:rPr>
        <w:t xml:space="preserve">. Glavni izazovi uključuju ograničena sredstva i imperativ kapitalnih </w:t>
      </w:r>
      <w:r>
        <w:rPr>
          <w:rFonts w:eastAsia="Aptos" w:cs="Arial"/>
        </w:rPr>
        <w:t>investicija</w:t>
      </w:r>
      <w:r w:rsidRPr="009821CC">
        <w:rPr>
          <w:rFonts w:eastAsia="Aptos" w:cs="Arial"/>
        </w:rPr>
        <w:t xml:space="preserve"> u gotovo sve sektore koje je EU označila kao prioritete. U tom smislu, priprema zrel</w:t>
      </w:r>
      <w:r>
        <w:rPr>
          <w:rFonts w:eastAsia="Aptos" w:cs="Arial"/>
        </w:rPr>
        <w:t>e liste</w:t>
      </w:r>
      <w:r w:rsidRPr="009821CC">
        <w:rPr>
          <w:rFonts w:eastAsia="Aptos" w:cs="Arial"/>
        </w:rPr>
        <w:t xml:space="preserve"> projek</w:t>
      </w:r>
      <w:r>
        <w:rPr>
          <w:rFonts w:eastAsia="Aptos" w:cs="Arial"/>
        </w:rPr>
        <w:t>ata</w:t>
      </w:r>
      <w:r w:rsidRPr="009821CC">
        <w:rPr>
          <w:rFonts w:eastAsia="Aptos" w:cs="Arial"/>
        </w:rPr>
        <w:t xml:space="preserve"> koj</w:t>
      </w:r>
      <w:r>
        <w:rPr>
          <w:rFonts w:eastAsia="Aptos" w:cs="Arial"/>
        </w:rPr>
        <w:t>a</w:t>
      </w:r>
      <w:r w:rsidRPr="009821CC">
        <w:rPr>
          <w:rFonts w:eastAsia="Aptos" w:cs="Arial"/>
        </w:rPr>
        <w:t xml:space="preserve"> se može finansirati kroz Kohezionu politiku i obezbijediti efikasno korišćenje sredstava je od presudnog značaja. Stoga se uspostavljanje </w:t>
      </w:r>
      <w:r w:rsidR="00904107">
        <w:rPr>
          <w:rFonts w:eastAsia="Aptos" w:cs="Arial"/>
        </w:rPr>
        <w:t>J</w:t>
      </w:r>
      <w:r w:rsidRPr="009821CC">
        <w:rPr>
          <w:rFonts w:eastAsia="Aptos" w:cs="Arial"/>
        </w:rPr>
        <w:t>edins</w:t>
      </w:r>
      <w:r>
        <w:rPr>
          <w:rFonts w:eastAsia="Aptos" w:cs="Arial"/>
        </w:rPr>
        <w:t>tvene liste</w:t>
      </w:r>
      <w:r w:rsidR="00904107">
        <w:rPr>
          <w:rFonts w:eastAsia="Aptos" w:cs="Arial"/>
        </w:rPr>
        <w:t xml:space="preserve"> prioritetnih infrastruktutnih projekata </w:t>
      </w:r>
      <w:r w:rsidRPr="009821CC">
        <w:rPr>
          <w:rFonts w:eastAsia="Aptos" w:cs="Arial"/>
        </w:rPr>
        <w:t xml:space="preserve">finansirane iz kapitalnog budžeta smatra pozitivnim razvojem, posebno zato što uključuje i projekte na opštinskom nivou; dalji razvoj smjernica i podrške centralnim i lokalnim vlastima za pripremu i </w:t>
      </w:r>
      <w:r w:rsidR="00A80895">
        <w:rPr>
          <w:rFonts w:eastAsia="Aptos" w:cs="Arial"/>
        </w:rPr>
        <w:t>implementaciju</w:t>
      </w:r>
      <w:r w:rsidRPr="009821CC">
        <w:rPr>
          <w:rFonts w:eastAsia="Aptos" w:cs="Arial"/>
        </w:rPr>
        <w:t xml:space="preserve"> projekata, uz uvažavanje specifičnih zahtjeva Kohezione politike</w:t>
      </w:r>
      <w:r w:rsidR="00904107" w:rsidRPr="00B83578">
        <w:rPr>
          <w:rFonts w:eastAsia="Aptos" w:cs="Arial"/>
          <w:vertAlign w:val="superscript"/>
        </w:rPr>
        <w:footnoteReference w:id="34"/>
      </w:r>
      <w:r w:rsidRPr="009821CC">
        <w:rPr>
          <w:rFonts w:eastAsia="Aptos" w:cs="Arial"/>
        </w:rPr>
        <w:t xml:space="preserve"> i budućeg finansiranja, od suštinskog je značaja.</w:t>
      </w:r>
    </w:p>
    <w:p w14:paraId="2613C944" w14:textId="0D4B2D3E" w:rsidR="009821CC" w:rsidRPr="009821CC" w:rsidRDefault="009821CC" w:rsidP="009821CC">
      <w:pPr>
        <w:rPr>
          <w:rFonts w:eastAsia="Aptos" w:cs="Arial"/>
        </w:rPr>
      </w:pPr>
      <w:r w:rsidRPr="009821CC">
        <w:rPr>
          <w:rFonts w:eastAsia="Aptos" w:cs="Arial"/>
        </w:rPr>
        <w:t xml:space="preserve">Specifične obuke i Program </w:t>
      </w:r>
      <w:r w:rsidR="00C30F51" w:rsidRPr="00C30F51">
        <w:rPr>
          <w:rFonts w:eastAsia="Aptos" w:cs="Arial"/>
        </w:rPr>
        <w:t>jačanja kapaciteta</w:t>
      </w:r>
      <w:r w:rsidRPr="009821CC">
        <w:rPr>
          <w:rFonts w:eastAsia="Aptos" w:cs="Arial"/>
        </w:rPr>
        <w:t xml:space="preserve"> za buduće korisnike (Ak</w:t>
      </w:r>
      <w:r w:rsidR="00E136F2">
        <w:rPr>
          <w:rFonts w:eastAsia="Aptos" w:cs="Arial"/>
        </w:rPr>
        <w:t>cija</w:t>
      </w:r>
      <w:r w:rsidRPr="009821CC">
        <w:rPr>
          <w:rFonts w:eastAsia="Aptos" w:cs="Arial"/>
        </w:rPr>
        <w:t xml:space="preserve"> 3.3) takođe će obuhvatiti potrebe povezane s pripremom infrastrukturnih</w:t>
      </w:r>
      <w:r w:rsidR="00904107">
        <w:rPr>
          <w:rFonts w:eastAsia="Aptos" w:cs="Arial"/>
        </w:rPr>
        <w:t xml:space="preserve"> i </w:t>
      </w:r>
      <w:r w:rsidRPr="009821CC">
        <w:rPr>
          <w:rFonts w:eastAsia="Aptos" w:cs="Arial"/>
        </w:rPr>
        <w:t>projekata</w:t>
      </w:r>
      <w:r w:rsidR="00904107">
        <w:rPr>
          <w:rFonts w:eastAsia="Aptos" w:cs="Arial"/>
        </w:rPr>
        <w:t xml:space="preserve"> velikog obima</w:t>
      </w:r>
      <w:r w:rsidRPr="009821CC">
        <w:rPr>
          <w:rFonts w:eastAsia="Aptos" w:cs="Arial"/>
        </w:rPr>
        <w:t>.</w:t>
      </w:r>
    </w:p>
    <w:p w14:paraId="4F4823A8" w14:textId="0C941925" w:rsidR="009821CC" w:rsidRDefault="009821CC" w:rsidP="009821CC">
      <w:pPr>
        <w:rPr>
          <w:rFonts w:eastAsia="Aptos" w:cs="Arial"/>
        </w:rPr>
      </w:pPr>
      <w:r w:rsidRPr="009821CC">
        <w:rPr>
          <w:rFonts w:eastAsia="Aptos" w:cs="Arial"/>
        </w:rPr>
        <w:t xml:space="preserve">U ovom kontekstu neophodno je ispuniti </w:t>
      </w:r>
      <w:r w:rsidRPr="00C36B9F">
        <w:rPr>
          <w:rFonts w:eastAsia="Aptos" w:cs="Arial"/>
        </w:rPr>
        <w:t xml:space="preserve">relevantne Tematske omogućavajuće uslove kako bi se obezbijedio pristup fondovima (vidjeti Poglavlje 1 Priloga ovom </w:t>
      </w:r>
      <w:r w:rsidR="00B66006">
        <w:rPr>
          <w:rFonts w:eastAsia="Aptos" w:cs="Arial"/>
        </w:rPr>
        <w:t>P</w:t>
      </w:r>
      <w:r w:rsidR="00150094">
        <w:rPr>
          <w:rFonts w:eastAsia="Aptos" w:cs="Arial"/>
        </w:rPr>
        <w:t>l</w:t>
      </w:r>
      <w:r w:rsidR="00B66006">
        <w:rPr>
          <w:rFonts w:eastAsia="Aptos" w:cs="Arial"/>
        </w:rPr>
        <w:t>anu aktivnosti</w:t>
      </w:r>
      <w:r w:rsidRPr="00C36B9F">
        <w:rPr>
          <w:rFonts w:eastAsia="Aptos" w:cs="Arial"/>
        </w:rPr>
        <w:t>), što takođe treba imati</w:t>
      </w:r>
      <w:r w:rsidRPr="009821CC">
        <w:rPr>
          <w:rFonts w:eastAsia="Aptos" w:cs="Arial"/>
        </w:rPr>
        <w:t xml:space="preserve"> u vidu.</w:t>
      </w:r>
    </w:p>
    <w:p w14:paraId="10F48295" w14:textId="2EE0A6C9" w:rsidR="00DD7EEE" w:rsidRPr="00B83578" w:rsidRDefault="002627E3" w:rsidP="002A41FC">
      <w:pPr>
        <w:pStyle w:val="Heading3"/>
      </w:pPr>
      <w:bookmarkStart w:id="31" w:name="_Toc201700313"/>
      <w:r>
        <w:t>Programiranje EU fondova</w:t>
      </w:r>
      <w:bookmarkEnd w:id="31"/>
    </w:p>
    <w:p w14:paraId="6F3C315C" w14:textId="02CB27C2" w:rsidR="00904107" w:rsidRPr="00904107" w:rsidRDefault="00904107" w:rsidP="00904107">
      <w:pPr>
        <w:rPr>
          <w:bCs/>
        </w:rPr>
      </w:pPr>
      <w:r w:rsidRPr="00904107">
        <w:rPr>
          <w:b/>
          <w:bCs/>
        </w:rPr>
        <w:t>Nacionalni IPA koordinator (</w:t>
      </w:r>
      <w:r w:rsidR="0086543E" w:rsidRPr="0086543E">
        <w:rPr>
          <w:b/>
          <w:bCs/>
        </w:rPr>
        <w:t>NIPAK</w:t>
      </w:r>
      <w:r w:rsidRPr="00904107">
        <w:rPr>
          <w:b/>
          <w:bCs/>
        </w:rPr>
        <w:t xml:space="preserve">), uz podršku Kancelarije </w:t>
      </w:r>
      <w:r w:rsidR="0086543E" w:rsidRPr="0086543E">
        <w:rPr>
          <w:b/>
          <w:bCs/>
        </w:rPr>
        <w:t>NIPAK</w:t>
      </w:r>
      <w:r w:rsidRPr="00904107">
        <w:rPr>
          <w:b/>
          <w:bCs/>
        </w:rPr>
        <w:t>-a,</w:t>
      </w:r>
      <w:r w:rsidRPr="00904107">
        <w:rPr>
          <w:bCs/>
        </w:rPr>
        <w:t xml:space="preserve"> glavni je sagovornik Evropske komisije za cjelokupan proces koordinacije programiranja, praćenja, evaluacije i izvještavanja o </w:t>
      </w:r>
      <w:r w:rsidR="00477A44">
        <w:rPr>
          <w:bCs/>
        </w:rPr>
        <w:t>podršci</w:t>
      </w:r>
      <w:r w:rsidRPr="00904107">
        <w:rPr>
          <w:bCs/>
        </w:rPr>
        <w:t xml:space="preserve"> iz IPA III. </w:t>
      </w:r>
      <w:r w:rsidR="0086543E" w:rsidRPr="0086543E">
        <w:rPr>
          <w:bCs/>
        </w:rPr>
        <w:t>NIPAK</w:t>
      </w:r>
      <w:r w:rsidRPr="00904107">
        <w:rPr>
          <w:bCs/>
        </w:rPr>
        <w:t xml:space="preserve"> nadgleda opštu koordinaciju IPA </w:t>
      </w:r>
      <w:r w:rsidR="00477A44">
        <w:rPr>
          <w:bCs/>
        </w:rPr>
        <w:t>podrške</w:t>
      </w:r>
      <w:r w:rsidRPr="00904107">
        <w:rPr>
          <w:bCs/>
        </w:rPr>
        <w:t xml:space="preserve"> i koordinira pripremu Strateškog odgovora (IPA III) i nacionalnih dokumenata za </w:t>
      </w:r>
      <w:r>
        <w:rPr>
          <w:bCs/>
        </w:rPr>
        <w:t xml:space="preserve">IPA </w:t>
      </w:r>
      <w:r w:rsidRPr="00904107">
        <w:rPr>
          <w:bCs/>
        </w:rPr>
        <w:t>programiranje.</w:t>
      </w:r>
    </w:p>
    <w:p w14:paraId="25A606FC" w14:textId="5C865C8C" w:rsidR="00904107" w:rsidRDefault="00904107" w:rsidP="00904107">
      <w:pPr>
        <w:rPr>
          <w:bCs/>
        </w:rPr>
      </w:pPr>
      <w:r w:rsidRPr="00904107">
        <w:rPr>
          <w:bCs/>
        </w:rPr>
        <w:t xml:space="preserve">Radi obezbjeđivanja sveobuhvatnog, efikasnog i efektivnog pristupa korišćenju IPA </w:t>
      </w:r>
      <w:r>
        <w:rPr>
          <w:bCs/>
        </w:rPr>
        <w:t>fondova</w:t>
      </w:r>
      <w:r w:rsidRPr="00904107">
        <w:rPr>
          <w:bCs/>
        </w:rPr>
        <w:t>, u skladu sa sektorskim pristupom predviđenim pod IPA II (2014–2020) uspostavljene su sektorske radne grupe koje čine relevantne javne institucije za određenu oblast politike, kao i predstavnici organizacija civilnog društva (</w:t>
      </w:r>
      <w:r w:rsidR="00CD0020">
        <w:rPr>
          <w:bCs/>
        </w:rPr>
        <w:t>OCD</w:t>
      </w:r>
      <w:r w:rsidRPr="00904107">
        <w:rPr>
          <w:bCs/>
        </w:rPr>
        <w:t>)</w:t>
      </w:r>
      <w:r w:rsidRPr="00904107">
        <w:rPr>
          <w:rFonts w:eastAsia="Aptos" w:cs="Arial"/>
          <w:vertAlign w:val="superscript"/>
        </w:rPr>
        <w:t xml:space="preserve"> </w:t>
      </w:r>
      <w:r w:rsidRPr="00B83578">
        <w:rPr>
          <w:rFonts w:eastAsia="Aptos" w:cs="Arial"/>
          <w:vertAlign w:val="superscript"/>
        </w:rPr>
        <w:footnoteReference w:id="35"/>
      </w:r>
      <w:r>
        <w:rPr>
          <w:bCs/>
        </w:rPr>
        <w:t>, za koordinaciju</w:t>
      </w:r>
      <w:r w:rsidR="004D4AE3">
        <w:rPr>
          <w:bCs/>
        </w:rPr>
        <w:t xml:space="preserve"> razvojne </w:t>
      </w:r>
      <w:r w:rsidR="00477A44">
        <w:rPr>
          <w:bCs/>
        </w:rPr>
        <w:t>podrške</w:t>
      </w:r>
      <w:r w:rsidR="004D4AE3">
        <w:rPr>
          <w:bCs/>
        </w:rPr>
        <w:t>.</w:t>
      </w:r>
      <w:r w:rsidRPr="00904107">
        <w:rPr>
          <w:bCs/>
        </w:rPr>
        <w:t xml:space="preserve"> One predstavljaju glavni mehanizam putem kojeg se upravlja i koordinira čitav proces IPA programiranja i obezbjeđuju osnovu za sektorske diskusije, djelotvorno učešće, konsultacije i koordinaciju relevantnih institucija.</w:t>
      </w:r>
    </w:p>
    <w:p w14:paraId="710AB288" w14:textId="1DACCDC1" w:rsidR="004D4AE3" w:rsidRDefault="004D4AE3" w:rsidP="004D4AE3">
      <w:pPr>
        <w:rPr>
          <w:rFonts w:eastAsia="Aptos" w:cs="Arial"/>
        </w:rPr>
      </w:pPr>
      <w:r>
        <w:rPr>
          <w:rFonts w:eastAsia="Aptos" w:cs="Arial"/>
        </w:rPr>
        <w:t>Imajući u vidu</w:t>
      </w:r>
      <w:r w:rsidRPr="004D4AE3">
        <w:rPr>
          <w:rFonts w:eastAsia="Aptos" w:cs="Arial"/>
        </w:rPr>
        <w:t xml:space="preserve"> IPA III, Ministarstvo evropskih poslova – Kancelarija </w:t>
      </w:r>
      <w:r w:rsidR="0086543E" w:rsidRPr="0086543E">
        <w:rPr>
          <w:rFonts w:eastAsia="Aptos" w:cs="Arial"/>
        </w:rPr>
        <w:t>NIPAK</w:t>
      </w:r>
      <w:r w:rsidRPr="004D4AE3">
        <w:rPr>
          <w:rFonts w:eastAsia="Aptos" w:cs="Arial"/>
        </w:rPr>
        <w:t>-a uspostavilo je Sektorske radne grupe (</w:t>
      </w:r>
      <w:r w:rsidR="00C17022">
        <w:rPr>
          <w:rFonts w:eastAsia="Aptos" w:cs="Arial"/>
        </w:rPr>
        <w:t>SRG</w:t>
      </w:r>
      <w:r w:rsidRPr="004D4AE3">
        <w:rPr>
          <w:rFonts w:eastAsia="Aptos" w:cs="Arial"/>
        </w:rPr>
        <w:t>) za prozore 1-4</w:t>
      </w:r>
      <w:r w:rsidRPr="00B83578">
        <w:rPr>
          <w:rFonts w:eastAsia="Aptos" w:cs="Arial"/>
          <w:vertAlign w:val="superscript"/>
        </w:rPr>
        <w:footnoteReference w:id="36"/>
      </w:r>
      <w:r w:rsidRPr="004D4AE3">
        <w:rPr>
          <w:rFonts w:eastAsia="Aptos" w:cs="Arial"/>
        </w:rPr>
        <w:t xml:space="preserve"> IPA III. Član 16 FFPA propisuje obavezu Vlade Crne Gore da obezbijedi da nadležni organi vlasti i </w:t>
      </w:r>
      <w:r w:rsidR="00233510">
        <w:rPr>
          <w:rFonts w:eastAsia="Aptos" w:cs="Arial"/>
        </w:rPr>
        <w:t>zainteresovane strane</w:t>
      </w:r>
      <w:r w:rsidRPr="004D4AE3">
        <w:rPr>
          <w:rFonts w:eastAsia="Aptos" w:cs="Arial"/>
        </w:rPr>
        <w:t xml:space="preserve"> – ekonomski, socijalni i ekološki partneri, organizacije civilnog društva i lokalne vlasti – budu pravovremeno konsultovani i da imaju pristup informacijama koje im omogućavaju značajnu ulogu u fazama dizajna, sprovođenja i praćenja programa koje podržava IPA III.</w:t>
      </w:r>
      <w:r>
        <w:rPr>
          <w:rFonts w:eastAsia="Aptos" w:cs="Arial"/>
        </w:rPr>
        <w:t xml:space="preserve"> </w:t>
      </w:r>
      <w:r w:rsidRPr="004D4AE3">
        <w:rPr>
          <w:rFonts w:eastAsia="Aptos" w:cs="Arial"/>
        </w:rPr>
        <w:t xml:space="preserve">Djelimično se to obezbjeđuje kroz </w:t>
      </w:r>
      <w:r w:rsidR="00C17022">
        <w:rPr>
          <w:rFonts w:eastAsia="Aptos" w:cs="Arial"/>
        </w:rPr>
        <w:t>SRG</w:t>
      </w:r>
      <w:r w:rsidRPr="004D4AE3">
        <w:rPr>
          <w:rFonts w:eastAsia="Aptos" w:cs="Arial"/>
        </w:rPr>
        <w:t xml:space="preserve">-ove koji okupljaju nadležne državne institucije, javna preduzeća, organe lokalne samouprave, razvojne partnere/donatore, međunarodne finansijske institucije i civilno društvo radi podsticanja saradnje i aktivnog učešća u planiranju i identifikaciji prioriteta za finansiranje iz IPA III </w:t>
      </w:r>
      <w:r w:rsidR="00477A44">
        <w:rPr>
          <w:rFonts w:eastAsia="Aptos" w:cs="Arial"/>
        </w:rPr>
        <w:t>podrške</w:t>
      </w:r>
      <w:r w:rsidRPr="004D4AE3">
        <w:rPr>
          <w:rFonts w:eastAsia="Aptos" w:cs="Arial"/>
        </w:rPr>
        <w:t xml:space="preserve">. Resorna ministarstva odgovorna za svaku </w:t>
      </w:r>
      <w:r w:rsidR="00C17022">
        <w:rPr>
          <w:rFonts w:eastAsia="Aptos" w:cs="Arial"/>
        </w:rPr>
        <w:t>SRG</w:t>
      </w:r>
      <w:r w:rsidRPr="004D4AE3">
        <w:rPr>
          <w:rFonts w:eastAsia="Aptos" w:cs="Arial"/>
        </w:rPr>
        <w:t xml:space="preserve"> zadužena su da</w:t>
      </w:r>
      <w:r>
        <w:rPr>
          <w:rFonts w:eastAsia="Aptos" w:cs="Arial"/>
        </w:rPr>
        <w:t xml:space="preserve"> </w:t>
      </w:r>
      <w:r w:rsidRPr="004D4AE3">
        <w:rPr>
          <w:rFonts w:eastAsia="Aptos" w:cs="Arial"/>
        </w:rPr>
        <w:t>informišu partnere o nacionalnim prioritetima sadržanim u relevantnim planskim i programskim dokumentima</w:t>
      </w:r>
      <w:r w:rsidR="00233510">
        <w:rPr>
          <w:rFonts w:eastAsia="Aptos" w:cs="Arial"/>
        </w:rPr>
        <w:t>,</w:t>
      </w:r>
      <w:r>
        <w:rPr>
          <w:rFonts w:eastAsia="Aptos" w:cs="Arial"/>
        </w:rPr>
        <w:t xml:space="preserve"> </w:t>
      </w:r>
      <w:r w:rsidRPr="004D4AE3">
        <w:rPr>
          <w:rFonts w:eastAsia="Aptos" w:cs="Arial"/>
        </w:rPr>
        <w:t>uključe partnere u izradu Strateškog odgovora za IPA III koji definiše nacionalne prioritete za finansiranje</w:t>
      </w:r>
      <w:r w:rsidR="00233510">
        <w:rPr>
          <w:rFonts w:eastAsia="Aptos" w:cs="Arial"/>
        </w:rPr>
        <w:t>,</w:t>
      </w:r>
      <w:r>
        <w:rPr>
          <w:rFonts w:eastAsia="Aptos" w:cs="Arial"/>
        </w:rPr>
        <w:t xml:space="preserve"> </w:t>
      </w:r>
      <w:r w:rsidRPr="004D4AE3">
        <w:rPr>
          <w:rFonts w:eastAsia="Aptos" w:cs="Arial"/>
        </w:rPr>
        <w:t>uključe partnere u pripremu programskih dokumenata.</w:t>
      </w:r>
      <w:r>
        <w:rPr>
          <w:rFonts w:eastAsia="Aptos" w:cs="Arial"/>
        </w:rPr>
        <w:t xml:space="preserve"> </w:t>
      </w:r>
      <w:r w:rsidRPr="004D4AE3">
        <w:rPr>
          <w:rFonts w:eastAsia="Aptos" w:cs="Arial"/>
        </w:rPr>
        <w:t xml:space="preserve">Sastanci </w:t>
      </w:r>
      <w:r w:rsidR="00C17022">
        <w:rPr>
          <w:rFonts w:eastAsia="Aptos" w:cs="Arial"/>
        </w:rPr>
        <w:t>SRG</w:t>
      </w:r>
      <w:r w:rsidRPr="004D4AE3">
        <w:rPr>
          <w:rFonts w:eastAsia="Aptos" w:cs="Arial"/>
        </w:rPr>
        <w:t xml:space="preserve">-ova zakazuju se u skladu s kalendarom programiranja i po potrebi se održavaju na odlučujućem i na tehničkom nivou. Treba napomenuti da mehanizam </w:t>
      </w:r>
      <w:r w:rsidR="00C17022">
        <w:rPr>
          <w:rFonts w:eastAsia="Aptos" w:cs="Arial"/>
        </w:rPr>
        <w:t>SRG</w:t>
      </w:r>
      <w:r w:rsidRPr="004D4AE3">
        <w:rPr>
          <w:rFonts w:eastAsia="Aptos" w:cs="Arial"/>
        </w:rPr>
        <w:t>-</w:t>
      </w:r>
      <w:r w:rsidRPr="004D4AE3">
        <w:rPr>
          <w:rFonts w:eastAsia="Aptos" w:cs="Arial"/>
        </w:rPr>
        <w:lastRenderedPageBreak/>
        <w:t xml:space="preserve">ova nije koncipiran da u potpunosti prati Evropski kodeks ponašanja </w:t>
      </w:r>
      <w:r w:rsidR="004B7ADD">
        <w:rPr>
          <w:rFonts w:eastAsia="Aptos" w:cs="Arial"/>
        </w:rPr>
        <w:t>za</w:t>
      </w:r>
      <w:r w:rsidRPr="004D4AE3">
        <w:rPr>
          <w:rFonts w:eastAsia="Aptos" w:cs="Arial"/>
        </w:rPr>
        <w:t xml:space="preserve"> partnerstv</w:t>
      </w:r>
      <w:r w:rsidR="004B7ADD">
        <w:rPr>
          <w:rFonts w:eastAsia="Aptos" w:cs="Arial"/>
        </w:rPr>
        <w:t>o</w:t>
      </w:r>
      <w:r w:rsidRPr="004D4AE3">
        <w:rPr>
          <w:rFonts w:eastAsia="Aptos" w:cs="Arial"/>
        </w:rPr>
        <w:t>, već se zasniva na zakonskim uslovima za IPA utvrđenim Okvirnim sporazumom za IPA II i FFPA-om za IPA III</w:t>
      </w:r>
      <w:r w:rsidR="00233510" w:rsidRPr="00B83578">
        <w:rPr>
          <w:rFonts w:eastAsia="Aptos" w:cs="Arial"/>
          <w:vertAlign w:val="superscript"/>
        </w:rPr>
        <w:footnoteReference w:id="37"/>
      </w:r>
      <w:r w:rsidRPr="004D4AE3">
        <w:rPr>
          <w:rFonts w:eastAsia="Aptos" w:cs="Arial"/>
        </w:rPr>
        <w:t>.</w:t>
      </w:r>
    </w:p>
    <w:p w14:paraId="6361329E" w14:textId="316AD1EC" w:rsidR="00233510" w:rsidRDefault="00233510" w:rsidP="00DD7EEE">
      <w:pPr>
        <w:rPr>
          <w:rFonts w:eastAsia="Aptos" w:cs="Arial"/>
        </w:rPr>
      </w:pPr>
      <w:r w:rsidRPr="00233510">
        <w:rPr>
          <w:rFonts w:eastAsia="Aptos" w:cs="Arial"/>
        </w:rPr>
        <w:t>U skladu sa Programskim okvirom IPA III, bilateralne godišnje ak</w:t>
      </w:r>
      <w:r>
        <w:rPr>
          <w:rFonts w:eastAsia="Aptos" w:cs="Arial"/>
        </w:rPr>
        <w:t>tivnosti</w:t>
      </w:r>
      <w:r w:rsidRPr="00233510">
        <w:rPr>
          <w:rFonts w:eastAsia="Aptos" w:cs="Arial"/>
        </w:rPr>
        <w:t xml:space="preserve"> pripremaju se prema dvostepenom programskom postupku. U prvoj fazi priprema se strateški odgovor koji opisuje kako su njihove ukupne politike i sektorske strategije usklađene sa preporukama i zahtjevima specifičnih instrumenata politike procesa proširenja i kako bi predložene akcije doprinijele ciljevima Programskog okvira IPA III. Komisija zatim vrši prvi odabir ak</w:t>
      </w:r>
      <w:r w:rsidR="00632325">
        <w:rPr>
          <w:rFonts w:eastAsia="Aptos" w:cs="Arial"/>
        </w:rPr>
        <w:t>tivnosti</w:t>
      </w:r>
      <w:r w:rsidRPr="00233510">
        <w:rPr>
          <w:rFonts w:eastAsia="Aptos" w:cs="Arial"/>
        </w:rPr>
        <w:t xml:space="preserve"> koje su predstavili korisnici IPA-e na osnovu njihove političke relevantnosti. Izabrane ak</w:t>
      </w:r>
      <w:r w:rsidR="00632325">
        <w:rPr>
          <w:rFonts w:eastAsia="Aptos" w:cs="Arial"/>
        </w:rPr>
        <w:t>tivnosti</w:t>
      </w:r>
      <w:r w:rsidRPr="00233510">
        <w:rPr>
          <w:rFonts w:eastAsia="Aptos" w:cs="Arial"/>
        </w:rPr>
        <w:t xml:space="preserve"> korisnici IPA III dalje razrađuju u kompletne akcione dokumente. Komisija potom vrši drugi odabir na osnovu tehničke zrelosti. Samo one ak</w:t>
      </w:r>
      <w:r w:rsidR="00632325">
        <w:rPr>
          <w:rFonts w:eastAsia="Aptos" w:cs="Arial"/>
        </w:rPr>
        <w:t>tivnosti</w:t>
      </w:r>
      <w:r w:rsidRPr="00233510">
        <w:rPr>
          <w:rFonts w:eastAsia="Aptos" w:cs="Arial"/>
        </w:rPr>
        <w:t xml:space="preserve"> koje su dovoljno tehnički zrele smatraju se spremnim za usvajanje. Ovaj pristup programiranju revidiran je za period 2025–2027, gdje nije postojala prva faza, a ažurirani Strateški odgovor i Akcioni dokumenti pripremaju se paralelno.</w:t>
      </w:r>
    </w:p>
    <w:p w14:paraId="48AD750B" w14:textId="58B6470F" w:rsidR="00632325" w:rsidRDefault="00632325" w:rsidP="00632325">
      <w:pPr>
        <w:rPr>
          <w:rFonts w:eastAsia="Aptos" w:cs="Arial"/>
        </w:rPr>
      </w:pPr>
      <w:r w:rsidRPr="00632325">
        <w:rPr>
          <w:rFonts w:eastAsia="Aptos" w:cs="Arial"/>
        </w:rPr>
        <w:t xml:space="preserve">U praksi, proces programiranja IPA III uglavnom nije pružio korisno iskustvo u pogledu priprema za programiranje u okviru Kohezionе politike niti se pokazao pogodnim za uspostavljanje partnerstva i potpuno participativnog pristupa programiranju, naročito kada je riječ o godišnjim akcijama. Ovo je prije svega posljedica kašnjenja u pokretanju programiranja, budući da je Programski okvir IPA III objavljen tek u decembru 2021, uspostavljanja proizvoljnih i često neizvodljivih rokova i promjena u pristupu koje nijesu bile u potpunosti razmotrene i usaglašene. To </w:t>
      </w:r>
      <w:r w:rsidRPr="00E136F2">
        <w:rPr>
          <w:rFonts w:eastAsia="Aptos" w:cs="Arial"/>
        </w:rPr>
        <w:t>je dodatno pogoršano činjenicom da je Godišnji akcioni program IPA 2023 obuhvatao isključivo doprinos Paketu podrške energetici Zapadnog Balkana, usljed</w:t>
      </w:r>
      <w:r w:rsidRPr="00632325">
        <w:rPr>
          <w:rFonts w:eastAsia="Aptos" w:cs="Arial"/>
        </w:rPr>
        <w:t xml:space="preserve"> energetske krize izazvane ruskim agresorskim ratom protiv Ukrajine, kao i time što je nacionalnim IPA koordinatorima (</w:t>
      </w:r>
      <w:r w:rsidR="0086543E" w:rsidRPr="0086543E">
        <w:rPr>
          <w:rFonts w:eastAsia="Aptos" w:cs="Arial"/>
        </w:rPr>
        <w:t>NIPAK</w:t>
      </w:r>
      <w:r w:rsidRPr="00632325">
        <w:rPr>
          <w:rFonts w:eastAsia="Aptos" w:cs="Arial"/>
        </w:rPr>
        <w:t xml:space="preserve">) saopšteno da će programiranje IPA III </w:t>
      </w:r>
      <w:r w:rsidR="00477A44">
        <w:rPr>
          <w:rFonts w:eastAsia="Aptos" w:cs="Arial"/>
        </w:rPr>
        <w:t>podrške</w:t>
      </w:r>
      <w:r w:rsidRPr="00632325">
        <w:rPr>
          <w:rFonts w:eastAsia="Aptos" w:cs="Arial"/>
        </w:rPr>
        <w:t xml:space="preserve"> za 2025, 2026. i 2027. godinu biti obavljeno u jednoj, pojednostavljenoj vježbi, u kojoj je Komisija identifikovala ograničen broj prioritetnih oblasti i akcija za saradnju u periodu 2025–2027</w:t>
      </w:r>
      <w:r w:rsidRPr="00B83578">
        <w:rPr>
          <w:rFonts w:eastAsia="Aptos" w:cs="Arial"/>
          <w:vertAlign w:val="superscript"/>
        </w:rPr>
        <w:footnoteReference w:id="38"/>
      </w:r>
      <w:r w:rsidRPr="00632325">
        <w:rPr>
          <w:rFonts w:eastAsia="Aptos" w:cs="Arial"/>
        </w:rPr>
        <w:t xml:space="preserve">.Uz činjenicu da je pismo Komisije sa posebnim uputstvima za programiranje, uključujući programske prioritete za Crnu Goru, poslato 31. jula 2024, sa krajnjim rokom za dostavljanje dokumenata Komisiji 11. oktobra 2024, čime je Crnoj Gori ostavljeno 72 dana za </w:t>
      </w:r>
      <w:r w:rsidR="00A80895">
        <w:rPr>
          <w:rFonts w:eastAsia="Aptos" w:cs="Arial"/>
        </w:rPr>
        <w:t>implementaciju</w:t>
      </w:r>
      <w:r w:rsidRPr="00632325">
        <w:rPr>
          <w:rFonts w:eastAsia="Aptos" w:cs="Arial"/>
        </w:rPr>
        <w:t xml:space="preserve"> kompletnog procesa, jasno je da taj proces ne može da prati logiku programiranja u okviru Kohezionе politike. Dodatno, IPA programiranje ne obuhvata značajne oblasti koje podržavaju fondovi Kohezionе politike: infrastrukturni projekti velikih razmjera finansiraju se putem mehanizma WBIF, izvan logike programiranja fondova EU, što znači da je Crna Gora imala manje prilika za učenje kroz rad u oblasti konvergentnih prioriteta. Upotreba grant šema – glavnog mehanizma sprovođenja Kohezionе politike – bila je ograničena, a njihova primjena je dodatno obeshrabrivana za višegodišnje operativne programe IPA III 2024–2027, što je ponovo ograničilo mogućnosti za učenje kroz rad.</w:t>
      </w:r>
    </w:p>
    <w:p w14:paraId="1D915E4B" w14:textId="79ADB93D" w:rsidR="005040F3" w:rsidRPr="005040F3" w:rsidRDefault="005040F3" w:rsidP="005040F3">
      <w:pPr>
        <w:rPr>
          <w:rFonts w:eastAsia="Aptos" w:cs="Arial"/>
        </w:rPr>
      </w:pPr>
      <w:r w:rsidRPr="005040F3">
        <w:rPr>
          <w:rFonts w:eastAsia="Aptos" w:cs="Arial"/>
        </w:rPr>
        <w:t xml:space="preserve">Značajan dio sredstava IPA-e namijenjen je Prozorima 1 i 2 koji nijesu povezani sa </w:t>
      </w:r>
      <w:r>
        <w:rPr>
          <w:rFonts w:eastAsia="Aptos" w:cs="Arial"/>
        </w:rPr>
        <w:t>Kohezionom politikom</w:t>
      </w:r>
      <w:r w:rsidRPr="005040F3">
        <w:rPr>
          <w:rFonts w:eastAsia="Aptos" w:cs="Arial"/>
        </w:rPr>
        <w:t xml:space="preserve"> EU.</w:t>
      </w:r>
    </w:p>
    <w:p w14:paraId="6CDB2209" w14:textId="64F76C07" w:rsidR="005040F3" w:rsidRPr="005040F3" w:rsidRDefault="005040F3" w:rsidP="005040F3">
      <w:pPr>
        <w:rPr>
          <w:rFonts w:eastAsia="Aptos" w:cs="Arial"/>
        </w:rPr>
      </w:pPr>
      <w:r w:rsidRPr="005040F3">
        <w:rPr>
          <w:rFonts w:eastAsia="Aptos" w:cs="Arial"/>
        </w:rPr>
        <w:t>Za programiranje Kohezionе politike od većeg je značaja stečeno iskustvo u višegodišnjem programiranju u okviru IPA III. To obuhvata pripremu višegodišnjih Operativnih programa za period 2024–2027, programe prekogranične saradnje između korisničkih zemalja IPA-e programirane kao višegodišnji programi koji pok</w:t>
      </w:r>
      <w:r>
        <w:rPr>
          <w:rFonts w:eastAsia="Aptos" w:cs="Arial"/>
        </w:rPr>
        <w:t>ri</w:t>
      </w:r>
      <w:r w:rsidRPr="005040F3">
        <w:rPr>
          <w:rFonts w:eastAsia="Aptos" w:cs="Arial"/>
        </w:rPr>
        <w:t xml:space="preserve">vaju cijeli period sprovođenja IPA III, kao i </w:t>
      </w:r>
      <w:r w:rsidR="00477A44">
        <w:rPr>
          <w:rFonts w:eastAsia="Aptos" w:cs="Arial"/>
        </w:rPr>
        <w:t>podršku</w:t>
      </w:r>
      <w:r w:rsidRPr="005040F3">
        <w:rPr>
          <w:rFonts w:eastAsia="Aptos" w:cs="Arial"/>
        </w:rPr>
        <w:t xml:space="preserve"> za ruralni razvoj u okviru IPA III programiranu kao višegodišnji program koji obuhvata cjelokupan period </w:t>
      </w:r>
      <w:r>
        <w:rPr>
          <w:rFonts w:eastAsia="Aptos" w:cs="Arial"/>
        </w:rPr>
        <w:t>implementacije</w:t>
      </w:r>
      <w:r w:rsidRPr="005040F3">
        <w:rPr>
          <w:rFonts w:eastAsia="Aptos" w:cs="Arial"/>
        </w:rPr>
        <w:t xml:space="preserve"> IPA III.</w:t>
      </w:r>
    </w:p>
    <w:p w14:paraId="78B663B3" w14:textId="77777777" w:rsidR="005040F3" w:rsidRDefault="005040F3" w:rsidP="005040F3">
      <w:pPr>
        <w:rPr>
          <w:rFonts w:eastAsia="Aptos" w:cs="Arial"/>
        </w:rPr>
      </w:pPr>
      <w:r w:rsidRPr="005040F3">
        <w:rPr>
          <w:rFonts w:eastAsia="Aptos" w:cs="Arial"/>
        </w:rPr>
        <w:t>Do kraја 2023. godine pripremljena su dva višegodišnja Operativna programa (OP) za period 2024–2027.</w:t>
      </w:r>
    </w:p>
    <w:p w14:paraId="0DFEBE19" w14:textId="7AFC9E1E" w:rsidR="005040F3" w:rsidRDefault="005040F3" w:rsidP="00DD7EEE">
      <w:pPr>
        <w:rPr>
          <w:rFonts w:eastAsia="Aptos" w:cs="Arial"/>
        </w:rPr>
      </w:pPr>
      <w:r w:rsidRPr="005040F3">
        <w:rPr>
          <w:rFonts w:eastAsia="Aptos" w:cs="Arial"/>
        </w:rPr>
        <w:t>Kon</w:t>
      </w:r>
      <w:r>
        <w:rPr>
          <w:rFonts w:eastAsia="Aptos" w:cs="Arial"/>
        </w:rPr>
        <w:t>s</w:t>
      </w:r>
      <w:r w:rsidRPr="005040F3">
        <w:rPr>
          <w:rFonts w:eastAsia="Aptos" w:cs="Arial"/>
        </w:rPr>
        <w:t xml:space="preserve">ultativni i participativni pristup primijenjen je od početnih faza pripreme višegodišnjeg Operativnog programa „Zapošljavanje i socijalna </w:t>
      </w:r>
      <w:proofErr w:type="gramStart"/>
      <w:r w:rsidRPr="005040F3">
        <w:rPr>
          <w:rFonts w:eastAsia="Aptos" w:cs="Arial"/>
        </w:rPr>
        <w:t>inkluzija“</w:t>
      </w:r>
      <w:r w:rsidR="00B54ABB">
        <w:rPr>
          <w:rFonts w:eastAsia="Aptos" w:cs="Arial"/>
        </w:rPr>
        <w:t xml:space="preserve"> </w:t>
      </w:r>
      <w:r w:rsidRPr="005040F3">
        <w:rPr>
          <w:rFonts w:eastAsia="Aptos" w:cs="Arial"/>
        </w:rPr>
        <w:t>2024</w:t>
      </w:r>
      <w:proofErr w:type="gramEnd"/>
      <w:r w:rsidRPr="005040F3">
        <w:rPr>
          <w:rFonts w:eastAsia="Aptos" w:cs="Arial"/>
        </w:rPr>
        <w:t xml:space="preserve">–2027, uz smisleno uključivanje ekonomskih i socijalnih partnera i predstavnika civilnog društva. Formirana je Radna grupa koja uklјučuje predstavnike svih relevantnih </w:t>
      </w:r>
      <w:r>
        <w:rPr>
          <w:rFonts w:eastAsia="Aptos" w:cs="Arial"/>
        </w:rPr>
        <w:t>zainteresovanih strana</w:t>
      </w:r>
      <w:r w:rsidRPr="005040F3">
        <w:rPr>
          <w:rFonts w:eastAsia="Aptos" w:cs="Arial"/>
        </w:rPr>
        <w:t xml:space="preserve"> iz javne uprave, organizacija civilnog društva, socijalnih partnera i drugih zainteresovanih strana iz sektora zapošljavanja i socijalne politike, kako bi pružila pregled i komentare na uzastopne nacrte OP-a. Prvi sastanak Radne grupe 5. aprila 2023, na kojem je učestvovalo preko 40 relevantnih predstavnika/</w:t>
      </w:r>
      <w:r>
        <w:rPr>
          <w:rFonts w:eastAsia="Aptos" w:cs="Arial"/>
        </w:rPr>
        <w:t>zainteresovanih strana</w:t>
      </w:r>
      <w:r w:rsidRPr="005040F3">
        <w:rPr>
          <w:rFonts w:eastAsia="Aptos" w:cs="Arial"/>
        </w:rPr>
        <w:t>, pokrenuo je proces zajedničk</w:t>
      </w:r>
      <w:r>
        <w:rPr>
          <w:rFonts w:eastAsia="Aptos" w:cs="Arial"/>
        </w:rPr>
        <w:t>e</w:t>
      </w:r>
      <w:r w:rsidRPr="005040F3">
        <w:rPr>
          <w:rFonts w:eastAsia="Aptos" w:cs="Arial"/>
        </w:rPr>
        <w:t xml:space="preserve"> izrade OP-a. Proces izrade, koji su podržali eksperti angažovani kroz </w:t>
      </w:r>
      <w:r w:rsidR="00F6773D">
        <w:rPr>
          <w:rFonts w:eastAsia="Aptos" w:cs="Arial"/>
        </w:rPr>
        <w:t>tehničku pomoć</w:t>
      </w:r>
      <w:r w:rsidRPr="005040F3">
        <w:rPr>
          <w:rFonts w:eastAsia="Aptos" w:cs="Arial"/>
        </w:rPr>
        <w:t xml:space="preserve"> IPA 2020, obuhvatio je fokusirane </w:t>
      </w:r>
      <w:r w:rsidRPr="005040F3">
        <w:rPr>
          <w:rFonts w:eastAsia="Aptos" w:cs="Arial"/>
        </w:rPr>
        <w:lastRenderedPageBreak/>
        <w:t>pojedinačne konsultacije i zasebne sastanke sa relevantnim organima javne uprave i socijalnim partnerima, pored doprinosa Radne grupe</w:t>
      </w:r>
      <w:r w:rsidRPr="00B83578">
        <w:rPr>
          <w:rFonts w:eastAsia="Aptos" w:cs="Arial"/>
          <w:vertAlign w:val="superscript"/>
        </w:rPr>
        <w:footnoteReference w:id="39"/>
      </w:r>
      <w:r w:rsidRPr="005040F3">
        <w:rPr>
          <w:rFonts w:eastAsia="Aptos" w:cs="Arial"/>
        </w:rPr>
        <w:t>.</w:t>
      </w:r>
    </w:p>
    <w:p w14:paraId="5C3C9D87" w14:textId="787B375E" w:rsidR="005040F3" w:rsidRPr="005040F3" w:rsidRDefault="005040F3" w:rsidP="005040F3">
      <w:pPr>
        <w:rPr>
          <w:rFonts w:eastAsia="Aptos" w:cs="Arial"/>
        </w:rPr>
      </w:pPr>
      <w:r w:rsidRPr="005040F3">
        <w:rPr>
          <w:rFonts w:eastAsia="Aptos" w:cs="Arial"/>
        </w:rPr>
        <w:t xml:space="preserve">Proces konsultacija za pripremu višegodišnjeg Operativnog programa „Životna sredina i klimatske </w:t>
      </w:r>
      <w:proofErr w:type="gramStart"/>
      <w:r w:rsidRPr="005040F3">
        <w:rPr>
          <w:rFonts w:eastAsia="Aptos" w:cs="Arial"/>
        </w:rPr>
        <w:t>promjene“</w:t>
      </w:r>
      <w:r w:rsidR="003B2097">
        <w:rPr>
          <w:rFonts w:eastAsia="Aptos" w:cs="Arial"/>
        </w:rPr>
        <w:t xml:space="preserve"> </w:t>
      </w:r>
      <w:r w:rsidRPr="005040F3">
        <w:rPr>
          <w:rFonts w:eastAsia="Aptos" w:cs="Arial"/>
        </w:rPr>
        <w:t>započeo</w:t>
      </w:r>
      <w:proofErr w:type="gramEnd"/>
      <w:r w:rsidRPr="005040F3">
        <w:rPr>
          <w:rFonts w:eastAsia="Aptos" w:cs="Arial"/>
        </w:rPr>
        <w:t xml:space="preserve"> je u periodu april–jun 2022, kada je revidiran Strateški odgovor za Prozor 3 (Održiva povezanost i </w:t>
      </w:r>
      <w:r w:rsidR="00E945C0">
        <w:rPr>
          <w:rFonts w:eastAsia="Aptos" w:cs="Arial"/>
        </w:rPr>
        <w:t>z</w:t>
      </w:r>
      <w:r w:rsidRPr="005040F3">
        <w:rPr>
          <w:rFonts w:eastAsia="Aptos" w:cs="Arial"/>
        </w:rPr>
        <w:t xml:space="preserve">elena agenda), kroz nekoliko radnih sesija sa Sektorskom radnom grupom za Poglavlje 27. Sastanci i radne sesije sa ključnim akterima zaduženim za izradu i </w:t>
      </w:r>
      <w:r w:rsidR="00A80895">
        <w:rPr>
          <w:rFonts w:eastAsia="Aptos" w:cs="Arial"/>
        </w:rPr>
        <w:t>implementaciju</w:t>
      </w:r>
      <w:r w:rsidRPr="005040F3">
        <w:rPr>
          <w:rFonts w:eastAsia="Aptos" w:cs="Arial"/>
        </w:rPr>
        <w:t xml:space="preserve"> OP-a sprovedeni su 2023. godine od strane nadležnog ministarstva, kao i konsultacije sa opštinama.</w:t>
      </w:r>
    </w:p>
    <w:p w14:paraId="4DAC5009" w14:textId="77CF8D85" w:rsidR="005040F3" w:rsidRDefault="005040F3" w:rsidP="005040F3">
      <w:pPr>
        <w:rPr>
          <w:rFonts w:eastAsia="Aptos" w:cs="Arial"/>
        </w:rPr>
      </w:pPr>
      <w:r w:rsidRPr="005040F3">
        <w:rPr>
          <w:rFonts w:eastAsia="Aptos" w:cs="Arial"/>
        </w:rPr>
        <w:t xml:space="preserve">Posebna pažnja posvećena je uključivanju partnera iz </w:t>
      </w:r>
      <w:r w:rsidR="00CD0020">
        <w:rPr>
          <w:rFonts w:eastAsia="Aptos" w:cs="Arial"/>
        </w:rPr>
        <w:t>OCD</w:t>
      </w:r>
      <w:r w:rsidRPr="005040F3">
        <w:rPr>
          <w:rFonts w:eastAsia="Aptos" w:cs="Arial"/>
        </w:rPr>
        <w:t>-a kako bi se razmotrile njihove specifične potrebe. Članovi Radne grupe imali su priliku da ravnopravno učestvuju i daju prijedloge na OP, komentarišu radne materijale i predlože dopune i izmjene u okviru OP-a</w:t>
      </w:r>
      <w:r w:rsidR="00E945C0" w:rsidRPr="00B83578">
        <w:rPr>
          <w:rFonts w:eastAsia="Aptos" w:cs="Arial"/>
          <w:vertAlign w:val="superscript"/>
        </w:rPr>
        <w:footnoteReference w:id="40"/>
      </w:r>
      <w:r w:rsidRPr="005040F3">
        <w:rPr>
          <w:rFonts w:eastAsia="Aptos" w:cs="Arial"/>
        </w:rPr>
        <w:t>.</w:t>
      </w:r>
    </w:p>
    <w:p w14:paraId="444557FB" w14:textId="30CF088E" w:rsidR="005040F3" w:rsidRDefault="005040F3" w:rsidP="00DD7EEE">
      <w:pPr>
        <w:rPr>
          <w:rFonts w:eastAsia="Aptos" w:cs="Arial"/>
        </w:rPr>
      </w:pPr>
      <w:r w:rsidRPr="005040F3">
        <w:rPr>
          <w:rFonts w:eastAsia="Aptos" w:cs="Arial"/>
        </w:rPr>
        <w:t xml:space="preserve">Što se tiče </w:t>
      </w:r>
      <w:r w:rsidRPr="00E945C0">
        <w:rPr>
          <w:rFonts w:eastAsia="Aptos" w:cs="Arial"/>
          <w:b/>
        </w:rPr>
        <w:t>programa prekogranične saradnje (</w:t>
      </w:r>
      <w:r w:rsidR="00D858E0">
        <w:rPr>
          <w:rFonts w:eastAsia="Aptos" w:cs="Arial"/>
          <w:b/>
        </w:rPr>
        <w:t>PGS</w:t>
      </w:r>
      <w:r w:rsidRPr="00E945C0">
        <w:rPr>
          <w:rFonts w:eastAsia="Aptos" w:cs="Arial"/>
          <w:b/>
        </w:rPr>
        <w:t>) sa drugim korisničkim zemljama IPA-e</w:t>
      </w:r>
      <w:r w:rsidRPr="005040F3">
        <w:rPr>
          <w:rFonts w:eastAsia="Aptos" w:cs="Arial"/>
        </w:rPr>
        <w:t>, Crna Gora učestvuje u četiri bilateralna programa prekogranične saradnje: s Albanijom, Kosovom, Srbijom (sva tri programa u indirektnom upravljanju) i Bosnom i Hercegovinom (u direktnom upravljanju). Ministarstvo evropskih poslova (u vrijeme programiranja IPA III – Kancelarija za evropske integracije Vlade Crne Gore) zaduženo je za upravljanje programima teritorijalne saradnje u Crnoj Gori i koordinaciju procesa programiranja. Za sva četiri programa IPA III usvojen je zajednički pristup programiranju, uz podršku višekorisničkog projekta finansiranog od EU „</w:t>
      </w:r>
      <w:r w:rsidR="0032369C">
        <w:rPr>
          <w:rFonts w:eastAsia="Aptos" w:cs="Arial"/>
        </w:rPr>
        <w:t>Jačanje</w:t>
      </w:r>
      <w:r w:rsidRPr="005040F3">
        <w:rPr>
          <w:rFonts w:eastAsia="Aptos" w:cs="Arial"/>
        </w:rPr>
        <w:t xml:space="preserve"> institucija za prekograničnu saradnju – </w:t>
      </w:r>
      <w:r w:rsidR="0032369C">
        <w:rPr>
          <w:rFonts w:eastAsia="Aptos" w:cs="Arial"/>
        </w:rPr>
        <w:t>JIPS</w:t>
      </w:r>
      <w:r w:rsidRPr="005040F3">
        <w:rPr>
          <w:rFonts w:eastAsia="Aptos" w:cs="Arial"/>
        </w:rPr>
        <w:t xml:space="preserve"> Plus faza </w:t>
      </w:r>
      <w:proofErr w:type="gramStart"/>
      <w:r w:rsidRPr="005040F3">
        <w:rPr>
          <w:rFonts w:eastAsia="Aptos" w:cs="Arial"/>
        </w:rPr>
        <w:t>III“ (</w:t>
      </w:r>
      <w:proofErr w:type="gramEnd"/>
      <w:r w:rsidR="0032369C">
        <w:rPr>
          <w:rFonts w:eastAsia="Aptos" w:cs="Arial"/>
        </w:rPr>
        <w:t>JIPS</w:t>
      </w:r>
      <w:r w:rsidRPr="005040F3">
        <w:rPr>
          <w:rFonts w:eastAsia="Aptos" w:cs="Arial"/>
        </w:rPr>
        <w:t xml:space="preserve">+3). Zajedničke radne grupe, s predstavnicima relevantnih državnih i lokalnih organa, formirane su 2020. godine radi pripreme Akcionog dokumenta svakog programa, </w:t>
      </w:r>
      <w:proofErr w:type="gramStart"/>
      <w:r w:rsidRPr="005040F3">
        <w:rPr>
          <w:rFonts w:eastAsia="Aptos" w:cs="Arial"/>
        </w:rPr>
        <w:t>a</w:t>
      </w:r>
      <w:proofErr w:type="gramEnd"/>
      <w:r w:rsidRPr="005040F3">
        <w:rPr>
          <w:rFonts w:eastAsia="Aptos" w:cs="Arial"/>
        </w:rPr>
        <w:t xml:space="preserve"> održane su i obuke za članove zajedničkih radnih grupa.</w:t>
      </w:r>
    </w:p>
    <w:p w14:paraId="130003A1" w14:textId="77777777" w:rsidR="005B7B3F" w:rsidRPr="005B7B3F" w:rsidRDefault="005B7B3F" w:rsidP="005B7B3F">
      <w:pPr>
        <w:rPr>
          <w:rFonts w:eastAsia="Aptos" w:cs="Arial"/>
        </w:rPr>
      </w:pPr>
      <w:r w:rsidRPr="005B7B3F">
        <w:rPr>
          <w:rFonts w:eastAsia="Aptos" w:cs="Arial"/>
        </w:rPr>
        <w:t>Proces programiranja sastojao se od sljedećih koraka:</w:t>
      </w:r>
    </w:p>
    <w:p w14:paraId="766D5B97" w14:textId="5267309F" w:rsidR="005B7B3F" w:rsidRPr="005B7B3F" w:rsidRDefault="005B7B3F" w:rsidP="005B7B3F">
      <w:pPr>
        <w:rPr>
          <w:rFonts w:eastAsia="Aptos" w:cs="Arial"/>
        </w:rPr>
      </w:pPr>
      <w:r w:rsidRPr="005B7B3F">
        <w:rPr>
          <w:rFonts w:eastAsia="Aptos" w:cs="Arial"/>
        </w:rPr>
        <w:t>i) priprema smjernica za programiranje sa detaljima o koracima i aktivnostima koje treba preduzeti</w:t>
      </w:r>
      <w:r>
        <w:rPr>
          <w:rFonts w:eastAsia="Aptos" w:cs="Arial"/>
        </w:rPr>
        <w:t>,</w:t>
      </w:r>
      <w:r w:rsidRPr="005B7B3F">
        <w:rPr>
          <w:rFonts w:eastAsia="Aptos" w:cs="Arial"/>
        </w:rPr>
        <w:t xml:space="preserve"> </w:t>
      </w:r>
      <w:proofErr w:type="gramStart"/>
      <w:r w:rsidRPr="005B7B3F">
        <w:rPr>
          <w:rFonts w:eastAsia="Aptos" w:cs="Arial"/>
        </w:rPr>
        <w:t xml:space="preserve">te </w:t>
      </w:r>
      <w:r>
        <w:rPr>
          <w:rFonts w:eastAsia="Aptos" w:cs="Arial"/>
        </w:rPr>
        <w:t xml:space="preserve"> </w:t>
      </w:r>
      <w:r w:rsidRPr="005B7B3F">
        <w:rPr>
          <w:rFonts w:eastAsia="Aptos" w:cs="Arial"/>
        </w:rPr>
        <w:t>detaljnim</w:t>
      </w:r>
      <w:proofErr w:type="gramEnd"/>
      <w:r w:rsidRPr="005B7B3F">
        <w:rPr>
          <w:rFonts w:eastAsia="Aptos" w:cs="Arial"/>
        </w:rPr>
        <w:t xml:space="preserve"> planom za izradu programskog dokumenta</w:t>
      </w:r>
    </w:p>
    <w:p w14:paraId="1CCF8CDB" w14:textId="045F9A11" w:rsidR="005B7B3F" w:rsidRPr="005B7B3F" w:rsidRDefault="005B7B3F" w:rsidP="005B7B3F">
      <w:pPr>
        <w:rPr>
          <w:rFonts w:eastAsia="Aptos" w:cs="Arial"/>
        </w:rPr>
      </w:pPr>
      <w:r w:rsidRPr="005B7B3F">
        <w:rPr>
          <w:rFonts w:eastAsia="Aptos" w:cs="Arial"/>
        </w:rPr>
        <w:t>ii) izrada nacrta analize stanja i SWOT-a na osnovu unosa korisnika, sekundarnih izvora i naučenih lekcija</w:t>
      </w:r>
    </w:p>
    <w:p w14:paraId="615B79D6" w14:textId="77777777" w:rsidR="005B7B3F" w:rsidRPr="005B7B3F" w:rsidRDefault="005B7B3F" w:rsidP="005B7B3F">
      <w:pPr>
        <w:rPr>
          <w:rFonts w:eastAsia="Aptos" w:cs="Arial"/>
        </w:rPr>
      </w:pPr>
      <w:r w:rsidRPr="005B7B3F">
        <w:rPr>
          <w:rFonts w:eastAsia="Aptos" w:cs="Arial"/>
        </w:rPr>
        <w:t>iii) identifikacija ključnih potreba i izazova programskog područja</w:t>
      </w:r>
    </w:p>
    <w:p w14:paraId="0D5DF424" w14:textId="77777777" w:rsidR="005B7B3F" w:rsidRPr="005B7B3F" w:rsidRDefault="005B7B3F" w:rsidP="005B7B3F">
      <w:pPr>
        <w:rPr>
          <w:rFonts w:eastAsia="Aptos" w:cs="Arial"/>
        </w:rPr>
      </w:pPr>
      <w:r w:rsidRPr="005B7B3F">
        <w:rPr>
          <w:rFonts w:eastAsia="Aptos" w:cs="Arial"/>
        </w:rPr>
        <w:t>iv) odabir tematskih prioriteta i razrada nacrta strategije uključujući specifične ciljeve/ishode, rezultate/izlaze, aktivnosti i indikatore</w:t>
      </w:r>
    </w:p>
    <w:p w14:paraId="686BC40B" w14:textId="77777777" w:rsidR="005B7B3F" w:rsidRPr="005B7B3F" w:rsidRDefault="005B7B3F" w:rsidP="005B7B3F">
      <w:pPr>
        <w:rPr>
          <w:rFonts w:eastAsia="Aptos" w:cs="Arial"/>
        </w:rPr>
      </w:pPr>
      <w:r w:rsidRPr="005B7B3F">
        <w:rPr>
          <w:rFonts w:eastAsia="Aptos" w:cs="Arial"/>
        </w:rPr>
        <w:t>v) izmjene programa u skladu sa komentarima relevantnih Zajedničkih radnih grupa.</w:t>
      </w:r>
    </w:p>
    <w:p w14:paraId="6413CB6E" w14:textId="77777777" w:rsidR="005B7B3F" w:rsidRPr="005B7B3F" w:rsidRDefault="005B7B3F" w:rsidP="005B7B3F">
      <w:pPr>
        <w:rPr>
          <w:rFonts w:eastAsia="Aptos" w:cs="Arial"/>
        </w:rPr>
      </w:pPr>
      <w:r w:rsidRPr="005B7B3F">
        <w:rPr>
          <w:rFonts w:eastAsia="Aptos" w:cs="Arial"/>
        </w:rPr>
        <w:t>Konsultacije sa relevantnim tijelima/institucijama/nadležnim organima u Crnoj Gori na nacionalnom i lokalnom nivou, kao i sa zainteresovanim stranama, sprovedene su u dvije ključne faze: i) Analiza stanja i SWOT za svaki program dostavljeni su nadležnim tijelima/institucijama u Crnoj Gori, a na osnovu dobijenih povratnih informacija izabrani/definisani su tematski prioriteti/specifični ciljevi; ii) Javne konsultacije održane su nakon izrade prvih nacrta kako bi se prikupili komentari i doprinos o odabranim strategijama. Glavni izazovi utvrđeni tokom ovog procesa programiranja bili su ograničenje na samo dva tematska prioriteta koja se mogu uključiti u strategije programa (od devet koje je prvobitno definisala EK), ograničena motivacija relevantnih institucija/zainteresovanih strana u Crnoj Gori da učestvuju u procesu konsultacija, kao i spoljašnja ograničenja povezana sa restrikcijama zbog COVID-19, što je dodatno iskomplikovalo proces programiranja.</w:t>
      </w:r>
    </w:p>
    <w:p w14:paraId="2FFE85FE" w14:textId="2A659512" w:rsidR="005B7B3F" w:rsidRDefault="005B7B3F" w:rsidP="005B7B3F">
      <w:pPr>
        <w:rPr>
          <w:rFonts w:eastAsia="Aptos" w:cs="Arial"/>
        </w:rPr>
      </w:pPr>
      <w:r w:rsidRPr="005B7B3F">
        <w:rPr>
          <w:rFonts w:eastAsia="Aptos" w:cs="Arial"/>
        </w:rPr>
        <w:t xml:space="preserve">IPA III </w:t>
      </w:r>
      <w:r w:rsidR="00477A44">
        <w:rPr>
          <w:rFonts w:eastAsia="Aptos" w:cs="Arial"/>
        </w:rPr>
        <w:t>podrška</w:t>
      </w:r>
      <w:r w:rsidRPr="005B7B3F">
        <w:rPr>
          <w:rFonts w:eastAsia="Aptos" w:cs="Arial"/>
        </w:rPr>
        <w:t xml:space="preserve"> za ruralni razvoj programira se kao višegodišnji program koji pokriva cijeli period sprovođenja IPA III. Obezbjeđuje se na osnovu relevantnih prioriteta utvrđenih u Okviru za programiranje IPA III i strategijama poljoprivrede i ruralnog razvoja svakog korisnika IPA III. Proces programiranja IPARD III slijedi jasne smjernice DG AGRI</w:t>
      </w:r>
      <w:r>
        <w:rPr>
          <w:rFonts w:eastAsia="Aptos" w:cs="Arial"/>
        </w:rPr>
        <w:t>-a</w:t>
      </w:r>
      <w:r w:rsidRPr="005B7B3F">
        <w:rPr>
          <w:rFonts w:eastAsia="Aptos" w:cs="Arial"/>
        </w:rPr>
        <w:t xml:space="preserve">, uključuje ex-ante evaluaciju i poštuje princip partnerstva primjenjiv na ovaj sektor. Imajući u vidu specifičnosti IPARD-a, za programiranje </w:t>
      </w:r>
      <w:r w:rsidR="003B2097">
        <w:rPr>
          <w:rFonts w:eastAsia="Aptos" w:cs="Arial"/>
        </w:rPr>
        <w:t>K</w:t>
      </w:r>
      <w:r w:rsidRPr="005B7B3F">
        <w:rPr>
          <w:rFonts w:eastAsia="Aptos" w:cs="Arial"/>
        </w:rPr>
        <w:t>ohezi</w:t>
      </w:r>
      <w:r>
        <w:rPr>
          <w:rFonts w:eastAsia="Aptos" w:cs="Arial"/>
        </w:rPr>
        <w:t>one</w:t>
      </w:r>
      <w:r w:rsidRPr="005B7B3F">
        <w:rPr>
          <w:rFonts w:eastAsia="Aptos" w:cs="Arial"/>
        </w:rPr>
        <w:t xml:space="preserve"> politike posebno je značajan participativni pristup programiranju i uspostavljeno partnerstvo</w:t>
      </w:r>
      <w:r w:rsidRPr="00B83578">
        <w:rPr>
          <w:vertAlign w:val="superscript"/>
        </w:rPr>
        <w:footnoteReference w:id="41"/>
      </w:r>
      <w:r w:rsidRPr="00B83578">
        <w:t>.</w:t>
      </w:r>
    </w:p>
    <w:p w14:paraId="43FBC0DE" w14:textId="69A277F5" w:rsidR="00DD7EEE" w:rsidRPr="00B83578" w:rsidRDefault="002627E3" w:rsidP="007875C5">
      <w:pPr>
        <w:pStyle w:val="Heading3"/>
      </w:pPr>
      <w:bookmarkStart w:id="32" w:name="_Toc201700314"/>
      <w:r>
        <w:lastRenderedPageBreak/>
        <w:t>INTERREG programi</w:t>
      </w:r>
      <w:bookmarkEnd w:id="32"/>
    </w:p>
    <w:p w14:paraId="111454C5" w14:textId="75666314" w:rsidR="005B7B3F" w:rsidRDefault="005B7B3F" w:rsidP="005B7B3F">
      <w:r>
        <w:t xml:space="preserve">Ministarstvo evropskih poslova – </w:t>
      </w:r>
      <w:r w:rsidR="0086543E" w:rsidRPr="0086543E">
        <w:t>NIPAK</w:t>
      </w:r>
      <w:r>
        <w:t xml:space="preserve"> kancelarija, koje djeluje u svojstvu Nacionalnog tijela (</w:t>
      </w:r>
      <w:r w:rsidR="00645072">
        <w:t>NT</w:t>
      </w:r>
      <w:r>
        <w:t xml:space="preserve">) u Crnoj Gori, ima centralnu ulogu u upravljanju i koordinaciji INTERREG programa. Nadležnosti </w:t>
      </w:r>
      <w:r w:rsidR="00645072">
        <w:t>NT</w:t>
      </w:r>
      <w:r>
        <w:t xml:space="preserve"> obuhvataju stratešku koordinaciju, kroz nadgledanje usklađenosti INTERREG programa sa nacionalnim razvojnim prioritetima i propisima EU, te programiranje i planiranje, posredstvom facilitiranja izrade samih programa.</w:t>
      </w:r>
    </w:p>
    <w:p w14:paraId="55453BA0" w14:textId="2B516719" w:rsidR="005B7B3F" w:rsidRDefault="005B7B3F" w:rsidP="005B7B3F">
      <w:r>
        <w:t xml:space="preserve">Kada je riječ o uravnoteženom učešću partnera i zainteresovanih strana u procesu programiranja i konsultacija, treba imati u vidu da je Crna Gora mala, centralizovana država bez regiona; samo kao primjer, u okviru programa IPA </w:t>
      </w:r>
      <w:r w:rsidR="00D858E0">
        <w:t>PGS</w:t>
      </w:r>
      <w:r>
        <w:t xml:space="preserve"> Hrvatska – Bosna i Hercegovina – Crna Gora, svega 8,6 % stanovništva programa nalazi se u Crnoj Gori, što utiče na brojčanu zastupljenost</w:t>
      </w:r>
      <w:r w:rsidRPr="00B83578">
        <w:rPr>
          <w:rFonts w:eastAsia="Aptos" w:cs="Arial"/>
          <w:vertAlign w:val="superscript"/>
        </w:rPr>
        <w:footnoteReference w:id="42"/>
      </w:r>
      <w:r>
        <w:t>. Takođe, ograničenja povezana sa COVID-19 pandemijom uticala su na programiranje za perspektivu 2021-2027. Na primjer, program Južni Jadran pripremljen je isključivo putem onlajn konsultacija, sa 101 učesnikom na fokusiranim sastancima, 136 učesnika na događaju javne konsultacije, 88 i 112 učesnika na onlajn javnim konsultacijama, te 475 ispitanika koji su odgovorili na evaluaciona pitanja upućena svim korisnicima iz perioda 2014-2020</w:t>
      </w:r>
      <w:r w:rsidR="004E687E" w:rsidRPr="00B83578">
        <w:rPr>
          <w:rFonts w:eastAsia="Aptos" w:cs="Arial"/>
          <w:vertAlign w:val="superscript"/>
        </w:rPr>
        <w:footnoteReference w:id="43"/>
      </w:r>
      <w:r>
        <w:t>.</w:t>
      </w:r>
    </w:p>
    <w:p w14:paraId="02A6BCBA" w14:textId="59F61AD7" w:rsidR="005B7B3F" w:rsidRDefault="005B7B3F" w:rsidP="005B7B3F">
      <w:r>
        <w:t>Što se tiče INTERREG B programa</w:t>
      </w:r>
      <w:r w:rsidR="004E687E" w:rsidRPr="00B83578">
        <w:rPr>
          <w:rFonts w:eastAsia="Aptos" w:cs="Arial"/>
          <w:vertAlign w:val="superscript"/>
        </w:rPr>
        <w:footnoteReference w:id="44"/>
      </w:r>
      <w:r>
        <w:t>, Crna Gora je učestvovala u programiranju Interreg Euro-Med, Interreg Dunavska regija i Interreg IPA Adrion za per</w:t>
      </w:r>
      <w:r w:rsidR="004E687E">
        <w:t>spektivu</w:t>
      </w:r>
      <w:r>
        <w:t xml:space="preserve"> 2021-2027. U tim slučajevima, nacionalna tijela odgovorna su za organizovanje i </w:t>
      </w:r>
      <w:r w:rsidR="004E687E">
        <w:t>omogućavanje</w:t>
      </w:r>
      <w:r>
        <w:t xml:space="preserve"> nacionalnog partnerstva i uključivanja zainteresovanih strana; to se sprovodi različitim modalitetima u zavisnosti od administrativne strukture (centralizacija, decentralizacija, regionalizacija nadležnosti) i broja </w:t>
      </w:r>
      <w:r w:rsidR="004E687E">
        <w:t>zainteresovanih</w:t>
      </w:r>
      <w:r>
        <w:t xml:space="preserve"> aktera na teritoriji. U Crnoj Gori predstavnici Zajednice opština imali su značajnu ulogu u procesu programiranja </w:t>
      </w:r>
      <w:r w:rsidR="00D858E0">
        <w:t>PGS</w:t>
      </w:r>
      <w:r>
        <w:t xml:space="preserve"> i Interreg programa. Iako nije bila uključena u programiranje INTERREG C programa za period 2021-2027, Crna Gora sada učestvuje u tim programima</w:t>
      </w:r>
      <w:r w:rsidR="004E687E" w:rsidRPr="00B83578">
        <w:rPr>
          <w:rFonts w:eastAsia="Aptos" w:cs="Arial"/>
          <w:vertAlign w:val="superscript"/>
        </w:rPr>
        <w:footnoteReference w:id="45"/>
      </w:r>
      <w:r>
        <w:t>, tako da će moći da bude dio narednog programskog ciklusa.</w:t>
      </w:r>
    </w:p>
    <w:p w14:paraId="2C22DB44" w14:textId="7F56B2F9" w:rsidR="00DD7EEE" w:rsidRPr="00B83578" w:rsidRDefault="005B7B3F" w:rsidP="005B7B3F">
      <w:pPr>
        <w:rPr>
          <w:sz w:val="16"/>
          <w:szCs w:val="16"/>
        </w:rPr>
      </w:pPr>
      <w:r>
        <w:t>Kroz konsolidovano iskustvo u razvoju programa, posebno onih prekograničnih sa državama članicama, crnogorske vlasti stekle su dragocjeno iskustvo i bolje razumijevanje procesa zajedničkog programiranja.</w:t>
      </w:r>
      <w:r w:rsidR="00DD7EEE" w:rsidRPr="00B83578" w:rsidDel="009243A6">
        <w:rPr>
          <w:sz w:val="16"/>
          <w:szCs w:val="16"/>
        </w:rPr>
        <w:t xml:space="preserve"> </w:t>
      </w:r>
    </w:p>
    <w:p w14:paraId="596C10E1" w14:textId="19B07D6C" w:rsidR="00DD7EEE" w:rsidRPr="00B83578" w:rsidRDefault="002627E3" w:rsidP="007875C5">
      <w:pPr>
        <w:pStyle w:val="Heading3"/>
      </w:pPr>
      <w:bookmarkStart w:id="33" w:name="_Toc201700315"/>
      <w:r>
        <w:t>Sažetak učešća partnera u procesima strateškog planiranja i programiranja</w:t>
      </w:r>
      <w:bookmarkEnd w:id="33"/>
    </w:p>
    <w:p w14:paraId="2A2F0A73" w14:textId="77777777" w:rsidR="004E687E" w:rsidRPr="004E687E" w:rsidRDefault="004E687E" w:rsidP="004E687E">
      <w:pPr>
        <w:rPr>
          <w:rFonts w:eastAsia="Aptos" w:cs="Arial"/>
        </w:rPr>
      </w:pPr>
      <w:r w:rsidRPr="004E687E">
        <w:rPr>
          <w:rFonts w:eastAsia="Aptos" w:cs="Arial"/>
        </w:rPr>
        <w:t xml:space="preserve">Kao što je prethodno prikazano, Crna Gora je uspostavila </w:t>
      </w:r>
      <w:r w:rsidRPr="004E687E">
        <w:rPr>
          <w:rFonts w:eastAsia="Aptos" w:cs="Arial"/>
          <w:b/>
        </w:rPr>
        <w:t>relativno sveobuhvatan okvir za višeslojno upravljanje</w:t>
      </w:r>
      <w:r w:rsidRPr="004E687E">
        <w:rPr>
          <w:rFonts w:eastAsia="Aptos" w:cs="Arial"/>
        </w:rPr>
        <w:t>, obezbjeđujući uključivanje lokalnih vlasti u nacionalno strateško planiranje, dok je uloga zainteresovanih strana i partnera u izradi strateških dokumenata normativno propisana, iako u praksi ovaj mehanizam treba dodatno unaprijediti. Uloga Zajednice opština u podršci koordinaciji između centralne i lokalne uprave dobro je uspostavljena i funkcioniše, ali je nivo angažmana lokalnih samouprava različit.</w:t>
      </w:r>
    </w:p>
    <w:p w14:paraId="1DBBD7EF" w14:textId="2D7ACC44" w:rsidR="00F81952" w:rsidRDefault="004E687E" w:rsidP="004E687E">
      <w:pPr>
        <w:rPr>
          <w:rFonts w:eastAsia="Aptos" w:cs="Arial"/>
        </w:rPr>
      </w:pPr>
      <w:r w:rsidRPr="004E687E">
        <w:rPr>
          <w:rFonts w:eastAsia="Aptos" w:cs="Arial"/>
        </w:rPr>
        <w:t>Ekonomski reform</w:t>
      </w:r>
      <w:r w:rsidR="00976048">
        <w:rPr>
          <w:rFonts w:eastAsia="Aptos" w:cs="Arial"/>
        </w:rPr>
        <w:t>sk</w:t>
      </w:r>
      <w:r w:rsidRPr="004E687E">
        <w:rPr>
          <w:rFonts w:eastAsia="Aptos" w:cs="Arial"/>
        </w:rPr>
        <w:t>i program prolazi kroz pun proces konsultacija i sadrži transparentnu analizu doprinosa zainteresovanih strana. Uključivanje partnera u programiranje fondova EU postepeno je unaprijeđeno, naročito u okviru višegodišnjih programa, iako su potrebni dodatni napori. Crna Gora je imala koristi od konsolidovanih praksi u INTERREG programiranju tokom uzastopnih finansijskih perspektiva.</w:t>
      </w:r>
    </w:p>
    <w:p w14:paraId="6352F4F7" w14:textId="020B3CCA" w:rsidR="00DD7EEE" w:rsidRPr="00B83578" w:rsidRDefault="00976048" w:rsidP="007875C5">
      <w:pPr>
        <w:pStyle w:val="Heading4"/>
      </w:pPr>
      <w:r>
        <w:lastRenderedPageBreak/>
        <w:t>Strateško planiranje teritorijalnog i lokalnog razvoja</w:t>
      </w:r>
    </w:p>
    <w:p w14:paraId="6B27D836" w14:textId="34D88BE9" w:rsidR="00F81952" w:rsidRPr="00F81952" w:rsidRDefault="00F81952" w:rsidP="00F81952">
      <w:pPr>
        <w:rPr>
          <w:rFonts w:eastAsia="Aptos" w:cs="Arial"/>
        </w:rPr>
      </w:pPr>
      <w:r w:rsidRPr="00F81952">
        <w:rPr>
          <w:rFonts w:eastAsia="Aptos" w:cs="Arial"/>
        </w:rPr>
        <w:t>Pravni okvir za politiku regionalnog razvoja uređen je Zakonom o regionalnom razvoju, koji definiše ciljeve politike regionalnog razvoja, principe podsticanja regionalnog razvoja, regije, dokumenta politike regionalnog razvoja, kao i klasifikaciju jedinica lokalne samouprave (opštin</w:t>
      </w:r>
      <w:r>
        <w:rPr>
          <w:rFonts w:eastAsia="Aptos" w:cs="Arial"/>
        </w:rPr>
        <w:t>e</w:t>
      </w:r>
      <w:r w:rsidRPr="00F81952">
        <w:rPr>
          <w:rFonts w:eastAsia="Aptos" w:cs="Arial"/>
        </w:rPr>
        <w:t>) prema Indeksu regionalnog razvoja i Indeksu konkurentnosti, podsticajne mjere, izvore finansiranja regionalnog razvoja i druga pitanja.</w:t>
      </w:r>
    </w:p>
    <w:p w14:paraId="4784A286" w14:textId="77777777" w:rsidR="00F81952" w:rsidRPr="00F81952" w:rsidRDefault="00F81952" w:rsidP="00F81952">
      <w:pPr>
        <w:rPr>
          <w:rFonts w:eastAsia="Aptos" w:cs="Arial"/>
        </w:rPr>
      </w:pPr>
      <w:r w:rsidRPr="00F81952">
        <w:rPr>
          <w:rFonts w:eastAsia="Aptos" w:cs="Arial"/>
        </w:rPr>
        <w:t xml:space="preserve">Opredijelivši se za politiku zasnovanu na principu „odozdo </w:t>
      </w:r>
      <w:proofErr w:type="gramStart"/>
      <w:r w:rsidRPr="00F81952">
        <w:rPr>
          <w:rFonts w:eastAsia="Aptos" w:cs="Arial"/>
        </w:rPr>
        <w:t>nagore“</w:t>
      </w:r>
      <w:proofErr w:type="gramEnd"/>
      <w:r w:rsidRPr="00F81952">
        <w:rPr>
          <w:rFonts w:eastAsia="Aptos" w:cs="Arial"/>
        </w:rPr>
        <w:t>, Vlada Crne Gore posmatra opštine kao glavne aktere razvoja, s namjerom da lokalne potrebe budu među nacionalnim prioritetima, dok opštine istovremeno preuzimaju odgovornost za kreiranje lokalne ekonomske politike. Stoga Zakon o regionalnom razvoju obavezuje sve opštine da pripreme budžetirani Strateški plan razvoja, dok Ministarstvo nadležno za ekonomski (sada regionalni) razvoj uređuje, prati i podržava ovaj proces.</w:t>
      </w:r>
    </w:p>
    <w:p w14:paraId="58A065A5" w14:textId="66A48DAD" w:rsidR="00F81952" w:rsidRDefault="00F81952" w:rsidP="00F81952">
      <w:pPr>
        <w:rPr>
          <w:rFonts w:eastAsia="Aptos" w:cs="Arial"/>
        </w:rPr>
      </w:pPr>
      <w:r w:rsidRPr="00F81952">
        <w:rPr>
          <w:rFonts w:eastAsia="Aptos" w:cs="Arial"/>
        </w:rPr>
        <w:t>Javna rasprava o novom Zakonu o regionalnom razvoju je završena</w:t>
      </w:r>
      <w:r w:rsidRPr="00B83578">
        <w:rPr>
          <w:rFonts w:eastAsia="Aptos" w:cs="Arial"/>
          <w:vertAlign w:val="superscript"/>
        </w:rPr>
        <w:footnoteReference w:id="46"/>
      </w:r>
      <w:r w:rsidRPr="00F81952">
        <w:rPr>
          <w:rFonts w:eastAsia="Aptos" w:cs="Arial"/>
        </w:rPr>
        <w:t>.</w:t>
      </w:r>
    </w:p>
    <w:p w14:paraId="0AEFF046" w14:textId="0BB1495C" w:rsidR="00F81952" w:rsidRDefault="00F81952" w:rsidP="00DD7EEE">
      <w:pPr>
        <w:rPr>
          <w:rFonts w:eastAsia="Aptos" w:cs="Arial"/>
        </w:rPr>
      </w:pPr>
      <w:r w:rsidRPr="00F81952">
        <w:rPr>
          <w:rFonts w:eastAsia="Aptos" w:cs="Arial"/>
        </w:rPr>
        <w:t>Finalni Izvještaj o sprovođenju Strategije regionalnog razvoja Crne Gore 2014–2020 ukazuje na prilično nizak nivo realizacije planiranih aktivnosti: samo 36% aktivnosti je u potpunosti sprovedeno, 30% djelimično, dok 25% nije uopšte realizovano. Posmatrano po regijama, najveći broj potpuno i djelimično realizovanih projekata zabilježen je na sjeveru. Ključni problemi bili su: nekompletna projektna dokumentacija i neriješeni imovinsko-pravni odnosi; duge tenderske procedure za pojedinačne infrastrukturne investicije;</w:t>
      </w:r>
      <w:r>
        <w:rPr>
          <w:rFonts w:eastAsia="Aptos" w:cs="Arial"/>
        </w:rPr>
        <w:t xml:space="preserve"> procedure za izdavanje raznih dozvola i saglasnosti; promjene u obimu i strukturi investicija; kao i</w:t>
      </w:r>
      <w:r w:rsidRPr="00F81952">
        <w:rPr>
          <w:rFonts w:eastAsia="Aptos" w:cs="Arial"/>
        </w:rPr>
        <w:t xml:space="preserve"> složene procedure odobravanja i sprovođenja programa koje finansira EU i drugi donatori. Dodatno, </w:t>
      </w:r>
      <w:r>
        <w:rPr>
          <w:rFonts w:eastAsia="Aptos" w:cs="Arial"/>
        </w:rPr>
        <w:t>implementaciju</w:t>
      </w:r>
      <w:r w:rsidRPr="00F81952">
        <w:rPr>
          <w:rFonts w:eastAsia="Aptos" w:cs="Arial"/>
        </w:rPr>
        <w:t xml:space="preserve"> tokom 2020. otežale su mjere zaštite javnog zdravlja zbog pandemije COVID-19. Strategija nije odgovorila na problem depopulacije</w:t>
      </w:r>
      <w:r>
        <w:rPr>
          <w:rFonts w:eastAsia="Aptos" w:cs="Arial"/>
        </w:rPr>
        <w:t>,</w:t>
      </w:r>
      <w:r w:rsidR="00287450">
        <w:rPr>
          <w:rFonts w:eastAsia="Aptos" w:cs="Arial"/>
        </w:rPr>
        <w:t xml:space="preserve"> gdje se</w:t>
      </w:r>
      <w:r>
        <w:rPr>
          <w:rFonts w:eastAsia="Aptos" w:cs="Arial"/>
        </w:rPr>
        <w:t xml:space="preserve"> </w:t>
      </w:r>
      <w:r w:rsidRPr="00F81952">
        <w:rPr>
          <w:rFonts w:eastAsia="Aptos" w:cs="Arial"/>
        </w:rPr>
        <w:t>negativan trend u sjevernoj regiji nastavio</w:t>
      </w:r>
      <w:r>
        <w:rPr>
          <w:rFonts w:eastAsia="Aptos" w:cs="Arial"/>
        </w:rPr>
        <w:t xml:space="preserve">, </w:t>
      </w:r>
      <w:r w:rsidRPr="00F81952">
        <w:rPr>
          <w:rFonts w:eastAsia="Aptos" w:cs="Arial"/>
        </w:rPr>
        <w:t xml:space="preserve">niti je </w:t>
      </w:r>
      <w:r w:rsidR="00287450">
        <w:rPr>
          <w:rFonts w:eastAsia="Aptos" w:cs="Arial"/>
        </w:rPr>
        <w:t xml:space="preserve">generalno </w:t>
      </w:r>
      <w:r w:rsidRPr="00F81952">
        <w:rPr>
          <w:rFonts w:eastAsia="Aptos" w:cs="Arial"/>
        </w:rPr>
        <w:t xml:space="preserve">značajno smanjila </w:t>
      </w:r>
      <w:r w:rsidR="00287450">
        <w:rPr>
          <w:rFonts w:eastAsia="Aptos" w:cs="Arial"/>
        </w:rPr>
        <w:t>razliku u niovu razvoja</w:t>
      </w:r>
      <w:r w:rsidRPr="00F81952">
        <w:rPr>
          <w:rFonts w:eastAsia="Aptos" w:cs="Arial"/>
        </w:rPr>
        <w:t xml:space="preserve"> među opštinama.</w:t>
      </w:r>
    </w:p>
    <w:p w14:paraId="2CE411E5" w14:textId="5D18D61F" w:rsidR="00DD7EEE" w:rsidRPr="00B83578" w:rsidRDefault="00287450" w:rsidP="00DD7EEE">
      <w:pPr>
        <w:rPr>
          <w:rFonts w:eastAsia="Aptos" w:cs="Arial"/>
        </w:rPr>
      </w:pPr>
      <w:r w:rsidRPr="00287450">
        <w:rPr>
          <w:rFonts w:eastAsia="Aptos" w:cs="Arial"/>
        </w:rPr>
        <w:t>Strategija regionalnog razvoja Crne Gore za period 2023–2027</w:t>
      </w:r>
      <w:r w:rsidRPr="00B83578">
        <w:rPr>
          <w:rFonts w:eastAsia="Aptos" w:cs="Arial"/>
          <w:vertAlign w:val="superscript"/>
        </w:rPr>
        <w:footnoteReference w:id="47"/>
      </w:r>
      <w:r w:rsidRPr="00287450">
        <w:rPr>
          <w:rFonts w:eastAsia="Aptos" w:cs="Arial"/>
        </w:rPr>
        <w:t xml:space="preserve"> (</w:t>
      </w:r>
      <w:r w:rsidR="00C17022">
        <w:rPr>
          <w:rFonts w:eastAsia="Aptos" w:cs="Arial"/>
        </w:rPr>
        <w:t>SRR</w:t>
      </w:r>
      <w:r w:rsidRPr="00287450">
        <w:rPr>
          <w:rFonts w:eastAsia="Aptos" w:cs="Arial"/>
        </w:rPr>
        <w:t>)</w:t>
      </w:r>
      <w:r w:rsidRPr="00287450">
        <w:rPr>
          <w:rFonts w:eastAsia="Aptos" w:cs="Arial"/>
          <w:vertAlign w:val="superscript"/>
        </w:rPr>
        <w:t xml:space="preserve"> </w:t>
      </w:r>
      <w:r w:rsidRPr="00287450">
        <w:rPr>
          <w:rFonts w:eastAsia="Aptos" w:cs="Arial"/>
        </w:rPr>
        <w:t>i prateći Akcioni plan za 2023. usvojeni su na sjednici Vlade 6. jula 2023. Cilj Strategije je smanjenje nezaposlenosti, siromaštva i migracija iz sjeverne regije te jačanje fiskaln</w:t>
      </w:r>
      <w:r>
        <w:rPr>
          <w:rFonts w:eastAsia="Aptos" w:cs="Arial"/>
        </w:rPr>
        <w:t>ih</w:t>
      </w:r>
      <w:r w:rsidRPr="00287450">
        <w:rPr>
          <w:rFonts w:eastAsia="Aptos" w:cs="Arial"/>
        </w:rPr>
        <w:t xml:space="preserve"> kapaciteta jedinica lokalne samouprave. Vizija definisana </w:t>
      </w:r>
      <w:r w:rsidR="00C17022">
        <w:rPr>
          <w:rFonts w:eastAsia="Aptos" w:cs="Arial"/>
        </w:rPr>
        <w:t>SRR</w:t>
      </w:r>
      <w:r w:rsidRPr="00287450">
        <w:rPr>
          <w:rFonts w:eastAsia="Aptos" w:cs="Arial"/>
        </w:rPr>
        <w:t xml:space="preserve">-om 2023–2027 jeste uravnoteženiji regionalni razvoj „po mjeri </w:t>
      </w:r>
      <w:proofErr w:type="gramStart"/>
      <w:r w:rsidRPr="00287450">
        <w:rPr>
          <w:rFonts w:eastAsia="Aptos" w:cs="Arial"/>
        </w:rPr>
        <w:t>čovjeka“</w:t>
      </w:r>
      <w:proofErr w:type="gramEnd"/>
      <w:r w:rsidRPr="00287450">
        <w:rPr>
          <w:rFonts w:eastAsia="Aptos" w:cs="Arial"/>
        </w:rPr>
        <w:t xml:space="preserve">, zasnovan na konkurentnosti, inovacijama, </w:t>
      </w:r>
      <w:r w:rsidR="00CA6030">
        <w:rPr>
          <w:rFonts w:eastAsia="Aptos" w:cs="Arial"/>
        </w:rPr>
        <w:t>unaprje</w:t>
      </w:r>
      <w:r w:rsidRPr="00287450">
        <w:rPr>
          <w:rFonts w:eastAsia="Aptos" w:cs="Arial"/>
        </w:rPr>
        <w:t xml:space="preserve">đenju ljudskog kapitala, digitalizaciji, dekarbonizaciji i socijalnoj uključenosti. Ipak, budući da je Crna Gora jedinstvena </w:t>
      </w:r>
      <w:r w:rsidR="00420726">
        <w:rPr>
          <w:rFonts w:eastAsia="Aptos" w:cs="Arial"/>
        </w:rPr>
        <w:t>TJZS</w:t>
      </w:r>
      <w:r w:rsidRPr="00287450">
        <w:rPr>
          <w:rFonts w:eastAsia="Aptos" w:cs="Arial"/>
        </w:rPr>
        <w:t xml:space="preserve">I, </w:t>
      </w:r>
      <w:r w:rsidR="00420726">
        <w:rPr>
          <w:rFonts w:eastAsia="Aptos" w:cs="Arial"/>
        </w:rPr>
        <w:t>TJZS</w:t>
      </w:r>
      <w:r w:rsidRPr="00287450">
        <w:rPr>
          <w:rFonts w:eastAsia="Aptos" w:cs="Arial"/>
        </w:rPr>
        <w:t xml:space="preserve">II i </w:t>
      </w:r>
      <w:r w:rsidR="00420726">
        <w:rPr>
          <w:rFonts w:eastAsia="Aptos" w:cs="Arial"/>
        </w:rPr>
        <w:t>TJZS</w:t>
      </w:r>
      <w:r w:rsidRPr="00287450">
        <w:rPr>
          <w:rFonts w:eastAsia="Aptos" w:cs="Arial"/>
        </w:rPr>
        <w:t xml:space="preserve">III regija, regionalna dimenzija svodi se na subnacionalne razlike na nivou opština. Izvještaj o </w:t>
      </w:r>
      <w:r>
        <w:rPr>
          <w:rFonts w:eastAsia="Aptos" w:cs="Arial"/>
        </w:rPr>
        <w:t xml:space="preserve">implementaciji </w:t>
      </w:r>
      <w:r w:rsidR="00C17022">
        <w:rPr>
          <w:rFonts w:eastAsia="Aptos" w:cs="Arial"/>
        </w:rPr>
        <w:t>SRR</w:t>
      </w:r>
      <w:r w:rsidRPr="00287450">
        <w:rPr>
          <w:rFonts w:eastAsia="Aptos" w:cs="Arial"/>
        </w:rPr>
        <w:t xml:space="preserve"> Akcionog plana za 2023. pokazuje viši nivo sprovođenja u odnosu na prethodnu Strategiju: 89% planiranih aktivnosti je u potpunosti ili djelimično realizovano. Kašnjenja pri početku realizacije preostalih aktivnosti uglavnom su povezana s organizacionim i kadrovskim promjenama usljed formiranja nove Vlade, dok su kašnjenja tokom </w:t>
      </w:r>
      <w:r>
        <w:rPr>
          <w:rFonts w:eastAsia="Aptos" w:cs="Arial"/>
        </w:rPr>
        <w:t xml:space="preserve">implementacije </w:t>
      </w:r>
      <w:r w:rsidRPr="00287450">
        <w:rPr>
          <w:rFonts w:eastAsia="Aptos" w:cs="Arial"/>
        </w:rPr>
        <w:t>nastala zbog: nedostatka administrativnih kapaciteta</w:t>
      </w:r>
      <w:r>
        <w:rPr>
          <w:rFonts w:eastAsia="Aptos" w:cs="Arial"/>
        </w:rPr>
        <w:t xml:space="preserve"> zbog promjene personala i organizacija; zahtjeva za dodatnim radom tokom implementacije projekta; neadekvatnog planiranja i neblagovremenih započinjanja aktivnosti; složenih procedura javnih nabavki; nerazrješenih imovinsko-pravnih odnosa i eksproprijacija; nedostatka finansijskih sredstava</w:t>
      </w:r>
      <w:r w:rsidR="00253EC5">
        <w:rPr>
          <w:rFonts w:eastAsia="Aptos" w:cs="Arial"/>
        </w:rPr>
        <w:t xml:space="preserve"> za realizaciju aktivnosti; nedostatka planske dokumentacije; nepoštovanja rokova od strane izvođača; nepredviđenih okolnosti i loših vremenskih uslova za izvođenje građevinskih radova; itd. Neke aktivnosti nijesu u potpunosti realizovane zbog nezainteresovanosti krajnjih korisnika, posebno kada je riječ o zajedničkoj saradnji.</w:t>
      </w:r>
    </w:p>
    <w:p w14:paraId="598390D0" w14:textId="6A73B689" w:rsidR="00253EC5" w:rsidRDefault="00253EC5" w:rsidP="00253EC5">
      <w:r>
        <w:t xml:space="preserve">Revizija </w:t>
      </w:r>
      <w:r w:rsidR="00C17022">
        <w:t>SRR</w:t>
      </w:r>
      <w:r>
        <w:t>-a planirana je za 2025. godinu.</w:t>
      </w:r>
    </w:p>
    <w:p w14:paraId="27577180" w14:textId="4352ABCA" w:rsidR="00253EC5" w:rsidRDefault="00253EC5" w:rsidP="00253EC5">
      <w:r>
        <w:t>Zakonom je uspostavljen Indeks regionalnog razvoja koji procjenjuje nivo razvijenosti na opštinskom nivou i može poslužiti kao osnova za teritorijalne analize. Takođe se na opštinskom nivou</w:t>
      </w:r>
      <w:r w:rsidRPr="00B83578">
        <w:rPr>
          <w:rFonts w:eastAsia="Aptos" w:cs="Arial"/>
          <w:vertAlign w:val="superscript"/>
        </w:rPr>
        <w:footnoteReference w:id="48"/>
      </w:r>
      <w:r>
        <w:t xml:space="preserve"> izrađuje i Indeks konkurentnosti.</w:t>
      </w:r>
    </w:p>
    <w:p w14:paraId="448F5482" w14:textId="086B223E" w:rsidR="00DD7EEE" w:rsidRPr="00B83578" w:rsidRDefault="00253EC5" w:rsidP="00253EC5">
      <w:r>
        <w:t xml:space="preserve">Planirano je da se 2025. izvrši revizija metodologija za Indeks regionalnog razvoja i Indeks konkurentnosti; to će biti urađeno i u cilju stvaranja važnog alata za implementaciju programa finansiranih iz fondova EU poslije pristupanja. Indikativno, ova revizija će podržati teritorijalne analize za programiranje i omogućiti </w:t>
      </w:r>
      <w:r>
        <w:lastRenderedPageBreak/>
        <w:t xml:space="preserve">nijansiraniji pristup prioritetizaciji projekata, određivanju stopa sufinansiranja i obezbjeđivanju podrške za predfinansiranje, čime će se doprinijeti smanjenju teritorijalnih </w:t>
      </w:r>
      <w:r w:rsidR="00C30F51" w:rsidRPr="00C30F51">
        <w:t>razlika</w:t>
      </w:r>
      <w:r w:rsidR="00BD1637" w:rsidRPr="00B83578">
        <w:rPr>
          <w:rFonts w:eastAsia="Aptos" w:cs="Arial"/>
          <w:vertAlign w:val="superscript"/>
        </w:rPr>
        <w:footnoteReference w:id="49"/>
      </w:r>
      <w:r>
        <w:t>.</w:t>
      </w:r>
      <w:r w:rsidR="00DD7EEE" w:rsidRPr="00B83578">
        <w:t xml:space="preserve"> </w:t>
      </w:r>
    </w:p>
    <w:p w14:paraId="7D557A39" w14:textId="6E006C44" w:rsidR="00DD7EEE" w:rsidRPr="00B83578" w:rsidRDefault="00BD1637" w:rsidP="00AA187A">
      <w:pPr>
        <w:pStyle w:val="Heading4"/>
      </w:pPr>
      <w:r>
        <w:t>Pravedna tranzicija</w:t>
      </w:r>
    </w:p>
    <w:p w14:paraId="307D8980" w14:textId="51CA1236" w:rsidR="00BD1637" w:rsidRDefault="00BD1637" w:rsidP="00DD7EEE">
      <w:pPr>
        <w:rPr>
          <w:rFonts w:eastAsia="Aptos" w:cs="Arial"/>
        </w:rPr>
      </w:pPr>
      <w:r w:rsidRPr="00BD1637">
        <w:rPr>
          <w:rFonts w:eastAsia="Aptos" w:cs="Arial"/>
        </w:rPr>
        <w:t xml:space="preserve">Usvajanjem UN Agende 2030 i naknadnom ratifikacijom Pariškog sporazuma 2017. godine, Crna Gora se obavezala da smanji ukupne nacionalne emisije gasova sa efektom staklene </w:t>
      </w:r>
      <w:proofErr w:type="gramStart"/>
      <w:r>
        <w:rPr>
          <w:rFonts w:eastAsia="Aptos" w:cs="Arial"/>
        </w:rPr>
        <w:t>ba</w:t>
      </w:r>
      <w:r w:rsidR="00E136F2">
        <w:rPr>
          <w:rFonts w:eastAsia="Aptos" w:cs="Arial"/>
        </w:rPr>
        <w:t>š</w:t>
      </w:r>
      <w:r>
        <w:rPr>
          <w:rFonts w:eastAsia="Aptos" w:cs="Arial"/>
        </w:rPr>
        <w:t>te(</w:t>
      </w:r>
      <w:proofErr w:type="gramEnd"/>
      <w:r>
        <w:rPr>
          <w:rFonts w:eastAsia="Aptos" w:cs="Arial"/>
        </w:rPr>
        <w:t>GNG)</w:t>
      </w:r>
      <w:r w:rsidRPr="00BD1637">
        <w:rPr>
          <w:rFonts w:eastAsia="Aptos" w:cs="Arial"/>
        </w:rPr>
        <w:t xml:space="preserve">. Na sjednici Ministarskog savjeta Energetske zajednice u decembru 2022. dogovoreno je da se ukupne nacionalne emisije </w:t>
      </w:r>
      <w:r>
        <w:rPr>
          <w:rFonts w:eastAsia="Aptos" w:cs="Arial"/>
        </w:rPr>
        <w:t>gasa sa efektom staklene ba</w:t>
      </w:r>
      <w:r w:rsidR="00E136F2">
        <w:rPr>
          <w:rFonts w:eastAsia="Aptos" w:cs="Arial"/>
        </w:rPr>
        <w:t>š</w:t>
      </w:r>
      <w:r>
        <w:rPr>
          <w:rFonts w:eastAsia="Aptos" w:cs="Arial"/>
        </w:rPr>
        <w:t xml:space="preserve">te </w:t>
      </w:r>
      <w:r w:rsidRPr="00BD1637">
        <w:rPr>
          <w:rFonts w:eastAsia="Aptos" w:cs="Arial"/>
        </w:rPr>
        <w:t>do 2030. godine smanje za 55 % u odnosu na baznu 1990. godinu. Kako je energetski sektor najveći emiter G</w:t>
      </w:r>
      <w:r>
        <w:rPr>
          <w:rFonts w:eastAsia="Aptos" w:cs="Arial"/>
        </w:rPr>
        <w:t>NG</w:t>
      </w:r>
      <w:r w:rsidRPr="00BD1637">
        <w:rPr>
          <w:rFonts w:eastAsia="Aptos" w:cs="Arial"/>
        </w:rPr>
        <w:t xml:space="preserve">-a u Crnoj Gori, mjere dekarbonizacije prvenstveno su usmjerene na ovaj sektor. Ostvarivanje navedenog cilja uticaće na životni standard, naročito u pljevaljskom regionu, koji zavisi od Rudnika uglja i Termoelektrane. </w:t>
      </w:r>
    </w:p>
    <w:p w14:paraId="57906B8C" w14:textId="5A7AB4F9" w:rsidR="00BD1637" w:rsidRDefault="00BD1637" w:rsidP="00DD7EEE">
      <w:pPr>
        <w:rPr>
          <w:rFonts w:eastAsia="Aptos" w:cs="Arial"/>
        </w:rPr>
      </w:pPr>
      <w:r w:rsidRPr="00BD1637">
        <w:rPr>
          <w:rFonts w:eastAsia="Aptos" w:cs="Arial"/>
        </w:rPr>
        <w:t>Nacrt Nacionalnog energetskog i klimatskog plana dostavljen je Energetskoj zajednici u decembru 2024. godine, sa revidiranim ciljevima.</w:t>
      </w:r>
    </w:p>
    <w:p w14:paraId="7F339800" w14:textId="2D10D067" w:rsidR="004A560C" w:rsidRPr="004A560C" w:rsidRDefault="004A560C" w:rsidP="004A560C">
      <w:pPr>
        <w:rPr>
          <w:rFonts w:eastAsia="Aptos" w:cs="Arial"/>
        </w:rPr>
      </w:pPr>
      <w:r w:rsidRPr="004A560C">
        <w:rPr>
          <w:rFonts w:eastAsia="Aptos" w:cs="Arial"/>
        </w:rPr>
        <w:t>Radi obezbjeđivanja pravedne tranzicije</w:t>
      </w:r>
      <w:r w:rsidR="00585AC1" w:rsidRPr="00B83578">
        <w:rPr>
          <w:rFonts w:eastAsia="Aptos" w:cs="Arial"/>
          <w:vertAlign w:val="superscript"/>
        </w:rPr>
        <w:footnoteReference w:id="50"/>
      </w:r>
      <w:r w:rsidRPr="004A560C">
        <w:rPr>
          <w:rFonts w:eastAsia="Aptos" w:cs="Arial"/>
        </w:rPr>
        <w:t xml:space="preserve"> za pljevaljski</w:t>
      </w:r>
      <w:r>
        <w:rPr>
          <w:rFonts w:eastAsia="Aptos" w:cs="Arial"/>
        </w:rPr>
        <w:t xml:space="preserve"> </w:t>
      </w:r>
      <w:r w:rsidRPr="004A560C">
        <w:rPr>
          <w:rFonts w:eastAsia="Aptos" w:cs="Arial"/>
        </w:rPr>
        <w:t>region</w:t>
      </w:r>
      <w:r>
        <w:rPr>
          <w:rFonts w:eastAsia="Aptos" w:cs="Arial"/>
        </w:rPr>
        <w:t xml:space="preserve"> bogat ugljem</w:t>
      </w:r>
      <w:r w:rsidRPr="004A560C">
        <w:rPr>
          <w:rFonts w:eastAsia="Aptos" w:cs="Arial"/>
        </w:rPr>
        <w:t xml:space="preserve">, Vlada Crne Gore je, putem </w:t>
      </w:r>
      <w:r w:rsidRPr="00511126">
        <w:rPr>
          <w:rFonts w:eastAsia="Aptos" w:cs="Arial"/>
        </w:rPr>
        <w:t>Nacionalnog savjeta za održivi razvoj i Kancelarije za održivi razvoj/Generalnog sekretarijata Vlade, preduzela više koraka. U okviru Nacionalnog savjeta za održivi razvoj formirana je Radna grupa za pravednu tranziciju</w:t>
      </w:r>
      <w:r w:rsidRPr="004A560C">
        <w:rPr>
          <w:rFonts w:eastAsia="Aptos" w:cs="Arial"/>
        </w:rPr>
        <w:t xml:space="preserve"> u čijem sastavu se nalaze predstavnici nadležnih resornih ministarstava, opštine Pljevlja, Privredne komore, elektroenergetske kompanije, rudnika uglja, termoelektrane, sindikata, Agencije za zaštitu životne sredine, univerziteta, državnih fondova, Zavoda za zapošljavanje, medija, nezavisnih stručnjaka, civilnog društva, međunarodnih partnera i Evropske komisije. Zadaci radne grupe obuhvataju:</w:t>
      </w:r>
      <w:r>
        <w:rPr>
          <w:rFonts w:eastAsia="Aptos" w:cs="Arial"/>
        </w:rPr>
        <w:t xml:space="preserve"> </w:t>
      </w:r>
      <w:r w:rsidRPr="004A560C">
        <w:rPr>
          <w:rFonts w:eastAsia="Aptos" w:cs="Arial"/>
        </w:rPr>
        <w:t>sprovođenje socio-ekonomske analize pljevaljskog regiona</w:t>
      </w:r>
      <w:r>
        <w:rPr>
          <w:rFonts w:eastAsia="Aptos" w:cs="Arial"/>
        </w:rPr>
        <w:t xml:space="preserve"> bogatog ugljem</w:t>
      </w:r>
      <w:r w:rsidRPr="004A560C">
        <w:rPr>
          <w:rFonts w:eastAsia="Aptos" w:cs="Arial"/>
        </w:rPr>
        <w:t xml:space="preserve"> i procjenu potencijalnih efekata postepenog smanjenja zavisnosti od uglja na opštinu Pljevlja</w:t>
      </w:r>
      <w:r>
        <w:rPr>
          <w:rFonts w:eastAsia="Aptos" w:cs="Arial"/>
        </w:rPr>
        <w:t xml:space="preserve">, </w:t>
      </w:r>
      <w:r w:rsidRPr="004A560C">
        <w:rPr>
          <w:rFonts w:eastAsia="Aptos" w:cs="Arial"/>
        </w:rPr>
        <w:t>izradu nacionalne mape puta za pravednu tranziciju</w:t>
      </w:r>
      <w:r>
        <w:rPr>
          <w:rFonts w:eastAsia="Aptos" w:cs="Arial"/>
        </w:rPr>
        <w:t xml:space="preserve">, </w:t>
      </w:r>
      <w:r w:rsidRPr="004A560C">
        <w:rPr>
          <w:rFonts w:eastAsia="Aptos" w:cs="Arial"/>
        </w:rPr>
        <w:t>uspostavljanje saradnje i razmjenu iskustava sa donosiocima politika i zainteresovanim stranama na lokalnom i nacionalnom nivou</w:t>
      </w:r>
      <w:r>
        <w:rPr>
          <w:rFonts w:eastAsia="Aptos" w:cs="Arial"/>
        </w:rPr>
        <w:t xml:space="preserve">, </w:t>
      </w:r>
      <w:r w:rsidRPr="004A560C">
        <w:rPr>
          <w:rFonts w:eastAsia="Aptos" w:cs="Arial"/>
        </w:rPr>
        <w:t>promociju pitanja pravedne tranzicije</w:t>
      </w:r>
      <w:r>
        <w:rPr>
          <w:rFonts w:eastAsia="Aptos" w:cs="Arial"/>
        </w:rPr>
        <w:t>,</w:t>
      </w:r>
      <w:r w:rsidRPr="004A560C">
        <w:rPr>
          <w:rFonts w:eastAsia="Aptos" w:cs="Arial"/>
        </w:rPr>
        <w:t xml:space="preserve"> te</w:t>
      </w:r>
      <w:r>
        <w:rPr>
          <w:rFonts w:eastAsia="Aptos" w:cs="Arial"/>
        </w:rPr>
        <w:t xml:space="preserve"> </w:t>
      </w:r>
      <w:r w:rsidRPr="004A560C">
        <w:rPr>
          <w:rFonts w:eastAsia="Aptos" w:cs="Arial"/>
        </w:rPr>
        <w:t>organizovanje stručnih događaja o pravednoj tranziciji i klimatskoj neutralnosti.</w:t>
      </w:r>
    </w:p>
    <w:p w14:paraId="58B1D9C4" w14:textId="5F5C8DE6" w:rsidR="00DD7EEE" w:rsidRPr="00B83578" w:rsidRDefault="004A560C" w:rsidP="004A560C">
      <w:pPr>
        <w:rPr>
          <w:rFonts w:eastAsia="Aptos" w:cs="Arial"/>
        </w:rPr>
      </w:pPr>
      <w:r w:rsidRPr="00511126">
        <w:rPr>
          <w:rFonts w:eastAsia="Aptos" w:cs="Arial"/>
        </w:rPr>
        <w:t>Nakon izrade Socio-ekonomske dijagnostike pljevaljskog regiona</w:t>
      </w:r>
      <w:r w:rsidR="00585AC1" w:rsidRPr="00511126">
        <w:rPr>
          <w:rFonts w:eastAsia="Aptos" w:cs="Arial"/>
          <w:vertAlign w:val="superscript"/>
        </w:rPr>
        <w:footnoteReference w:id="51"/>
      </w:r>
      <w:r w:rsidRPr="00511126">
        <w:rPr>
          <w:rFonts w:eastAsia="Aptos" w:cs="Arial"/>
        </w:rPr>
        <w:t xml:space="preserve"> pripremljena je Mapa puta za pravednu tranziciju Crne Gore s ciljem da se razvije dugoročni strateški pristup čiji je glavni cilj ostvarivanje pravedne tranzicije ka klimatskoj neutralnosti u Crnoj Gori. Mapa puta je izrađena na participativan, transparentan i inkluzivan način, uz uključivanje stavova, briga i preporuka zainteresovanih strana, pri čemu je Radna grupa za pravednu tranziciju u okviru Nacionalnog savjeta za održivi razvoj pružala konkretne savjete i rukovodila procesom.</w:t>
      </w:r>
    </w:p>
    <w:p w14:paraId="053B551B" w14:textId="0878CE2B" w:rsidR="00585AC1" w:rsidRPr="00585AC1" w:rsidRDefault="00585AC1" w:rsidP="00585AC1">
      <w:pPr>
        <w:rPr>
          <w:rFonts w:eastAsia="Aptos" w:cs="Arial"/>
        </w:rPr>
      </w:pPr>
      <w:r w:rsidRPr="00585AC1">
        <w:rPr>
          <w:rFonts w:eastAsia="Aptos" w:cs="Arial"/>
        </w:rPr>
        <w:t>Mapa puta</w:t>
      </w:r>
      <w:r>
        <w:rPr>
          <w:rFonts w:eastAsia="Aptos" w:cs="Arial"/>
        </w:rPr>
        <w:t xml:space="preserve"> za pravednu tranziciju</w:t>
      </w:r>
      <w:r w:rsidRPr="00585AC1">
        <w:rPr>
          <w:rFonts w:eastAsia="Aptos" w:cs="Arial"/>
        </w:rPr>
        <w:t xml:space="preserve"> se fokusira na pet strateških ciljeva:</w:t>
      </w:r>
    </w:p>
    <w:p w14:paraId="503CB317" w14:textId="77777777" w:rsidR="00585AC1" w:rsidRPr="00585AC1" w:rsidRDefault="00585AC1" w:rsidP="00585AC1">
      <w:pPr>
        <w:rPr>
          <w:rFonts w:eastAsia="Aptos" w:cs="Arial"/>
        </w:rPr>
      </w:pPr>
      <w:r w:rsidRPr="00585AC1">
        <w:rPr>
          <w:rFonts w:eastAsia="Aptos" w:cs="Arial"/>
        </w:rPr>
        <w:t>• saradnja između političkih nivoa i zainteresovanih strana;</w:t>
      </w:r>
    </w:p>
    <w:p w14:paraId="43AF61BB" w14:textId="77777777" w:rsidR="00585AC1" w:rsidRPr="00585AC1" w:rsidRDefault="00585AC1" w:rsidP="00585AC1">
      <w:pPr>
        <w:rPr>
          <w:rFonts w:eastAsia="Aptos" w:cs="Arial"/>
        </w:rPr>
      </w:pPr>
      <w:r w:rsidRPr="00585AC1">
        <w:rPr>
          <w:rFonts w:eastAsia="Aptos" w:cs="Arial"/>
        </w:rPr>
        <w:t>• zapošljavanje, (pre)obuka i obrazovanje;</w:t>
      </w:r>
    </w:p>
    <w:p w14:paraId="3A451DBF" w14:textId="77777777" w:rsidR="00585AC1" w:rsidRPr="00585AC1" w:rsidRDefault="00585AC1" w:rsidP="00585AC1">
      <w:pPr>
        <w:rPr>
          <w:rFonts w:eastAsia="Aptos" w:cs="Arial"/>
        </w:rPr>
      </w:pPr>
      <w:r w:rsidRPr="00585AC1">
        <w:rPr>
          <w:rFonts w:eastAsia="Aptos" w:cs="Arial"/>
        </w:rPr>
        <w:t>• dekarbonizacija, energetski miks i energetska efikasnost;</w:t>
      </w:r>
    </w:p>
    <w:p w14:paraId="089307ED" w14:textId="77777777" w:rsidR="00585AC1" w:rsidRPr="00585AC1" w:rsidRDefault="00585AC1" w:rsidP="00585AC1">
      <w:pPr>
        <w:rPr>
          <w:rFonts w:eastAsia="Aptos" w:cs="Arial"/>
        </w:rPr>
      </w:pPr>
      <w:r w:rsidRPr="00585AC1">
        <w:rPr>
          <w:rFonts w:eastAsia="Aptos" w:cs="Arial"/>
        </w:rPr>
        <w:t>• ekonomski razvoj i diverzifikacija;</w:t>
      </w:r>
    </w:p>
    <w:p w14:paraId="0BA3B2EB" w14:textId="6E1B77D8" w:rsidR="00585AC1" w:rsidRPr="00585AC1" w:rsidRDefault="00585AC1" w:rsidP="00585AC1">
      <w:pPr>
        <w:rPr>
          <w:rFonts w:eastAsia="Aptos" w:cs="Arial"/>
        </w:rPr>
      </w:pPr>
      <w:r w:rsidRPr="00585AC1">
        <w:rPr>
          <w:rFonts w:eastAsia="Aptos" w:cs="Arial"/>
        </w:rPr>
        <w:t xml:space="preserve">• rodna ravnopravnost i </w:t>
      </w:r>
      <w:r>
        <w:rPr>
          <w:rFonts w:eastAsia="Aptos" w:cs="Arial"/>
        </w:rPr>
        <w:t>inkluzija</w:t>
      </w:r>
      <w:r w:rsidRPr="00585AC1">
        <w:rPr>
          <w:rFonts w:eastAsia="Aptos" w:cs="Arial"/>
        </w:rPr>
        <w:t xml:space="preserve"> mladih.</w:t>
      </w:r>
    </w:p>
    <w:p w14:paraId="633F6624" w14:textId="51BA4028" w:rsidR="00585AC1" w:rsidRPr="00511126" w:rsidRDefault="00585AC1" w:rsidP="00585AC1">
      <w:pPr>
        <w:rPr>
          <w:rFonts w:eastAsia="Aptos" w:cs="Arial"/>
        </w:rPr>
      </w:pPr>
      <w:r w:rsidRPr="00585AC1">
        <w:rPr>
          <w:rFonts w:eastAsia="Aptos" w:cs="Arial"/>
        </w:rPr>
        <w:t>Implementacija Mape puta biće detaljno razrađena u predstojećim akcionim planovima</w:t>
      </w:r>
      <w:r w:rsidRPr="00B83578">
        <w:rPr>
          <w:rFonts w:eastAsia="Aptos" w:cs="Arial"/>
          <w:vertAlign w:val="superscript"/>
        </w:rPr>
        <w:footnoteReference w:id="52"/>
      </w:r>
      <w:r w:rsidRPr="00585AC1">
        <w:rPr>
          <w:rFonts w:eastAsia="Aptos" w:cs="Arial"/>
        </w:rPr>
        <w:t>, a dod</w:t>
      </w:r>
      <w:r w:rsidRPr="00511126">
        <w:rPr>
          <w:rFonts w:eastAsia="Aptos" w:cs="Arial"/>
        </w:rPr>
        <w:t xml:space="preserve">atne informacije date su u poglavlju 4 dugoročnog </w:t>
      </w:r>
      <w:r w:rsidR="00B66006">
        <w:t>Plana aktivnosti</w:t>
      </w:r>
      <w:r w:rsidRPr="00511126">
        <w:rPr>
          <w:rFonts w:eastAsia="Aptos" w:cs="Arial"/>
        </w:rPr>
        <w:t>.</w:t>
      </w:r>
    </w:p>
    <w:p w14:paraId="1B569866" w14:textId="77777777" w:rsidR="00585AC1" w:rsidRDefault="00585AC1" w:rsidP="00585AC1">
      <w:pPr>
        <w:rPr>
          <w:rFonts w:eastAsia="Aptos" w:cs="Arial"/>
        </w:rPr>
      </w:pPr>
      <w:r w:rsidRPr="00511126">
        <w:rPr>
          <w:rFonts w:eastAsia="Aptos" w:cs="Arial"/>
        </w:rPr>
        <w:t>Kancelarija za održivi razvoj pri Generalnom sekretarijatu, kao Sekretarijat Nacionalnog savjeta za održivi razvoj, uz podršku UNDP-a pokrenula je nacionalni Dijalog o pravednoj tranziciji. Do sada su održana dva</w:t>
      </w:r>
      <w:r w:rsidRPr="00585AC1">
        <w:rPr>
          <w:rFonts w:eastAsia="Aptos" w:cs="Arial"/>
        </w:rPr>
        <w:t xml:space="preserve"> nacionalna dijaloga: prvi u martu 2023. u Podgorici, a drugi u martu 2024. u Pljevljima, okupivši širok spektar zainteresovanih strana na državnom nivou.</w:t>
      </w:r>
    </w:p>
    <w:p w14:paraId="54E1C954" w14:textId="754468FA" w:rsidR="00DD7EEE" w:rsidRPr="00B83578" w:rsidRDefault="00DD7EEE" w:rsidP="00AA187A">
      <w:pPr>
        <w:pStyle w:val="Heading4"/>
      </w:pPr>
      <w:r w:rsidRPr="00B83578">
        <w:lastRenderedPageBreak/>
        <w:t>Urban</w:t>
      </w:r>
      <w:r w:rsidR="003B191E">
        <w:t>i razvoj</w:t>
      </w:r>
    </w:p>
    <w:p w14:paraId="6EE565D0" w14:textId="4475A8AB" w:rsidR="003B191E" w:rsidRPr="00511126" w:rsidRDefault="003B191E" w:rsidP="003B191E">
      <w:pPr>
        <w:rPr>
          <w:rFonts w:eastAsia="Aptos" w:cs="Arial"/>
        </w:rPr>
      </w:pPr>
      <w:r w:rsidRPr="00511126">
        <w:rPr>
          <w:rFonts w:eastAsia="Aptos" w:cs="Arial"/>
        </w:rPr>
        <w:t>Iako se Crna Gora programu URBACT IV priključila tek 2023. godine, crnogorske opštine Berane, Bijelo Polje i Budva već sprovode četiri projekta u okviru jedne od URBACT akcija – Mreže za planiranje akcija (APN). Rad</w:t>
      </w:r>
      <w:r w:rsidRPr="003B191E">
        <w:rPr>
          <w:rFonts w:eastAsia="Aptos" w:cs="Arial"/>
        </w:rPr>
        <w:t xml:space="preserve"> APN-ova povezan je s Evropskom urbanom inicijativom, konkretno s razvojem kapaciteta gradova da zajednički osmišljavaju integrisane urbane akcione planove. Tri opštine realizuju projekte koji se odnose na klimatsku akciju, urbano planiranje, lokalnu ekonomiju i društvenu koheziju. Njihov cilj je da obezbijede bolje uslove života za građane, predvode transformativne promjene ka zelenijim i klimatski otpornijim gradovi</w:t>
      </w:r>
      <w:r w:rsidRPr="00511126">
        <w:rPr>
          <w:rFonts w:eastAsia="Aptos" w:cs="Arial"/>
        </w:rPr>
        <w:t>ma, jačaju društvene veze među generacijama i promovišu raznolikost. Poziv za Mreže za transfer inovacija (ITN) zatvoren je u martu 2024. godine, a jedna crnogorska opština uključena je u odabrani ITN.</w:t>
      </w:r>
    </w:p>
    <w:p w14:paraId="0975A0C9" w14:textId="539A5A6A" w:rsidR="00DD7EEE" w:rsidRPr="00511126" w:rsidRDefault="00DD7EEE" w:rsidP="00AA187A">
      <w:pPr>
        <w:pStyle w:val="Heading4"/>
      </w:pPr>
      <w:r w:rsidRPr="00511126">
        <w:t>Ter</w:t>
      </w:r>
      <w:r w:rsidR="003B191E" w:rsidRPr="00511126">
        <w:t>itorijalni instrumenti</w:t>
      </w:r>
    </w:p>
    <w:p w14:paraId="0A5474FF" w14:textId="10AFBD26" w:rsidR="003B191E" w:rsidRPr="00511126" w:rsidRDefault="003B191E" w:rsidP="00DD7EEE">
      <w:pPr>
        <w:rPr>
          <w:rFonts w:eastAsia="Aptos" w:cs="Arial"/>
        </w:rPr>
      </w:pPr>
      <w:r w:rsidRPr="00511126">
        <w:rPr>
          <w:rFonts w:eastAsia="Aptos" w:cs="Arial"/>
        </w:rPr>
        <w:t>Crnogorsko iskustvo u primjeni teritorijalnih instrumenata</w:t>
      </w:r>
      <w:r w:rsidRPr="00511126">
        <w:rPr>
          <w:rFonts w:eastAsia="Aptos" w:cs="Arial"/>
          <w:vertAlign w:val="superscript"/>
        </w:rPr>
        <w:footnoteReference w:id="53"/>
      </w:r>
      <w:r w:rsidRPr="00511126">
        <w:rPr>
          <w:rFonts w:eastAsia="Aptos" w:cs="Arial"/>
        </w:rPr>
        <w:t xml:space="preserve"> je veoma ograničeno. To prepoznaju i programi INTERREG IPA A, gdje upotreba teritorijalnih instrumenata, iako moguća, nije bila predviđena</w:t>
      </w:r>
      <w:r w:rsidRPr="00511126">
        <w:rPr>
          <w:rFonts w:eastAsia="Aptos" w:cs="Arial"/>
          <w:vertAlign w:val="superscript"/>
        </w:rPr>
        <w:footnoteReference w:id="54"/>
      </w:r>
      <w:r w:rsidRPr="00511126">
        <w:rPr>
          <w:rFonts w:eastAsia="Aptos" w:cs="Arial"/>
        </w:rPr>
        <w:t>. Program IPARD III takođe konstatuje nedostatak praktičnog znanja i svijesti o LEADER-u</w:t>
      </w:r>
      <w:r w:rsidRPr="00511126">
        <w:rPr>
          <w:rFonts w:eastAsia="Aptos" w:cs="Arial"/>
          <w:vertAlign w:val="superscript"/>
        </w:rPr>
        <w:footnoteReference w:id="55"/>
      </w:r>
      <w:r w:rsidRPr="00511126">
        <w:rPr>
          <w:rFonts w:eastAsia="Aptos" w:cs="Arial"/>
        </w:rPr>
        <w:t xml:space="preserve">  i Lokalnom razvoju </w:t>
      </w:r>
      <w:r w:rsidR="00C8498D" w:rsidRPr="00511126">
        <w:rPr>
          <w:rFonts w:eastAsia="Aptos" w:cs="Arial"/>
        </w:rPr>
        <w:t>pod vođstvom</w:t>
      </w:r>
      <w:r w:rsidRPr="00511126">
        <w:rPr>
          <w:rFonts w:eastAsia="Aptos" w:cs="Arial"/>
        </w:rPr>
        <w:t xml:space="preserve"> zajednic</w:t>
      </w:r>
      <w:r w:rsidR="00511126">
        <w:rPr>
          <w:rFonts w:eastAsia="Aptos" w:cs="Arial"/>
        </w:rPr>
        <w:t>e</w:t>
      </w:r>
      <w:r w:rsidRPr="00511126">
        <w:rPr>
          <w:rFonts w:eastAsia="Aptos" w:cs="Arial"/>
        </w:rPr>
        <w:t xml:space="preserve"> (</w:t>
      </w:r>
      <w:r w:rsidR="00AF5AA9">
        <w:rPr>
          <w:rFonts w:eastAsia="Aptos" w:cs="Arial"/>
        </w:rPr>
        <w:t>LRPVZ</w:t>
      </w:r>
      <w:r w:rsidRPr="00511126">
        <w:rPr>
          <w:rFonts w:eastAsia="Aptos" w:cs="Arial"/>
        </w:rPr>
        <w:t xml:space="preserve">). </w:t>
      </w:r>
    </w:p>
    <w:p w14:paraId="7F6A202D" w14:textId="011E8156" w:rsidR="003B191E" w:rsidRDefault="003B191E" w:rsidP="00DD7EEE">
      <w:pPr>
        <w:rPr>
          <w:rFonts w:eastAsia="Aptos" w:cs="Arial"/>
        </w:rPr>
      </w:pPr>
      <w:r w:rsidRPr="00511126">
        <w:rPr>
          <w:rFonts w:eastAsia="Aptos" w:cs="Arial"/>
        </w:rPr>
        <w:t>Indeks regionalnog razvoja i Indeks konkurentnosti obezbjeđuju relevantne</w:t>
      </w:r>
      <w:r w:rsidRPr="003B191E">
        <w:rPr>
          <w:rFonts w:eastAsia="Aptos" w:cs="Arial"/>
        </w:rPr>
        <w:t xml:space="preserve"> informacije koje mogu biti korisne za planiranje inicijativa teritorijalne integracije u okviru Kohezi</w:t>
      </w:r>
      <w:r>
        <w:rPr>
          <w:rFonts w:eastAsia="Aptos" w:cs="Arial"/>
        </w:rPr>
        <w:t>one</w:t>
      </w:r>
      <w:r w:rsidRPr="003B191E">
        <w:rPr>
          <w:rFonts w:eastAsia="Aptos" w:cs="Arial"/>
        </w:rPr>
        <w:t xml:space="preserve"> politike.</w:t>
      </w:r>
    </w:p>
    <w:p w14:paraId="719904C4" w14:textId="31D9146E" w:rsidR="00DD7EEE" w:rsidRPr="00B83578" w:rsidRDefault="00511126" w:rsidP="00AA187A">
      <w:pPr>
        <w:pStyle w:val="Heading4"/>
      </w:pPr>
      <w:r>
        <w:t>Iskustvo sa finansijskim instrumentima</w:t>
      </w:r>
      <w:r w:rsidR="00DD7EEE" w:rsidRPr="00B83578">
        <w:rPr>
          <w:rFonts w:eastAsia="Yu Gothic Light"/>
          <w:b/>
          <w:bCs/>
          <w:sz w:val="22"/>
          <w:vertAlign w:val="superscript"/>
        </w:rPr>
        <w:footnoteReference w:id="56"/>
      </w:r>
    </w:p>
    <w:p w14:paraId="79628E6E" w14:textId="3EAA01B7" w:rsidR="003B191E" w:rsidRPr="003B191E" w:rsidRDefault="003B191E" w:rsidP="003B191E">
      <w:pPr>
        <w:rPr>
          <w:rFonts w:eastAsia="Aptos" w:cs="Arial"/>
          <w:b/>
        </w:rPr>
      </w:pPr>
      <w:r w:rsidRPr="003B191E">
        <w:rPr>
          <w:rFonts w:eastAsia="Aptos" w:cs="Arial"/>
          <w:b/>
        </w:rPr>
        <w:t>Investiciono-razvojni fond Crne Gore (IRF CG)</w:t>
      </w:r>
      <w:r w:rsidRPr="003B191E">
        <w:rPr>
          <w:rFonts w:eastAsia="Aptos" w:cs="Arial"/>
          <w:vertAlign w:val="superscript"/>
        </w:rPr>
        <w:t xml:space="preserve"> </w:t>
      </w:r>
      <w:r w:rsidRPr="00B83578">
        <w:rPr>
          <w:rFonts w:eastAsia="Aptos" w:cs="Arial"/>
          <w:vertAlign w:val="superscript"/>
        </w:rPr>
        <w:footnoteReference w:id="57"/>
      </w:r>
      <w:r w:rsidRPr="00B83578">
        <w:rPr>
          <w:rFonts w:eastAsia="Aptos" w:cs="Arial"/>
        </w:rPr>
        <w:t xml:space="preserve"> </w:t>
      </w:r>
      <w:r w:rsidRPr="003B191E">
        <w:rPr>
          <w:rFonts w:eastAsia="Aptos" w:cs="Arial"/>
          <w:b/>
        </w:rPr>
        <w:t xml:space="preserve"> </w:t>
      </w:r>
      <w:r w:rsidRPr="003B191E">
        <w:rPr>
          <w:rFonts w:eastAsia="Aptos" w:cs="Arial"/>
        </w:rPr>
        <w:t>osnovan je Zakonom 2010. godine s ciljem podsticanja i olakšavanja ekonomskog razvoja Crne Gore. Osnovna misija Fonda je odobravanje kredita i izdavanje garancija, sprovođenje aktivnosti u vezi sa prodajom kapitala iz portfelja Fonda i obavljanje drugih poslova usmjerenih na podršku privrednom razvoju. Široko definisane osnovne djelatnosti i ciljevi Fonda obuhvataju, između ostalog:</w:t>
      </w:r>
    </w:p>
    <w:p w14:paraId="54FF12E9" w14:textId="77777777" w:rsidR="003B191E" w:rsidRPr="003B191E" w:rsidRDefault="003B191E" w:rsidP="003B191E">
      <w:pPr>
        <w:rPr>
          <w:rFonts w:eastAsia="Aptos" w:cs="Arial"/>
        </w:rPr>
      </w:pPr>
      <w:r w:rsidRPr="003B191E">
        <w:rPr>
          <w:rFonts w:eastAsia="Aptos" w:cs="Arial"/>
        </w:rPr>
        <w:t>• podršku malim i srednjim preduzećima (kreditna i garantna podrška);</w:t>
      </w:r>
    </w:p>
    <w:p w14:paraId="588565B6" w14:textId="77777777" w:rsidR="003B191E" w:rsidRPr="003B191E" w:rsidRDefault="003B191E" w:rsidP="003B191E">
      <w:pPr>
        <w:rPr>
          <w:rFonts w:eastAsia="Aptos" w:cs="Arial"/>
        </w:rPr>
      </w:pPr>
      <w:r w:rsidRPr="003B191E">
        <w:rPr>
          <w:rFonts w:eastAsia="Aptos" w:cs="Arial"/>
        </w:rPr>
        <w:t>• podršku u rješavanju infrastrukturnih i ekoloških projekata;</w:t>
      </w:r>
    </w:p>
    <w:p w14:paraId="109BD4A2" w14:textId="77777777" w:rsidR="003B191E" w:rsidRPr="003B191E" w:rsidRDefault="003B191E" w:rsidP="003B191E">
      <w:pPr>
        <w:rPr>
          <w:rFonts w:eastAsia="Aptos" w:cs="Arial"/>
        </w:rPr>
      </w:pPr>
      <w:r w:rsidRPr="003B191E">
        <w:rPr>
          <w:rFonts w:eastAsia="Aptos" w:cs="Arial"/>
        </w:rPr>
        <w:t>• podsticanje izvoza i zapošljavanja;</w:t>
      </w:r>
    </w:p>
    <w:p w14:paraId="4538F257" w14:textId="77777777" w:rsidR="003B191E" w:rsidRPr="003B191E" w:rsidRDefault="003B191E" w:rsidP="003B191E">
      <w:pPr>
        <w:rPr>
          <w:rFonts w:eastAsia="Aptos" w:cs="Arial"/>
        </w:rPr>
      </w:pPr>
      <w:r w:rsidRPr="003B191E">
        <w:rPr>
          <w:rFonts w:eastAsia="Aptos" w:cs="Arial"/>
        </w:rPr>
        <w:t>• privatizaciju preostalog društvenog kapitala.</w:t>
      </w:r>
    </w:p>
    <w:p w14:paraId="4229223D" w14:textId="77777777" w:rsidR="003B191E" w:rsidRDefault="003B191E" w:rsidP="003B191E">
      <w:pPr>
        <w:rPr>
          <w:rFonts w:eastAsia="Aptos" w:cs="Arial"/>
        </w:rPr>
      </w:pPr>
      <w:r w:rsidRPr="003B191E">
        <w:rPr>
          <w:rFonts w:eastAsia="Aptos" w:cs="Arial"/>
        </w:rPr>
        <w:t>Od osnivanja je odobrio kredite u ukupnom iznosu od 2 milijarde eura i realizovao preko 5.500 projekata.</w:t>
      </w:r>
    </w:p>
    <w:p w14:paraId="10463762" w14:textId="7618B127" w:rsidR="00B31753" w:rsidRDefault="003B191E" w:rsidP="003B191E">
      <w:pPr>
        <w:rPr>
          <w:rFonts w:eastAsia="Aptos" w:cs="Arial"/>
        </w:rPr>
      </w:pPr>
      <w:r w:rsidRPr="003B191E">
        <w:rPr>
          <w:rFonts w:eastAsia="Aptos" w:cs="Arial"/>
        </w:rPr>
        <w:t>Relevantne šeme u oblastima povezanim s Kohezionom politikom obuhvataju:</w:t>
      </w:r>
      <w:r>
        <w:rPr>
          <w:rFonts w:eastAsia="Aptos" w:cs="Arial"/>
        </w:rPr>
        <w:t xml:space="preserve"> </w:t>
      </w:r>
      <w:r w:rsidRPr="003B191E">
        <w:rPr>
          <w:rFonts w:eastAsia="Aptos" w:cs="Arial"/>
        </w:rPr>
        <w:t>razvojne kredite za mikro, mala i srednja preduzeća do 150.000€</w:t>
      </w:r>
      <w:r>
        <w:rPr>
          <w:rFonts w:eastAsia="Aptos" w:cs="Arial"/>
        </w:rPr>
        <w:t>,</w:t>
      </w:r>
      <w:r w:rsidRPr="003B191E">
        <w:rPr>
          <w:rFonts w:eastAsia="Aptos" w:cs="Arial"/>
        </w:rPr>
        <w:t xml:space="preserve"> investicione kredite za podršku ženskom preduzetništvu do 300.000€</w:t>
      </w:r>
      <w:r>
        <w:rPr>
          <w:rFonts w:eastAsia="Aptos" w:cs="Arial"/>
        </w:rPr>
        <w:t xml:space="preserve">, </w:t>
      </w:r>
      <w:r w:rsidRPr="003B191E">
        <w:rPr>
          <w:rFonts w:eastAsia="Aptos" w:cs="Arial"/>
        </w:rPr>
        <w:t>investicione kredite za mlade u biznisu do 50.000€</w:t>
      </w:r>
      <w:r>
        <w:rPr>
          <w:rFonts w:eastAsia="Aptos" w:cs="Arial"/>
        </w:rPr>
        <w:t xml:space="preserve">, </w:t>
      </w:r>
      <w:r w:rsidRPr="003B191E">
        <w:rPr>
          <w:rFonts w:eastAsia="Aptos" w:cs="Arial"/>
        </w:rPr>
        <w:t>investicione kredite za infrastrukturne, ekološke i projekte energetske efikasnosti javnih tijela do 10.000.000 €</w:t>
      </w:r>
      <w:r>
        <w:rPr>
          <w:rFonts w:eastAsia="Aptos" w:cs="Arial"/>
        </w:rPr>
        <w:t xml:space="preserve">, </w:t>
      </w:r>
      <w:r w:rsidRPr="003B191E">
        <w:rPr>
          <w:rFonts w:eastAsia="Aptos" w:cs="Arial"/>
        </w:rPr>
        <w:t>investicione kredite za podršku proizvodnji do 10.000.000€</w:t>
      </w:r>
      <w:r>
        <w:rPr>
          <w:rFonts w:eastAsia="Aptos" w:cs="Arial"/>
        </w:rPr>
        <w:t>,</w:t>
      </w:r>
      <w:r w:rsidRPr="003B191E">
        <w:rPr>
          <w:rFonts w:eastAsia="Aptos" w:cs="Arial"/>
        </w:rPr>
        <w:t xml:space="preserve"> investicione kredite za podršku turizmu, hotelijerstvu i ugostiteljstvu do 10.000.000€.</w:t>
      </w:r>
      <w:r w:rsidR="00B31753">
        <w:rPr>
          <w:rFonts w:eastAsia="Aptos" w:cs="Arial"/>
        </w:rPr>
        <w:t xml:space="preserve"> </w:t>
      </w:r>
      <w:r w:rsidRPr="003B191E">
        <w:rPr>
          <w:rFonts w:eastAsia="Aptos" w:cs="Arial"/>
        </w:rPr>
        <w:t>Fond takođe učestvuje u garantnom fondu EU EaSI koji finansira Evropska investiciona banka</w:t>
      </w:r>
      <w:r w:rsidR="00B31753" w:rsidRPr="00B83578">
        <w:rPr>
          <w:rFonts w:eastAsia="Aptos" w:cs="Arial"/>
          <w:vertAlign w:val="superscript"/>
        </w:rPr>
        <w:footnoteReference w:id="58"/>
      </w:r>
      <w:r w:rsidRPr="003B191E">
        <w:rPr>
          <w:rFonts w:eastAsia="Aptos" w:cs="Arial"/>
        </w:rPr>
        <w:t>.</w:t>
      </w:r>
    </w:p>
    <w:p w14:paraId="05785EF6" w14:textId="455BB230" w:rsidR="003B191E" w:rsidRDefault="003B191E" w:rsidP="003B191E">
      <w:pPr>
        <w:rPr>
          <w:rFonts w:eastAsia="Aptos" w:cs="Arial"/>
        </w:rPr>
      </w:pPr>
      <w:r w:rsidRPr="003B191E">
        <w:rPr>
          <w:rFonts w:eastAsia="Aptos" w:cs="Arial"/>
        </w:rPr>
        <w:t>Potencijalna potražnja za finansijskim instrumentima EU biće zadovoljena ciljanom primjenom finansijskih instrumenata EU u okviru rashoda Kohezi</w:t>
      </w:r>
      <w:r w:rsidR="00B31753">
        <w:rPr>
          <w:rFonts w:eastAsia="Aptos" w:cs="Arial"/>
        </w:rPr>
        <w:t>one</w:t>
      </w:r>
      <w:r w:rsidRPr="003B191E">
        <w:rPr>
          <w:rFonts w:eastAsia="Aptos" w:cs="Arial"/>
        </w:rPr>
        <w:t xml:space="preserve"> politike. Shodno tome, biće potrebne konkretne mjere za </w:t>
      </w:r>
      <w:r w:rsidRPr="003B191E">
        <w:rPr>
          <w:rFonts w:eastAsia="Aptos" w:cs="Arial"/>
        </w:rPr>
        <w:lastRenderedPageBreak/>
        <w:t>nadogradnju postojećeg iskustva i identifikaciju najefikasnijih modaliteta sprovođenja. U tom smislu treba podsjetiti da postoje značajne mogućnosti za korišćenje finansijskih instrumenata i u okviru drugih fondova</w:t>
      </w:r>
      <w:r w:rsidR="00B31753" w:rsidRPr="00B83578">
        <w:rPr>
          <w:rFonts w:eastAsia="Aptos" w:cs="Arial"/>
          <w:vertAlign w:val="superscript"/>
        </w:rPr>
        <w:footnoteReference w:id="59"/>
      </w:r>
      <w:r w:rsidRPr="003B191E">
        <w:rPr>
          <w:rFonts w:eastAsia="Aptos" w:cs="Arial"/>
        </w:rPr>
        <w:t>,</w:t>
      </w:r>
      <w:proofErr w:type="gramStart"/>
      <w:r w:rsidRPr="003B191E">
        <w:rPr>
          <w:rFonts w:eastAsia="Aptos" w:cs="Arial"/>
        </w:rPr>
        <w:t>a</w:t>
      </w:r>
      <w:proofErr w:type="gramEnd"/>
      <w:r w:rsidRPr="003B191E">
        <w:rPr>
          <w:rFonts w:eastAsia="Aptos" w:cs="Arial"/>
        </w:rPr>
        <w:t xml:space="preserve"> identifikovane aktivnosti podrške mogu</w:t>
      </w:r>
      <w:r w:rsidR="00B31753">
        <w:rPr>
          <w:rFonts w:eastAsia="Aptos" w:cs="Arial"/>
        </w:rPr>
        <w:t xml:space="preserve"> biti multi-disciplinarne</w:t>
      </w:r>
      <w:r w:rsidRPr="003B191E">
        <w:rPr>
          <w:rFonts w:eastAsia="Aptos" w:cs="Arial"/>
        </w:rPr>
        <w:t xml:space="preserve"> kako bi se maksimizovala efikasnost.</w:t>
      </w:r>
    </w:p>
    <w:p w14:paraId="2DEF7324" w14:textId="52F2FFAD" w:rsidR="00DD7EEE" w:rsidRPr="00B83578" w:rsidRDefault="002627E3" w:rsidP="009805FA">
      <w:pPr>
        <w:pStyle w:val="Heading2"/>
      </w:pPr>
      <w:bookmarkStart w:id="34" w:name="_Toc201700316"/>
      <w:r>
        <w:t>Izazovi povezani sa implementacijom Završnog mjerila 2 i Završnog mjerila 3</w:t>
      </w:r>
      <w:bookmarkEnd w:id="34"/>
    </w:p>
    <w:p w14:paraId="5E7F63E0" w14:textId="77777777" w:rsidR="00B31753" w:rsidRPr="00B31753" w:rsidRDefault="00B31753" w:rsidP="00B31753">
      <w:pPr>
        <w:shd w:val="clear" w:color="auto" w:fill="FFFFFF"/>
        <w:rPr>
          <w:rFonts w:eastAsia="Calibri" w:cs="Arial"/>
          <w:bCs/>
          <w:kern w:val="0"/>
          <w:szCs w:val="20"/>
        </w:rPr>
      </w:pPr>
      <w:r w:rsidRPr="00B31753">
        <w:rPr>
          <w:rFonts w:eastAsia="Calibri" w:cs="Arial"/>
          <w:bCs/>
          <w:kern w:val="0"/>
          <w:szCs w:val="20"/>
        </w:rPr>
        <w:t>Identifikovani izazovi su i interni i eksterni.</w:t>
      </w:r>
    </w:p>
    <w:p w14:paraId="5827759F" w14:textId="7A30699B" w:rsidR="00B31753" w:rsidRPr="00B31753" w:rsidRDefault="00B31753" w:rsidP="00B31753">
      <w:pPr>
        <w:shd w:val="clear" w:color="auto" w:fill="FFFFFF"/>
        <w:rPr>
          <w:rFonts w:eastAsia="Calibri" w:cs="Arial"/>
          <w:bCs/>
          <w:kern w:val="0"/>
          <w:szCs w:val="20"/>
        </w:rPr>
      </w:pPr>
      <w:r w:rsidRPr="00B31753">
        <w:rPr>
          <w:rFonts w:eastAsia="Calibri" w:cs="Arial"/>
          <w:bCs/>
          <w:kern w:val="0"/>
          <w:szCs w:val="20"/>
        </w:rPr>
        <w:t>Što se tiče internih izazova, ključno je jačanje više</w:t>
      </w:r>
      <w:r>
        <w:rPr>
          <w:rFonts w:eastAsia="Calibri" w:cs="Arial"/>
          <w:bCs/>
          <w:kern w:val="0"/>
          <w:szCs w:val="20"/>
        </w:rPr>
        <w:t>slojnog</w:t>
      </w:r>
      <w:r w:rsidRPr="00B31753">
        <w:rPr>
          <w:rFonts w:eastAsia="Calibri" w:cs="Arial"/>
          <w:bCs/>
          <w:kern w:val="0"/>
          <w:szCs w:val="20"/>
        </w:rPr>
        <w:t xml:space="preserve"> upravljanja i partnerstva; postojeće dobre prakse treba konsolidovati i nadograditi, a proces programiranja kako </w:t>
      </w:r>
      <w:r w:rsidR="00700FF9">
        <w:rPr>
          <w:rFonts w:eastAsia="Calibri" w:cs="Arial"/>
          <w:bCs/>
          <w:kern w:val="0"/>
          <w:szCs w:val="20"/>
        </w:rPr>
        <w:t>Sporazuma o partnerstvu</w:t>
      </w:r>
      <w:r w:rsidRPr="00B31753">
        <w:rPr>
          <w:rFonts w:eastAsia="Calibri" w:cs="Arial"/>
          <w:bCs/>
          <w:kern w:val="0"/>
          <w:szCs w:val="20"/>
        </w:rPr>
        <w:t xml:space="preserve"> tako i Programa mora biti zasnovan na tim principima.</w:t>
      </w:r>
    </w:p>
    <w:p w14:paraId="03A6D0AB" w14:textId="1C32E008" w:rsidR="00B31753" w:rsidRDefault="00B31753" w:rsidP="00B31753">
      <w:pPr>
        <w:shd w:val="clear" w:color="auto" w:fill="FFFFFF"/>
        <w:rPr>
          <w:rFonts w:eastAsia="Calibri" w:cs="Arial"/>
          <w:bCs/>
          <w:kern w:val="0"/>
          <w:szCs w:val="20"/>
        </w:rPr>
      </w:pPr>
      <w:r w:rsidRPr="00B31753">
        <w:rPr>
          <w:rFonts w:eastAsia="Calibri" w:cs="Arial"/>
          <w:bCs/>
          <w:kern w:val="0"/>
          <w:szCs w:val="20"/>
        </w:rPr>
        <w:t>Glavni eksterni izazov odnosi se na neizvjesnost regulatornog okvira za finansijsku perspektivu 2028–2034. Budući da prijedlozi Komisije za budući regulatorni okvir Kohezi</w:t>
      </w:r>
      <w:r>
        <w:rPr>
          <w:rFonts w:eastAsia="Calibri" w:cs="Arial"/>
          <w:bCs/>
          <w:kern w:val="0"/>
          <w:szCs w:val="20"/>
        </w:rPr>
        <w:t>one</w:t>
      </w:r>
      <w:r w:rsidRPr="00B31753">
        <w:rPr>
          <w:rFonts w:eastAsia="Calibri" w:cs="Arial"/>
          <w:bCs/>
          <w:kern w:val="0"/>
          <w:szCs w:val="20"/>
        </w:rPr>
        <w:t xml:space="preserve"> politike još nijesu objavljeni, moguće je definisati mjere samo na osnovu važećeg okvira. Pretpostavlja se da će nacrti prijedloga biti objavljeni u drugoj polovini 2025. godine, nakon formalnog prijedloga za naredni Višegodišnji finansijski okvir koji Komisija namjerava da predstavi u julu 2025.</w:t>
      </w:r>
      <w:r>
        <w:rPr>
          <w:rFonts w:eastAsia="Calibri" w:cs="Arial"/>
          <w:bCs/>
          <w:kern w:val="0"/>
          <w:szCs w:val="20"/>
        </w:rPr>
        <w:t xml:space="preserve"> </w:t>
      </w:r>
      <w:r w:rsidRPr="00B31753">
        <w:rPr>
          <w:rFonts w:eastAsia="Calibri" w:cs="Arial"/>
          <w:bCs/>
          <w:kern w:val="0"/>
          <w:szCs w:val="20"/>
        </w:rPr>
        <w:t xml:space="preserve">U tom kontekstu vrijedno je napomenuti da je Komisija objavila Komunikaciju „Put ka narednom Višegodišnjem finansijskom </w:t>
      </w:r>
      <w:proofErr w:type="gramStart"/>
      <w:r w:rsidRPr="00B31753">
        <w:rPr>
          <w:rFonts w:eastAsia="Calibri" w:cs="Arial"/>
          <w:bCs/>
          <w:kern w:val="0"/>
          <w:szCs w:val="20"/>
        </w:rPr>
        <w:t>okviru“</w:t>
      </w:r>
      <w:proofErr w:type="gramEnd"/>
      <w:r w:rsidRPr="00B31753">
        <w:rPr>
          <w:rFonts w:eastAsia="Calibri" w:cs="Arial"/>
          <w:bCs/>
          <w:kern w:val="0"/>
          <w:szCs w:val="20"/>
        </w:rPr>
        <w:t>, koja opisuje ključne političke i budžetske izazove koji će oblikovati dizajn narednog Višegodišnjeg finansijskog okvira (</w:t>
      </w:r>
      <w:r w:rsidR="00A067C3">
        <w:rPr>
          <w:rFonts w:eastAsia="Calibri" w:cs="Arial"/>
          <w:bCs/>
          <w:kern w:val="0"/>
          <w:szCs w:val="20"/>
        </w:rPr>
        <w:t>VFO</w:t>
      </w:r>
      <w:r w:rsidRPr="00B31753">
        <w:rPr>
          <w:rFonts w:eastAsia="Calibri" w:cs="Arial"/>
          <w:bCs/>
          <w:kern w:val="0"/>
          <w:szCs w:val="20"/>
        </w:rPr>
        <w:t>)</w:t>
      </w:r>
      <w:r w:rsidRPr="00B83578">
        <w:rPr>
          <w:rFonts w:eastAsia="Calibri" w:cs="Arial"/>
          <w:bCs/>
          <w:kern w:val="0"/>
          <w:szCs w:val="20"/>
          <w:vertAlign w:val="superscript"/>
        </w:rPr>
        <w:footnoteReference w:id="60"/>
      </w:r>
      <w:r w:rsidRPr="00B31753">
        <w:rPr>
          <w:rFonts w:eastAsia="Calibri" w:cs="Arial"/>
          <w:bCs/>
          <w:kern w:val="0"/>
          <w:szCs w:val="20"/>
        </w:rPr>
        <w:t xml:space="preserve">. Komunikacija ukazuje na potrebu za „ojačanom, modernizovanom politikom kohezije i rasta, koja funkcioniše u partnerstvu s nacionalnim, regionalnim i lokalnim </w:t>
      </w:r>
      <w:proofErr w:type="gramStart"/>
      <w:r w:rsidRPr="00B31753">
        <w:rPr>
          <w:rFonts w:eastAsia="Calibri" w:cs="Arial"/>
          <w:bCs/>
          <w:kern w:val="0"/>
          <w:szCs w:val="20"/>
        </w:rPr>
        <w:t>vlastima“</w:t>
      </w:r>
      <w:proofErr w:type="gramEnd"/>
      <w:r w:rsidRPr="00B31753">
        <w:rPr>
          <w:rFonts w:eastAsia="Calibri" w:cs="Arial"/>
          <w:bCs/>
          <w:kern w:val="0"/>
          <w:szCs w:val="20"/>
        </w:rPr>
        <w:t>. Posebno, Komunikacija navodi (str. 15)</w:t>
      </w:r>
    </w:p>
    <w:p w14:paraId="509856D2" w14:textId="77777777" w:rsidR="00B75F03" w:rsidRPr="00B75F03" w:rsidRDefault="00B75F03" w:rsidP="00B75F03">
      <w:pPr>
        <w:shd w:val="clear" w:color="auto" w:fill="FFFFFF"/>
        <w:rPr>
          <w:rFonts w:eastAsia="Calibri" w:cs="Arial"/>
          <w:bCs/>
          <w:i/>
          <w:iCs/>
          <w:kern w:val="0"/>
          <w:szCs w:val="20"/>
        </w:rPr>
      </w:pPr>
      <w:r w:rsidRPr="00B75F03">
        <w:rPr>
          <w:rFonts w:eastAsia="Calibri" w:cs="Arial"/>
          <w:bCs/>
          <w:i/>
          <w:iCs/>
          <w:kern w:val="0"/>
          <w:szCs w:val="20"/>
        </w:rPr>
        <w:t>„Novi pristup za moderan budžet EU trebalo bi u svojoj srži da sadrži:</w:t>
      </w:r>
    </w:p>
    <w:p w14:paraId="68D38EBD" w14:textId="77777777" w:rsidR="00B75F03" w:rsidRDefault="00B75F03" w:rsidP="00B75F03">
      <w:pPr>
        <w:shd w:val="clear" w:color="auto" w:fill="FFFFFF"/>
        <w:rPr>
          <w:rFonts w:eastAsia="Calibri" w:cs="Arial"/>
          <w:bCs/>
          <w:i/>
          <w:iCs/>
          <w:kern w:val="0"/>
          <w:szCs w:val="20"/>
        </w:rPr>
      </w:pPr>
      <w:r w:rsidRPr="00B75F03">
        <w:rPr>
          <w:rFonts w:eastAsia="Calibri" w:cs="Arial"/>
          <w:bCs/>
          <w:i/>
          <w:iCs/>
          <w:kern w:val="0"/>
          <w:szCs w:val="20"/>
        </w:rPr>
        <w:t xml:space="preserve">• plan za svaku zemlju sa ključnim reformama i investicijama, fokusiran na naše zajedničke prioritete, uključujući podsticanje ekonomske, socijalne i teritorijalne kohezije. Ojačana politika kohezije i rasta, s regionima u njenom središtu, mora biti osmišljena i sprovedena u partnerstvu s nacionalnim, regionalnim i lokalnim </w:t>
      </w:r>
      <w:proofErr w:type="gramStart"/>
      <w:r w:rsidRPr="00B75F03">
        <w:rPr>
          <w:rFonts w:eastAsia="Calibri" w:cs="Arial"/>
          <w:bCs/>
          <w:i/>
          <w:iCs/>
          <w:kern w:val="0"/>
          <w:szCs w:val="20"/>
        </w:rPr>
        <w:t>vlastima.“</w:t>
      </w:r>
      <w:proofErr w:type="gramEnd"/>
    </w:p>
    <w:p w14:paraId="12A11752" w14:textId="0C02F73D" w:rsidR="00B75F03" w:rsidRPr="00B75F03" w:rsidRDefault="00B75F03" w:rsidP="00B75F03">
      <w:pPr>
        <w:shd w:val="clear" w:color="auto" w:fill="FFFFFF"/>
        <w:rPr>
          <w:rFonts w:eastAsia="Calibri" w:cs="Arial"/>
          <w:bCs/>
          <w:i/>
          <w:iCs/>
          <w:kern w:val="0"/>
          <w:szCs w:val="20"/>
        </w:rPr>
      </w:pPr>
      <w:r w:rsidRPr="00B75F03">
        <w:rPr>
          <w:rFonts w:eastAsia="Calibri" w:cs="Arial"/>
          <w:bCs/>
          <w:iCs/>
          <w:kern w:val="0"/>
          <w:szCs w:val="20"/>
        </w:rPr>
        <w:t>Imajući ovo u vidu, vjerovatno je da će doći do značajnih promjena u budućem regulatornom okviru; pored toga, podsjeća se da će pravna sigurnost biti obezbijeđena tek nakon usvajanja propisa, što je vrlo malo vjerovatno prije 2027. godine.</w:t>
      </w:r>
    </w:p>
    <w:p w14:paraId="61376E7A" w14:textId="77777777" w:rsidR="00B75F03" w:rsidRPr="00B75F03" w:rsidRDefault="00B75F03" w:rsidP="00B75F03">
      <w:pPr>
        <w:shd w:val="clear" w:color="auto" w:fill="FFFFFF"/>
        <w:rPr>
          <w:rFonts w:eastAsia="Calibri" w:cs="Arial"/>
          <w:bCs/>
          <w:iCs/>
          <w:kern w:val="0"/>
          <w:szCs w:val="20"/>
        </w:rPr>
      </w:pPr>
      <w:r w:rsidRPr="00B75F03">
        <w:rPr>
          <w:rFonts w:eastAsia="Calibri" w:cs="Arial"/>
          <w:bCs/>
          <w:iCs/>
          <w:kern w:val="0"/>
          <w:szCs w:val="20"/>
        </w:rPr>
        <w:t>Neizvjesnost dodatno pogoršava činjenica da datum pristupanja još nije utvrđen, što utiče na vremenski okvir programiranja.</w:t>
      </w:r>
    </w:p>
    <w:p w14:paraId="13CA3C98" w14:textId="77777777" w:rsidR="00B75F03" w:rsidRPr="00B75F03" w:rsidRDefault="00B75F03" w:rsidP="00B75F03">
      <w:pPr>
        <w:shd w:val="clear" w:color="auto" w:fill="FFFFFF"/>
        <w:rPr>
          <w:rFonts w:eastAsia="Calibri" w:cs="Arial"/>
          <w:bCs/>
          <w:iCs/>
          <w:kern w:val="0"/>
          <w:szCs w:val="20"/>
        </w:rPr>
      </w:pPr>
      <w:r w:rsidRPr="00B75F03">
        <w:rPr>
          <w:rFonts w:eastAsia="Calibri" w:cs="Arial"/>
          <w:bCs/>
          <w:iCs/>
          <w:kern w:val="0"/>
          <w:szCs w:val="20"/>
        </w:rPr>
        <w:t>Međutim, kako je navedeno u Uvodu, polazi se od pretpostavke da svi koraci za privremeno zatvaranje treba da budu okončani do sredine 2026. godine, što je uzeto u obzir u planiranim aktivnostima u nastavku.</w:t>
      </w:r>
    </w:p>
    <w:p w14:paraId="6876D52A" w14:textId="76760876" w:rsidR="00DD7EEE" w:rsidRPr="00B83578" w:rsidRDefault="00DD7EEE" w:rsidP="009805FA">
      <w:pPr>
        <w:pStyle w:val="Heading2"/>
      </w:pPr>
      <w:bookmarkStart w:id="35" w:name="_Toc201700317"/>
      <w:r w:rsidRPr="00B83578">
        <w:t>Plan</w:t>
      </w:r>
      <w:r w:rsidR="00B75F03">
        <w:t>irane akcije</w:t>
      </w:r>
      <w:bookmarkEnd w:id="35"/>
    </w:p>
    <w:p w14:paraId="31DCA3C5" w14:textId="142D9AFF" w:rsidR="00DD7EEE" w:rsidRPr="00B83578" w:rsidRDefault="00B31753" w:rsidP="00DD7EEE">
      <w:pPr>
        <w:jc w:val="left"/>
        <w:rPr>
          <w:rFonts w:eastAsia="Calibri" w:cs="Arial"/>
          <w:kern w:val="0"/>
          <w:szCs w:val="20"/>
        </w:rPr>
      </w:pPr>
      <w:r>
        <w:rPr>
          <w:rFonts w:eastAsia="Calibri" w:cs="Arial"/>
          <w:kern w:val="0"/>
          <w:szCs w:val="20"/>
        </w:rPr>
        <w:t xml:space="preserve">Naredne akcije su planirane u cilju </w:t>
      </w:r>
      <w:r w:rsidR="00B75F03">
        <w:rPr>
          <w:rFonts w:eastAsia="Calibri" w:cs="Arial"/>
          <w:kern w:val="0"/>
          <w:szCs w:val="20"/>
        </w:rPr>
        <w:t>osiguranja zadovoljavajućeg nivoa implementacije Završnog mjerila 2.</w:t>
      </w:r>
    </w:p>
    <w:p w14:paraId="78838B8A" w14:textId="5C9979B2" w:rsidR="00DD7EEE" w:rsidRPr="00B83578" w:rsidRDefault="00927122" w:rsidP="009805FA">
      <w:pPr>
        <w:pStyle w:val="Heading3"/>
        <w:rPr>
          <w:rFonts w:eastAsia="Calibri"/>
          <w:kern w:val="0"/>
          <w:szCs w:val="20"/>
        </w:rPr>
      </w:pPr>
      <w:bookmarkStart w:id="36" w:name="_Toc201700318"/>
      <w:r>
        <w:t xml:space="preserve">Akcija </w:t>
      </w:r>
      <w:r w:rsidR="0032369C">
        <w:t>ZM</w:t>
      </w:r>
      <w:r>
        <w:t>2.1. Studija o broju i obimu programa</w:t>
      </w:r>
      <w:bookmarkEnd w:id="36"/>
    </w:p>
    <w:p w14:paraId="13D7F4A1" w14:textId="4DB0C1AE" w:rsidR="00B75F03" w:rsidRPr="00B75F03" w:rsidRDefault="00B75F03" w:rsidP="00B75F03">
      <w:pPr>
        <w:rPr>
          <w:rFonts w:eastAsia="Aptos" w:cs="Arial"/>
        </w:rPr>
      </w:pPr>
      <w:r w:rsidRPr="00B75F03">
        <w:rPr>
          <w:rFonts w:eastAsia="Aptos" w:cs="Arial"/>
        </w:rPr>
        <w:t xml:space="preserve">Za potrebe izrade </w:t>
      </w:r>
      <w:r w:rsidR="00700FF9">
        <w:rPr>
          <w:rFonts w:eastAsia="Aptos" w:cs="Arial"/>
        </w:rPr>
        <w:t>Sporazuma o partnerstvu</w:t>
      </w:r>
      <w:r w:rsidRPr="00B75F03">
        <w:rPr>
          <w:rFonts w:eastAsia="Aptos" w:cs="Arial"/>
        </w:rPr>
        <w:t xml:space="preserve"> i pokretanja programiranja Kohezione politike, neophodno je donijeti odluku o broju i obuhvatu programa</w:t>
      </w:r>
      <w:r w:rsidR="00956102">
        <w:rPr>
          <w:rFonts w:eastAsia="Aptos" w:cs="Arial"/>
        </w:rPr>
        <w:t xml:space="preserve"> za Kohezionu politiku</w:t>
      </w:r>
      <w:r w:rsidRPr="00B75F03">
        <w:rPr>
          <w:rFonts w:eastAsia="Aptos" w:cs="Arial"/>
        </w:rPr>
        <w:t xml:space="preserve"> za period 2028–2034. </w:t>
      </w:r>
      <w:r w:rsidR="00F2765C">
        <w:t xml:space="preserve">Plan aktivnosti </w:t>
      </w:r>
      <w:r w:rsidRPr="00B75F03">
        <w:rPr>
          <w:rFonts w:eastAsia="Aptos" w:cs="Arial"/>
        </w:rPr>
        <w:t xml:space="preserve">iz 2015. predviđao je pripremu jednog Operativnog programa, zasnovanog na „razmatranju odluka koje su države članice donosile u pogledu broja OP-ova za perspektivu 2014–2020, uzimajući u obzir veličinu zemlje i potrebu da se obezbijedi jednostavan i efikasan </w:t>
      </w:r>
      <w:proofErr w:type="gramStart"/>
      <w:r w:rsidRPr="00B75F03">
        <w:rPr>
          <w:rFonts w:eastAsia="Aptos" w:cs="Arial"/>
        </w:rPr>
        <w:t>sistem“</w:t>
      </w:r>
      <w:proofErr w:type="gramEnd"/>
      <w:r w:rsidRPr="00B75F03">
        <w:rPr>
          <w:rFonts w:eastAsia="Aptos" w:cs="Arial"/>
        </w:rPr>
        <w:t>.</w:t>
      </w:r>
      <w:r>
        <w:rPr>
          <w:rFonts w:eastAsia="Aptos" w:cs="Arial"/>
        </w:rPr>
        <w:t xml:space="preserve"> </w:t>
      </w:r>
      <w:r w:rsidRPr="00B75F03">
        <w:rPr>
          <w:rFonts w:eastAsia="Aptos" w:cs="Arial"/>
        </w:rPr>
        <w:t xml:space="preserve">Međutim, 2024. godine </w:t>
      </w:r>
      <w:r w:rsidR="0086543E" w:rsidRPr="0086543E">
        <w:rPr>
          <w:rFonts w:eastAsia="Aptos" w:cs="Arial"/>
        </w:rPr>
        <w:t>NIPAK</w:t>
      </w:r>
      <w:r w:rsidRPr="00B75F03">
        <w:rPr>
          <w:rFonts w:eastAsia="Aptos" w:cs="Arial"/>
        </w:rPr>
        <w:t xml:space="preserve"> i pregovarač za Poglavlje 22 pokrenuli su dodatnu analizu koja uzima u obzir regulatorni okvir za 2021–</w:t>
      </w:r>
      <w:r w:rsidRPr="00B75F03">
        <w:rPr>
          <w:rFonts w:eastAsia="Aptos" w:cs="Arial"/>
        </w:rPr>
        <w:lastRenderedPageBreak/>
        <w:t>2027. i ispituje različite scenarije primjenom multi</w:t>
      </w:r>
      <w:r w:rsidR="00956102">
        <w:rPr>
          <w:rFonts w:eastAsia="Aptos" w:cs="Arial"/>
        </w:rPr>
        <w:t>k</w:t>
      </w:r>
      <w:r w:rsidRPr="00B75F03">
        <w:rPr>
          <w:rFonts w:eastAsia="Aptos" w:cs="Arial"/>
        </w:rPr>
        <w:t>riterij</w:t>
      </w:r>
      <w:r w:rsidR="00F8235A">
        <w:rPr>
          <w:rFonts w:eastAsia="Aptos" w:cs="Arial"/>
        </w:rPr>
        <w:t>umske</w:t>
      </w:r>
      <w:r w:rsidRPr="00B75F03">
        <w:rPr>
          <w:rFonts w:eastAsia="Aptos" w:cs="Arial"/>
        </w:rPr>
        <w:t xml:space="preserve"> analize. Uz podršku tehničke </w:t>
      </w:r>
      <w:r w:rsidR="00477A44">
        <w:rPr>
          <w:rFonts w:eastAsia="Aptos" w:cs="Arial"/>
        </w:rPr>
        <w:t>po</w:t>
      </w:r>
      <w:r w:rsidR="00F6773D">
        <w:rPr>
          <w:rFonts w:eastAsia="Aptos" w:cs="Arial"/>
        </w:rPr>
        <w:t>moć</w:t>
      </w:r>
      <w:r w:rsidRPr="00B75F03">
        <w:rPr>
          <w:rFonts w:eastAsia="Aptos" w:cs="Arial"/>
        </w:rPr>
        <w:t>i</w:t>
      </w:r>
      <w:r w:rsidRPr="00B83578">
        <w:rPr>
          <w:rFonts w:eastAsia="Aptos" w:cs="Arial"/>
          <w:color w:val="000000"/>
          <w:vertAlign w:val="superscript"/>
        </w:rPr>
        <w:footnoteReference w:id="61"/>
      </w:r>
      <w:r w:rsidRPr="00B75F03">
        <w:rPr>
          <w:rFonts w:eastAsia="Aptos" w:cs="Arial"/>
        </w:rPr>
        <w:t xml:space="preserve">, sprovedena je analiza činjeničnih pokazatelja i trendova u 12 država članica EU koje su se Uniji priključile od 2004. godine, </w:t>
      </w:r>
      <w:proofErr w:type="gramStart"/>
      <w:r w:rsidRPr="00B75F03">
        <w:rPr>
          <w:rFonts w:eastAsia="Aptos" w:cs="Arial"/>
        </w:rPr>
        <w:t>a</w:t>
      </w:r>
      <w:proofErr w:type="gramEnd"/>
      <w:r w:rsidRPr="00B75F03">
        <w:rPr>
          <w:rFonts w:eastAsia="Aptos" w:cs="Arial"/>
        </w:rPr>
        <w:t xml:space="preserve"> odnosi se na </w:t>
      </w:r>
      <w:r w:rsidR="00A80895">
        <w:rPr>
          <w:rFonts w:eastAsia="Aptos" w:cs="Arial"/>
        </w:rPr>
        <w:t>implementaciju</w:t>
      </w:r>
      <w:r w:rsidRPr="00B75F03">
        <w:rPr>
          <w:rFonts w:eastAsia="Aptos" w:cs="Arial"/>
        </w:rPr>
        <w:t xml:space="preserve"> Kohezione politike (isključujući INTERREG programe) tokom tri finansijske perspektive u pogledu broja i obuhvata programa – 2007–2013, 2014–2020 i 2021–2027 – kao i odluka koje su te države članice donijele za Evropski socijalni fond plus (2021–2027)</w:t>
      </w:r>
      <w:r w:rsidR="00956102" w:rsidRPr="00956102">
        <w:rPr>
          <w:rFonts w:eastAsia="Aptos" w:cs="Arial"/>
          <w:vertAlign w:val="superscript"/>
        </w:rPr>
        <w:t xml:space="preserve"> </w:t>
      </w:r>
      <w:r w:rsidR="00956102" w:rsidRPr="00B83578">
        <w:rPr>
          <w:rFonts w:eastAsia="Aptos" w:cs="Arial"/>
          <w:vertAlign w:val="superscript"/>
        </w:rPr>
        <w:footnoteReference w:id="62"/>
      </w:r>
      <w:r w:rsidRPr="00B75F03">
        <w:rPr>
          <w:rFonts w:eastAsia="Aptos" w:cs="Arial"/>
        </w:rPr>
        <w:t>.</w:t>
      </w:r>
    </w:p>
    <w:p w14:paraId="508BE776" w14:textId="77777777" w:rsidR="00B75F03" w:rsidRDefault="00B75F03" w:rsidP="00B75F03">
      <w:pPr>
        <w:rPr>
          <w:rFonts w:eastAsia="Aptos" w:cs="Arial"/>
        </w:rPr>
      </w:pPr>
      <w:r w:rsidRPr="00B75F03">
        <w:rPr>
          <w:rFonts w:eastAsia="Aptos" w:cs="Arial"/>
        </w:rPr>
        <w:t>Nalazi ove analize bili su sljedeći:</w:t>
      </w:r>
    </w:p>
    <w:p w14:paraId="64E67275" w14:textId="075AD0E3" w:rsidR="00DD7EEE" w:rsidRPr="00B83578" w:rsidRDefault="00956102" w:rsidP="000E7F10">
      <w:pPr>
        <w:numPr>
          <w:ilvl w:val="0"/>
          <w:numId w:val="4"/>
        </w:numPr>
        <w:ind w:left="714" w:hanging="357"/>
        <w:rPr>
          <w:rFonts w:eastAsia="Aptos" w:cs="Arial"/>
        </w:rPr>
      </w:pPr>
      <w:r w:rsidRPr="00956102">
        <w:rPr>
          <w:rFonts w:eastAsia="Aptos" w:cs="Arial"/>
        </w:rPr>
        <w:t>U prvoj punoj finansijskoj perspektivi nakon pristupanja (2007–2013) – što je relevantno za 11 posmatranih država članica – samo Malta i Kipar odlučili su se za svega dva programa, uzimajući u obzir da se u toj perspektivi Evropski socijalni fond nije mogao kombinovati s ostalim fondovima. Dakle, nije postojao opšti trend da se broj programa u prvom ciklusu poslije pristupanja ograničava na minimum.</w:t>
      </w:r>
      <w:r>
        <w:rPr>
          <w:rFonts w:eastAsia="Aptos" w:cs="Arial"/>
        </w:rPr>
        <w:t xml:space="preserve"> </w:t>
      </w:r>
    </w:p>
    <w:p w14:paraId="77C1DE19" w14:textId="5A40F092" w:rsidR="00DD7EEE" w:rsidRPr="00B83578" w:rsidRDefault="00956102" w:rsidP="000E7F10">
      <w:pPr>
        <w:numPr>
          <w:ilvl w:val="0"/>
          <w:numId w:val="4"/>
        </w:numPr>
        <w:ind w:left="714" w:hanging="357"/>
        <w:rPr>
          <w:rFonts w:eastAsia="Aptos" w:cs="Arial"/>
        </w:rPr>
      </w:pPr>
      <w:r>
        <w:rPr>
          <w:rFonts w:eastAsia="Aptos" w:cs="Arial"/>
        </w:rPr>
        <w:t xml:space="preserve">U periodu </w:t>
      </w:r>
      <w:r w:rsidR="00DD7EEE" w:rsidRPr="00B83578">
        <w:rPr>
          <w:rFonts w:eastAsia="Aptos" w:cs="Arial"/>
        </w:rPr>
        <w:t>2014-2020,</w:t>
      </w:r>
      <w:r>
        <w:rPr>
          <w:rFonts w:eastAsia="Aptos" w:cs="Arial"/>
        </w:rPr>
        <w:t xml:space="preserve"> kada se ESF mogao kombinovati sa drugim fondovima, 4 države članice </w:t>
      </w:r>
      <w:r w:rsidR="00F4540E">
        <w:rPr>
          <w:rFonts w:eastAsia="Aptos" w:cs="Arial"/>
        </w:rPr>
        <w:t>iz referntne grupe od 12 članica se opredijelilo za jedan program; samo je Estonija zadržala taj model i za 2021-2027, dok su Letonija, Litvanija i Slovenija uvele poseban ESF+ program za Materijalnu deprivaciju.</w:t>
      </w:r>
      <w:r w:rsidR="00DD7EEE" w:rsidRPr="00B83578">
        <w:rPr>
          <w:rFonts w:eastAsia="Aptos" w:cs="Arial"/>
        </w:rPr>
        <w:t xml:space="preserve"> </w:t>
      </w:r>
    </w:p>
    <w:p w14:paraId="63725EFD" w14:textId="44171560" w:rsidR="00DD7EEE" w:rsidRPr="00B83578" w:rsidRDefault="00F4540E" w:rsidP="000E7F10">
      <w:pPr>
        <w:numPr>
          <w:ilvl w:val="0"/>
          <w:numId w:val="4"/>
        </w:numPr>
        <w:ind w:left="714" w:hanging="357"/>
        <w:rPr>
          <w:rFonts w:eastAsia="Aptos" w:cs="Arial"/>
        </w:rPr>
      </w:pPr>
      <w:r w:rsidRPr="00F4540E">
        <w:rPr>
          <w:rFonts w:eastAsia="Aptos" w:cs="Arial"/>
        </w:rPr>
        <w:t>Dvije najmanje države članice čija je veličina stanovništva najbliža Crnoj Gori – Malta i Luksemburg – nikada nijesu uvele jedinstveni višefondovski program za Kohezionu politiku.</w:t>
      </w:r>
      <w:r w:rsidR="00DD7EEE" w:rsidRPr="00B83578">
        <w:rPr>
          <w:rFonts w:eastAsia="Aptos" w:cs="Arial"/>
        </w:rPr>
        <w:t xml:space="preserve"> </w:t>
      </w:r>
    </w:p>
    <w:p w14:paraId="35B2FE21" w14:textId="0BF7946D" w:rsidR="00DD7EEE" w:rsidRPr="00B83578" w:rsidRDefault="00F4540E" w:rsidP="000E7F10">
      <w:pPr>
        <w:numPr>
          <w:ilvl w:val="0"/>
          <w:numId w:val="4"/>
        </w:numPr>
        <w:ind w:left="714" w:hanging="357"/>
        <w:rPr>
          <w:rFonts w:eastAsia="Aptos" w:cs="Arial"/>
        </w:rPr>
      </w:pPr>
      <w:r w:rsidRPr="00F4540E">
        <w:rPr>
          <w:rFonts w:eastAsia="Aptos" w:cs="Arial"/>
        </w:rPr>
        <w:t>Veličina države članice i obim sredstava ne mogu se smatrati direktnim faktorima koji utiču na izbor broja programa.</w:t>
      </w:r>
      <w:r w:rsidR="00DD7EEE" w:rsidRPr="00B83578">
        <w:rPr>
          <w:rFonts w:eastAsia="Aptos" w:cs="Arial"/>
        </w:rPr>
        <w:t xml:space="preserve"> </w:t>
      </w:r>
    </w:p>
    <w:p w14:paraId="2ECC193F" w14:textId="57A13727" w:rsidR="00DD7EEE" w:rsidRPr="00B83578" w:rsidRDefault="00F4540E" w:rsidP="000E7F10">
      <w:pPr>
        <w:numPr>
          <w:ilvl w:val="0"/>
          <w:numId w:val="4"/>
        </w:numPr>
        <w:ind w:left="714" w:hanging="357"/>
        <w:jc w:val="left"/>
        <w:rPr>
          <w:rFonts w:eastAsia="Aptos" w:cs="Arial"/>
        </w:rPr>
      </w:pPr>
      <w:r w:rsidRPr="00F4540E">
        <w:rPr>
          <w:rFonts w:eastAsia="Aptos" w:cs="Arial"/>
        </w:rPr>
        <w:t>Smanjenje fokusa programiranja na pet ciljeva politike u perspektivi 2021-2027 ne izgleda da je značajno uticalo na broj programa.</w:t>
      </w:r>
    </w:p>
    <w:p w14:paraId="66F156E2" w14:textId="4DDDEE61" w:rsidR="00DD7EEE" w:rsidRPr="00B83578" w:rsidRDefault="00F4540E" w:rsidP="000E7F10">
      <w:pPr>
        <w:numPr>
          <w:ilvl w:val="0"/>
          <w:numId w:val="4"/>
        </w:numPr>
        <w:ind w:left="714" w:hanging="357"/>
        <w:jc w:val="left"/>
        <w:rPr>
          <w:rFonts w:eastAsia="Aptos" w:cs="Arial"/>
        </w:rPr>
      </w:pPr>
      <w:r w:rsidRPr="00F4540E">
        <w:rPr>
          <w:rFonts w:eastAsia="Aptos" w:cs="Arial"/>
        </w:rPr>
        <w:t>Kada je riječ o programiranju ESF+, ekonomija obima ne izgleda presudna, a značajan broj programa je malog obima: 19 država članica u periodu 2021-2027 opredijelilo se za najmanje jedan nacionalni monofondovski ESF+ program.</w:t>
      </w:r>
    </w:p>
    <w:p w14:paraId="629E4636" w14:textId="05610278" w:rsidR="00F4540E" w:rsidRDefault="00F4540E" w:rsidP="00DD7EEE">
      <w:pPr>
        <w:rPr>
          <w:rFonts w:eastAsia="Aptos" w:cs="Arial"/>
        </w:rPr>
      </w:pPr>
      <w:r w:rsidRPr="00F4540E">
        <w:rPr>
          <w:rFonts w:eastAsia="Aptos" w:cs="Arial"/>
        </w:rPr>
        <w:t xml:space="preserve">Mnoge promjene u broju i obimu programa između perioda 2007–2013. i 2014–2020. proistekle su iz napretka na krivulji učenja novih država članica tokom prvog punog sedmogodišnjeg ciklusa, kako bi se bolje upravljalo rizicima nedovoljnog trošenja i opoziva sredstava (tj. rizikom apsorpcije). U tom cilju, centri potrošnje su locirani unutar organa javne uprave koji posjeduju sektorsko i nacionalno iskustvo u nabavkama, kao i iskustvo s velikim infrastrukturnim projektima gdje je to bilo relevantno, što objašnjava sektorske </w:t>
      </w:r>
      <w:r w:rsidR="003D7057">
        <w:rPr>
          <w:rFonts w:eastAsia="Aptos" w:cs="Arial"/>
        </w:rPr>
        <w:t>EFRR</w:t>
      </w:r>
      <w:r w:rsidRPr="00F4540E">
        <w:rPr>
          <w:rFonts w:eastAsia="Aptos" w:cs="Arial"/>
        </w:rPr>
        <w:t xml:space="preserve"> programe u novim državama članicama. Ukratko, napredak na krivulji učenja omogućio je bolje razumijevanje uzroka uskih grla i rizika apsorpcije, što je značilo da su u narednom ciklusu programi Kohezi</w:t>
      </w:r>
      <w:r>
        <w:rPr>
          <w:rFonts w:eastAsia="Aptos" w:cs="Arial"/>
        </w:rPr>
        <w:t>one</w:t>
      </w:r>
      <w:r w:rsidRPr="00F4540E">
        <w:rPr>
          <w:rFonts w:eastAsia="Aptos" w:cs="Arial"/>
        </w:rPr>
        <w:t xml:space="preserve"> politike mogli biti oblikovani drugačije, uzimajući u obzir naučene lekcije i rješavajući identifikovane rizike. Određene promjene iz perioda 2014–2020. u 2021–2027. </w:t>
      </w:r>
      <w:r>
        <w:rPr>
          <w:rFonts w:eastAsia="Aptos" w:cs="Arial"/>
        </w:rPr>
        <w:t>uslovljene</w:t>
      </w:r>
      <w:r w:rsidRPr="00F4540E">
        <w:rPr>
          <w:rFonts w:eastAsia="Aptos" w:cs="Arial"/>
        </w:rPr>
        <w:t xml:space="preserve"> su i revidiranim strateškim pristupom novog ciklusa, gdje su određeni reformski ciljevi koji su u prethodnom programskom periodu bili prihvatljivi, poput jačanja kapaciteta javne uprave, prebačeni iz podijeljenog upravljanja u centralizovano upravljanje od strane Evropske komisije. U nekoliko konkretnih slučajeva, značajne promjene u periodu 2021–2027. proizašle su iz procjene ključnih problema i uskih grla identifikovanih tokom sprovođenja programa 2014–2020.</w:t>
      </w:r>
    </w:p>
    <w:p w14:paraId="3BA7DE87" w14:textId="50FE7B96" w:rsidR="00697400" w:rsidRPr="00697400" w:rsidRDefault="00697400" w:rsidP="00697400">
      <w:pPr>
        <w:rPr>
          <w:rFonts w:eastAsia="Aptos" w:cs="Arial"/>
        </w:rPr>
      </w:pPr>
      <w:r w:rsidRPr="00697400">
        <w:rPr>
          <w:rFonts w:eastAsia="Aptos" w:cs="Arial"/>
        </w:rPr>
        <w:t>Identifikovana su tri scenarija</w:t>
      </w:r>
      <w:r w:rsidRPr="00B83578">
        <w:rPr>
          <w:rFonts w:eastAsia="Aptos" w:cs="Arial"/>
          <w:vertAlign w:val="superscript"/>
        </w:rPr>
        <w:footnoteReference w:id="63"/>
      </w:r>
      <w:r w:rsidRPr="00B83578">
        <w:rPr>
          <w:rFonts w:eastAsia="Aptos" w:cs="Arial"/>
        </w:rPr>
        <w:t xml:space="preserve"> </w:t>
      </w:r>
      <w:r w:rsidRPr="00697400">
        <w:rPr>
          <w:rFonts w:eastAsia="Aptos" w:cs="Arial"/>
        </w:rPr>
        <w:t>i podvrgnuta multi</w:t>
      </w:r>
      <w:r>
        <w:rPr>
          <w:rFonts w:eastAsia="Aptos" w:cs="Arial"/>
        </w:rPr>
        <w:t>kriterijumskoj</w:t>
      </w:r>
      <w:r w:rsidRPr="00697400">
        <w:rPr>
          <w:rFonts w:eastAsia="Aptos" w:cs="Arial"/>
        </w:rPr>
        <w:t xml:space="preserve"> analizi primjenom sljedećih ponderisanih kriterijuma: minimizacija finansijskih i operativnih rizika (30%); institucionalna i koordinaciona složenost (15%); najmanje administrativno opterećenje i najveća troškovna efikasnost (20%); tematski/teritorijalni fokus (20%); i održivost opcije (15%). Zaključak studije bio je da je najpoželjnija opcija sa dva programa Kohezi</w:t>
      </w:r>
      <w:r>
        <w:rPr>
          <w:rFonts w:eastAsia="Aptos" w:cs="Arial"/>
        </w:rPr>
        <w:t>one</w:t>
      </w:r>
      <w:r w:rsidRPr="00697400">
        <w:rPr>
          <w:rFonts w:eastAsia="Aptos" w:cs="Arial"/>
        </w:rPr>
        <w:t xml:space="preserve"> politike.</w:t>
      </w:r>
    </w:p>
    <w:p w14:paraId="2FDE9DB4" w14:textId="56F95E8C" w:rsidR="00697400" w:rsidRDefault="00697400" w:rsidP="00697400">
      <w:pPr>
        <w:rPr>
          <w:rFonts w:eastAsia="Aptos" w:cs="Arial"/>
        </w:rPr>
      </w:pPr>
      <w:r w:rsidRPr="00697400">
        <w:rPr>
          <w:rFonts w:eastAsia="Aptos" w:cs="Arial"/>
        </w:rPr>
        <w:t xml:space="preserve">Potom su ispitane dvije varijante: prva sa zasebnim ESF+ programom i druga koja kombinuje sredstva ESF+ i </w:t>
      </w:r>
      <w:r w:rsidR="003D7057">
        <w:rPr>
          <w:rFonts w:eastAsia="Aptos" w:cs="Arial"/>
        </w:rPr>
        <w:t>EFRR</w:t>
      </w:r>
      <w:r w:rsidRPr="00697400">
        <w:rPr>
          <w:rFonts w:eastAsia="Aptos" w:cs="Arial"/>
        </w:rPr>
        <w:t xml:space="preserve"> za politički cilj „Socijalnija i inkluzivnija </w:t>
      </w:r>
      <w:proofErr w:type="gramStart"/>
      <w:r w:rsidRPr="00697400">
        <w:rPr>
          <w:rFonts w:eastAsia="Aptos" w:cs="Arial"/>
        </w:rPr>
        <w:t>Evropa“</w:t>
      </w:r>
      <w:proofErr w:type="gramEnd"/>
      <w:r w:rsidRPr="00697400">
        <w:rPr>
          <w:rFonts w:eastAsia="Aptos" w:cs="Arial"/>
        </w:rPr>
        <w:t xml:space="preserve">. Zaključeno je da bi posvećeni ESF+ program </w:t>
      </w:r>
      <w:r w:rsidRPr="00697400">
        <w:rPr>
          <w:rFonts w:eastAsia="Aptos" w:cs="Arial"/>
        </w:rPr>
        <w:lastRenderedPageBreak/>
        <w:t>bio manje opterećujući i efikasniji, imajući u vidu specifičnosti korisnika ESF+ i podršku najugroženijima. Iako će konačna odluka o obimu programa zavisiti od regulatornog okvira nakon 2027. godine, orijentacija ka dva programa predstavljena je Radnoj grupi za Poglavlje 22 i usvojena.</w:t>
      </w:r>
    </w:p>
    <w:p w14:paraId="7F040601" w14:textId="21CD032C" w:rsidR="00DD7EEE" w:rsidRPr="00B83578" w:rsidRDefault="00543023" w:rsidP="009805FA">
      <w:pPr>
        <w:pStyle w:val="Heading3"/>
      </w:pPr>
      <w:bookmarkStart w:id="37" w:name="_Toc201700319"/>
      <w:r>
        <w:t>Akcija</w:t>
      </w:r>
      <w:r w:rsidR="00DD7EEE" w:rsidRPr="00B83578">
        <w:t xml:space="preserve"> </w:t>
      </w:r>
      <w:r w:rsidR="0032369C">
        <w:t>ZM</w:t>
      </w:r>
      <w:r w:rsidR="00DD7EEE" w:rsidRPr="00B83578">
        <w:t>2.2</w:t>
      </w:r>
      <w:r w:rsidR="00DD7EEE" w:rsidRPr="00B83578">
        <w:tab/>
      </w:r>
      <w:r w:rsidR="006C6DB0" w:rsidRPr="006C6DB0">
        <w:t>Samoprocjena o ispunjenju omogućavajućih uslova</w:t>
      </w:r>
      <w:bookmarkEnd w:id="37"/>
      <w:r w:rsidR="006C6DB0" w:rsidRPr="006C6DB0">
        <w:t xml:space="preserve"> </w:t>
      </w:r>
    </w:p>
    <w:p w14:paraId="3B6EC7F9" w14:textId="76BF8BA2" w:rsidR="00697400" w:rsidRDefault="00697400" w:rsidP="00DD7EEE">
      <w:pPr>
        <w:rPr>
          <w:rFonts w:eastAsia="Aptos" w:cs="Arial"/>
        </w:rPr>
      </w:pPr>
      <w:r w:rsidRPr="00697400">
        <w:rPr>
          <w:rFonts w:eastAsia="Aptos" w:cs="Arial"/>
        </w:rPr>
        <w:t xml:space="preserve">Potpuno ispunjavanje uslova omogućavanja zahtijeva i preduzimanje mjera u okviru drugih poglavlja </w:t>
      </w:r>
      <w:r w:rsidRPr="00697400">
        <w:rPr>
          <w:rFonts w:eastAsia="Aptos" w:cs="Arial"/>
          <w:i/>
        </w:rPr>
        <w:t>acquis-a</w:t>
      </w:r>
      <w:r w:rsidRPr="00697400">
        <w:rPr>
          <w:rFonts w:eastAsia="Aptos" w:cs="Arial"/>
        </w:rPr>
        <w:t xml:space="preserve">. U Poglavlju 22 napredak u ispunjavanju ovih uslova prati se u vezi s programiranjem i </w:t>
      </w:r>
      <w:r w:rsidR="006C6DB0">
        <w:rPr>
          <w:rFonts w:eastAsia="Aptos" w:cs="Arial"/>
        </w:rPr>
        <w:t>implementacijom</w:t>
      </w:r>
      <w:r w:rsidRPr="00697400">
        <w:rPr>
          <w:rFonts w:eastAsia="Aptos" w:cs="Arial"/>
        </w:rPr>
        <w:t xml:space="preserve"> sredstava Kohezi</w:t>
      </w:r>
      <w:r>
        <w:rPr>
          <w:rFonts w:eastAsia="Aptos" w:cs="Arial"/>
        </w:rPr>
        <w:t>one</w:t>
      </w:r>
      <w:r w:rsidRPr="00697400">
        <w:rPr>
          <w:rFonts w:eastAsia="Aptos" w:cs="Arial"/>
        </w:rPr>
        <w:t xml:space="preserve"> politike nakon pristupanja. Metodologiju za samoprocjenu napretka crnogorskih institucija u ispunjavanju uslova omogućavanja odobrilo je Ministarstvo evropskih poslova – Kancelarija </w:t>
      </w:r>
      <w:r w:rsidR="0086543E" w:rsidRPr="0086543E">
        <w:rPr>
          <w:rFonts w:eastAsia="Aptos" w:cs="Arial"/>
        </w:rPr>
        <w:t>NIPAK</w:t>
      </w:r>
      <w:r w:rsidRPr="00697400">
        <w:rPr>
          <w:rFonts w:eastAsia="Aptos" w:cs="Arial"/>
        </w:rPr>
        <w:t xml:space="preserve"> 26. jula 2024. Shodno tome, izvještaj o samoprocjeni, koji obuhvata sve uslove omogućavanja, biće objavljivan na svakih šest mjeseci</w:t>
      </w:r>
      <w:r w:rsidRPr="00B83578">
        <w:rPr>
          <w:rFonts w:eastAsia="Aptos" w:cs="Arial"/>
          <w:vertAlign w:val="superscript"/>
        </w:rPr>
        <w:footnoteReference w:id="64"/>
      </w:r>
      <w:r w:rsidRPr="00697400">
        <w:rPr>
          <w:rFonts w:eastAsia="Aptos" w:cs="Arial"/>
        </w:rPr>
        <w:t xml:space="preserve">. Ministarstvo evropskih poslova – Kancelarija </w:t>
      </w:r>
      <w:r w:rsidR="0086543E" w:rsidRPr="0086543E">
        <w:rPr>
          <w:rFonts w:eastAsia="Aptos" w:cs="Arial"/>
        </w:rPr>
        <w:t>NIPAK</w:t>
      </w:r>
      <w:r w:rsidRPr="00697400">
        <w:rPr>
          <w:rFonts w:eastAsia="Aptos" w:cs="Arial"/>
        </w:rPr>
        <w:t xml:space="preserve"> koordiniraće njihovo redovno praćenje.</w:t>
      </w:r>
    </w:p>
    <w:p w14:paraId="0F3DEF30" w14:textId="74A9E9E9" w:rsidR="00DD7EEE" w:rsidRPr="00B83578" w:rsidRDefault="00543023" w:rsidP="009805FA">
      <w:pPr>
        <w:pStyle w:val="Heading3"/>
      </w:pPr>
      <w:bookmarkStart w:id="38" w:name="_Toc201700320"/>
      <w:r>
        <w:t>Akcija</w:t>
      </w:r>
      <w:r w:rsidR="00DD7EEE" w:rsidRPr="00B83578">
        <w:t xml:space="preserve"> </w:t>
      </w:r>
      <w:r w:rsidR="0032369C">
        <w:t>ZM</w:t>
      </w:r>
      <w:r w:rsidR="00DD7EEE" w:rsidRPr="00B83578">
        <w:t>2.3</w:t>
      </w:r>
      <w:r w:rsidR="00DD7EEE" w:rsidRPr="00B83578">
        <w:tab/>
      </w:r>
      <w:r w:rsidR="006C6DB0" w:rsidRPr="006C6DB0">
        <w:t>Metodologija za uspostavljanje partnerstva u okviru Kohezione politike</w:t>
      </w:r>
      <w:bookmarkEnd w:id="38"/>
      <w:r w:rsidR="006C6DB0" w:rsidRPr="006C6DB0">
        <w:t xml:space="preserve"> </w:t>
      </w:r>
    </w:p>
    <w:p w14:paraId="7A86BADB" w14:textId="4B586E38" w:rsidR="00697400" w:rsidRPr="00697400" w:rsidRDefault="00697400" w:rsidP="00697400">
      <w:pPr>
        <w:rPr>
          <w:rFonts w:eastAsia="Aptos" w:cs="Arial"/>
        </w:rPr>
      </w:pPr>
      <w:r w:rsidRPr="00697400">
        <w:rPr>
          <w:rFonts w:eastAsia="Aptos" w:cs="Arial"/>
        </w:rPr>
        <w:t xml:space="preserve">Uz podršku posebno namijenjenog projekta </w:t>
      </w:r>
      <w:r w:rsidR="00F6773D">
        <w:rPr>
          <w:rFonts w:eastAsia="Aptos" w:cs="Arial"/>
        </w:rPr>
        <w:t>tehničke pomoći</w:t>
      </w:r>
      <w:r w:rsidRPr="00697400">
        <w:rPr>
          <w:rFonts w:eastAsia="Aptos" w:cs="Arial"/>
        </w:rPr>
        <w:t xml:space="preserve"> finansiranog od strane EU, biće pripremljena metodologija za uspostavljanje partnerstva, zasnovana na principu višerazinskog upravljanja, u skladu s </w:t>
      </w:r>
      <w:r w:rsidR="00CD0020">
        <w:rPr>
          <w:rFonts w:eastAsia="Aptos" w:cs="Arial"/>
        </w:rPr>
        <w:t>EKPP</w:t>
      </w:r>
      <w:r w:rsidRPr="00697400">
        <w:rPr>
          <w:rFonts w:eastAsia="Aptos" w:cs="Arial"/>
        </w:rPr>
        <w:t xml:space="preserve">-om (Delegirana </w:t>
      </w:r>
      <w:r w:rsidR="002B4184">
        <w:rPr>
          <w:rFonts w:eastAsia="Aptos" w:cs="Arial"/>
        </w:rPr>
        <w:t>regulativa</w:t>
      </w:r>
      <w:r w:rsidRPr="00697400">
        <w:rPr>
          <w:rFonts w:eastAsia="Aptos" w:cs="Arial"/>
        </w:rPr>
        <w:t xml:space="preserve"> Komisije 240/2014) i </w:t>
      </w:r>
      <w:r w:rsidR="00CD0020">
        <w:rPr>
          <w:rFonts w:eastAsia="Aptos" w:cs="Arial"/>
        </w:rPr>
        <w:t>RZO</w:t>
      </w:r>
      <w:r w:rsidRPr="00697400">
        <w:rPr>
          <w:rFonts w:eastAsia="Aptos" w:cs="Arial"/>
        </w:rPr>
        <w:t>-om (</w:t>
      </w:r>
      <w:r w:rsidR="002B4184">
        <w:rPr>
          <w:rFonts w:eastAsia="Aptos" w:cs="Arial"/>
        </w:rPr>
        <w:t>Regulativa</w:t>
      </w:r>
      <w:r w:rsidRPr="00697400">
        <w:rPr>
          <w:rFonts w:eastAsia="Aptos" w:cs="Arial"/>
        </w:rPr>
        <w:t xml:space="preserve"> EU 2021/1060, član 8).</w:t>
      </w:r>
    </w:p>
    <w:p w14:paraId="3A5EF109" w14:textId="6F2F1BEB" w:rsidR="00697400" w:rsidRPr="00697400" w:rsidRDefault="00697400" w:rsidP="00697400">
      <w:pPr>
        <w:rPr>
          <w:rFonts w:eastAsia="Aptos" w:cs="Arial"/>
        </w:rPr>
      </w:pPr>
      <w:r w:rsidRPr="00697400">
        <w:rPr>
          <w:rFonts w:eastAsia="Aptos" w:cs="Arial"/>
        </w:rPr>
        <w:t xml:space="preserve">U primjeni </w:t>
      </w:r>
      <w:r w:rsidR="00CD0020">
        <w:rPr>
          <w:rFonts w:eastAsia="Aptos" w:cs="Arial"/>
        </w:rPr>
        <w:t>EKPP</w:t>
      </w:r>
      <w:r w:rsidRPr="00697400">
        <w:rPr>
          <w:rFonts w:eastAsia="Aptos" w:cs="Arial"/>
        </w:rPr>
        <w:t xml:space="preserve">-a, pripreme za </w:t>
      </w:r>
      <w:r w:rsidR="002B4184">
        <w:rPr>
          <w:rFonts w:eastAsia="Aptos" w:cs="Arial"/>
        </w:rPr>
        <w:t xml:space="preserve">Kohezionu </w:t>
      </w:r>
      <w:r w:rsidRPr="00697400">
        <w:rPr>
          <w:rFonts w:eastAsia="Aptos" w:cs="Arial"/>
        </w:rPr>
        <w:t>politiku EU zahtijevaju uspostavljanje transparentnog sistema za odabir partnera koji treba da budu reprezentativni za relevantne zainteresovane strane, uključujući najmanje: nacionalne, regionalne, lokalne, urbane i druge nadležne javne organe, ekonomske i socijalne partnere, ekološke partnere, nevladine organizacije, tijela nadležna za promociju socijalne uključenosti, osnovnih</w:t>
      </w:r>
      <w:r w:rsidR="002B4184">
        <w:rPr>
          <w:rFonts w:eastAsia="Aptos" w:cs="Arial"/>
        </w:rPr>
        <w:t xml:space="preserve"> ljudskih</w:t>
      </w:r>
      <w:r w:rsidRPr="00697400">
        <w:rPr>
          <w:rFonts w:eastAsia="Aptos" w:cs="Arial"/>
        </w:rPr>
        <w:t xml:space="preserve"> prava, prava osoba s invaliditetom, rodne ravnopravnosti i nediskriminacije, kao i istraživačke organizacije i univerzitete, gdje je to primjenjivo.</w:t>
      </w:r>
      <w:r w:rsidR="002B4184">
        <w:rPr>
          <w:rFonts w:eastAsia="Aptos" w:cs="Arial"/>
        </w:rPr>
        <w:t xml:space="preserve"> </w:t>
      </w:r>
      <w:r w:rsidRPr="00697400">
        <w:rPr>
          <w:rFonts w:eastAsia="Aptos" w:cs="Arial"/>
        </w:rPr>
        <w:t xml:space="preserve">Posebno, radi poštovanja obaveza u vezi s temeljnim pravima u </w:t>
      </w:r>
      <w:r w:rsidR="002B4184">
        <w:rPr>
          <w:rFonts w:eastAsia="Aptos" w:cs="Arial"/>
        </w:rPr>
        <w:t>Kohezionoj politici</w:t>
      </w:r>
      <w:r w:rsidRPr="00697400">
        <w:rPr>
          <w:rFonts w:eastAsia="Aptos" w:cs="Arial"/>
        </w:rPr>
        <w:t xml:space="preserve"> EU, uzimajući u obzir dva horizontalna uslova omogućavanja</w:t>
      </w:r>
      <w:r w:rsidR="002B4184">
        <w:rPr>
          <w:rFonts w:eastAsia="Aptos" w:cs="Arial"/>
        </w:rPr>
        <w:t xml:space="preserve">: </w:t>
      </w:r>
      <w:r w:rsidRPr="002B4184">
        <w:rPr>
          <w:rFonts w:eastAsia="Aptos" w:cs="Arial"/>
          <w:i/>
        </w:rPr>
        <w:t xml:space="preserve">Efikasnu primjenu i </w:t>
      </w:r>
      <w:r w:rsidR="00A80895">
        <w:rPr>
          <w:rFonts w:eastAsia="Aptos" w:cs="Arial"/>
          <w:i/>
        </w:rPr>
        <w:t>implementacija</w:t>
      </w:r>
      <w:r w:rsidRPr="002B4184">
        <w:rPr>
          <w:rFonts w:eastAsia="Aptos" w:cs="Arial"/>
          <w:i/>
        </w:rPr>
        <w:t xml:space="preserve"> Povelje o osnovnim</w:t>
      </w:r>
      <w:r w:rsidR="006C6DB0">
        <w:rPr>
          <w:rFonts w:eastAsia="Aptos" w:cs="Arial"/>
          <w:i/>
        </w:rPr>
        <w:t xml:space="preserve"> ljudskim</w:t>
      </w:r>
      <w:r w:rsidRPr="002B4184">
        <w:rPr>
          <w:rFonts w:eastAsia="Aptos" w:cs="Arial"/>
          <w:i/>
        </w:rPr>
        <w:t xml:space="preserve"> pravima i Sprovođenje i primjenu Konvencije Ujedinjenih nacija o pravima osoba s invaliditetom (UNCRPD) u skladu s Odlukom Savjeta 2010/48/</w:t>
      </w:r>
      <w:r w:rsidR="00EA1B2F">
        <w:rPr>
          <w:rFonts w:eastAsia="Aptos" w:cs="Arial"/>
          <w:i/>
        </w:rPr>
        <w:t>EZ</w:t>
      </w:r>
      <w:r w:rsidR="002B4184">
        <w:rPr>
          <w:rFonts w:eastAsia="Aptos" w:cs="Arial"/>
        </w:rPr>
        <w:t xml:space="preserve">, </w:t>
      </w:r>
      <w:r w:rsidRPr="00697400">
        <w:rPr>
          <w:rFonts w:eastAsia="Aptos" w:cs="Arial"/>
        </w:rPr>
        <w:t>relevantni partneri, uključujući aktere iz oblasti osnovnih</w:t>
      </w:r>
      <w:r w:rsidR="002B4184">
        <w:rPr>
          <w:rFonts w:eastAsia="Aptos" w:cs="Arial"/>
        </w:rPr>
        <w:t xml:space="preserve"> ljudskih</w:t>
      </w:r>
      <w:r w:rsidRPr="00697400">
        <w:rPr>
          <w:rFonts w:eastAsia="Aptos" w:cs="Arial"/>
        </w:rPr>
        <w:t xml:space="preserve"> prava, treba da budu uključeni u partnerstvo. Sistem takođe mora obezbijediti da partneri budu imenovani kao propisno ovlašćeni predstavnici, uzimajući u obzir njihovu kompetentnost i kapacitet za aktivno učešće.</w:t>
      </w:r>
    </w:p>
    <w:p w14:paraId="6751A9DA" w14:textId="6589DC46" w:rsidR="00697400" w:rsidRPr="00697400" w:rsidRDefault="00697400" w:rsidP="00697400">
      <w:pPr>
        <w:rPr>
          <w:rFonts w:eastAsia="Aptos" w:cs="Arial"/>
        </w:rPr>
      </w:pPr>
      <w:r w:rsidRPr="00697400">
        <w:rPr>
          <w:rFonts w:eastAsia="Aptos" w:cs="Arial"/>
        </w:rPr>
        <w:t xml:space="preserve">Iskustva država članica u izradi i sprovođenju </w:t>
      </w:r>
      <w:r w:rsidR="002B4184">
        <w:rPr>
          <w:rFonts w:eastAsia="Aptos" w:cs="Arial"/>
        </w:rPr>
        <w:t>Kohezione politike</w:t>
      </w:r>
      <w:r w:rsidRPr="00697400">
        <w:rPr>
          <w:rFonts w:eastAsia="Aptos" w:cs="Arial"/>
        </w:rPr>
        <w:t xml:space="preserve"> EU u periodu 2014-2020, kao i preporuke Evropske zajednice prakse o partnerstvu (ECoPP)</w:t>
      </w:r>
      <w:r w:rsidR="002B4184" w:rsidRPr="002B4184">
        <w:rPr>
          <w:rFonts w:eastAsia="Times New Roman" w:cs="Arial"/>
          <w:kern w:val="0"/>
          <w:vertAlign w:val="superscript"/>
          <w14:ligatures w14:val="none"/>
        </w:rPr>
        <w:t xml:space="preserve"> </w:t>
      </w:r>
      <w:r w:rsidR="002B4184" w:rsidRPr="00B83578">
        <w:rPr>
          <w:rFonts w:eastAsia="Times New Roman" w:cs="Arial"/>
          <w:kern w:val="0"/>
          <w:vertAlign w:val="superscript"/>
          <w14:ligatures w14:val="none"/>
        </w:rPr>
        <w:footnoteReference w:id="65"/>
      </w:r>
      <w:r w:rsidRPr="00697400">
        <w:rPr>
          <w:rFonts w:eastAsia="Aptos" w:cs="Arial"/>
        </w:rPr>
        <w:t>, biće uzeta u obzir.</w:t>
      </w:r>
    </w:p>
    <w:p w14:paraId="025E9D1C" w14:textId="1920937F" w:rsidR="00697400" w:rsidRDefault="00697400" w:rsidP="00697400">
      <w:pPr>
        <w:rPr>
          <w:rFonts w:eastAsia="Aptos" w:cs="Arial"/>
        </w:rPr>
      </w:pPr>
      <w:r w:rsidRPr="00697400">
        <w:rPr>
          <w:rFonts w:eastAsia="Aptos" w:cs="Arial"/>
        </w:rPr>
        <w:t xml:space="preserve">Partnerstvo će biti uspostavljeno za </w:t>
      </w:r>
      <w:r w:rsidR="00700FF9">
        <w:rPr>
          <w:rFonts w:eastAsia="Aptos" w:cs="Arial"/>
        </w:rPr>
        <w:t>Sporazum o partnerstvu</w:t>
      </w:r>
      <w:r w:rsidRPr="00697400">
        <w:rPr>
          <w:rFonts w:eastAsia="Aptos" w:cs="Arial"/>
        </w:rPr>
        <w:t xml:space="preserve"> koji obuhvata svih pet tematskih ciljeva propisanih regulatornim okvirom 2021-2027.</w:t>
      </w:r>
    </w:p>
    <w:p w14:paraId="11AFDBCD" w14:textId="776E2438" w:rsidR="00DD7EEE" w:rsidRPr="00B83578" w:rsidRDefault="00543023" w:rsidP="009805FA">
      <w:pPr>
        <w:pStyle w:val="Heading3"/>
      </w:pPr>
      <w:bookmarkStart w:id="40" w:name="_Toc201700321"/>
      <w:r>
        <w:t>Akcija</w:t>
      </w:r>
      <w:r w:rsidR="00DD7EEE" w:rsidRPr="00B83578">
        <w:t xml:space="preserve"> </w:t>
      </w:r>
      <w:r w:rsidR="0032369C">
        <w:t>ZM</w:t>
      </w:r>
      <w:r w:rsidR="00DD7EEE" w:rsidRPr="00B83578">
        <w:t>2.4</w:t>
      </w:r>
      <w:r w:rsidR="00DD7EEE" w:rsidRPr="00B83578">
        <w:tab/>
      </w:r>
      <w:r w:rsidR="006C6DB0" w:rsidRPr="006C6DB0">
        <w:t>Metodologija, detaljan plan i vremenski raspored za pripremu Sporazuma o partnerstvu</w:t>
      </w:r>
      <w:bookmarkEnd w:id="40"/>
    </w:p>
    <w:p w14:paraId="6A2C5651" w14:textId="357909FB" w:rsidR="002B4184" w:rsidRPr="002B4184" w:rsidRDefault="002B4184" w:rsidP="002B4184">
      <w:pPr>
        <w:spacing w:after="0"/>
        <w:rPr>
          <w:rFonts w:eastAsia="Aptos" w:cs="Arial"/>
        </w:rPr>
      </w:pPr>
      <w:r w:rsidRPr="002B4184">
        <w:rPr>
          <w:rFonts w:eastAsia="Aptos" w:cs="Arial"/>
        </w:rPr>
        <w:t xml:space="preserve">Metodologija, detaljan plan i vremenski okvir za pripremu </w:t>
      </w:r>
      <w:r w:rsidR="00700FF9">
        <w:rPr>
          <w:rFonts w:eastAsia="Aptos" w:cs="Arial"/>
        </w:rPr>
        <w:t>Sporazuma o partnerstvu</w:t>
      </w:r>
      <w:r w:rsidRPr="002B4184">
        <w:rPr>
          <w:rFonts w:eastAsia="Aptos" w:cs="Arial"/>
        </w:rPr>
        <w:t xml:space="preserve"> biće izrađeni na osnovu raspoloživog regulatornog okvira. Cilj Metodologije je:</w:t>
      </w:r>
    </w:p>
    <w:p w14:paraId="691B9888" w14:textId="77777777" w:rsidR="004E66DF" w:rsidRDefault="004E66DF" w:rsidP="002B4184">
      <w:pPr>
        <w:spacing w:after="0"/>
        <w:rPr>
          <w:rFonts w:eastAsia="Aptos" w:cs="Arial"/>
        </w:rPr>
      </w:pPr>
    </w:p>
    <w:p w14:paraId="76F9A833" w14:textId="77777777" w:rsidR="004E66DF" w:rsidRDefault="002B4184" w:rsidP="00D15218">
      <w:pPr>
        <w:pStyle w:val="ListParagraph"/>
        <w:numPr>
          <w:ilvl w:val="0"/>
          <w:numId w:val="61"/>
        </w:numPr>
        <w:spacing w:after="0"/>
        <w:rPr>
          <w:rFonts w:eastAsia="Aptos" w:cs="Arial"/>
        </w:rPr>
      </w:pPr>
      <w:r w:rsidRPr="004E66DF">
        <w:rPr>
          <w:rFonts w:eastAsia="Aptos" w:cs="Arial"/>
        </w:rPr>
        <w:t xml:space="preserve">Prevesti zahtjeve regulatornog okvira i obrasca Komisije za </w:t>
      </w:r>
      <w:r w:rsidR="00700FF9" w:rsidRPr="004E66DF">
        <w:rPr>
          <w:rFonts w:eastAsia="Aptos" w:cs="Arial"/>
        </w:rPr>
        <w:t>Sporazum o partnerstvu</w:t>
      </w:r>
      <w:r w:rsidRPr="004E66DF">
        <w:rPr>
          <w:rFonts w:eastAsia="Aptos" w:cs="Arial"/>
        </w:rPr>
        <w:t xml:space="preserve"> u metodološke ulaze i obezbijediti smjernice za izradu nacrta;</w:t>
      </w:r>
    </w:p>
    <w:p w14:paraId="6A3810BE" w14:textId="77777777" w:rsidR="004E66DF" w:rsidRDefault="002B4184" w:rsidP="00D15218">
      <w:pPr>
        <w:pStyle w:val="ListParagraph"/>
        <w:numPr>
          <w:ilvl w:val="0"/>
          <w:numId w:val="61"/>
        </w:numPr>
        <w:spacing w:after="0"/>
        <w:rPr>
          <w:rFonts w:eastAsia="Aptos" w:cs="Arial"/>
        </w:rPr>
      </w:pPr>
      <w:r w:rsidRPr="004E66DF">
        <w:rPr>
          <w:rFonts w:eastAsia="Aptos" w:cs="Arial"/>
        </w:rPr>
        <w:t>Sažeti naučene lekcije država članica EU u pripremi i evaluaciji oba dokumenta u metodološke ulaze i smjernice za izradu nacrta;</w:t>
      </w:r>
    </w:p>
    <w:p w14:paraId="4157017C" w14:textId="77777777" w:rsidR="004E66DF" w:rsidRDefault="002B4184" w:rsidP="00D15218">
      <w:pPr>
        <w:pStyle w:val="ListParagraph"/>
        <w:numPr>
          <w:ilvl w:val="0"/>
          <w:numId w:val="61"/>
        </w:numPr>
        <w:spacing w:after="0"/>
        <w:rPr>
          <w:rFonts w:eastAsia="Aptos" w:cs="Arial"/>
        </w:rPr>
      </w:pPr>
      <w:r w:rsidRPr="004E66DF">
        <w:rPr>
          <w:rFonts w:eastAsia="Aptos" w:cs="Arial"/>
        </w:rPr>
        <w:t>Obezbijediti veze sa postojećim procesima strateškog planiranja i Programom ekonomskih reformi;</w:t>
      </w:r>
    </w:p>
    <w:p w14:paraId="78A69925" w14:textId="77777777" w:rsidR="004E66DF" w:rsidRDefault="002B4184" w:rsidP="00D15218">
      <w:pPr>
        <w:pStyle w:val="ListParagraph"/>
        <w:numPr>
          <w:ilvl w:val="0"/>
          <w:numId w:val="61"/>
        </w:numPr>
        <w:spacing w:after="0"/>
        <w:rPr>
          <w:rFonts w:eastAsia="Aptos" w:cs="Arial"/>
        </w:rPr>
      </w:pPr>
      <w:r w:rsidRPr="004E66DF">
        <w:rPr>
          <w:rFonts w:eastAsia="Aptos" w:cs="Arial"/>
        </w:rPr>
        <w:t>Osigurati puno poštovanje višeslojnog upravljanja i partnerskog principa;</w:t>
      </w:r>
    </w:p>
    <w:p w14:paraId="47B22B67" w14:textId="77777777" w:rsidR="004E66DF" w:rsidRDefault="002B4184" w:rsidP="00D15218">
      <w:pPr>
        <w:pStyle w:val="ListParagraph"/>
        <w:numPr>
          <w:ilvl w:val="0"/>
          <w:numId w:val="61"/>
        </w:numPr>
        <w:spacing w:after="0"/>
        <w:rPr>
          <w:rFonts w:eastAsia="Aptos" w:cs="Arial"/>
        </w:rPr>
      </w:pPr>
      <w:r w:rsidRPr="004E66DF">
        <w:rPr>
          <w:rFonts w:eastAsia="Aptos" w:cs="Arial"/>
        </w:rPr>
        <w:lastRenderedPageBreak/>
        <w:t xml:space="preserve">Obezbijediti zajedničko razumijevanje svrhe, obima i strukture kako </w:t>
      </w:r>
      <w:r w:rsidR="00700FF9" w:rsidRPr="004E66DF">
        <w:rPr>
          <w:rFonts w:eastAsia="Aptos" w:cs="Arial"/>
        </w:rPr>
        <w:t>Sporazuma o partnerstvu</w:t>
      </w:r>
      <w:r w:rsidRPr="004E66DF">
        <w:rPr>
          <w:rFonts w:eastAsia="Aptos" w:cs="Arial"/>
        </w:rPr>
        <w:t>, tako i Programa među svim relevantnim zainteresovanim stranama (nadležnim institucijama i partnerima);</w:t>
      </w:r>
    </w:p>
    <w:p w14:paraId="3C855766" w14:textId="7E06031B" w:rsidR="002B4184" w:rsidRPr="004E66DF" w:rsidRDefault="002B4184" w:rsidP="00D15218">
      <w:pPr>
        <w:pStyle w:val="ListParagraph"/>
        <w:numPr>
          <w:ilvl w:val="0"/>
          <w:numId w:val="61"/>
        </w:numPr>
        <w:spacing w:after="0"/>
        <w:rPr>
          <w:rFonts w:eastAsia="Aptos" w:cs="Arial"/>
        </w:rPr>
      </w:pPr>
      <w:r w:rsidRPr="004E66DF">
        <w:rPr>
          <w:rFonts w:eastAsia="Aptos" w:cs="Arial"/>
        </w:rPr>
        <w:t>Definisati glavne uloge i odgovornosti u procesu izrade nacrta.</w:t>
      </w:r>
    </w:p>
    <w:p w14:paraId="7F2C39B3" w14:textId="77777777" w:rsidR="002B4184" w:rsidRDefault="002B4184" w:rsidP="002B4184">
      <w:pPr>
        <w:spacing w:after="0"/>
        <w:rPr>
          <w:rFonts w:eastAsia="Aptos" w:cs="Arial"/>
        </w:rPr>
      </w:pPr>
    </w:p>
    <w:p w14:paraId="58B696EC" w14:textId="77777777" w:rsidR="00F9399D" w:rsidRDefault="00F9399D" w:rsidP="0082366A">
      <w:pPr>
        <w:spacing w:after="0"/>
        <w:rPr>
          <w:rFonts w:eastAsia="Aptos" w:cs="Arial"/>
        </w:rPr>
      </w:pPr>
      <w:r w:rsidRPr="00F9399D">
        <w:rPr>
          <w:rFonts w:eastAsia="Aptos" w:cs="Arial"/>
        </w:rPr>
        <w:t>Time će se obezbijediti čvrsta osnova za definisanje detaljnog plana i vremenskog okvira. Sve glavne aktivnosti biće mapirane i prikazane u vremenskoj dimenziji, sa jasno identifikovanim i dodijeljenim ulogama i odgovornostima. Ovo će ne samo omogućiti nesmetano upravljanje procesom, već će procesu obezbijediti i veću vjerodostojnost i transparentnost. Metodologija, plan i vremenski okvir biće razmotreni u Radnoj grupi za Poglavlje 22.</w:t>
      </w:r>
    </w:p>
    <w:p w14:paraId="5F4CDB93" w14:textId="0CC572F6" w:rsidR="00DD7EEE" w:rsidRPr="00B83578" w:rsidRDefault="00543023" w:rsidP="009805FA">
      <w:pPr>
        <w:pStyle w:val="Heading3"/>
      </w:pPr>
      <w:bookmarkStart w:id="41" w:name="_Toc201700322"/>
      <w:r>
        <w:t>Akcija</w:t>
      </w:r>
      <w:r w:rsidR="00DD7EEE" w:rsidRPr="00B83578">
        <w:t xml:space="preserve"> </w:t>
      </w:r>
      <w:r w:rsidR="0032369C">
        <w:t>ZM</w:t>
      </w:r>
      <w:r w:rsidR="00DD7EEE" w:rsidRPr="00B83578">
        <w:t>2.5</w:t>
      </w:r>
      <w:r w:rsidR="00DD7EEE" w:rsidRPr="00B83578">
        <w:tab/>
      </w:r>
      <w:r w:rsidR="006C6DB0" w:rsidRPr="006C6DB0">
        <w:t>Izbor partnera za Sporazum o partnerstvu u okviru Kohezionu Politike</w:t>
      </w:r>
      <w:bookmarkEnd w:id="41"/>
    </w:p>
    <w:p w14:paraId="22907E7B" w14:textId="28B40D68" w:rsidR="00DD7EEE" w:rsidRPr="00B83578" w:rsidRDefault="00F9399D" w:rsidP="0082366A">
      <w:pPr>
        <w:spacing w:after="0"/>
        <w:rPr>
          <w:rFonts w:eastAsia="Aptos" w:cs="Arial"/>
        </w:rPr>
      </w:pPr>
      <w:r>
        <w:rPr>
          <w:rFonts w:eastAsia="Aptos" w:cs="Arial"/>
        </w:rPr>
        <w:t>U skladu sa Metodologijom za uspostavljanje P</w:t>
      </w:r>
      <w:r w:rsidR="001750F9">
        <w:rPr>
          <w:rFonts w:eastAsia="Aptos" w:cs="Arial"/>
        </w:rPr>
        <w:t>a</w:t>
      </w:r>
      <w:r>
        <w:rPr>
          <w:rFonts w:eastAsia="Aptos" w:cs="Arial"/>
        </w:rPr>
        <w:t>rtnerstva</w:t>
      </w:r>
      <w:r w:rsidR="001750F9">
        <w:rPr>
          <w:rFonts w:eastAsia="Aptos" w:cs="Arial"/>
        </w:rPr>
        <w:t xml:space="preserve"> u okviru</w:t>
      </w:r>
      <w:r>
        <w:rPr>
          <w:rFonts w:eastAsia="Aptos" w:cs="Arial"/>
        </w:rPr>
        <w:t xml:space="preserve"> </w:t>
      </w:r>
      <w:r w:rsidR="001750F9">
        <w:rPr>
          <w:rFonts w:eastAsia="Aptos" w:cs="Arial"/>
        </w:rPr>
        <w:t>K</w:t>
      </w:r>
      <w:r>
        <w:rPr>
          <w:rFonts w:eastAsia="Aptos" w:cs="Arial"/>
        </w:rPr>
        <w:t xml:space="preserve">ohezione politike (Akcija </w:t>
      </w:r>
      <w:r w:rsidR="0032369C">
        <w:rPr>
          <w:rFonts w:eastAsia="Aptos" w:cs="Arial"/>
        </w:rPr>
        <w:t>ZM</w:t>
      </w:r>
      <w:r>
        <w:rPr>
          <w:rFonts w:eastAsia="Aptos" w:cs="Arial"/>
        </w:rPr>
        <w:t>2.3), uspostavljen je transparentan pristup u odabiru partnera. N</w:t>
      </w:r>
      <w:r w:rsidR="00CB08E2">
        <w:rPr>
          <w:rFonts w:eastAsia="Aptos" w:cs="Arial"/>
        </w:rPr>
        <w:t>e</w:t>
      </w:r>
      <w:r>
        <w:rPr>
          <w:rFonts w:eastAsia="Aptos" w:cs="Arial"/>
        </w:rPr>
        <w:t xml:space="preserve">ki partneri mogu biti identifikovani na osnovu njihove statutarne misije; odabir preostalih partnera će se vršiti objavljivanjem javnog poziva za predstavljanje izraženog interesovanja za kreiranje inkluzivnog partnerstva za </w:t>
      </w:r>
      <w:r w:rsidR="00700FF9">
        <w:rPr>
          <w:rFonts w:eastAsia="Aptos" w:cs="Arial"/>
        </w:rPr>
        <w:t>Sporazum o partnerstvu</w:t>
      </w:r>
      <w:r>
        <w:rPr>
          <w:rFonts w:eastAsia="Aptos" w:cs="Arial"/>
        </w:rPr>
        <w:t xml:space="preserve"> kohezione politike. </w:t>
      </w:r>
    </w:p>
    <w:p w14:paraId="2C541F8D" w14:textId="77777777" w:rsidR="0082366A" w:rsidRPr="00B83578" w:rsidRDefault="0082366A" w:rsidP="0082366A">
      <w:pPr>
        <w:spacing w:after="0"/>
        <w:jc w:val="left"/>
        <w:rPr>
          <w:rFonts w:eastAsia="Aptos" w:cs="Arial"/>
          <w:b/>
          <w:bCs/>
        </w:rPr>
      </w:pPr>
    </w:p>
    <w:p w14:paraId="1C50F3A0" w14:textId="5CC28B33" w:rsidR="00DD7EEE" w:rsidRPr="00B83578" w:rsidRDefault="00543023" w:rsidP="009805FA">
      <w:pPr>
        <w:pStyle w:val="Heading3"/>
      </w:pPr>
      <w:bookmarkStart w:id="42" w:name="_Toc201700323"/>
      <w:r>
        <w:t>Akcija</w:t>
      </w:r>
      <w:r w:rsidR="00DD7EEE" w:rsidRPr="00B83578">
        <w:t xml:space="preserve"> </w:t>
      </w:r>
      <w:r w:rsidR="0032369C">
        <w:t>ZM</w:t>
      </w:r>
      <w:r w:rsidR="00DD7EEE" w:rsidRPr="00B83578">
        <w:t>2.6</w:t>
      </w:r>
      <w:r w:rsidR="00DD7EEE" w:rsidRPr="00B83578">
        <w:tab/>
      </w:r>
      <w:r w:rsidR="006C6DB0" w:rsidRPr="006C6DB0">
        <w:t>Analiza sektora/ciljeva Kohezione politike</w:t>
      </w:r>
      <w:bookmarkEnd w:id="42"/>
      <w:r w:rsidR="006C6DB0" w:rsidRPr="006C6DB0">
        <w:t xml:space="preserve"> </w:t>
      </w:r>
    </w:p>
    <w:p w14:paraId="3D700741" w14:textId="7D8651FB" w:rsidR="00F9399D" w:rsidRDefault="00F9399D" w:rsidP="00F9399D">
      <w:pPr>
        <w:spacing w:after="0"/>
        <w:rPr>
          <w:rFonts w:eastAsia="Aptos" w:cs="Arial"/>
        </w:rPr>
      </w:pPr>
      <w:r w:rsidRPr="00F9399D">
        <w:rPr>
          <w:rFonts w:eastAsia="Aptos" w:cs="Arial"/>
        </w:rPr>
        <w:t>Analize za sektore/ciljeve Kohezione politike treba da obezbijede neophodne ulaze o ekonomskim, socijalnim i teritorijalnim nejednakostima, potrebama, problemima i izazovima koje je potrebno adresirati, te da na taj način pruže osnovu za prioritizaciju na strateškom nivou u okviru ciljeva i prioriteta Kohezione politike.</w:t>
      </w:r>
      <w:r>
        <w:rPr>
          <w:rFonts w:eastAsia="Aptos" w:cs="Arial"/>
        </w:rPr>
        <w:t xml:space="preserve"> </w:t>
      </w:r>
      <w:r w:rsidRPr="00F9399D">
        <w:rPr>
          <w:rFonts w:eastAsia="Aptos" w:cs="Arial"/>
        </w:rPr>
        <w:t>Ova faza obuhvata</w:t>
      </w:r>
      <w:r>
        <w:rPr>
          <w:rFonts w:eastAsia="Aptos" w:cs="Arial"/>
        </w:rPr>
        <w:t xml:space="preserve"> </w:t>
      </w:r>
      <w:r w:rsidRPr="00F9399D">
        <w:rPr>
          <w:rFonts w:eastAsia="Aptos" w:cs="Arial"/>
        </w:rPr>
        <w:t>analizu relevantnih nacionalnih strateških dokumenata i dokumenata EU,</w:t>
      </w:r>
      <w:r>
        <w:rPr>
          <w:rFonts w:eastAsia="Aptos" w:cs="Arial"/>
        </w:rPr>
        <w:t xml:space="preserve"> </w:t>
      </w:r>
      <w:r w:rsidRPr="00F9399D">
        <w:rPr>
          <w:rFonts w:eastAsia="Aptos" w:cs="Arial"/>
        </w:rPr>
        <w:t>analizu na teritorijalnom nivou</w:t>
      </w:r>
      <w:r>
        <w:rPr>
          <w:rFonts w:eastAsia="Aptos" w:cs="Arial"/>
        </w:rPr>
        <w:t xml:space="preserve">, kao i </w:t>
      </w:r>
      <w:r w:rsidRPr="00F9399D">
        <w:rPr>
          <w:rFonts w:eastAsia="Aptos" w:cs="Arial"/>
        </w:rPr>
        <w:t>analizu kapaciteta i investicija u specifične sektore i oblasti povezane s politikom/tematskim ciljevima.</w:t>
      </w:r>
      <w:r>
        <w:rPr>
          <w:rFonts w:eastAsia="Aptos" w:cs="Arial"/>
        </w:rPr>
        <w:t xml:space="preserve"> </w:t>
      </w:r>
      <w:r w:rsidRPr="00F9399D">
        <w:rPr>
          <w:rFonts w:eastAsia="Aptos" w:cs="Arial"/>
        </w:rPr>
        <w:t>Pored toga, analize će se nadovezati na tekuću procjenu ispunjenosti tematskih uslova omogućavanja. Sve analize biće razvijane u saradnji s partnerima.</w:t>
      </w:r>
    </w:p>
    <w:p w14:paraId="143DDC2B" w14:textId="77777777" w:rsidR="00F9399D" w:rsidRDefault="00F9399D" w:rsidP="00F9399D">
      <w:pPr>
        <w:spacing w:after="0"/>
        <w:rPr>
          <w:rFonts w:eastAsia="Aptos" w:cs="Arial"/>
        </w:rPr>
      </w:pPr>
    </w:p>
    <w:p w14:paraId="386D6356" w14:textId="2A64A55E" w:rsidR="00DD7EEE" w:rsidRPr="00B83578" w:rsidRDefault="00543023" w:rsidP="009805FA">
      <w:pPr>
        <w:pStyle w:val="Heading3"/>
      </w:pPr>
      <w:bookmarkStart w:id="43" w:name="_Toc201700324"/>
      <w:r>
        <w:t>Akcija</w:t>
      </w:r>
      <w:r w:rsidR="00DD7EEE" w:rsidRPr="00B83578">
        <w:t xml:space="preserve"> </w:t>
      </w:r>
      <w:r w:rsidR="0032369C">
        <w:t>ZM</w:t>
      </w:r>
      <w:r w:rsidR="00DD7EEE" w:rsidRPr="00B83578">
        <w:t>2.7</w:t>
      </w:r>
      <w:r w:rsidR="00DD7EEE" w:rsidRPr="00B83578">
        <w:tab/>
      </w:r>
      <w:r w:rsidR="006C6DB0">
        <w:t>Analiza potreba za obukom za partnerstvo u Kohezionoj politici</w:t>
      </w:r>
      <w:bookmarkEnd w:id="43"/>
    </w:p>
    <w:p w14:paraId="57A17BEE" w14:textId="24B0E291" w:rsidR="0026681A" w:rsidRDefault="00F9399D" w:rsidP="00F9399D">
      <w:pPr>
        <w:rPr>
          <w:rFonts w:eastAsia="Aptos" w:cs="Arial"/>
        </w:rPr>
      </w:pPr>
      <w:r w:rsidRPr="00F9399D">
        <w:rPr>
          <w:rFonts w:eastAsia="Aptos" w:cs="Arial"/>
        </w:rPr>
        <w:t xml:space="preserve">Upitnik o potrebama za </w:t>
      </w:r>
      <w:r w:rsidR="00671D09">
        <w:rPr>
          <w:rFonts w:eastAsia="Aptos" w:cs="Arial"/>
        </w:rPr>
        <w:t>obukama</w:t>
      </w:r>
      <w:r w:rsidRPr="00F9399D">
        <w:rPr>
          <w:rFonts w:eastAsia="Aptos" w:cs="Arial"/>
        </w:rPr>
        <w:t xml:space="preserve"> biće osmišljen za partnere Kohezione politike i distribuiran kao onlajn anketa. Obuhvatiće sve aspekte uloge partnera predviđene regulatornim okvirom</w:t>
      </w:r>
      <w:r w:rsidR="0026681A">
        <w:rPr>
          <w:rFonts w:eastAsia="Aptos" w:cs="Arial"/>
        </w:rPr>
        <w:t xml:space="preserve">, tj. </w:t>
      </w:r>
      <w:r w:rsidRPr="00F9399D">
        <w:rPr>
          <w:rFonts w:eastAsia="Aptos" w:cs="Arial"/>
        </w:rPr>
        <w:t xml:space="preserve">od pripreme </w:t>
      </w:r>
      <w:r w:rsidR="00700FF9">
        <w:rPr>
          <w:rFonts w:eastAsia="Aptos" w:cs="Arial"/>
        </w:rPr>
        <w:t>Sporazuma o partnerstvu</w:t>
      </w:r>
      <w:r w:rsidRPr="00F9399D">
        <w:rPr>
          <w:rFonts w:eastAsia="Aptos" w:cs="Arial"/>
        </w:rPr>
        <w:t xml:space="preserve">, preko izrade, sprovođenja i evaluacije programa, do budućeg učešća u Odborima za </w:t>
      </w:r>
      <w:r w:rsidR="00E26D99" w:rsidRPr="00E26D99">
        <w:rPr>
          <w:rFonts w:eastAsia="Aptos" w:cs="Arial"/>
        </w:rPr>
        <w:t>monitoring</w:t>
      </w:r>
      <w:r w:rsidRPr="00F9399D">
        <w:rPr>
          <w:rFonts w:eastAsia="Aptos" w:cs="Arial"/>
        </w:rPr>
        <w:t>.</w:t>
      </w:r>
      <w:r w:rsidR="0026681A">
        <w:rPr>
          <w:rFonts w:eastAsia="Aptos" w:cs="Arial"/>
        </w:rPr>
        <w:t xml:space="preserve"> </w:t>
      </w:r>
      <w:r w:rsidRPr="00F9399D">
        <w:rPr>
          <w:rFonts w:eastAsia="Aptos" w:cs="Arial"/>
        </w:rPr>
        <w:t xml:space="preserve">Upitnik će se zasnivati na „Konceptu i metodologiji za izradu Mape puta za jačanje administrativnih </w:t>
      </w:r>
      <w:proofErr w:type="gramStart"/>
      <w:r w:rsidRPr="00F9399D">
        <w:rPr>
          <w:rFonts w:eastAsia="Aptos" w:cs="Arial"/>
        </w:rPr>
        <w:t>kapaciteta“ (</w:t>
      </w:r>
      <w:proofErr w:type="gramEnd"/>
      <w:r w:rsidRPr="00F9399D">
        <w:rPr>
          <w:rFonts w:eastAsia="Aptos" w:cs="Arial"/>
        </w:rPr>
        <w:t xml:space="preserve">vidjeti Akciju </w:t>
      </w:r>
      <w:r w:rsidR="0032369C">
        <w:rPr>
          <w:rFonts w:eastAsia="Aptos" w:cs="Arial"/>
        </w:rPr>
        <w:t>ZM</w:t>
      </w:r>
      <w:r w:rsidRPr="00F9399D">
        <w:rPr>
          <w:rFonts w:eastAsia="Aptos" w:cs="Arial"/>
        </w:rPr>
        <w:t xml:space="preserve">5.1). Prikupljeni odgovori biće analizirani i razmotreni na sastanku fokus-grupe </w:t>
      </w:r>
      <w:r w:rsidR="0026681A">
        <w:rPr>
          <w:rFonts w:eastAsia="Aptos" w:cs="Arial"/>
        </w:rPr>
        <w:t>(</w:t>
      </w:r>
      <w:r w:rsidRPr="00F9399D">
        <w:rPr>
          <w:rFonts w:eastAsia="Aptos" w:cs="Arial"/>
        </w:rPr>
        <w:t>s ključnim predstavnicima partnerstva</w:t>
      </w:r>
      <w:r w:rsidR="0026681A">
        <w:rPr>
          <w:rFonts w:eastAsia="Aptos" w:cs="Arial"/>
        </w:rPr>
        <w:t>)</w:t>
      </w:r>
      <w:r w:rsidRPr="00F9399D">
        <w:rPr>
          <w:rFonts w:eastAsia="Aptos" w:cs="Arial"/>
        </w:rPr>
        <w:t>.</w:t>
      </w:r>
      <w:r w:rsidR="0026681A">
        <w:rPr>
          <w:rFonts w:eastAsia="Aptos" w:cs="Arial"/>
        </w:rPr>
        <w:t xml:space="preserve"> </w:t>
      </w:r>
      <w:r w:rsidRPr="00F9399D">
        <w:rPr>
          <w:rFonts w:eastAsia="Aptos" w:cs="Arial"/>
        </w:rPr>
        <w:t>Na osnovu</w:t>
      </w:r>
      <w:r w:rsidR="0026681A">
        <w:rPr>
          <w:rFonts w:eastAsia="Aptos" w:cs="Arial"/>
        </w:rPr>
        <w:t xml:space="preserve"> </w:t>
      </w:r>
      <w:r w:rsidRPr="00F9399D">
        <w:rPr>
          <w:rFonts w:eastAsia="Aptos" w:cs="Arial"/>
        </w:rPr>
        <w:t>rezultata ankete,</w:t>
      </w:r>
      <w:r w:rsidR="0026681A">
        <w:rPr>
          <w:rFonts w:eastAsia="Aptos" w:cs="Arial"/>
        </w:rPr>
        <w:t xml:space="preserve"> </w:t>
      </w:r>
      <w:r w:rsidRPr="00F9399D">
        <w:rPr>
          <w:rFonts w:eastAsia="Aptos" w:cs="Arial"/>
        </w:rPr>
        <w:t>diskusije u fokus-grupi,</w:t>
      </w:r>
      <w:r w:rsidR="0026681A">
        <w:rPr>
          <w:rFonts w:eastAsia="Aptos" w:cs="Arial"/>
        </w:rPr>
        <w:t xml:space="preserve"> kao</w:t>
      </w:r>
      <w:r w:rsidRPr="00F9399D">
        <w:rPr>
          <w:rFonts w:eastAsia="Aptos" w:cs="Arial"/>
        </w:rPr>
        <w:t xml:space="preserve"> i</w:t>
      </w:r>
      <w:r w:rsidR="0026681A">
        <w:rPr>
          <w:rFonts w:eastAsia="Aptos" w:cs="Arial"/>
        </w:rPr>
        <w:t xml:space="preserve"> </w:t>
      </w:r>
      <w:r w:rsidRPr="00F9399D">
        <w:rPr>
          <w:rFonts w:eastAsia="Aptos" w:cs="Arial"/>
        </w:rPr>
        <w:t>postojećih izvještaja/dokumenata o iskustvu i kapacitetima za više</w:t>
      </w:r>
      <w:r w:rsidR="0026681A">
        <w:rPr>
          <w:rFonts w:eastAsia="Aptos" w:cs="Arial"/>
        </w:rPr>
        <w:t>slojno</w:t>
      </w:r>
      <w:r w:rsidRPr="00F9399D">
        <w:rPr>
          <w:rFonts w:eastAsia="Aptos" w:cs="Arial"/>
        </w:rPr>
        <w:t xml:space="preserve"> upravljanje te uključivanje partnera/</w:t>
      </w:r>
      <w:r w:rsidR="0026681A">
        <w:rPr>
          <w:rFonts w:eastAsia="Aptos" w:cs="Arial"/>
        </w:rPr>
        <w:t>zainteresovanih strana</w:t>
      </w:r>
      <w:r w:rsidRPr="00F9399D">
        <w:rPr>
          <w:rFonts w:eastAsia="Aptos" w:cs="Arial"/>
        </w:rPr>
        <w:t xml:space="preserve"> u planiranje i </w:t>
      </w:r>
      <w:r w:rsidR="00E26D99" w:rsidRPr="00E26D99">
        <w:rPr>
          <w:rFonts w:eastAsia="Aptos" w:cs="Arial"/>
        </w:rPr>
        <w:t>monitoring</w:t>
      </w:r>
      <w:r w:rsidRPr="00F9399D">
        <w:rPr>
          <w:rFonts w:eastAsia="Aptos" w:cs="Arial"/>
        </w:rPr>
        <w:t xml:space="preserve"> politika (uključujući IPA),</w:t>
      </w:r>
      <w:r w:rsidR="0026681A">
        <w:rPr>
          <w:rFonts w:eastAsia="Aptos" w:cs="Arial"/>
        </w:rPr>
        <w:t xml:space="preserve"> </w:t>
      </w:r>
      <w:r w:rsidRPr="00F9399D">
        <w:rPr>
          <w:rFonts w:eastAsia="Aptos" w:cs="Arial"/>
        </w:rPr>
        <w:t xml:space="preserve">pripremiće se Izvještaj o analizi potreba za </w:t>
      </w:r>
      <w:r w:rsidR="00671D09">
        <w:rPr>
          <w:rFonts w:eastAsia="Aptos" w:cs="Arial"/>
        </w:rPr>
        <w:t>obukama</w:t>
      </w:r>
      <w:r w:rsidRPr="00F9399D">
        <w:rPr>
          <w:rFonts w:eastAsia="Aptos" w:cs="Arial"/>
        </w:rPr>
        <w:t>.</w:t>
      </w:r>
    </w:p>
    <w:p w14:paraId="338B0EA1" w14:textId="1B2D5D98" w:rsidR="00DD7EEE" w:rsidRPr="00B83578" w:rsidRDefault="00543023" w:rsidP="009805FA">
      <w:pPr>
        <w:pStyle w:val="Heading3"/>
      </w:pPr>
      <w:bookmarkStart w:id="44" w:name="_Toc201700325"/>
      <w:r>
        <w:t>Akcija</w:t>
      </w:r>
      <w:r w:rsidR="00DD7EEE" w:rsidRPr="00B83578">
        <w:t xml:space="preserve"> </w:t>
      </w:r>
      <w:r w:rsidR="0032369C">
        <w:t>ZM</w:t>
      </w:r>
      <w:r w:rsidR="00DD7EEE" w:rsidRPr="00B83578">
        <w:t>2.8</w:t>
      </w:r>
      <w:r w:rsidR="00DD7EEE" w:rsidRPr="00B83578">
        <w:tab/>
      </w:r>
      <w:r w:rsidR="006C6DB0">
        <w:t>Program jačanja kapaciteta za partnerstvo u Kohezionoj politici</w:t>
      </w:r>
      <w:bookmarkEnd w:id="44"/>
    </w:p>
    <w:p w14:paraId="78BCFBA5" w14:textId="75D1EE47" w:rsidR="00DD7EEE" w:rsidRPr="00B83578" w:rsidRDefault="0026681A" w:rsidP="00DD7EEE">
      <w:pPr>
        <w:rPr>
          <w:rFonts w:eastAsia="Aptos" w:cs="Arial"/>
        </w:rPr>
      </w:pPr>
      <w:r>
        <w:rPr>
          <w:rFonts w:eastAsia="Aptos" w:cs="Arial"/>
        </w:rPr>
        <w:t xml:space="preserve">Na osnovu Analize o potrebama za </w:t>
      </w:r>
      <w:r w:rsidR="00671D09">
        <w:rPr>
          <w:rFonts w:eastAsia="Aptos" w:cs="Arial"/>
        </w:rPr>
        <w:t>obukama</w:t>
      </w:r>
      <w:r>
        <w:rPr>
          <w:rFonts w:eastAsia="Aptos" w:cs="Arial"/>
        </w:rPr>
        <w:t xml:space="preserve"> za Partnerstvo </w:t>
      </w:r>
      <w:r w:rsidR="001750F9">
        <w:rPr>
          <w:rFonts w:eastAsia="Aptos" w:cs="Arial"/>
        </w:rPr>
        <w:t>u okviru K</w:t>
      </w:r>
      <w:r>
        <w:rPr>
          <w:rFonts w:eastAsia="Aptos" w:cs="Arial"/>
        </w:rPr>
        <w:t xml:space="preserve">ohezione politike (Akcija </w:t>
      </w:r>
      <w:r w:rsidR="0032369C">
        <w:rPr>
          <w:rFonts w:eastAsia="Aptos" w:cs="Arial"/>
        </w:rPr>
        <w:t>ZM</w:t>
      </w:r>
      <w:r>
        <w:rPr>
          <w:rFonts w:eastAsia="Aptos" w:cs="Arial"/>
        </w:rPr>
        <w:t xml:space="preserve">2.7), Program za izradu kapaciteta za potrebe partnera će biti pripremljen, kao i indikativni raspored obuka. </w:t>
      </w:r>
    </w:p>
    <w:p w14:paraId="050EDBE3" w14:textId="02EA3B64" w:rsidR="00DD7EEE" w:rsidRPr="00B83578" w:rsidRDefault="00543023" w:rsidP="009805FA">
      <w:pPr>
        <w:pStyle w:val="Heading3"/>
      </w:pPr>
      <w:bookmarkStart w:id="45" w:name="_Toc201700326"/>
      <w:r>
        <w:t>Akcija</w:t>
      </w:r>
      <w:r w:rsidR="00DD7EEE" w:rsidRPr="00B83578">
        <w:t xml:space="preserve"> </w:t>
      </w:r>
      <w:r w:rsidR="0032369C">
        <w:t>ZM</w:t>
      </w:r>
      <w:r w:rsidR="00DD7EEE" w:rsidRPr="00B83578">
        <w:t>2.9</w:t>
      </w:r>
      <w:r w:rsidR="00DD7EEE" w:rsidRPr="00B83578">
        <w:tab/>
      </w:r>
      <w:r w:rsidR="00700FF9">
        <w:t>Obuke/mentorstvo za izradu nacrta Sporazuma o partnerstvu</w:t>
      </w:r>
      <w:bookmarkEnd w:id="45"/>
    </w:p>
    <w:p w14:paraId="7101D2C4" w14:textId="78358A1A" w:rsidR="001750F9" w:rsidRDefault="001750F9" w:rsidP="00DD7EEE">
      <w:pPr>
        <w:rPr>
          <w:rFonts w:eastAsia="Aptos" w:cs="Arial"/>
        </w:rPr>
      </w:pPr>
      <w:r w:rsidRPr="001750F9">
        <w:rPr>
          <w:rFonts w:eastAsia="Aptos" w:cs="Arial"/>
        </w:rPr>
        <w:t>U skladu s programom jačanja kapaciteta za Partnerstvo u okviru Kohezion</w:t>
      </w:r>
      <w:r>
        <w:rPr>
          <w:rFonts w:eastAsia="Aptos" w:cs="Arial"/>
        </w:rPr>
        <w:t>e</w:t>
      </w:r>
      <w:r w:rsidRPr="001750F9">
        <w:rPr>
          <w:rFonts w:eastAsia="Aptos" w:cs="Arial"/>
        </w:rPr>
        <w:t xml:space="preserve"> politike, biće realizovane predviđene aktivnosti </w:t>
      </w:r>
      <w:r w:rsidR="00C30F51" w:rsidRPr="00C30F51">
        <w:rPr>
          <w:rFonts w:eastAsia="Aptos" w:cs="Arial"/>
        </w:rPr>
        <w:t>jačanja kapaciteta</w:t>
      </w:r>
      <w:r w:rsidRPr="001750F9">
        <w:rPr>
          <w:rFonts w:eastAsia="Aptos" w:cs="Arial"/>
        </w:rPr>
        <w:t xml:space="preserve"> relevantne za programiranje. Indikativno, to će obuhvatiti i obuke i mentorsku podršku radi podrške procesu izrade nacrta.</w:t>
      </w:r>
    </w:p>
    <w:p w14:paraId="3D9B7505" w14:textId="4D32B06E" w:rsidR="00DD7EEE" w:rsidRPr="00B83578" w:rsidRDefault="00543023" w:rsidP="009805FA">
      <w:pPr>
        <w:pStyle w:val="Heading3"/>
      </w:pPr>
      <w:bookmarkStart w:id="46" w:name="_Toc201700327"/>
      <w:r>
        <w:lastRenderedPageBreak/>
        <w:t>Akcija</w:t>
      </w:r>
      <w:r w:rsidR="00DD7EEE" w:rsidRPr="00B83578">
        <w:t xml:space="preserve"> </w:t>
      </w:r>
      <w:r w:rsidR="0032369C">
        <w:t>ZM</w:t>
      </w:r>
      <w:r w:rsidR="00DD7EEE" w:rsidRPr="00B83578">
        <w:t>2.10</w:t>
      </w:r>
      <w:r w:rsidR="00DD7EEE" w:rsidRPr="00B83578">
        <w:tab/>
      </w:r>
      <w:r w:rsidR="00700FF9">
        <w:t>Početna izrada nacrta Sporazuma o partnerstvu</w:t>
      </w:r>
      <w:bookmarkEnd w:id="46"/>
    </w:p>
    <w:p w14:paraId="690F45EF" w14:textId="080D365A" w:rsidR="001750F9" w:rsidRPr="001750F9" w:rsidRDefault="001750F9" w:rsidP="001750F9">
      <w:pPr>
        <w:spacing w:after="0"/>
        <w:rPr>
          <w:rFonts w:eastAsia="Aptos" w:cs="Arial"/>
        </w:rPr>
      </w:pPr>
      <w:r w:rsidRPr="001750F9">
        <w:rPr>
          <w:rFonts w:eastAsia="Aptos" w:cs="Arial"/>
        </w:rPr>
        <w:t>Ova ak</w:t>
      </w:r>
      <w:r w:rsidR="00E136F2">
        <w:rPr>
          <w:rFonts w:eastAsia="Aptos" w:cs="Arial"/>
        </w:rPr>
        <w:t>cija</w:t>
      </w:r>
      <w:r w:rsidRPr="001750F9">
        <w:rPr>
          <w:rFonts w:eastAsia="Aptos" w:cs="Arial"/>
        </w:rPr>
        <w:t xml:space="preserve"> je osmišljena da ispuni Za</w:t>
      </w:r>
      <w:r>
        <w:rPr>
          <w:rFonts w:eastAsia="Aptos" w:cs="Arial"/>
        </w:rPr>
        <w:t>vršno</w:t>
      </w:r>
      <w:r w:rsidRPr="001750F9">
        <w:rPr>
          <w:rFonts w:eastAsia="Aptos" w:cs="Arial"/>
        </w:rPr>
        <w:t xml:space="preserve"> mjerilo 2. Pripremiće se napredni nacrt </w:t>
      </w:r>
      <w:r w:rsidR="00700FF9">
        <w:rPr>
          <w:rFonts w:eastAsia="Aptos" w:cs="Arial"/>
        </w:rPr>
        <w:t>Sporazuma o partnerstvu</w:t>
      </w:r>
      <w:r w:rsidRPr="001750F9">
        <w:rPr>
          <w:rFonts w:eastAsia="Aptos" w:cs="Arial"/>
        </w:rPr>
        <w:t>. Indikativno, na osnovu važećeg regulatornog okvira, nacrt će obuhvatiti sljedeće elemente:</w:t>
      </w:r>
    </w:p>
    <w:p w14:paraId="09FADA2A" w14:textId="77777777" w:rsidR="001750F9" w:rsidRPr="001750F9" w:rsidRDefault="001750F9" w:rsidP="001750F9">
      <w:pPr>
        <w:spacing w:after="0"/>
        <w:rPr>
          <w:rFonts w:eastAsia="Aptos" w:cs="Arial"/>
        </w:rPr>
      </w:pPr>
    </w:p>
    <w:p w14:paraId="3F8F6881" w14:textId="0E427391" w:rsidR="004E66DF" w:rsidRDefault="001750F9" w:rsidP="00D15218">
      <w:pPr>
        <w:pStyle w:val="ListParagraph"/>
        <w:numPr>
          <w:ilvl w:val="0"/>
          <w:numId w:val="62"/>
        </w:numPr>
        <w:spacing w:after="0"/>
        <w:rPr>
          <w:rFonts w:eastAsia="Aptos" w:cs="Arial"/>
        </w:rPr>
      </w:pPr>
      <w:r w:rsidRPr="004E66DF">
        <w:rPr>
          <w:rFonts w:eastAsia="Aptos" w:cs="Arial"/>
        </w:rPr>
        <w:t>odabrane političke ciljeve i specifični cilj Fonda za pravednu tranziciju (</w:t>
      </w:r>
      <w:r w:rsidR="00A067C3">
        <w:rPr>
          <w:rFonts w:eastAsia="Aptos" w:cs="Arial"/>
        </w:rPr>
        <w:t>FPT</w:t>
      </w:r>
      <w:r w:rsidRPr="004E66DF">
        <w:rPr>
          <w:rFonts w:eastAsia="Aptos" w:cs="Arial"/>
        </w:rPr>
        <w:t>), uz navođenje fondova obuhvaćenih Partnerskim sporazumom i programa kroz koje će se ciljevi ostvarivati, te obrazloženje zasnovano na relevantnim preporukama specifičnim za zemlju (ukoliko postoje)</w:t>
      </w:r>
      <w:r w:rsidRPr="00B83578">
        <w:rPr>
          <w:vertAlign w:val="superscript"/>
        </w:rPr>
        <w:footnoteReference w:id="66"/>
      </w:r>
      <w:r w:rsidRPr="004E66DF">
        <w:rPr>
          <w:rFonts w:eastAsia="Aptos" w:cs="Arial"/>
        </w:rPr>
        <w:t>, integrisanom nacionalnom energetskom i klimatskom planu, principima Evropskog stuba socijalnih prava i, gdje je primjenjivo, regionalnim izazovima;</w:t>
      </w:r>
    </w:p>
    <w:p w14:paraId="623D114F" w14:textId="77777777" w:rsidR="004E66DF" w:rsidRDefault="001750F9" w:rsidP="00D15218">
      <w:pPr>
        <w:pStyle w:val="ListParagraph"/>
        <w:numPr>
          <w:ilvl w:val="0"/>
          <w:numId w:val="62"/>
        </w:numPr>
        <w:spacing w:after="0"/>
        <w:rPr>
          <w:rFonts w:eastAsia="Aptos" w:cs="Arial"/>
        </w:rPr>
      </w:pPr>
      <w:r w:rsidRPr="004E66DF">
        <w:rPr>
          <w:rFonts w:eastAsia="Aptos" w:cs="Arial"/>
        </w:rPr>
        <w:t>listu planiranih programa u okviru fondova obuhvaćenih Partnerskim sporazumom;</w:t>
      </w:r>
    </w:p>
    <w:p w14:paraId="4367C4A2" w14:textId="16751378" w:rsidR="004E66DF" w:rsidRDefault="001750F9" w:rsidP="00D15218">
      <w:pPr>
        <w:pStyle w:val="ListParagraph"/>
        <w:numPr>
          <w:ilvl w:val="0"/>
          <w:numId w:val="62"/>
        </w:numPr>
        <w:spacing w:after="0"/>
        <w:rPr>
          <w:rFonts w:eastAsia="Aptos" w:cs="Arial"/>
        </w:rPr>
      </w:pPr>
      <w:r w:rsidRPr="004E66DF">
        <w:rPr>
          <w:rFonts w:eastAsia="Aptos" w:cs="Arial"/>
        </w:rPr>
        <w:t xml:space="preserve">sažetak mjera koje Crna Gora planira da preduzme radi jačanja administrativnih kapaciteta za </w:t>
      </w:r>
      <w:r w:rsidR="00A80895">
        <w:rPr>
          <w:rFonts w:eastAsia="Aptos" w:cs="Arial"/>
        </w:rPr>
        <w:t>implementacija</w:t>
      </w:r>
      <w:r w:rsidRPr="004E66DF">
        <w:rPr>
          <w:rFonts w:eastAsia="Aptos" w:cs="Arial"/>
        </w:rPr>
        <w:t xml:space="preserve"> fondova obuhvaćenih Partnerskim sporazumom;</w:t>
      </w:r>
    </w:p>
    <w:p w14:paraId="6B7F51BE" w14:textId="1D75987D" w:rsidR="001750F9" w:rsidRPr="004E66DF" w:rsidRDefault="001750F9" w:rsidP="00D15218">
      <w:pPr>
        <w:pStyle w:val="ListParagraph"/>
        <w:numPr>
          <w:ilvl w:val="0"/>
          <w:numId w:val="62"/>
        </w:numPr>
        <w:spacing w:after="0"/>
        <w:rPr>
          <w:rFonts w:eastAsia="Aptos" w:cs="Arial"/>
        </w:rPr>
      </w:pPr>
      <w:r w:rsidRPr="004E66DF">
        <w:rPr>
          <w:rFonts w:eastAsia="Aptos" w:cs="Arial"/>
        </w:rPr>
        <w:t>rezime procjene ispunjenosti relevantnih uslova omogućavanja.</w:t>
      </w:r>
    </w:p>
    <w:p w14:paraId="0E6FC82F" w14:textId="77777777" w:rsidR="001750F9" w:rsidRPr="001750F9" w:rsidRDefault="001750F9" w:rsidP="001750F9">
      <w:pPr>
        <w:spacing w:after="0"/>
        <w:rPr>
          <w:rFonts w:eastAsia="Aptos" w:cs="Arial"/>
        </w:rPr>
      </w:pPr>
    </w:p>
    <w:p w14:paraId="0E1C3616" w14:textId="2F745EDD" w:rsidR="001750F9" w:rsidRDefault="001750F9" w:rsidP="001750F9">
      <w:pPr>
        <w:spacing w:after="0"/>
        <w:rPr>
          <w:rFonts w:eastAsia="Aptos" w:cs="Arial"/>
        </w:rPr>
      </w:pPr>
      <w:r w:rsidRPr="001750F9">
        <w:rPr>
          <w:rFonts w:eastAsia="Aptos" w:cs="Arial"/>
        </w:rPr>
        <w:t>Imajući u vidu da se struktura i sadržaj dijelova koji će biti pripremljeni radi ispunjavanja Za</w:t>
      </w:r>
      <w:r>
        <w:rPr>
          <w:rFonts w:eastAsia="Aptos" w:cs="Arial"/>
        </w:rPr>
        <w:t>vršnog</w:t>
      </w:r>
      <w:r w:rsidRPr="001750F9">
        <w:rPr>
          <w:rFonts w:eastAsia="Aptos" w:cs="Arial"/>
        </w:rPr>
        <w:t xml:space="preserve"> mjerila mogu razlikovati od gore navedenog</w:t>
      </w:r>
      <w:r>
        <w:rPr>
          <w:rFonts w:eastAsia="Aptos" w:cs="Arial"/>
        </w:rPr>
        <w:t xml:space="preserve">, </w:t>
      </w:r>
      <w:r w:rsidRPr="001750F9">
        <w:rPr>
          <w:rFonts w:eastAsia="Aptos" w:cs="Arial"/>
        </w:rPr>
        <w:t>u zavisnosti od konačnih prijedloga Evropske komisije za novi regulatorni okvir 2028–2034</w:t>
      </w:r>
      <w:r>
        <w:rPr>
          <w:rFonts w:eastAsia="Aptos" w:cs="Arial"/>
        </w:rPr>
        <w:t xml:space="preserve">, </w:t>
      </w:r>
      <w:r w:rsidRPr="001750F9">
        <w:rPr>
          <w:rFonts w:eastAsia="Aptos" w:cs="Arial"/>
        </w:rPr>
        <w:t>ovaj će se aspekt naknadno usaglasiti sa Komisijom nakon objave prijedloga.</w:t>
      </w:r>
    </w:p>
    <w:p w14:paraId="00DE4101" w14:textId="77777777" w:rsidR="001750F9" w:rsidRDefault="001750F9" w:rsidP="001750F9">
      <w:pPr>
        <w:spacing w:after="0"/>
        <w:rPr>
          <w:rFonts w:eastAsia="Aptos" w:cs="Arial"/>
        </w:rPr>
      </w:pPr>
    </w:p>
    <w:p w14:paraId="25EB66ED" w14:textId="77777777" w:rsidR="000048F8" w:rsidRDefault="000048F8" w:rsidP="0082366A">
      <w:pPr>
        <w:spacing w:after="0"/>
        <w:rPr>
          <w:rFonts w:eastAsia="Aptos" w:cs="Arial"/>
        </w:rPr>
      </w:pPr>
    </w:p>
    <w:p w14:paraId="253E18F4" w14:textId="0924597D" w:rsidR="00DD7EEE" w:rsidRPr="00B83578" w:rsidRDefault="001D692B" w:rsidP="00112AB0">
      <w:pPr>
        <w:pStyle w:val="Caption"/>
      </w:pPr>
      <w:bookmarkStart w:id="47" w:name="_Toc193895446"/>
      <w:r>
        <w:t>Tabela</w:t>
      </w:r>
      <w:r w:rsidR="00116B99" w:rsidRPr="00B83578">
        <w:t xml:space="preserve"> </w:t>
      </w:r>
      <w:r w:rsidR="00D51B25" w:rsidRPr="00B83578">
        <w:t>2</w:t>
      </w:r>
      <w:r w:rsidR="00D35829" w:rsidRPr="00B83578">
        <w:t xml:space="preserve">. </w:t>
      </w:r>
      <w:r w:rsidR="00C17022">
        <w:t>MP</w:t>
      </w:r>
      <w:fldSimple w:instr=" SEQ Table \* ARABIC ">
        <w:r w:rsidR="003C2962">
          <w:rPr>
            <w:noProof/>
          </w:rPr>
          <w:t>2</w:t>
        </w:r>
      </w:fldSimple>
      <w:r w:rsidR="00DD7EEE" w:rsidRPr="00B83578">
        <w:t xml:space="preserve">: </w:t>
      </w:r>
      <w:r w:rsidR="00017758">
        <w:t>Planirane akcije za zatvaranje Završnog mjerila</w:t>
      </w:r>
      <w:r w:rsidR="00DD7EEE" w:rsidRPr="00B83578">
        <w:t xml:space="preserve"> 2</w:t>
      </w:r>
      <w:bookmarkEnd w:id="47"/>
    </w:p>
    <w:tbl>
      <w:tblPr>
        <w:tblStyle w:val="GridTable5Dark-Accent11"/>
        <w:tblW w:w="5000" w:type="pct"/>
        <w:tblInd w:w="0" w:type="dxa"/>
        <w:tblLook w:val="04A0" w:firstRow="1" w:lastRow="0" w:firstColumn="1" w:lastColumn="0" w:noHBand="0" w:noVBand="1"/>
      </w:tblPr>
      <w:tblGrid>
        <w:gridCol w:w="770"/>
        <w:gridCol w:w="1304"/>
        <w:gridCol w:w="1200"/>
        <w:gridCol w:w="862"/>
        <w:gridCol w:w="1371"/>
        <w:gridCol w:w="868"/>
        <w:gridCol w:w="793"/>
        <w:gridCol w:w="1371"/>
        <w:gridCol w:w="811"/>
      </w:tblGrid>
      <w:tr w:rsidR="00992B8E" w:rsidRPr="00992B8E" w14:paraId="744095AE" w14:textId="77777777" w:rsidTr="00992B8E">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75" w:type="pct"/>
            <w:hideMark/>
          </w:tcPr>
          <w:p w14:paraId="2DF102F9" w14:textId="0384A5BE" w:rsidR="00992B8E" w:rsidRPr="00992B8E" w:rsidRDefault="00543023" w:rsidP="00992B8E">
            <w:pPr>
              <w:spacing w:after="0"/>
              <w:jc w:val="left"/>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Kod akcije</w:t>
            </w:r>
          </w:p>
        </w:tc>
        <w:tc>
          <w:tcPr>
            <w:tcW w:w="603" w:type="pct"/>
            <w:hideMark/>
          </w:tcPr>
          <w:p w14:paraId="120BCD85" w14:textId="12A7A75A" w:rsidR="00992B8E" w:rsidRPr="00992B8E" w:rsidRDefault="00543023"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Naziv akcije</w:t>
            </w:r>
          </w:p>
        </w:tc>
        <w:tc>
          <w:tcPr>
            <w:tcW w:w="625" w:type="pct"/>
            <w:hideMark/>
          </w:tcPr>
          <w:p w14:paraId="69D83098" w14:textId="129C2577" w:rsidR="00992B8E" w:rsidRPr="00992B8E" w:rsidRDefault="0013334C"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Nadležnost</w:t>
            </w:r>
          </w:p>
        </w:tc>
        <w:tc>
          <w:tcPr>
            <w:tcW w:w="371" w:type="pct"/>
            <w:hideMark/>
          </w:tcPr>
          <w:p w14:paraId="25CD29C9" w14:textId="0E81392B" w:rsidR="00992B8E" w:rsidRPr="00992B8E" w:rsidRDefault="0013334C"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Raspored</w:t>
            </w:r>
          </w:p>
        </w:tc>
        <w:tc>
          <w:tcPr>
            <w:tcW w:w="796" w:type="pct"/>
            <w:hideMark/>
          </w:tcPr>
          <w:p w14:paraId="4AC8D371" w14:textId="4E2B06BE" w:rsidR="00992B8E" w:rsidRPr="00992B8E" w:rsidRDefault="0013334C"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Indikator</w:t>
            </w:r>
            <w:r w:rsidR="00992B8E" w:rsidRPr="00992B8E">
              <w:rPr>
                <w:rFonts w:eastAsia="Times New Roman"/>
                <w:color w:val="FFFFFF"/>
                <w:kern w:val="0"/>
                <w:sz w:val="14"/>
                <w:szCs w:val="14"/>
                <w:lang w:eastAsia="en-GB"/>
                <w14:ligatures w14:val="none"/>
              </w:rPr>
              <w:t xml:space="preserve"> </w:t>
            </w:r>
          </w:p>
        </w:tc>
        <w:tc>
          <w:tcPr>
            <w:tcW w:w="351" w:type="pct"/>
            <w:hideMark/>
          </w:tcPr>
          <w:p w14:paraId="15648493" w14:textId="07705AB5" w:rsidR="00992B8E" w:rsidRPr="00992B8E" w:rsidRDefault="00683B6B"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Vrsta</w:t>
            </w:r>
          </w:p>
        </w:tc>
        <w:tc>
          <w:tcPr>
            <w:tcW w:w="487" w:type="pct"/>
            <w:hideMark/>
          </w:tcPr>
          <w:p w14:paraId="4C3EABCE" w14:textId="641A7B12" w:rsidR="00992B8E" w:rsidRPr="00992B8E" w:rsidRDefault="00683B6B"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Resursi</w:t>
            </w:r>
          </w:p>
        </w:tc>
        <w:tc>
          <w:tcPr>
            <w:tcW w:w="796" w:type="pct"/>
            <w:hideMark/>
          </w:tcPr>
          <w:p w14:paraId="1B51E4B7" w14:textId="49886C68" w:rsidR="00992B8E" w:rsidRPr="00992B8E" w:rsidRDefault="00683B6B"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Napomene</w:t>
            </w:r>
          </w:p>
        </w:tc>
        <w:tc>
          <w:tcPr>
            <w:tcW w:w="496" w:type="pct"/>
            <w:hideMark/>
          </w:tcPr>
          <w:p w14:paraId="2FC00305" w14:textId="53CF878F" w:rsidR="00992B8E" w:rsidRPr="00992B8E" w:rsidRDefault="00A067C3" w:rsidP="00992B8E">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DAP</w:t>
            </w:r>
            <w:r w:rsidR="007029BB">
              <w:rPr>
                <w:rFonts w:eastAsia="Times New Roman"/>
                <w:color w:val="FFFFFF"/>
                <w:kern w:val="0"/>
                <w:sz w:val="14"/>
                <w:szCs w:val="14"/>
                <w:lang w:eastAsia="en-GB"/>
                <w14:ligatures w14:val="none"/>
              </w:rPr>
              <w:t xml:space="preserve"> oznaka</w:t>
            </w:r>
          </w:p>
        </w:tc>
      </w:tr>
      <w:tr w:rsidR="00992B8E" w:rsidRPr="00992B8E" w14:paraId="5AFC0BDD" w14:textId="77777777" w:rsidTr="00992B8E">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75" w:type="pct"/>
            <w:hideMark/>
          </w:tcPr>
          <w:p w14:paraId="6CBB1D42" w14:textId="2B46F774"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.2.01.</w:t>
            </w:r>
          </w:p>
        </w:tc>
        <w:tc>
          <w:tcPr>
            <w:tcW w:w="603" w:type="pct"/>
            <w:hideMark/>
          </w:tcPr>
          <w:p w14:paraId="615E604A" w14:textId="48F92D20"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o broju i obimu programa</w:t>
            </w:r>
          </w:p>
        </w:tc>
        <w:tc>
          <w:tcPr>
            <w:tcW w:w="625" w:type="pct"/>
            <w:hideMark/>
          </w:tcPr>
          <w:p w14:paraId="7CA0E5B3" w14:textId="57BA3747"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992B8E" w:rsidRPr="00992B8E">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371" w:type="pct"/>
            <w:hideMark/>
          </w:tcPr>
          <w:p w14:paraId="4398F6AB" w14:textId="51F3177A"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2024-</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4</w:t>
            </w:r>
          </w:p>
        </w:tc>
        <w:tc>
          <w:tcPr>
            <w:tcW w:w="796" w:type="pct"/>
            <w:hideMark/>
          </w:tcPr>
          <w:p w14:paraId="5E3BD4A9" w14:textId="6583BA26"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o broju i obimu programa</w:t>
            </w:r>
            <w:r w:rsidR="00992B8E" w:rsidRPr="00992B8E">
              <w:rPr>
                <w:rFonts w:ascii="Aptos" w:eastAsia="Times New Roman" w:hAnsi="Aptos"/>
                <w:kern w:val="0"/>
                <w:sz w:val="14"/>
                <w:szCs w:val="14"/>
                <w:lang w:eastAsia="en-GB"/>
                <w14:ligatures w14:val="none"/>
              </w:rPr>
              <w:t>.</w:t>
            </w:r>
          </w:p>
        </w:tc>
        <w:tc>
          <w:tcPr>
            <w:tcW w:w="351" w:type="pct"/>
            <w:hideMark/>
          </w:tcPr>
          <w:p w14:paraId="385A4FBB" w14:textId="39F1202E"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7BB187D4" w14:textId="3C831D6B"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64B4DA7B"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092E944D"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4.01.</w:t>
            </w:r>
          </w:p>
        </w:tc>
      </w:tr>
      <w:tr w:rsidR="00992B8E" w:rsidRPr="00992B8E" w14:paraId="3D8F1FAD" w14:textId="77777777" w:rsidTr="00992B8E">
        <w:trPr>
          <w:trHeight w:val="1440"/>
        </w:trPr>
        <w:tc>
          <w:tcPr>
            <w:cnfStyle w:val="001000000000" w:firstRow="0" w:lastRow="0" w:firstColumn="1" w:lastColumn="0" w:oddVBand="0" w:evenVBand="0" w:oddHBand="0" w:evenHBand="0" w:firstRowFirstColumn="0" w:firstRowLastColumn="0" w:lastRowFirstColumn="0" w:lastRowLastColumn="0"/>
            <w:tcW w:w="475" w:type="pct"/>
            <w:hideMark/>
          </w:tcPr>
          <w:p w14:paraId="125FF87A" w14:textId="16373892"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.2.02.</w:t>
            </w:r>
          </w:p>
        </w:tc>
        <w:tc>
          <w:tcPr>
            <w:tcW w:w="603" w:type="pct"/>
            <w:hideMark/>
          </w:tcPr>
          <w:p w14:paraId="06CC15F9" w14:textId="07E8D29C"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25" w:type="pct"/>
            <w:hideMark/>
          </w:tcPr>
          <w:p w14:paraId="5E73A707" w14:textId="580DE25A"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992B8E" w:rsidRPr="00992B8E">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992B8E" w:rsidRPr="00992B8E">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371" w:type="pct"/>
            <w:hideMark/>
          </w:tcPr>
          <w:p w14:paraId="15DBB2E1" w14:textId="0D94078B"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796" w:type="pct"/>
            <w:hideMark/>
          </w:tcPr>
          <w:p w14:paraId="286A1477" w14:textId="19D11CFB"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992B8E" w:rsidRPr="00992B8E">
              <w:rPr>
                <w:rFonts w:ascii="Aptos" w:eastAsia="Times New Roman" w:hAnsi="Aptos"/>
                <w:kern w:val="0"/>
                <w:sz w:val="14"/>
                <w:szCs w:val="14"/>
                <w:lang w:eastAsia="en-GB"/>
                <w14:ligatures w14:val="none"/>
              </w:rPr>
              <w:t>.</w:t>
            </w:r>
          </w:p>
        </w:tc>
        <w:tc>
          <w:tcPr>
            <w:tcW w:w="351" w:type="pct"/>
            <w:hideMark/>
          </w:tcPr>
          <w:p w14:paraId="089FF1F3" w14:textId="41C7A0A7"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7B11AD26" w14:textId="2DD835F5"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702C7BA5"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7590580F"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1.04.</w:t>
            </w:r>
          </w:p>
        </w:tc>
      </w:tr>
      <w:tr w:rsidR="00992B8E" w:rsidRPr="00992B8E" w14:paraId="0C4F97BD" w14:textId="77777777" w:rsidTr="00992B8E">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475" w:type="pct"/>
            <w:hideMark/>
          </w:tcPr>
          <w:p w14:paraId="36BEFCCD" w14:textId="181041F8"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.2.02.</w:t>
            </w:r>
          </w:p>
        </w:tc>
        <w:tc>
          <w:tcPr>
            <w:tcW w:w="603" w:type="pct"/>
            <w:hideMark/>
          </w:tcPr>
          <w:p w14:paraId="57F50CDA" w14:textId="1A80B805"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25" w:type="pct"/>
            <w:hideMark/>
          </w:tcPr>
          <w:p w14:paraId="6EFAF2DD" w14:textId="60E2FF26"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992B8E" w:rsidRPr="00992B8E">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992B8E" w:rsidRPr="00992B8E">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371" w:type="pct"/>
            <w:hideMark/>
          </w:tcPr>
          <w:p w14:paraId="2C44092A" w14:textId="1B2233E4"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4</w:t>
            </w:r>
          </w:p>
        </w:tc>
        <w:tc>
          <w:tcPr>
            <w:tcW w:w="796" w:type="pct"/>
            <w:hideMark/>
          </w:tcPr>
          <w:p w14:paraId="492053EB" w14:textId="0175768F"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992B8E" w:rsidRPr="00992B8E">
              <w:rPr>
                <w:rFonts w:ascii="Aptos" w:eastAsia="Times New Roman" w:hAnsi="Aptos"/>
                <w:kern w:val="0"/>
                <w:sz w:val="14"/>
                <w:szCs w:val="14"/>
                <w:lang w:eastAsia="en-GB"/>
                <w14:ligatures w14:val="none"/>
              </w:rPr>
              <w:t>.</w:t>
            </w:r>
          </w:p>
        </w:tc>
        <w:tc>
          <w:tcPr>
            <w:tcW w:w="351" w:type="pct"/>
            <w:hideMark/>
          </w:tcPr>
          <w:p w14:paraId="78403908" w14:textId="00832FEF"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52D8DFDE" w14:textId="7FBC0549"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65111A24"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5C24D6C1"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1.04.</w:t>
            </w:r>
          </w:p>
        </w:tc>
      </w:tr>
      <w:tr w:rsidR="00992B8E" w:rsidRPr="00992B8E" w14:paraId="18A11FBE" w14:textId="77777777" w:rsidTr="00992B8E">
        <w:trPr>
          <w:trHeight w:val="1440"/>
        </w:trPr>
        <w:tc>
          <w:tcPr>
            <w:cnfStyle w:val="001000000000" w:firstRow="0" w:lastRow="0" w:firstColumn="1" w:lastColumn="0" w:oddVBand="0" w:evenVBand="0" w:oddHBand="0" w:evenHBand="0" w:firstRowFirstColumn="0" w:firstRowLastColumn="0" w:lastRowFirstColumn="0" w:lastRowLastColumn="0"/>
            <w:tcW w:w="475" w:type="pct"/>
            <w:hideMark/>
          </w:tcPr>
          <w:p w14:paraId="647CD72B" w14:textId="4A999900"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.2.02.</w:t>
            </w:r>
          </w:p>
        </w:tc>
        <w:tc>
          <w:tcPr>
            <w:tcW w:w="603" w:type="pct"/>
            <w:hideMark/>
          </w:tcPr>
          <w:p w14:paraId="24577E97" w14:textId="0FC10DB8"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25" w:type="pct"/>
            <w:hideMark/>
          </w:tcPr>
          <w:p w14:paraId="4BA024E5" w14:textId="1FF4E895"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992B8E" w:rsidRPr="00992B8E">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992B8E" w:rsidRPr="00992B8E">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371" w:type="pct"/>
            <w:hideMark/>
          </w:tcPr>
          <w:p w14:paraId="59B44E51" w14:textId="0D126D4E"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796" w:type="pct"/>
            <w:hideMark/>
          </w:tcPr>
          <w:p w14:paraId="752D4D31" w14:textId="6E8FEC77"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992B8E" w:rsidRPr="00992B8E">
              <w:rPr>
                <w:rFonts w:ascii="Aptos" w:eastAsia="Times New Roman" w:hAnsi="Aptos"/>
                <w:kern w:val="0"/>
                <w:sz w:val="14"/>
                <w:szCs w:val="14"/>
                <w:lang w:eastAsia="en-GB"/>
                <w14:ligatures w14:val="none"/>
              </w:rPr>
              <w:t>.</w:t>
            </w:r>
          </w:p>
        </w:tc>
        <w:tc>
          <w:tcPr>
            <w:tcW w:w="351" w:type="pct"/>
            <w:hideMark/>
          </w:tcPr>
          <w:p w14:paraId="65F753D9" w14:textId="0095FB90"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5C58A032" w14:textId="54645832"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4F067B60"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46B7EA37"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1.04.</w:t>
            </w:r>
          </w:p>
        </w:tc>
      </w:tr>
      <w:tr w:rsidR="00992B8E" w:rsidRPr="00992B8E" w14:paraId="4063EBBB" w14:textId="77777777" w:rsidTr="00992B8E">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475" w:type="pct"/>
            <w:hideMark/>
          </w:tcPr>
          <w:p w14:paraId="784B74BE" w14:textId="74C494FC"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lastRenderedPageBreak/>
              <w:t>ZM</w:t>
            </w:r>
            <w:r w:rsidR="00992B8E" w:rsidRPr="00992B8E">
              <w:rPr>
                <w:rFonts w:ascii="Aptos" w:eastAsia="Times New Roman" w:hAnsi="Aptos"/>
                <w:kern w:val="0"/>
                <w:sz w:val="14"/>
                <w:szCs w:val="14"/>
                <w:lang w:eastAsia="en-GB"/>
                <w14:ligatures w14:val="none"/>
              </w:rPr>
              <w:t>.2.03.</w:t>
            </w:r>
          </w:p>
        </w:tc>
        <w:tc>
          <w:tcPr>
            <w:tcW w:w="603" w:type="pct"/>
            <w:hideMark/>
          </w:tcPr>
          <w:p w14:paraId="01CA8A20" w14:textId="3A1898E2"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Partnerstva za Kohezionu politiku</w:t>
            </w:r>
          </w:p>
        </w:tc>
        <w:tc>
          <w:tcPr>
            <w:tcW w:w="625" w:type="pct"/>
            <w:hideMark/>
          </w:tcPr>
          <w:p w14:paraId="52218CB8" w14:textId="2C06161D"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71" w:type="pct"/>
            <w:hideMark/>
          </w:tcPr>
          <w:p w14:paraId="6C20574B" w14:textId="421DAF92"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1</w:t>
            </w:r>
          </w:p>
        </w:tc>
        <w:tc>
          <w:tcPr>
            <w:tcW w:w="796" w:type="pct"/>
            <w:hideMark/>
          </w:tcPr>
          <w:p w14:paraId="2FC1D108" w14:textId="6F96B469" w:rsidR="00992B8E" w:rsidRPr="00992B8E" w:rsidRDefault="007029BB"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Metodologija za uspostavljanje partnerstva u okviru Kohezione politike, razmatrana i usvojena od strane Radne grupe za Poglavlje 22.</w:t>
            </w:r>
          </w:p>
        </w:tc>
        <w:tc>
          <w:tcPr>
            <w:tcW w:w="351" w:type="pct"/>
            <w:hideMark/>
          </w:tcPr>
          <w:p w14:paraId="397CF241" w14:textId="04593C9E"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096672FF" w14:textId="75001684"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3A5649C6"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1B59000E"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1.01.</w:t>
            </w:r>
          </w:p>
        </w:tc>
      </w:tr>
      <w:tr w:rsidR="00992B8E" w:rsidRPr="00992B8E" w14:paraId="26F13332" w14:textId="77777777" w:rsidTr="00992B8E">
        <w:trPr>
          <w:trHeight w:val="1200"/>
        </w:trPr>
        <w:tc>
          <w:tcPr>
            <w:cnfStyle w:val="001000000000" w:firstRow="0" w:lastRow="0" w:firstColumn="1" w:lastColumn="0" w:oddVBand="0" w:evenVBand="0" w:oddHBand="0" w:evenHBand="0" w:firstRowFirstColumn="0" w:firstRowLastColumn="0" w:lastRowFirstColumn="0" w:lastRowLastColumn="0"/>
            <w:tcW w:w="475" w:type="pct"/>
            <w:hideMark/>
          </w:tcPr>
          <w:p w14:paraId="54574C2F" w14:textId="3EE40829"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.2.04.</w:t>
            </w:r>
          </w:p>
        </w:tc>
        <w:tc>
          <w:tcPr>
            <w:tcW w:w="603" w:type="pct"/>
            <w:hideMark/>
          </w:tcPr>
          <w:p w14:paraId="34128C74" w14:textId="73F7B6C1"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Partnerstva za Kohezionu politiku</w:t>
            </w:r>
          </w:p>
        </w:tc>
        <w:tc>
          <w:tcPr>
            <w:tcW w:w="625" w:type="pct"/>
            <w:hideMark/>
          </w:tcPr>
          <w:p w14:paraId="46A30EC3" w14:textId="770AE1B3"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71" w:type="pct"/>
            <w:hideMark/>
          </w:tcPr>
          <w:p w14:paraId="787A39C2" w14:textId="045C51BB"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796" w:type="pct"/>
            <w:hideMark/>
          </w:tcPr>
          <w:p w14:paraId="0406CF67" w14:textId="0179D57C" w:rsidR="00992B8E" w:rsidRPr="00992B8E" w:rsidRDefault="007029BB"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Metodologija, detaljan plan i vremenski okvir za pripremu Sporazuma o partnerstvu predstavljeni Radnoj grupi za Poglavlje 22</w:t>
            </w:r>
          </w:p>
        </w:tc>
        <w:tc>
          <w:tcPr>
            <w:tcW w:w="351" w:type="pct"/>
            <w:hideMark/>
          </w:tcPr>
          <w:p w14:paraId="144F42B7" w14:textId="6CA5C502"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87" w:type="pct"/>
            <w:hideMark/>
          </w:tcPr>
          <w:p w14:paraId="3FBF24F9" w14:textId="2B177CFD"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22FA2AAB"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72439D29"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1.01.</w:t>
            </w:r>
          </w:p>
        </w:tc>
      </w:tr>
      <w:tr w:rsidR="00992B8E" w:rsidRPr="00992B8E" w14:paraId="1646BF22" w14:textId="77777777" w:rsidTr="00992B8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75" w:type="pct"/>
            <w:hideMark/>
          </w:tcPr>
          <w:p w14:paraId="0E45BE0A" w14:textId="74CCB671"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.2.05.</w:t>
            </w:r>
          </w:p>
        </w:tc>
        <w:tc>
          <w:tcPr>
            <w:tcW w:w="603" w:type="pct"/>
            <w:hideMark/>
          </w:tcPr>
          <w:p w14:paraId="249833F1" w14:textId="6A90DEAC"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Partnerstva za Kohezionu politiku</w:t>
            </w:r>
          </w:p>
        </w:tc>
        <w:tc>
          <w:tcPr>
            <w:tcW w:w="625" w:type="pct"/>
            <w:hideMark/>
          </w:tcPr>
          <w:p w14:paraId="7E0D61C4" w14:textId="3E5F1D8D"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71" w:type="pct"/>
            <w:hideMark/>
          </w:tcPr>
          <w:p w14:paraId="626C8567" w14:textId="0866F328"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4</w:t>
            </w:r>
          </w:p>
        </w:tc>
        <w:tc>
          <w:tcPr>
            <w:tcW w:w="796" w:type="pct"/>
            <w:hideMark/>
          </w:tcPr>
          <w:p w14:paraId="78469B27" w14:textId="71EB6537" w:rsidR="00992B8E" w:rsidRPr="00992B8E" w:rsidRDefault="007029BB"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Partneri za Kohezionu politiku su izabrani.</w:t>
            </w:r>
          </w:p>
        </w:tc>
        <w:tc>
          <w:tcPr>
            <w:tcW w:w="351" w:type="pct"/>
            <w:hideMark/>
          </w:tcPr>
          <w:p w14:paraId="47BB2619" w14:textId="0F007D99"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87" w:type="pct"/>
            <w:hideMark/>
          </w:tcPr>
          <w:p w14:paraId="71B15B87" w14:textId="3055E64D"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3C115110"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7F5FB8F0"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1.01.</w:t>
            </w:r>
          </w:p>
        </w:tc>
      </w:tr>
      <w:tr w:rsidR="00992B8E" w:rsidRPr="00992B8E" w14:paraId="631B6D78" w14:textId="77777777" w:rsidTr="00992B8E">
        <w:trPr>
          <w:trHeight w:val="1440"/>
        </w:trPr>
        <w:tc>
          <w:tcPr>
            <w:cnfStyle w:val="001000000000" w:firstRow="0" w:lastRow="0" w:firstColumn="1" w:lastColumn="0" w:oddVBand="0" w:evenVBand="0" w:oddHBand="0" w:evenHBand="0" w:firstRowFirstColumn="0" w:firstRowLastColumn="0" w:lastRowFirstColumn="0" w:lastRowLastColumn="0"/>
            <w:tcW w:w="475" w:type="pct"/>
            <w:hideMark/>
          </w:tcPr>
          <w:p w14:paraId="331F3D37" w14:textId="05C03CDA"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.2.06.</w:t>
            </w:r>
          </w:p>
        </w:tc>
        <w:tc>
          <w:tcPr>
            <w:tcW w:w="603" w:type="pct"/>
            <w:hideMark/>
          </w:tcPr>
          <w:p w14:paraId="507C33DB" w14:textId="3C9D2053"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 i podnošenje Sporazuma o partnerstvu i programa Komisiji.</w:t>
            </w:r>
          </w:p>
        </w:tc>
        <w:tc>
          <w:tcPr>
            <w:tcW w:w="625" w:type="pct"/>
            <w:hideMark/>
          </w:tcPr>
          <w:p w14:paraId="47DE4056" w14:textId="546CFABE"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992B8E" w:rsidRPr="00992B8E">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992B8E" w:rsidRPr="00992B8E">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71" w:type="pct"/>
            <w:hideMark/>
          </w:tcPr>
          <w:p w14:paraId="3456ECAC" w14:textId="1D4C013D"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1</w:t>
            </w:r>
          </w:p>
        </w:tc>
        <w:tc>
          <w:tcPr>
            <w:tcW w:w="796" w:type="pct"/>
            <w:hideMark/>
          </w:tcPr>
          <w:p w14:paraId="05C25CA1" w14:textId="677D22B5" w:rsidR="00992B8E" w:rsidRPr="00992B8E" w:rsidRDefault="007029BB"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Osnivanje radnih grupa za programiranje uz poštovanje Evropskog kodeksa ponašanja o partnerstvu.</w:t>
            </w:r>
          </w:p>
        </w:tc>
        <w:tc>
          <w:tcPr>
            <w:tcW w:w="351" w:type="pct"/>
            <w:hideMark/>
          </w:tcPr>
          <w:p w14:paraId="0C682D4F" w14:textId="6CEBD004"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139EF89C" w14:textId="08643C79"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54B42208"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1D8A70F0"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4.03.</w:t>
            </w:r>
          </w:p>
        </w:tc>
      </w:tr>
      <w:tr w:rsidR="00992B8E" w:rsidRPr="00992B8E" w14:paraId="42942D76" w14:textId="77777777" w:rsidTr="00992B8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475" w:type="pct"/>
            <w:hideMark/>
          </w:tcPr>
          <w:p w14:paraId="2E437CF8" w14:textId="6B385580"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.2.07.</w:t>
            </w:r>
          </w:p>
        </w:tc>
        <w:tc>
          <w:tcPr>
            <w:tcW w:w="603" w:type="pct"/>
            <w:hideMark/>
          </w:tcPr>
          <w:p w14:paraId="6E1E10E8" w14:textId="7C480131" w:rsidR="00992B8E" w:rsidRPr="00992B8E" w:rsidRDefault="00543023"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Analiza potreba za obukom za Ekosistem Kohezione politike</w:t>
            </w:r>
          </w:p>
        </w:tc>
        <w:tc>
          <w:tcPr>
            <w:tcW w:w="625" w:type="pct"/>
            <w:hideMark/>
          </w:tcPr>
          <w:p w14:paraId="127B73D1" w14:textId="635057FC"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992B8E" w:rsidRPr="00992B8E">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
        </w:tc>
        <w:tc>
          <w:tcPr>
            <w:tcW w:w="371" w:type="pct"/>
            <w:hideMark/>
          </w:tcPr>
          <w:p w14:paraId="2516E32F" w14:textId="0F3102D1"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1</w:t>
            </w:r>
          </w:p>
        </w:tc>
        <w:tc>
          <w:tcPr>
            <w:tcW w:w="796" w:type="pct"/>
            <w:hideMark/>
          </w:tcPr>
          <w:p w14:paraId="7A1635C6" w14:textId="201C2472" w:rsidR="00992B8E" w:rsidRPr="00992B8E" w:rsidRDefault="007029BB"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TNA izvještaj za partnere.</w:t>
            </w:r>
          </w:p>
        </w:tc>
        <w:tc>
          <w:tcPr>
            <w:tcW w:w="351" w:type="pct"/>
            <w:hideMark/>
          </w:tcPr>
          <w:p w14:paraId="4119D382" w14:textId="3D781256"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16D3EF55" w14:textId="64B44812"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5B913FD5" w14:textId="4E6FD7FA" w:rsidR="00992B8E" w:rsidRPr="00992B8E" w:rsidRDefault="007029BB"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Ekosistem se sastoji od 3 grupe: 1) Institucije uključene u upravljanje sredstvima (buduća Tijela progrma) 2) Partneri; 3) Korisnici.</w:t>
            </w:r>
          </w:p>
        </w:tc>
        <w:tc>
          <w:tcPr>
            <w:tcW w:w="496" w:type="pct"/>
            <w:hideMark/>
          </w:tcPr>
          <w:p w14:paraId="6E4AB1CE"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3.03.</w:t>
            </w:r>
          </w:p>
        </w:tc>
      </w:tr>
      <w:tr w:rsidR="00992B8E" w:rsidRPr="00992B8E" w14:paraId="4DAE0D01" w14:textId="77777777" w:rsidTr="00992B8E">
        <w:trPr>
          <w:trHeight w:val="1680"/>
        </w:trPr>
        <w:tc>
          <w:tcPr>
            <w:cnfStyle w:val="001000000000" w:firstRow="0" w:lastRow="0" w:firstColumn="1" w:lastColumn="0" w:oddVBand="0" w:evenVBand="0" w:oddHBand="0" w:evenHBand="0" w:firstRowFirstColumn="0" w:firstRowLastColumn="0" w:lastRowFirstColumn="0" w:lastRowLastColumn="0"/>
            <w:tcW w:w="475" w:type="pct"/>
            <w:hideMark/>
          </w:tcPr>
          <w:p w14:paraId="49A0EAFF" w14:textId="689AB855"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.2.08.</w:t>
            </w:r>
          </w:p>
        </w:tc>
        <w:tc>
          <w:tcPr>
            <w:tcW w:w="603" w:type="pct"/>
            <w:hideMark/>
          </w:tcPr>
          <w:p w14:paraId="3D641E64" w14:textId="3E8882B4" w:rsidR="00992B8E" w:rsidRPr="00992B8E" w:rsidRDefault="00543023"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Dizajn i isporuka Programa za jačanje kapaciteta za Kohezionu politiku</w:t>
            </w:r>
            <w:r w:rsidR="00992B8E" w:rsidRPr="00992B8E">
              <w:rPr>
                <w:rFonts w:ascii="Aptos" w:eastAsia="Times New Roman" w:hAnsi="Aptos"/>
                <w:kern w:val="0"/>
                <w:sz w:val="14"/>
                <w:szCs w:val="14"/>
                <w:lang w:eastAsia="en-GB"/>
                <w14:ligatures w14:val="none"/>
              </w:rPr>
              <w:t xml:space="preserve"> </w:t>
            </w:r>
          </w:p>
        </w:tc>
        <w:tc>
          <w:tcPr>
            <w:tcW w:w="625" w:type="pct"/>
            <w:hideMark/>
          </w:tcPr>
          <w:p w14:paraId="44EEAF6E" w14:textId="35CDE099"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992B8E" w:rsidRPr="00992B8E">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992B8E" w:rsidRPr="00992B8E">
              <w:rPr>
                <w:rFonts w:ascii="Aptos" w:eastAsia="Times New Roman" w:hAnsi="Aptos"/>
                <w:kern w:val="0"/>
                <w:sz w:val="14"/>
                <w:szCs w:val="14"/>
                <w:lang w:eastAsia="en-GB"/>
                <w14:ligatures w14:val="none"/>
              </w:rPr>
              <w:t>;</w:t>
            </w:r>
            <w:proofErr w:type="gramEnd"/>
            <w:r w:rsidR="00992B8E" w:rsidRPr="00992B8E">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371" w:type="pct"/>
            <w:hideMark/>
          </w:tcPr>
          <w:p w14:paraId="13CCE548" w14:textId="1ECC4D12"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796" w:type="pct"/>
            <w:hideMark/>
          </w:tcPr>
          <w:p w14:paraId="3684B839" w14:textId="3B5D13D0" w:rsidR="00992B8E" w:rsidRPr="00992B8E" w:rsidRDefault="007029BB"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Programi jačanja kapaciteta za partnere.</w:t>
            </w:r>
          </w:p>
        </w:tc>
        <w:tc>
          <w:tcPr>
            <w:tcW w:w="351" w:type="pct"/>
            <w:hideMark/>
          </w:tcPr>
          <w:p w14:paraId="1C9C3DF9" w14:textId="1B1EECC7"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31023613"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796" w:type="pct"/>
            <w:hideMark/>
          </w:tcPr>
          <w:p w14:paraId="3CE14EB8"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96" w:type="pct"/>
            <w:hideMark/>
          </w:tcPr>
          <w:p w14:paraId="2A95BE30"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3.04.</w:t>
            </w:r>
          </w:p>
        </w:tc>
      </w:tr>
      <w:tr w:rsidR="00992B8E" w:rsidRPr="00992B8E" w14:paraId="3C27F49C" w14:textId="77777777" w:rsidTr="00992B8E">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475" w:type="pct"/>
            <w:hideMark/>
          </w:tcPr>
          <w:p w14:paraId="2935C9D7" w14:textId="65FB78A1"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.2.09.</w:t>
            </w:r>
          </w:p>
        </w:tc>
        <w:tc>
          <w:tcPr>
            <w:tcW w:w="603" w:type="pct"/>
            <w:hideMark/>
          </w:tcPr>
          <w:p w14:paraId="0F8CF4DB" w14:textId="5E9B759A" w:rsidR="00992B8E" w:rsidRPr="00992B8E" w:rsidRDefault="005536B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Obuka/mentorstvo za izradu strategija organizacionog razvoja</w:t>
            </w:r>
          </w:p>
        </w:tc>
        <w:tc>
          <w:tcPr>
            <w:tcW w:w="625" w:type="pct"/>
            <w:hideMark/>
          </w:tcPr>
          <w:p w14:paraId="2D9A2E6E" w14:textId="1B16F057" w:rsidR="00992B8E" w:rsidRPr="00992B8E" w:rsidRDefault="006D6E25"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992B8E" w:rsidRPr="00992B8E">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p>
        </w:tc>
        <w:tc>
          <w:tcPr>
            <w:tcW w:w="371" w:type="pct"/>
            <w:hideMark/>
          </w:tcPr>
          <w:p w14:paraId="0EF406A2" w14:textId="340734B5" w:rsidR="00992B8E" w:rsidRPr="00992B8E" w:rsidRDefault="00992B8E" w:rsidP="00992B8E">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796" w:type="pct"/>
            <w:hideMark/>
          </w:tcPr>
          <w:p w14:paraId="42AF3211" w14:textId="5C53A887" w:rsidR="00992B8E" w:rsidRPr="00992B8E" w:rsidRDefault="007029BB"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Izvještaji o obuci/Održane mentorske sesije.</w:t>
            </w:r>
          </w:p>
        </w:tc>
        <w:tc>
          <w:tcPr>
            <w:tcW w:w="351" w:type="pct"/>
            <w:hideMark/>
          </w:tcPr>
          <w:p w14:paraId="56209F60" w14:textId="00D4A697" w:rsidR="00992B8E" w:rsidRPr="00992B8E" w:rsidRDefault="0013334C"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87" w:type="pct"/>
            <w:hideMark/>
          </w:tcPr>
          <w:p w14:paraId="3C8F009D" w14:textId="248DB8C3" w:rsidR="00992B8E" w:rsidRPr="00992B8E" w:rsidRDefault="00720740"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55175F99"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7CBB653E" w14:textId="77777777" w:rsidR="00992B8E" w:rsidRPr="00992B8E" w:rsidRDefault="00992B8E" w:rsidP="00992B8E">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992B8E" w:rsidRPr="00992B8E" w14:paraId="5D5D109E" w14:textId="77777777" w:rsidTr="00992B8E">
        <w:trPr>
          <w:trHeight w:val="1440"/>
        </w:trPr>
        <w:tc>
          <w:tcPr>
            <w:cnfStyle w:val="001000000000" w:firstRow="0" w:lastRow="0" w:firstColumn="1" w:lastColumn="0" w:oddVBand="0" w:evenVBand="0" w:oddHBand="0" w:evenHBand="0" w:firstRowFirstColumn="0" w:firstRowLastColumn="0" w:lastRowFirstColumn="0" w:lastRowLastColumn="0"/>
            <w:tcW w:w="475" w:type="pct"/>
            <w:hideMark/>
          </w:tcPr>
          <w:p w14:paraId="63DFCC87" w14:textId="3B873A52" w:rsidR="00992B8E" w:rsidRPr="00992B8E" w:rsidRDefault="0032369C" w:rsidP="00992B8E">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992B8E" w:rsidRPr="00992B8E">
              <w:rPr>
                <w:rFonts w:ascii="Aptos" w:eastAsia="Times New Roman" w:hAnsi="Aptos"/>
                <w:kern w:val="0"/>
                <w:sz w:val="14"/>
                <w:szCs w:val="14"/>
                <w:lang w:eastAsia="en-GB"/>
                <w14:ligatures w14:val="none"/>
              </w:rPr>
              <w:t>.2.10.</w:t>
            </w:r>
          </w:p>
        </w:tc>
        <w:tc>
          <w:tcPr>
            <w:tcW w:w="603" w:type="pct"/>
            <w:hideMark/>
          </w:tcPr>
          <w:p w14:paraId="1BB6384D" w14:textId="3E1BD3F4"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 i podnošenje Sporazuma o partnerstvu i programa Komisiji.</w:t>
            </w:r>
          </w:p>
        </w:tc>
        <w:tc>
          <w:tcPr>
            <w:tcW w:w="625" w:type="pct"/>
            <w:hideMark/>
          </w:tcPr>
          <w:p w14:paraId="389AB2F9" w14:textId="24DBDE33" w:rsidR="00992B8E" w:rsidRPr="00992B8E" w:rsidRDefault="006D6E25"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992B8E" w:rsidRPr="00992B8E">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992B8E" w:rsidRPr="00992B8E">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71" w:type="pct"/>
            <w:hideMark/>
          </w:tcPr>
          <w:p w14:paraId="21D0BB7F" w14:textId="5A9A50B5" w:rsidR="00992B8E" w:rsidRPr="00992B8E" w:rsidRDefault="00992B8E" w:rsidP="00992B8E">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992B8E">
              <w:rPr>
                <w:rFonts w:ascii="Aptos" w:eastAsia="Times New Roman" w:hAnsi="Aptos"/>
                <w:kern w:val="0"/>
                <w:sz w:val="14"/>
                <w:szCs w:val="14"/>
                <w:lang w:eastAsia="en-GB"/>
                <w14:ligatures w14:val="none"/>
              </w:rPr>
              <w:t>2</w:t>
            </w:r>
          </w:p>
        </w:tc>
        <w:tc>
          <w:tcPr>
            <w:tcW w:w="796" w:type="pct"/>
            <w:hideMark/>
          </w:tcPr>
          <w:p w14:paraId="5FB5C416" w14:textId="3970FBB4" w:rsidR="00992B8E" w:rsidRPr="00992B8E" w:rsidRDefault="007029BB"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Napredni nacrt Sporazuma o partnerstvu pripremljen za diskusiju sa Komisijom.</w:t>
            </w:r>
          </w:p>
        </w:tc>
        <w:tc>
          <w:tcPr>
            <w:tcW w:w="351" w:type="pct"/>
            <w:hideMark/>
          </w:tcPr>
          <w:p w14:paraId="5B306EBC" w14:textId="279A52BC" w:rsidR="00992B8E" w:rsidRPr="00992B8E" w:rsidRDefault="0013334C"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87" w:type="pct"/>
            <w:hideMark/>
          </w:tcPr>
          <w:p w14:paraId="6C150DF7" w14:textId="5033D52E" w:rsidR="00992B8E" w:rsidRPr="00992B8E" w:rsidRDefault="00720740"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6" w:type="pct"/>
            <w:hideMark/>
          </w:tcPr>
          <w:p w14:paraId="7EC5BD9B"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96" w:type="pct"/>
            <w:hideMark/>
          </w:tcPr>
          <w:p w14:paraId="0307CD56" w14:textId="77777777" w:rsidR="00992B8E" w:rsidRPr="00992B8E" w:rsidRDefault="00992B8E" w:rsidP="00992B8E">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92B8E">
              <w:rPr>
                <w:rFonts w:ascii="Aptos" w:eastAsia="Times New Roman" w:hAnsi="Aptos"/>
                <w:kern w:val="0"/>
                <w:sz w:val="14"/>
                <w:szCs w:val="14"/>
                <w:lang w:eastAsia="en-GB"/>
                <w14:ligatures w14:val="none"/>
              </w:rPr>
              <w:t>4.03.</w:t>
            </w:r>
          </w:p>
        </w:tc>
      </w:tr>
    </w:tbl>
    <w:p w14:paraId="6AB109E7" w14:textId="77777777" w:rsidR="00DD7EEE" w:rsidRPr="00B83578" w:rsidRDefault="00DD7EEE" w:rsidP="00DD7EEE">
      <w:pPr>
        <w:spacing w:after="200" w:line="276" w:lineRule="auto"/>
        <w:jc w:val="left"/>
        <w:rPr>
          <w:rFonts w:eastAsia="Calibri" w:cs="Arial"/>
          <w:kern w:val="0"/>
          <w:sz w:val="22"/>
        </w:rPr>
      </w:pPr>
    </w:p>
    <w:p w14:paraId="24D5C081" w14:textId="33C982AE" w:rsidR="00DD7EEE" w:rsidRPr="004E66DF" w:rsidRDefault="004E66DF" w:rsidP="0082366A">
      <w:pPr>
        <w:spacing w:after="0"/>
        <w:jc w:val="left"/>
        <w:rPr>
          <w:rFonts w:eastAsia="Calibri" w:cs="Arial"/>
          <w:kern w:val="0"/>
          <w:szCs w:val="20"/>
        </w:rPr>
      </w:pPr>
      <w:r w:rsidRPr="004E66DF">
        <w:rPr>
          <w:rFonts w:eastAsia="Calibri" w:cs="Arial"/>
          <w:kern w:val="0"/>
          <w:szCs w:val="20"/>
        </w:rPr>
        <w:t>Naredna akcija je planirana za osiguranje zadovoljavajućeg nivoa implementacije Završnog mjerila 3.</w:t>
      </w:r>
    </w:p>
    <w:p w14:paraId="34AC4AFE" w14:textId="77777777" w:rsidR="0082366A" w:rsidRPr="009E36FF" w:rsidRDefault="0082366A" w:rsidP="0082366A">
      <w:pPr>
        <w:spacing w:after="0"/>
        <w:jc w:val="left"/>
        <w:rPr>
          <w:rFonts w:eastAsia="Aptos" w:cs="Arial"/>
          <w:b/>
          <w:bCs/>
          <w:highlight w:val="yellow"/>
        </w:rPr>
      </w:pPr>
    </w:p>
    <w:p w14:paraId="3746E9AF" w14:textId="0515CE95" w:rsidR="00DD7EEE" w:rsidRPr="004E66DF" w:rsidRDefault="00543023" w:rsidP="007B6C77">
      <w:pPr>
        <w:pStyle w:val="Heading3"/>
        <w:rPr>
          <w:rFonts w:eastAsia="Calibri"/>
          <w:kern w:val="0"/>
          <w:szCs w:val="20"/>
        </w:rPr>
      </w:pPr>
      <w:bookmarkStart w:id="48" w:name="_Toc201700328"/>
      <w:r w:rsidRPr="004E66DF">
        <w:lastRenderedPageBreak/>
        <w:t>Akcija</w:t>
      </w:r>
      <w:r w:rsidR="00DD7EEE" w:rsidRPr="004E66DF">
        <w:t xml:space="preserve"> </w:t>
      </w:r>
      <w:r w:rsidR="0032369C">
        <w:t>ZM</w:t>
      </w:r>
      <w:r w:rsidR="00DD7EEE" w:rsidRPr="004E66DF">
        <w:t xml:space="preserve">3.1. </w:t>
      </w:r>
      <w:r w:rsidR="009E36FF" w:rsidRPr="004E66DF">
        <w:t>Metodologija, detaljan plan i vremenski okvir za finalizaciju Sporazuma o partnerstvu i pripremu i finalizaciju Programa kohezione politike.</w:t>
      </w:r>
      <w:bookmarkEnd w:id="48"/>
    </w:p>
    <w:p w14:paraId="367FA9BA" w14:textId="71BDA4C1" w:rsidR="00DD7EEE" w:rsidRPr="00B83578" w:rsidRDefault="004E66DF" w:rsidP="0082366A">
      <w:pPr>
        <w:shd w:val="clear" w:color="auto" w:fill="FFFFFF"/>
        <w:spacing w:after="0"/>
        <w:rPr>
          <w:rFonts w:eastAsia="Aptos" w:cs="Arial"/>
        </w:rPr>
      </w:pPr>
      <w:r w:rsidRPr="004E66DF">
        <w:rPr>
          <w:rFonts w:eastAsia="Aptos" w:cs="Arial"/>
        </w:rPr>
        <w:t xml:space="preserve">Metodologija, detaljan plan i vremenski okvir za pripremu Sporazuma o partnerstvu (Akcija </w:t>
      </w:r>
      <w:r w:rsidR="0032369C">
        <w:rPr>
          <w:rFonts w:eastAsia="Aptos" w:cs="Arial"/>
        </w:rPr>
        <w:t>ZM</w:t>
      </w:r>
      <w:r w:rsidRPr="004E66DF">
        <w:rPr>
          <w:rFonts w:eastAsia="Aptos" w:cs="Arial"/>
        </w:rPr>
        <w:t xml:space="preserve">2.4) biće integrisani tako da obuhvate metodologiju, detaljan plan i vremenski okvir za pripremu i finalizaciju Programa </w:t>
      </w:r>
      <w:r>
        <w:rPr>
          <w:rFonts w:eastAsia="Aptos" w:cs="Arial"/>
        </w:rPr>
        <w:t>K</w:t>
      </w:r>
      <w:r w:rsidRPr="004E66DF">
        <w:rPr>
          <w:rFonts w:eastAsia="Aptos" w:cs="Arial"/>
        </w:rPr>
        <w:t>ohezione politike. Ažuriranja će uključiti detalje o finalizaciji Sporazuma o partnerstvu.</w:t>
      </w:r>
    </w:p>
    <w:p w14:paraId="5A9F2587" w14:textId="0C62F3AA" w:rsidR="00DD7EEE" w:rsidRPr="00B83578" w:rsidRDefault="001D692B" w:rsidP="00112AB0">
      <w:pPr>
        <w:pStyle w:val="Caption"/>
      </w:pPr>
      <w:bookmarkStart w:id="49" w:name="_Toc193895447"/>
      <w:r>
        <w:t>Tabela</w:t>
      </w:r>
      <w:r w:rsidR="00D35829" w:rsidRPr="00B83578">
        <w:t xml:space="preserve"> 3. </w:t>
      </w:r>
      <w:r w:rsidR="00C17022">
        <w:t>MP</w:t>
      </w:r>
      <w:fldSimple w:instr=" SEQ Table \* ARABIC ">
        <w:r w:rsidR="003C2962">
          <w:rPr>
            <w:noProof/>
          </w:rPr>
          <w:t>3</w:t>
        </w:r>
      </w:fldSimple>
      <w:r w:rsidR="00DD7EEE" w:rsidRPr="00B83578">
        <w:t xml:space="preserve">: </w:t>
      </w:r>
      <w:r w:rsidR="00017758">
        <w:t>Planirane akcije za zatvaranje Završnog mjerila</w:t>
      </w:r>
      <w:r w:rsidR="00DD7EEE" w:rsidRPr="00B83578">
        <w:t xml:space="preserve"> 3</w:t>
      </w:r>
      <w:bookmarkEnd w:id="49"/>
    </w:p>
    <w:tbl>
      <w:tblPr>
        <w:tblStyle w:val="GridTable5Dark-Accent11"/>
        <w:tblW w:w="5000" w:type="pct"/>
        <w:tblInd w:w="0" w:type="dxa"/>
        <w:tblLook w:val="04A0" w:firstRow="1" w:lastRow="0" w:firstColumn="1" w:lastColumn="0" w:noHBand="0" w:noVBand="1"/>
      </w:tblPr>
      <w:tblGrid>
        <w:gridCol w:w="804"/>
        <w:gridCol w:w="1395"/>
        <w:gridCol w:w="1168"/>
        <w:gridCol w:w="954"/>
        <w:gridCol w:w="1141"/>
        <w:gridCol w:w="961"/>
        <w:gridCol w:w="832"/>
        <w:gridCol w:w="1336"/>
        <w:gridCol w:w="759"/>
      </w:tblGrid>
      <w:tr w:rsidR="006440AD" w:rsidRPr="006440AD" w14:paraId="70A4C81A" w14:textId="77777777" w:rsidTr="00992B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33" w:type="pct"/>
            <w:hideMark/>
          </w:tcPr>
          <w:p w14:paraId="384983E6" w14:textId="639BE8C1" w:rsidR="006440AD" w:rsidRPr="006440AD" w:rsidRDefault="00543023" w:rsidP="006440AD">
            <w:pPr>
              <w:spacing w:after="0"/>
              <w:jc w:val="left"/>
              <w:rPr>
                <w:rFonts w:eastAsia="Times New Roman"/>
                <w:kern w:val="0"/>
                <w:sz w:val="16"/>
                <w:szCs w:val="16"/>
                <w:lang w:eastAsia="en-GB"/>
                <w14:ligatures w14:val="none"/>
              </w:rPr>
            </w:pPr>
            <w:r>
              <w:rPr>
                <w:rFonts w:eastAsia="Times New Roman"/>
                <w:kern w:val="0"/>
                <w:sz w:val="16"/>
                <w:szCs w:val="16"/>
                <w:lang w:eastAsia="en-GB"/>
                <w14:ligatures w14:val="none"/>
              </w:rPr>
              <w:t>Kod akcije</w:t>
            </w:r>
          </w:p>
        </w:tc>
        <w:tc>
          <w:tcPr>
            <w:tcW w:w="881" w:type="pct"/>
            <w:hideMark/>
          </w:tcPr>
          <w:p w14:paraId="7755EF0F" w14:textId="5C72EF58" w:rsidR="006440AD" w:rsidRPr="006440AD" w:rsidRDefault="00543023" w:rsidP="006440A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Pr>
                <w:rFonts w:eastAsia="Times New Roman"/>
                <w:kern w:val="0"/>
                <w:sz w:val="16"/>
                <w:szCs w:val="16"/>
                <w:lang w:eastAsia="en-GB"/>
                <w14:ligatures w14:val="none"/>
              </w:rPr>
              <w:t>Naziv akcije</w:t>
            </w:r>
          </w:p>
        </w:tc>
        <w:tc>
          <w:tcPr>
            <w:tcW w:w="536" w:type="pct"/>
            <w:hideMark/>
          </w:tcPr>
          <w:p w14:paraId="36C110DB" w14:textId="77777777" w:rsidR="006440AD" w:rsidRPr="006440AD" w:rsidRDefault="006440AD" w:rsidP="006440A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6440AD">
              <w:rPr>
                <w:rFonts w:eastAsia="Times New Roman"/>
                <w:kern w:val="0"/>
                <w:sz w:val="16"/>
                <w:szCs w:val="16"/>
                <w:lang w:eastAsia="en-GB"/>
                <w14:ligatures w14:val="none"/>
              </w:rPr>
              <w:t>Responsible</w:t>
            </w:r>
          </w:p>
        </w:tc>
        <w:tc>
          <w:tcPr>
            <w:tcW w:w="414" w:type="pct"/>
            <w:hideMark/>
          </w:tcPr>
          <w:p w14:paraId="27B06585" w14:textId="1ABFFABD" w:rsidR="006440AD" w:rsidRPr="006440AD" w:rsidRDefault="0013334C" w:rsidP="006440A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13334C">
              <w:rPr>
                <w:rFonts w:eastAsia="Times New Roman"/>
                <w:kern w:val="0"/>
                <w:sz w:val="16"/>
                <w:szCs w:val="16"/>
                <w:lang w:eastAsia="en-GB"/>
                <w14:ligatures w14:val="none"/>
              </w:rPr>
              <w:t>Raspored</w:t>
            </w:r>
          </w:p>
        </w:tc>
        <w:tc>
          <w:tcPr>
            <w:tcW w:w="745" w:type="pct"/>
            <w:hideMark/>
          </w:tcPr>
          <w:p w14:paraId="35336F7E" w14:textId="35500407" w:rsidR="006440AD" w:rsidRPr="006440AD" w:rsidRDefault="0013334C" w:rsidP="006440A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13334C">
              <w:rPr>
                <w:rFonts w:eastAsia="Times New Roman"/>
                <w:kern w:val="0"/>
                <w:sz w:val="16"/>
                <w:szCs w:val="16"/>
                <w:lang w:eastAsia="en-GB"/>
                <w14:ligatures w14:val="none"/>
              </w:rPr>
              <w:t>Indikator</w:t>
            </w:r>
          </w:p>
        </w:tc>
        <w:tc>
          <w:tcPr>
            <w:tcW w:w="414" w:type="pct"/>
            <w:hideMark/>
          </w:tcPr>
          <w:p w14:paraId="1148F5E4" w14:textId="5381E358" w:rsidR="006440AD" w:rsidRPr="006440AD" w:rsidRDefault="00683B6B" w:rsidP="006440A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683B6B">
              <w:rPr>
                <w:rFonts w:eastAsia="Times New Roman"/>
                <w:kern w:val="0"/>
                <w:sz w:val="16"/>
                <w:szCs w:val="16"/>
                <w:lang w:eastAsia="en-GB"/>
                <w14:ligatures w14:val="none"/>
              </w:rPr>
              <w:t>Vrsta</w:t>
            </w:r>
          </w:p>
        </w:tc>
        <w:tc>
          <w:tcPr>
            <w:tcW w:w="415" w:type="pct"/>
            <w:hideMark/>
          </w:tcPr>
          <w:p w14:paraId="370DD963" w14:textId="5186ADEB" w:rsidR="006440AD" w:rsidRPr="006440AD" w:rsidRDefault="00683B6B" w:rsidP="006440A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683B6B">
              <w:rPr>
                <w:rFonts w:eastAsia="Times New Roman"/>
                <w:kern w:val="0"/>
                <w:sz w:val="16"/>
                <w:szCs w:val="16"/>
                <w:lang w:eastAsia="en-GB"/>
                <w14:ligatures w14:val="none"/>
              </w:rPr>
              <w:t>Resurs</w:t>
            </w:r>
          </w:p>
        </w:tc>
        <w:tc>
          <w:tcPr>
            <w:tcW w:w="849" w:type="pct"/>
            <w:hideMark/>
          </w:tcPr>
          <w:p w14:paraId="29596F3A" w14:textId="3635F424" w:rsidR="006440AD" w:rsidRPr="006440AD" w:rsidRDefault="00683B6B" w:rsidP="006440A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683B6B">
              <w:rPr>
                <w:rFonts w:eastAsia="Times New Roman"/>
                <w:kern w:val="0"/>
                <w:sz w:val="16"/>
                <w:szCs w:val="16"/>
                <w:lang w:eastAsia="en-GB"/>
                <w14:ligatures w14:val="none"/>
              </w:rPr>
              <w:t>Napomene</w:t>
            </w:r>
          </w:p>
        </w:tc>
        <w:tc>
          <w:tcPr>
            <w:tcW w:w="412" w:type="pct"/>
            <w:hideMark/>
          </w:tcPr>
          <w:p w14:paraId="670CC9C0" w14:textId="4D6B4289" w:rsidR="006440AD" w:rsidRPr="006440AD" w:rsidRDefault="00A067C3" w:rsidP="006440A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Pr>
                <w:rFonts w:eastAsia="Times New Roman"/>
                <w:kern w:val="0"/>
                <w:sz w:val="16"/>
                <w:szCs w:val="16"/>
                <w:lang w:eastAsia="en-GB"/>
                <w14:ligatures w14:val="none"/>
              </w:rPr>
              <w:t>DAP</w:t>
            </w:r>
            <w:r w:rsidR="007029BB">
              <w:rPr>
                <w:rFonts w:eastAsia="Times New Roman"/>
                <w:kern w:val="0"/>
                <w:sz w:val="16"/>
                <w:szCs w:val="16"/>
                <w:lang w:eastAsia="en-GB"/>
                <w14:ligatures w14:val="none"/>
              </w:rPr>
              <w:t xml:space="preserve"> oznaka</w:t>
            </w:r>
          </w:p>
        </w:tc>
      </w:tr>
      <w:tr w:rsidR="006440AD" w:rsidRPr="006440AD" w14:paraId="5612E1E3" w14:textId="77777777" w:rsidTr="00992B8E">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333" w:type="pct"/>
            <w:hideMark/>
          </w:tcPr>
          <w:p w14:paraId="7C9D8939" w14:textId="5EDF6EF7" w:rsidR="006440AD" w:rsidRPr="006440AD" w:rsidRDefault="0032369C" w:rsidP="006440AD">
            <w:pPr>
              <w:spacing w:after="0"/>
              <w:jc w:val="left"/>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ZM</w:t>
            </w:r>
            <w:r w:rsidR="006440AD" w:rsidRPr="006440AD">
              <w:rPr>
                <w:rFonts w:ascii="Aptos" w:eastAsia="Times New Roman" w:hAnsi="Aptos"/>
                <w:kern w:val="0"/>
                <w:sz w:val="16"/>
                <w:szCs w:val="16"/>
                <w:lang w:eastAsia="en-GB"/>
                <w14:ligatures w14:val="none"/>
              </w:rPr>
              <w:t>.3.01.</w:t>
            </w:r>
          </w:p>
        </w:tc>
        <w:tc>
          <w:tcPr>
            <w:tcW w:w="881" w:type="pct"/>
            <w:hideMark/>
          </w:tcPr>
          <w:p w14:paraId="42A6529B" w14:textId="70C1E2B2" w:rsidR="006440AD" w:rsidRPr="006440AD" w:rsidRDefault="00720740" w:rsidP="006440A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 Definisanje metodologije, detaljan plan i vremenski okvir za pripremu Sporazuma o partnerstvu (ako je primjenljivo) i Programa.</w:t>
            </w:r>
          </w:p>
        </w:tc>
        <w:tc>
          <w:tcPr>
            <w:tcW w:w="536" w:type="pct"/>
            <w:hideMark/>
          </w:tcPr>
          <w:p w14:paraId="01BBEABD" w14:textId="5F7D9633" w:rsidR="006440AD" w:rsidRPr="006440AD" w:rsidRDefault="006D6E25" w:rsidP="006440A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Ministarstvo evropskih poslova - </w:t>
            </w:r>
            <w:r w:rsidR="0086543E" w:rsidRPr="0086543E">
              <w:rPr>
                <w:rFonts w:ascii="Aptos" w:eastAsia="Times New Roman" w:hAnsi="Aptos"/>
                <w:kern w:val="0"/>
                <w:sz w:val="16"/>
                <w:szCs w:val="16"/>
                <w:lang w:eastAsia="en-GB"/>
                <w14:ligatures w14:val="none"/>
              </w:rPr>
              <w:t>NIPAK</w:t>
            </w:r>
            <w:r>
              <w:rPr>
                <w:rFonts w:ascii="Aptos" w:eastAsia="Times New Roman" w:hAnsi="Aptos"/>
                <w:kern w:val="0"/>
                <w:sz w:val="16"/>
                <w:szCs w:val="16"/>
                <w:lang w:eastAsia="en-GB"/>
                <w14:ligatures w14:val="none"/>
              </w:rPr>
              <w:t xml:space="preserve"> Kancelarija</w:t>
            </w:r>
            <w:r w:rsidR="006440AD" w:rsidRPr="006440AD">
              <w:rPr>
                <w:rFonts w:ascii="Aptos" w:eastAsia="Times New Roman" w:hAnsi="Aptos"/>
                <w:kern w:val="0"/>
                <w:sz w:val="16"/>
                <w:szCs w:val="16"/>
                <w:lang w:eastAsia="en-GB"/>
                <w14:ligatures w14:val="none"/>
              </w:rPr>
              <w:t xml:space="preserve">; </w:t>
            </w:r>
            <w:r w:rsidR="00720740">
              <w:rPr>
                <w:rFonts w:ascii="Aptos" w:eastAsia="Times New Roman" w:hAnsi="Aptos"/>
                <w:kern w:val="0"/>
                <w:sz w:val="16"/>
                <w:szCs w:val="16"/>
                <w:lang w:eastAsia="en-GB"/>
                <w14:ligatures w14:val="none"/>
              </w:rPr>
              <w:t>Radna grupa za poglavlje 22</w:t>
            </w:r>
          </w:p>
        </w:tc>
        <w:tc>
          <w:tcPr>
            <w:tcW w:w="414" w:type="pct"/>
            <w:hideMark/>
          </w:tcPr>
          <w:p w14:paraId="212913C1" w14:textId="271FE62B" w:rsidR="006440AD" w:rsidRPr="006440AD" w:rsidRDefault="006440AD" w:rsidP="006440AD">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sidRPr="006440AD">
              <w:rPr>
                <w:rFonts w:ascii="Aptos" w:eastAsia="Times New Roman" w:hAnsi="Aptos"/>
                <w:kern w:val="0"/>
                <w:sz w:val="16"/>
                <w:szCs w:val="16"/>
                <w:lang w:eastAsia="en-GB"/>
                <w14:ligatures w14:val="none"/>
              </w:rPr>
              <w:t>2025-</w:t>
            </w:r>
            <w:r w:rsidR="000744D1">
              <w:rPr>
                <w:rFonts w:ascii="Aptos" w:eastAsia="Times New Roman" w:hAnsi="Aptos"/>
                <w:kern w:val="0"/>
                <w:sz w:val="16"/>
                <w:szCs w:val="16"/>
                <w:lang w:eastAsia="en-GB"/>
                <w14:ligatures w14:val="none"/>
              </w:rPr>
              <w:t>Kvartal</w:t>
            </w:r>
            <w:r w:rsidRPr="006440AD">
              <w:rPr>
                <w:rFonts w:ascii="Aptos" w:eastAsia="Times New Roman" w:hAnsi="Aptos"/>
                <w:kern w:val="0"/>
                <w:sz w:val="16"/>
                <w:szCs w:val="16"/>
                <w:lang w:eastAsia="en-GB"/>
                <w14:ligatures w14:val="none"/>
              </w:rPr>
              <w:t>4</w:t>
            </w:r>
          </w:p>
        </w:tc>
        <w:tc>
          <w:tcPr>
            <w:tcW w:w="745" w:type="pct"/>
            <w:hideMark/>
          </w:tcPr>
          <w:p w14:paraId="3FE78458" w14:textId="1AA1FDFA" w:rsidR="006440AD" w:rsidRPr="006440AD" w:rsidRDefault="00720740" w:rsidP="006440A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Metodologija, detaljan plan i vremenski okvir za izradu Sporazuma o partnerstvu</w:t>
            </w:r>
            <w:r w:rsidR="006440AD" w:rsidRPr="006440AD">
              <w:rPr>
                <w:rFonts w:ascii="Aptos" w:eastAsia="Times New Roman" w:hAnsi="Aptos"/>
                <w:kern w:val="0"/>
                <w:sz w:val="16"/>
                <w:szCs w:val="16"/>
                <w:lang w:eastAsia="en-GB"/>
                <w14:ligatures w14:val="none"/>
              </w:rPr>
              <w:t>.</w:t>
            </w:r>
          </w:p>
        </w:tc>
        <w:tc>
          <w:tcPr>
            <w:tcW w:w="414" w:type="pct"/>
            <w:hideMark/>
          </w:tcPr>
          <w:p w14:paraId="2FCCFB69" w14:textId="42A61680" w:rsidR="006440AD" w:rsidRPr="006440AD" w:rsidRDefault="0013334C" w:rsidP="006440A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sidRPr="0013334C">
              <w:rPr>
                <w:rFonts w:ascii="Aptos" w:eastAsia="Times New Roman" w:hAnsi="Aptos"/>
                <w:kern w:val="0"/>
                <w:sz w:val="16"/>
                <w:szCs w:val="16"/>
                <w:lang w:eastAsia="en-GB"/>
                <w14:ligatures w14:val="none"/>
              </w:rPr>
              <w:t>Prekretnica</w:t>
            </w:r>
          </w:p>
        </w:tc>
        <w:tc>
          <w:tcPr>
            <w:tcW w:w="415" w:type="pct"/>
            <w:hideMark/>
          </w:tcPr>
          <w:p w14:paraId="65D5C402" w14:textId="0A049869" w:rsidR="006440AD" w:rsidRPr="006440AD" w:rsidRDefault="00720740" w:rsidP="006440A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Podržano od strane </w:t>
            </w:r>
            <w:r w:rsidR="0032369C">
              <w:rPr>
                <w:rFonts w:ascii="Aptos" w:eastAsia="Times New Roman" w:hAnsi="Aptos"/>
                <w:kern w:val="0"/>
                <w:sz w:val="16"/>
                <w:szCs w:val="16"/>
                <w:lang w:eastAsia="en-GB"/>
                <w14:ligatures w14:val="none"/>
              </w:rPr>
              <w:t>TP</w:t>
            </w:r>
          </w:p>
        </w:tc>
        <w:tc>
          <w:tcPr>
            <w:tcW w:w="849" w:type="pct"/>
            <w:hideMark/>
          </w:tcPr>
          <w:p w14:paraId="54CD6AE6" w14:textId="16D2669B" w:rsidR="006440AD" w:rsidRPr="006440AD" w:rsidRDefault="00720740" w:rsidP="006440A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Vrijeme realizacije zavisi od objavljivanja prijedloga Komisije za Kohezionu politiku nakon 2027. godine.</w:t>
            </w:r>
          </w:p>
        </w:tc>
        <w:tc>
          <w:tcPr>
            <w:tcW w:w="412" w:type="pct"/>
            <w:hideMark/>
          </w:tcPr>
          <w:p w14:paraId="678AE227" w14:textId="77777777" w:rsidR="006440AD" w:rsidRPr="006440AD" w:rsidRDefault="006440AD" w:rsidP="006440A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sidRPr="006440AD">
              <w:rPr>
                <w:rFonts w:ascii="Aptos" w:eastAsia="Times New Roman" w:hAnsi="Aptos"/>
                <w:kern w:val="0"/>
                <w:sz w:val="16"/>
                <w:szCs w:val="16"/>
                <w:lang w:eastAsia="en-GB"/>
                <w14:ligatures w14:val="none"/>
              </w:rPr>
              <w:t>4.02.</w:t>
            </w:r>
          </w:p>
        </w:tc>
      </w:tr>
      <w:tr w:rsidR="006440AD" w:rsidRPr="006440AD" w14:paraId="47C06373" w14:textId="77777777" w:rsidTr="00992B8E">
        <w:trPr>
          <w:trHeight w:val="1470"/>
        </w:trPr>
        <w:tc>
          <w:tcPr>
            <w:cnfStyle w:val="001000000000" w:firstRow="0" w:lastRow="0" w:firstColumn="1" w:lastColumn="0" w:oddVBand="0" w:evenVBand="0" w:oddHBand="0" w:evenHBand="0" w:firstRowFirstColumn="0" w:firstRowLastColumn="0" w:lastRowFirstColumn="0" w:lastRowLastColumn="0"/>
            <w:tcW w:w="333" w:type="pct"/>
            <w:hideMark/>
          </w:tcPr>
          <w:p w14:paraId="2D7094A3" w14:textId="66C578CE" w:rsidR="006440AD" w:rsidRPr="006440AD" w:rsidRDefault="0032369C" w:rsidP="006440AD">
            <w:pPr>
              <w:spacing w:after="0"/>
              <w:jc w:val="left"/>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ZM</w:t>
            </w:r>
            <w:r w:rsidR="006440AD" w:rsidRPr="006440AD">
              <w:rPr>
                <w:rFonts w:ascii="Aptos" w:eastAsia="Times New Roman" w:hAnsi="Aptos"/>
                <w:kern w:val="0"/>
                <w:sz w:val="16"/>
                <w:szCs w:val="16"/>
                <w:lang w:eastAsia="en-GB"/>
                <w14:ligatures w14:val="none"/>
              </w:rPr>
              <w:t>.3.01.</w:t>
            </w:r>
          </w:p>
        </w:tc>
        <w:tc>
          <w:tcPr>
            <w:tcW w:w="881" w:type="pct"/>
            <w:hideMark/>
          </w:tcPr>
          <w:p w14:paraId="5302FC84" w14:textId="71A65205" w:rsidR="006440AD" w:rsidRPr="006440AD" w:rsidRDefault="00720740" w:rsidP="006440A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 Definisanje metodologije, detaljan plan i vremenski okvir za pripremu Sporazuma o partnerstvu (ako je primjenljivo) i Programa.</w:t>
            </w:r>
          </w:p>
        </w:tc>
        <w:tc>
          <w:tcPr>
            <w:tcW w:w="536" w:type="pct"/>
            <w:hideMark/>
          </w:tcPr>
          <w:p w14:paraId="349E42D9" w14:textId="1CC97813" w:rsidR="006440AD" w:rsidRPr="006440AD" w:rsidRDefault="006D6E25" w:rsidP="006440A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Ministarstvo evropskih poslova - </w:t>
            </w:r>
            <w:r w:rsidR="0086543E" w:rsidRPr="0086543E">
              <w:rPr>
                <w:rFonts w:ascii="Aptos" w:eastAsia="Times New Roman" w:hAnsi="Aptos"/>
                <w:kern w:val="0"/>
                <w:sz w:val="16"/>
                <w:szCs w:val="16"/>
                <w:lang w:eastAsia="en-GB"/>
                <w14:ligatures w14:val="none"/>
              </w:rPr>
              <w:t>NIPAK</w:t>
            </w:r>
            <w:r>
              <w:rPr>
                <w:rFonts w:ascii="Aptos" w:eastAsia="Times New Roman" w:hAnsi="Aptos"/>
                <w:kern w:val="0"/>
                <w:sz w:val="16"/>
                <w:szCs w:val="16"/>
                <w:lang w:eastAsia="en-GB"/>
                <w14:ligatures w14:val="none"/>
              </w:rPr>
              <w:t xml:space="preserve"> Kancelarija</w:t>
            </w:r>
            <w:r w:rsidR="006440AD" w:rsidRPr="006440AD">
              <w:rPr>
                <w:rFonts w:ascii="Aptos" w:eastAsia="Times New Roman" w:hAnsi="Aptos"/>
                <w:kern w:val="0"/>
                <w:sz w:val="16"/>
                <w:szCs w:val="16"/>
                <w:lang w:eastAsia="en-GB"/>
                <w14:ligatures w14:val="none"/>
              </w:rPr>
              <w:t xml:space="preserve">; </w:t>
            </w:r>
            <w:r w:rsidR="00720740">
              <w:rPr>
                <w:rFonts w:ascii="Aptos" w:eastAsia="Times New Roman" w:hAnsi="Aptos"/>
                <w:kern w:val="0"/>
                <w:sz w:val="16"/>
                <w:szCs w:val="16"/>
                <w:lang w:eastAsia="en-GB"/>
                <w14:ligatures w14:val="none"/>
              </w:rPr>
              <w:t>Radna grupa za poglavlje 22</w:t>
            </w:r>
          </w:p>
        </w:tc>
        <w:tc>
          <w:tcPr>
            <w:tcW w:w="414" w:type="pct"/>
            <w:hideMark/>
          </w:tcPr>
          <w:p w14:paraId="36775214" w14:textId="2C58DE56" w:rsidR="006440AD" w:rsidRPr="006440AD" w:rsidRDefault="006440AD" w:rsidP="006440AD">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sidRPr="006440AD">
              <w:rPr>
                <w:rFonts w:ascii="Aptos" w:eastAsia="Times New Roman" w:hAnsi="Aptos"/>
                <w:kern w:val="0"/>
                <w:sz w:val="16"/>
                <w:szCs w:val="16"/>
                <w:lang w:eastAsia="en-GB"/>
                <w14:ligatures w14:val="none"/>
              </w:rPr>
              <w:t>2026-</w:t>
            </w:r>
            <w:r w:rsidR="000744D1">
              <w:rPr>
                <w:rFonts w:ascii="Aptos" w:eastAsia="Times New Roman" w:hAnsi="Aptos"/>
                <w:kern w:val="0"/>
                <w:sz w:val="16"/>
                <w:szCs w:val="16"/>
                <w:lang w:eastAsia="en-GB"/>
                <w14:ligatures w14:val="none"/>
              </w:rPr>
              <w:t>Kvartal</w:t>
            </w:r>
            <w:r w:rsidRPr="006440AD">
              <w:rPr>
                <w:rFonts w:ascii="Aptos" w:eastAsia="Times New Roman" w:hAnsi="Aptos"/>
                <w:kern w:val="0"/>
                <w:sz w:val="16"/>
                <w:szCs w:val="16"/>
                <w:lang w:eastAsia="en-GB"/>
                <w14:ligatures w14:val="none"/>
              </w:rPr>
              <w:t>2</w:t>
            </w:r>
          </w:p>
        </w:tc>
        <w:tc>
          <w:tcPr>
            <w:tcW w:w="745" w:type="pct"/>
            <w:hideMark/>
          </w:tcPr>
          <w:p w14:paraId="1A949B8A" w14:textId="77A76C8E" w:rsidR="006440AD" w:rsidRPr="006440AD" w:rsidRDefault="007029BB" w:rsidP="006440A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Metodologija, detaljan plan i vremenski okvir za pripremu programa Kohezione politike.</w:t>
            </w:r>
          </w:p>
        </w:tc>
        <w:tc>
          <w:tcPr>
            <w:tcW w:w="414" w:type="pct"/>
            <w:hideMark/>
          </w:tcPr>
          <w:p w14:paraId="521FC18B" w14:textId="15A0119D" w:rsidR="006440AD" w:rsidRPr="006440AD" w:rsidRDefault="0013334C" w:rsidP="006440A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sidRPr="0013334C">
              <w:rPr>
                <w:rFonts w:ascii="Aptos" w:eastAsia="Times New Roman" w:hAnsi="Aptos"/>
                <w:kern w:val="0"/>
                <w:sz w:val="16"/>
                <w:szCs w:val="16"/>
                <w:lang w:eastAsia="en-GB"/>
                <w14:ligatures w14:val="none"/>
              </w:rPr>
              <w:t>Prekretnica</w:t>
            </w:r>
          </w:p>
        </w:tc>
        <w:tc>
          <w:tcPr>
            <w:tcW w:w="415" w:type="pct"/>
            <w:hideMark/>
          </w:tcPr>
          <w:p w14:paraId="2750C51E" w14:textId="59A62F53" w:rsidR="006440AD" w:rsidRPr="006440AD" w:rsidRDefault="00720740" w:rsidP="006440A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Podržano od strane </w:t>
            </w:r>
            <w:r w:rsidR="0032369C">
              <w:rPr>
                <w:rFonts w:ascii="Aptos" w:eastAsia="Times New Roman" w:hAnsi="Aptos"/>
                <w:kern w:val="0"/>
                <w:sz w:val="16"/>
                <w:szCs w:val="16"/>
                <w:lang w:eastAsia="en-GB"/>
                <w14:ligatures w14:val="none"/>
              </w:rPr>
              <w:t>TP</w:t>
            </w:r>
          </w:p>
        </w:tc>
        <w:tc>
          <w:tcPr>
            <w:tcW w:w="849" w:type="pct"/>
            <w:hideMark/>
          </w:tcPr>
          <w:p w14:paraId="60A6DEA5" w14:textId="287E4D54" w:rsidR="006440AD" w:rsidRPr="006440AD" w:rsidRDefault="00720740" w:rsidP="006440A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Vrijeme realizacije zavisi od objavljivanja prijedloga Komisije za Kohezionu politiku nakon 2027. godine.</w:t>
            </w:r>
          </w:p>
        </w:tc>
        <w:tc>
          <w:tcPr>
            <w:tcW w:w="412" w:type="pct"/>
            <w:hideMark/>
          </w:tcPr>
          <w:p w14:paraId="7CB85C78" w14:textId="77777777" w:rsidR="006440AD" w:rsidRPr="006440AD" w:rsidRDefault="006440AD" w:rsidP="006440A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sidRPr="006440AD">
              <w:rPr>
                <w:rFonts w:ascii="Aptos" w:eastAsia="Times New Roman" w:hAnsi="Aptos"/>
                <w:kern w:val="0"/>
                <w:sz w:val="16"/>
                <w:szCs w:val="16"/>
                <w:lang w:eastAsia="en-GB"/>
                <w14:ligatures w14:val="none"/>
              </w:rPr>
              <w:t>4.02.</w:t>
            </w:r>
          </w:p>
        </w:tc>
      </w:tr>
    </w:tbl>
    <w:p w14:paraId="75143B63" w14:textId="77777777" w:rsidR="00DD7EEE" w:rsidRPr="00B83578" w:rsidRDefault="00DD7EEE" w:rsidP="00DD7EEE"/>
    <w:p w14:paraId="53DEBB0F" w14:textId="3E14BBB9" w:rsidR="00A5132F" w:rsidRPr="00B83578" w:rsidRDefault="009E36FF" w:rsidP="007B6C77">
      <w:pPr>
        <w:pStyle w:val="Heading1"/>
      </w:pPr>
      <w:bookmarkStart w:id="50" w:name="_Toc201700329"/>
      <w:r>
        <w:t>Završno mjerilo</w:t>
      </w:r>
      <w:r w:rsidR="00A5132F" w:rsidRPr="00B83578">
        <w:t xml:space="preserve"> 4</w:t>
      </w:r>
      <w:bookmarkEnd w:id="50"/>
    </w:p>
    <w:p w14:paraId="22BB1E78" w14:textId="77777777" w:rsidR="00A5132F" w:rsidRPr="00B83578" w:rsidRDefault="00A5132F" w:rsidP="00A5132F"/>
    <w:p w14:paraId="7F8CAA45" w14:textId="1C3A4586" w:rsidR="00A5132F" w:rsidRPr="00B83578" w:rsidRDefault="00530F3E" w:rsidP="00A5132F">
      <w:pPr>
        <w:pBdr>
          <w:top w:val="single" w:sz="4" w:space="1" w:color="auto"/>
          <w:left w:val="single" w:sz="4" w:space="4" w:color="auto"/>
          <w:bottom w:val="single" w:sz="4" w:space="1" w:color="auto"/>
          <w:right w:val="single" w:sz="4" w:space="4" w:color="auto"/>
        </w:pBdr>
        <w:shd w:val="clear" w:color="auto" w:fill="C1E4F5"/>
        <w:spacing w:before="120" w:line="276" w:lineRule="auto"/>
        <w:rPr>
          <w:rFonts w:eastAsia="Calibri" w:cs="Arial"/>
          <w:b/>
          <w:i/>
          <w:iCs/>
          <w:kern w:val="0"/>
          <w:sz w:val="22"/>
        </w:rPr>
      </w:pPr>
      <w:r>
        <w:rPr>
          <w:rFonts w:eastAsia="Calibri" w:cs="Arial"/>
          <w:b/>
          <w:i/>
          <w:iCs/>
          <w:kern w:val="0"/>
          <w:sz w:val="22"/>
        </w:rPr>
        <w:t>ZAVRŠNO MJERILO</w:t>
      </w:r>
      <w:r w:rsidR="00A5132F" w:rsidRPr="00B83578">
        <w:rPr>
          <w:rFonts w:eastAsia="Calibri" w:cs="Arial"/>
          <w:b/>
          <w:i/>
          <w:iCs/>
          <w:kern w:val="0"/>
          <w:sz w:val="22"/>
        </w:rPr>
        <w:t xml:space="preserve"> 4.</w:t>
      </w:r>
      <w:r w:rsidRPr="00530F3E">
        <w:t xml:space="preserve"> </w:t>
      </w:r>
      <w:r w:rsidRPr="00530F3E">
        <w:rPr>
          <w:rFonts w:eastAsia="Calibri" w:cs="Arial"/>
          <w:b/>
          <w:i/>
          <w:iCs/>
          <w:kern w:val="0"/>
          <w:sz w:val="22"/>
        </w:rPr>
        <w:t xml:space="preserve">Crna Gora usvaja institucionalnu strukturu za </w:t>
      </w:r>
      <w:r w:rsidR="00A80895">
        <w:rPr>
          <w:rFonts w:eastAsia="Calibri" w:cs="Arial"/>
          <w:b/>
          <w:i/>
          <w:iCs/>
          <w:kern w:val="0"/>
          <w:sz w:val="22"/>
        </w:rPr>
        <w:t>implementaciju</w:t>
      </w:r>
      <w:r w:rsidRPr="00530F3E">
        <w:rPr>
          <w:rFonts w:eastAsia="Calibri" w:cs="Arial"/>
          <w:b/>
          <w:i/>
          <w:iCs/>
          <w:kern w:val="0"/>
          <w:sz w:val="22"/>
        </w:rPr>
        <w:t xml:space="preserve"> </w:t>
      </w:r>
      <w:r>
        <w:rPr>
          <w:rFonts w:eastAsia="Calibri" w:cs="Arial"/>
          <w:b/>
          <w:i/>
          <w:iCs/>
          <w:kern w:val="0"/>
          <w:sz w:val="22"/>
        </w:rPr>
        <w:t>Kohezione politike EU</w:t>
      </w:r>
      <w:r w:rsidRPr="00530F3E">
        <w:rPr>
          <w:rFonts w:eastAsia="Calibri" w:cs="Arial"/>
          <w:b/>
          <w:i/>
          <w:iCs/>
          <w:kern w:val="0"/>
          <w:sz w:val="22"/>
        </w:rPr>
        <w:t>, uključujući formalno imenovanje institucionalnih t</w:t>
      </w:r>
      <w:r>
        <w:rPr>
          <w:rFonts w:eastAsia="Calibri" w:cs="Arial"/>
          <w:b/>
          <w:i/>
          <w:iCs/>
          <w:kern w:val="0"/>
          <w:sz w:val="22"/>
        </w:rPr>
        <w:t>ij</w:t>
      </w:r>
      <w:r w:rsidRPr="00530F3E">
        <w:rPr>
          <w:rFonts w:eastAsia="Calibri" w:cs="Arial"/>
          <w:b/>
          <w:i/>
          <w:iCs/>
          <w:kern w:val="0"/>
          <w:sz w:val="22"/>
        </w:rPr>
        <w:t>ela (sa određenim zadacima i odgovornostima) za operativni program. Ovo obuhvata upravljačko t</w:t>
      </w:r>
      <w:r>
        <w:rPr>
          <w:rFonts w:eastAsia="Calibri" w:cs="Arial"/>
          <w:b/>
          <w:i/>
          <w:iCs/>
          <w:kern w:val="0"/>
          <w:sz w:val="22"/>
        </w:rPr>
        <w:t>ij</w:t>
      </w:r>
      <w:r w:rsidRPr="00530F3E">
        <w:rPr>
          <w:rFonts w:eastAsia="Calibri" w:cs="Arial"/>
          <w:b/>
          <w:i/>
          <w:iCs/>
          <w:kern w:val="0"/>
          <w:sz w:val="22"/>
        </w:rPr>
        <w:t>elo, sertifikaci</w:t>
      </w:r>
      <w:r w:rsidR="00673523">
        <w:rPr>
          <w:rFonts w:eastAsia="Calibri" w:cs="Arial"/>
          <w:b/>
          <w:i/>
          <w:iCs/>
          <w:kern w:val="0"/>
          <w:sz w:val="22"/>
        </w:rPr>
        <w:t>ono tijelo</w:t>
      </w:r>
      <w:r w:rsidRPr="00530F3E">
        <w:rPr>
          <w:rFonts w:eastAsia="Calibri" w:cs="Arial"/>
          <w:b/>
          <w:i/>
          <w:iCs/>
          <w:kern w:val="0"/>
          <w:sz w:val="22"/>
        </w:rPr>
        <w:t xml:space="preserve"> i revizorsko t</w:t>
      </w:r>
      <w:r>
        <w:rPr>
          <w:rFonts w:eastAsia="Calibri" w:cs="Arial"/>
          <w:b/>
          <w:i/>
          <w:iCs/>
          <w:kern w:val="0"/>
          <w:sz w:val="22"/>
        </w:rPr>
        <w:t>ij</w:t>
      </w:r>
      <w:r w:rsidRPr="00530F3E">
        <w:rPr>
          <w:rFonts w:eastAsia="Calibri" w:cs="Arial"/>
          <w:b/>
          <w:i/>
          <w:iCs/>
          <w:kern w:val="0"/>
          <w:sz w:val="22"/>
        </w:rPr>
        <w:t>elo, kao i posredn</w:t>
      </w:r>
      <w:r w:rsidR="004E66DF">
        <w:rPr>
          <w:rFonts w:eastAsia="Calibri" w:cs="Arial"/>
          <w:b/>
          <w:i/>
          <w:iCs/>
          <w:kern w:val="0"/>
          <w:sz w:val="22"/>
        </w:rPr>
        <w:t>ička</w:t>
      </w:r>
      <w:r w:rsidRPr="00530F3E">
        <w:rPr>
          <w:rFonts w:eastAsia="Calibri" w:cs="Arial"/>
          <w:b/>
          <w:i/>
          <w:iCs/>
          <w:kern w:val="0"/>
          <w:sz w:val="22"/>
        </w:rPr>
        <w:t xml:space="preserve"> t</w:t>
      </w:r>
      <w:r>
        <w:rPr>
          <w:rFonts w:eastAsia="Calibri" w:cs="Arial"/>
          <w:b/>
          <w:i/>
          <w:iCs/>
          <w:kern w:val="0"/>
          <w:sz w:val="22"/>
        </w:rPr>
        <w:t>ij</w:t>
      </w:r>
      <w:r w:rsidRPr="00530F3E">
        <w:rPr>
          <w:rFonts w:eastAsia="Calibri" w:cs="Arial"/>
          <w:b/>
          <w:i/>
          <w:iCs/>
          <w:kern w:val="0"/>
          <w:sz w:val="22"/>
        </w:rPr>
        <w:t>ela gd</w:t>
      </w:r>
      <w:r>
        <w:rPr>
          <w:rFonts w:eastAsia="Calibri" w:cs="Arial"/>
          <w:b/>
          <w:i/>
          <w:iCs/>
          <w:kern w:val="0"/>
          <w:sz w:val="22"/>
        </w:rPr>
        <w:t>j</w:t>
      </w:r>
      <w:r w:rsidRPr="00530F3E">
        <w:rPr>
          <w:rFonts w:eastAsia="Calibri" w:cs="Arial"/>
          <w:b/>
          <w:i/>
          <w:iCs/>
          <w:kern w:val="0"/>
          <w:sz w:val="22"/>
        </w:rPr>
        <w:t>e je to prikladno i već identifikovano. Potrebno je osigurati adekvatnu pod</w:t>
      </w:r>
      <w:r>
        <w:rPr>
          <w:rFonts w:eastAsia="Calibri" w:cs="Arial"/>
          <w:b/>
          <w:i/>
          <w:iCs/>
          <w:kern w:val="0"/>
          <w:sz w:val="22"/>
        </w:rPr>
        <w:t>j</w:t>
      </w:r>
      <w:r w:rsidRPr="00530F3E">
        <w:rPr>
          <w:rFonts w:eastAsia="Calibri" w:cs="Arial"/>
          <w:b/>
          <w:i/>
          <w:iCs/>
          <w:kern w:val="0"/>
          <w:sz w:val="22"/>
        </w:rPr>
        <w:t>elu funkcija između relevantnih institucija.</w:t>
      </w:r>
      <w:r w:rsidR="00A5132F" w:rsidRPr="00B83578">
        <w:rPr>
          <w:rFonts w:eastAsia="Calibri" w:cs="Arial"/>
          <w:b/>
          <w:i/>
          <w:iCs/>
          <w:kern w:val="0"/>
          <w:sz w:val="22"/>
        </w:rPr>
        <w:t xml:space="preserve"> </w:t>
      </w:r>
    </w:p>
    <w:p w14:paraId="526D209C" w14:textId="77777777" w:rsidR="00A5132F" w:rsidRPr="00B83578" w:rsidRDefault="00A5132F" w:rsidP="00A5132F"/>
    <w:p w14:paraId="3F88F124" w14:textId="2624A45C" w:rsidR="00A5132F" w:rsidRPr="00B83578" w:rsidRDefault="009E36FF" w:rsidP="007B6C77">
      <w:pPr>
        <w:pStyle w:val="Heading2"/>
      </w:pPr>
      <w:bookmarkStart w:id="51" w:name="_Toc201700330"/>
      <w:r>
        <w:t>Relevantni zahtjevi Kohezione politike</w:t>
      </w:r>
      <w:bookmarkEnd w:id="51"/>
    </w:p>
    <w:p w14:paraId="0E015E12" w14:textId="031D8CA2" w:rsidR="00530F3E" w:rsidRDefault="00530F3E" w:rsidP="00530F3E">
      <w:r>
        <w:t>Regulativa (EU) 2021/1060 (</w:t>
      </w:r>
      <w:r w:rsidR="00CD0020">
        <w:rPr>
          <w:b/>
        </w:rPr>
        <w:t>RZO</w:t>
      </w:r>
      <w:r>
        <w:t xml:space="preserve">) u članu 71 propisuje koja se </w:t>
      </w:r>
      <w:r w:rsidR="005B55A5">
        <w:t>tijela programa</w:t>
      </w:r>
      <w:r>
        <w:t xml:space="preserve"> moraju imenovati za svaki program: </w:t>
      </w:r>
      <w:r w:rsidRPr="00530F3E">
        <w:rPr>
          <w:b/>
        </w:rPr>
        <w:t>Upravljač</w:t>
      </w:r>
      <w:r>
        <w:rPr>
          <w:b/>
        </w:rPr>
        <w:t>ko tijelo</w:t>
      </w:r>
      <w:r>
        <w:t xml:space="preserve"> i </w:t>
      </w:r>
      <w:r w:rsidRPr="00530F3E">
        <w:rPr>
          <w:b/>
        </w:rPr>
        <w:t>Revizorsk</w:t>
      </w:r>
      <w:r>
        <w:rPr>
          <w:b/>
        </w:rPr>
        <w:t>o tijelo</w:t>
      </w:r>
      <w:r>
        <w:t xml:space="preserve">. Član 72 definiše funkcije Upravljačkog tijela. Ako država članica, u skladu sa članom 72(2) </w:t>
      </w:r>
      <w:r w:rsidR="00CD0020">
        <w:t>RZO</w:t>
      </w:r>
      <w:r>
        <w:t>-a, povjeri računovodstvenu funkciju nekom drugom tijelu, to tijelo se takođe mora identifi</w:t>
      </w:r>
      <w:r w:rsidR="00D24840">
        <w:t>k</w:t>
      </w:r>
      <w:r>
        <w:t>ovati kao programsko tijelo. Ista tijela mogu biti zadužena za više od jednog programa.</w:t>
      </w:r>
    </w:p>
    <w:p w14:paraId="65193A19" w14:textId="3BFCD7A4" w:rsidR="00530F3E" w:rsidRDefault="00530F3E" w:rsidP="00530F3E">
      <w:r>
        <w:t xml:space="preserve">Član 71(3) predviđa da Upravljačko tijelo može imenovati jedno ili više </w:t>
      </w:r>
      <w:r w:rsidRPr="00D24840">
        <w:rPr>
          <w:b/>
        </w:rPr>
        <w:t>Posredničkih tijela</w:t>
      </w:r>
      <w:r>
        <w:t xml:space="preserve"> koja će, pod njegovom odgovornošću, obavljati određene zadatke. Odnosi između Upravljačkog tijela i </w:t>
      </w:r>
      <w:r w:rsidRPr="00D24840">
        <w:t>Posredničkih tijela</w:t>
      </w:r>
      <w:r>
        <w:t xml:space="preserve"> uređuju se pisanim sporazumom. Prema članu 71(6), država članica može, na sopstvenu inicijativu, uspostaviti </w:t>
      </w:r>
      <w:r w:rsidRPr="00D24840">
        <w:rPr>
          <w:b/>
        </w:rPr>
        <w:t>Koordinaciono tijelo</w:t>
      </w:r>
      <w:r>
        <w:t xml:space="preserve"> radi uspostavljanja veze i razmjene informacija sa Komisijom te koordinacije aktivnosti programskih tijela u datoj državi članici.</w:t>
      </w:r>
    </w:p>
    <w:p w14:paraId="5B81AFCA" w14:textId="77777777" w:rsidR="00530F3E" w:rsidRDefault="00530F3E" w:rsidP="00530F3E">
      <w:r>
        <w:lastRenderedPageBreak/>
        <w:t xml:space="preserve">Nadalje, član 72(2) propisuje da država članica može povjeriti </w:t>
      </w:r>
      <w:r w:rsidRPr="00D24840">
        <w:rPr>
          <w:b/>
        </w:rPr>
        <w:t>računovodstvenu funkciju</w:t>
      </w:r>
      <w:r>
        <w:t xml:space="preserve"> iz člana 76 Upravljačkom tijelu ili drugom tijelu.</w:t>
      </w:r>
    </w:p>
    <w:p w14:paraId="649A4899" w14:textId="61E5C421" w:rsidR="00D24840" w:rsidRDefault="00975088" w:rsidP="00D24840">
      <w:r>
        <w:t>Regulativa</w:t>
      </w:r>
      <w:r w:rsidR="00D24840">
        <w:t xml:space="preserve"> (EU) 2021/1059 o cilju evropske teritorijalne saradnje (ET</w:t>
      </w:r>
      <w:r w:rsidR="003D7057">
        <w:t>S</w:t>
      </w:r>
      <w:r w:rsidR="00D24840">
        <w:t xml:space="preserve"> </w:t>
      </w:r>
      <w:r w:rsidR="003D7057">
        <w:t>regulativa</w:t>
      </w:r>
      <w:r w:rsidR="00D24840">
        <w:t xml:space="preserve">) u članovima 45–48 određuje </w:t>
      </w:r>
      <w:r w:rsidR="005B55A5" w:rsidRPr="005B55A5">
        <w:t>tijela programa</w:t>
      </w:r>
      <w:r w:rsidR="00D24840">
        <w:t xml:space="preserve"> koja se moraju imenovati za svaki relevantni program kao i nadležnosti Upravljačkog tijela. ET</w:t>
      </w:r>
      <w:r w:rsidR="003D7057">
        <w:t>S</w:t>
      </w:r>
      <w:r w:rsidR="00D24840">
        <w:t xml:space="preserve"> </w:t>
      </w:r>
      <w:r w:rsidR="003D7057">
        <w:t>regulativa</w:t>
      </w:r>
      <w:r w:rsidR="00D24840">
        <w:t xml:space="preserve"> zahtijeva imenovanje jednog Upravljačkog tijela i jednog Revizorskog tijela. Odredbe koje se odnose na Posrednička tijela i na računovodstvenu funkciju usklađene su s odredbama </w:t>
      </w:r>
      <w:r w:rsidR="00CD0020">
        <w:t>RZO</w:t>
      </w:r>
      <w:r w:rsidR="00D24840">
        <w:t>-a. Član 46 obavezuje Upravljačko tijelo da uspostavi zajednički sekretarijat. Član 48 predviđa da, ukoliko Revizorsko tijelo nema ovlašćenja na cjelokupnoj teritoriji obuhvaćenoj programom saradnje, ono dobija podršku grupe revizora.</w:t>
      </w:r>
    </w:p>
    <w:p w14:paraId="7B326D57" w14:textId="007D359A" w:rsidR="00D24840" w:rsidRDefault="00D24840" w:rsidP="00D24840">
      <w:r>
        <w:t xml:space="preserve">Shodno navedenom: Upravljačko tijelo i Revizorsko tijelo definišu se kao </w:t>
      </w:r>
      <w:r w:rsidR="007B60BB">
        <w:t>tijela programa</w:t>
      </w:r>
      <w:r>
        <w:t xml:space="preserve"> i njihovo uspostavljanje je </w:t>
      </w:r>
      <w:r w:rsidRPr="00D24840">
        <w:rPr>
          <w:i/>
        </w:rPr>
        <w:t>obavezno</w:t>
      </w:r>
      <w:r>
        <w:t xml:space="preserve">. Dodatna </w:t>
      </w:r>
      <w:r w:rsidR="005B55A5">
        <w:t>tijela programa</w:t>
      </w:r>
      <w:r>
        <w:t xml:space="preserve"> mogu biti </w:t>
      </w:r>
      <w:r w:rsidR="000270DD">
        <w:t>Tijelo za računovodstvo</w:t>
      </w:r>
      <w:r>
        <w:t xml:space="preserve"> (ako se imenuje) i Posrednička tijela (ako se imenuju); njihovo uspostavljanje je </w:t>
      </w:r>
      <w:r>
        <w:rPr>
          <w:i/>
        </w:rPr>
        <w:t>opciono</w:t>
      </w:r>
      <w:r>
        <w:t xml:space="preserve">. Uspostavljanje budućeg Koordinacionog tijela takođe je </w:t>
      </w:r>
      <w:r>
        <w:rPr>
          <w:i/>
        </w:rPr>
        <w:t>opciono</w:t>
      </w:r>
      <w:r>
        <w:t>.</w:t>
      </w:r>
    </w:p>
    <w:p w14:paraId="44A78C07" w14:textId="0A91A2DB" w:rsidR="00A5132F" w:rsidRPr="00B83578" w:rsidRDefault="00017758" w:rsidP="007B6C77">
      <w:pPr>
        <w:pStyle w:val="Heading2"/>
      </w:pPr>
      <w:bookmarkStart w:id="52" w:name="_Toc201700331"/>
      <w:r>
        <w:t>Procjena trenutne situacije</w:t>
      </w:r>
      <w:bookmarkEnd w:id="52"/>
    </w:p>
    <w:p w14:paraId="54E573CC" w14:textId="40CB34EE" w:rsidR="00D24840" w:rsidRDefault="00D24840" w:rsidP="00D24840">
      <w:r>
        <w:t>U pravnom sistemu Crne Gore donošenje uredbi i pravilnika mora biti zasnovano na konkretnom zakonu. Stoga će biti pripremljen i usvojen</w:t>
      </w:r>
      <w:r w:rsidR="006472CE">
        <w:t xml:space="preserve"> okvirni</w:t>
      </w:r>
      <w:r>
        <w:t xml:space="preserve"> </w:t>
      </w:r>
      <w:r w:rsidR="006472CE" w:rsidRPr="006472CE">
        <w:t>z</w:t>
      </w:r>
      <w:r w:rsidRPr="006472CE">
        <w:t>akon o sistemu sprovođenja Kohezionе politike</w:t>
      </w:r>
      <w:r>
        <w:t>, koji će obezbijediti pravni osnov za donošenje svih naknadnih uredbi i/ili pravilnika. Navedeni zakon može biti pripremljen i usvojen prije samog dana pristupanja Crne Gore Evropskoj uniji, indikativno nakon što Crna Gora ratifikuje Ugovor o pristupanju, dok će odgovarajući podzakonski akti i propisi biti pripremljeni prije pristupanja, a formalno usvojeni nakon toga.</w:t>
      </w:r>
    </w:p>
    <w:p w14:paraId="4640AD73" w14:textId="7A40934A" w:rsidR="00D24840" w:rsidRDefault="00D24840" w:rsidP="00D24840">
      <w:r>
        <w:t>Evropsko grupisanje</w:t>
      </w:r>
      <w:r w:rsidR="007B60BB">
        <w:t xml:space="preserve"> za</w:t>
      </w:r>
      <w:r>
        <w:t xml:space="preserve"> teritorijaln</w:t>
      </w:r>
      <w:r w:rsidR="007B60BB">
        <w:t>u</w:t>
      </w:r>
      <w:r>
        <w:t xml:space="preserve"> saradnju (</w:t>
      </w:r>
      <w:r w:rsidR="00603905">
        <w:t>EGTS</w:t>
      </w:r>
      <w:r>
        <w:t xml:space="preserve">) je inicijativa EU namijenjena olakšavanju i podsticanju prekogranične, transnacionalne i međuregionalne saradnje. S obzirom na status Crne Gore kao države kandidata sa ambicijom za dublju integraciju u EU, uspostavljanje </w:t>
      </w:r>
      <w:r w:rsidR="00603905">
        <w:t>EGTS</w:t>
      </w:r>
      <w:r>
        <w:t xml:space="preserve">-a u Crnoj Gori zahtijeva niz ključnih koraka i višeslojan pristup: usklađivanje zakonodavstva, </w:t>
      </w:r>
      <w:r w:rsidR="000744D1">
        <w:t>jačanje</w:t>
      </w:r>
      <w:r>
        <w:t xml:space="preserve"> administrativnih kapaciteta, strateško planiranje, angažovanje zainteresovanih strana te snažnu finansijsku i administrativnu podršku.</w:t>
      </w:r>
      <w:r w:rsidR="006472CE">
        <w:t xml:space="preserve"> </w:t>
      </w:r>
      <w:r>
        <w:t xml:space="preserve">Slijedeći ove korake, Crna Gora može djelotvorno iskoristiti okvir </w:t>
      </w:r>
      <w:r w:rsidR="00603905">
        <w:t>EGTS</w:t>
      </w:r>
      <w:r>
        <w:t>-a za jačanje prekogranične saradnje i regionalnog razvoja, usklađujući se u većoj mjeri sa standardima i praksom EU.</w:t>
      </w:r>
    </w:p>
    <w:p w14:paraId="4B55B45D" w14:textId="72C0DA11" w:rsidR="006472CE" w:rsidRDefault="00D24840" w:rsidP="00D24840">
      <w:r>
        <w:t>Pregovaračka pozicija za Poglavlje 22 dostavljena je Evropskoj komisiji 27. juna 2016. godine. Savjet EU je usvojio Zajedničku poziciju 6. juna 2017, a poglavlje je otvoreno 20. juna 2017. Ta je pregovaračka pozicija bila zasnovana na regulativi Kohezionе politike za finansijsku perspektivu 2014–2020, uključujući odredbe koje su danas zastarjele (npr. imenovanje Sertifikacionog tijela kao programskog tijela, Zajednički strateški okvir koji priprema Komisija za programiranje i godišnji izvještaji o sprovođenju za potrebe praćenja). Imajući u vidu i protek vremena (više od osam godina), planirano je ažuriranje navedene Pregovaračke pozicije.</w:t>
      </w:r>
    </w:p>
    <w:p w14:paraId="6B7AA127" w14:textId="5A85536C" w:rsidR="006472CE" w:rsidRDefault="006472CE" w:rsidP="00D24840"/>
    <w:p w14:paraId="47DE329F" w14:textId="77777777" w:rsidR="006472CE" w:rsidRDefault="006472CE" w:rsidP="00D24840"/>
    <w:p w14:paraId="422B49CC" w14:textId="36D25EE1" w:rsidR="00A5132F" w:rsidRPr="00B83578" w:rsidRDefault="009E36FF" w:rsidP="007B6C77">
      <w:pPr>
        <w:pStyle w:val="Heading2"/>
      </w:pPr>
      <w:bookmarkStart w:id="53" w:name="_Toc201700332"/>
      <w:r>
        <w:t>Izazovi povezani sa implementacijom Završnog mjerila</w:t>
      </w:r>
      <w:r w:rsidR="00A5132F" w:rsidRPr="00B83578">
        <w:t xml:space="preserve"> 4</w:t>
      </w:r>
      <w:bookmarkEnd w:id="53"/>
      <w:r w:rsidR="00A5132F" w:rsidRPr="00B83578">
        <w:t xml:space="preserve"> </w:t>
      </w:r>
    </w:p>
    <w:p w14:paraId="5702AAD5" w14:textId="77777777" w:rsidR="006472CE" w:rsidRPr="006472CE" w:rsidRDefault="006472CE" w:rsidP="006472CE">
      <w:pPr>
        <w:rPr>
          <w:bdr w:val="none" w:sz="0" w:space="0" w:color="auto" w:frame="1"/>
        </w:rPr>
      </w:pPr>
      <w:r w:rsidRPr="006472CE">
        <w:rPr>
          <w:bdr w:val="none" w:sz="0" w:space="0" w:color="auto" w:frame="1"/>
        </w:rPr>
        <w:t>Identifikovani izazovi su i unutrašnji i spoljašnji.</w:t>
      </w:r>
    </w:p>
    <w:p w14:paraId="3EDCB942" w14:textId="00C65E02" w:rsidR="006472CE" w:rsidRPr="006472CE" w:rsidRDefault="006472CE" w:rsidP="006472CE">
      <w:pPr>
        <w:rPr>
          <w:bdr w:val="none" w:sz="0" w:space="0" w:color="auto" w:frame="1"/>
        </w:rPr>
      </w:pPr>
      <w:r w:rsidRPr="006472CE">
        <w:rPr>
          <w:bdr w:val="none" w:sz="0" w:space="0" w:color="auto" w:frame="1"/>
        </w:rPr>
        <w:t>S obzirom na potrebu da se obezbijedi pravna sigurnost</w:t>
      </w:r>
      <w:r>
        <w:rPr>
          <w:bdr w:val="none" w:sz="0" w:space="0" w:color="auto" w:frame="1"/>
        </w:rPr>
        <w:t>,</w:t>
      </w:r>
      <w:r w:rsidRPr="006472CE">
        <w:rPr>
          <w:bdr w:val="none" w:sz="0" w:space="0" w:color="auto" w:frame="1"/>
        </w:rPr>
        <w:t xml:space="preserve"> što će biti moguće tek nakon potpisivanja Ugovora o pristupanju Crne Gore Evropskoj uniji i usvajanja post-2027 regulative od strane Evropske komisije</w:t>
      </w:r>
      <w:r>
        <w:rPr>
          <w:bdr w:val="none" w:sz="0" w:space="0" w:color="auto" w:frame="1"/>
        </w:rPr>
        <w:t xml:space="preserve">, </w:t>
      </w:r>
      <w:r w:rsidRPr="006472CE">
        <w:rPr>
          <w:bdr w:val="none" w:sz="0" w:space="0" w:color="auto" w:frame="1"/>
        </w:rPr>
        <w:t xml:space="preserve">Zakon o </w:t>
      </w:r>
      <w:r w:rsidR="007B60BB">
        <w:rPr>
          <w:bdr w:val="none" w:sz="0" w:space="0" w:color="auto" w:frame="1"/>
        </w:rPr>
        <w:t>implementaciji</w:t>
      </w:r>
      <w:r w:rsidRPr="006472CE">
        <w:rPr>
          <w:bdr w:val="none" w:sz="0" w:space="0" w:color="auto" w:frame="1"/>
        </w:rPr>
        <w:t xml:space="preserve"> Kohezionе politike biće usvojen čim se ti uslovi ispune. Usvajanje ovog zakona predstavlja preduslov da Vlada donese uredbu o određivanju tijela i struktura za </w:t>
      </w:r>
      <w:r w:rsidR="007B60BB">
        <w:rPr>
          <w:bdr w:val="none" w:sz="0" w:space="0" w:color="auto" w:frame="1"/>
        </w:rPr>
        <w:t>implementaciju</w:t>
      </w:r>
      <w:r w:rsidRPr="006472CE">
        <w:rPr>
          <w:bdr w:val="none" w:sz="0" w:space="0" w:color="auto" w:frame="1"/>
        </w:rPr>
        <w:t xml:space="preserve"> kohezionе politike EU. </w:t>
      </w:r>
      <w:r w:rsidRPr="006472CE">
        <w:rPr>
          <w:b/>
          <w:bdr w:val="none" w:sz="0" w:space="0" w:color="auto" w:frame="1"/>
        </w:rPr>
        <w:t xml:space="preserve">Stoga se ni usvajanje Zakona o </w:t>
      </w:r>
      <w:r w:rsidR="007B60BB">
        <w:rPr>
          <w:b/>
          <w:bdr w:val="none" w:sz="0" w:space="0" w:color="auto" w:frame="1"/>
        </w:rPr>
        <w:t>implementaciji</w:t>
      </w:r>
      <w:r w:rsidRPr="006472CE">
        <w:rPr>
          <w:b/>
          <w:bdr w:val="none" w:sz="0" w:space="0" w:color="auto" w:frame="1"/>
        </w:rPr>
        <w:t xml:space="preserve"> Kohezionе politike ni donošenje navedene uredbe ne mogu planirati u vremenskom okviru ovog završnog mjerila</w:t>
      </w:r>
      <w:r w:rsidRPr="006472CE">
        <w:rPr>
          <w:bdr w:val="none" w:sz="0" w:space="0" w:color="auto" w:frame="1"/>
        </w:rPr>
        <w:t>. Shodno tome, odluku o institucionalnom ustrojstvu donijeće Vlada Crne Gore.</w:t>
      </w:r>
    </w:p>
    <w:p w14:paraId="15A1BE4C" w14:textId="1057C604" w:rsidR="006472CE" w:rsidRDefault="006472CE" w:rsidP="006472CE">
      <w:pPr>
        <w:rPr>
          <w:bdr w:val="none" w:sz="0" w:space="0" w:color="auto" w:frame="1"/>
        </w:rPr>
      </w:pPr>
      <w:r w:rsidRPr="006472CE">
        <w:rPr>
          <w:bdr w:val="none" w:sz="0" w:space="0" w:color="auto" w:frame="1"/>
        </w:rPr>
        <w:t xml:space="preserve">Glavni spoljašnji izazov odnosi se na neizvjesnost pravnog okvira za finansijsku perspektivu 2028–2034. Kako prijedlozi Komisije za budući pravni okvir </w:t>
      </w:r>
      <w:r w:rsidR="007B60BB">
        <w:rPr>
          <w:bdr w:val="none" w:sz="0" w:space="0" w:color="auto" w:frame="1"/>
        </w:rPr>
        <w:t>K</w:t>
      </w:r>
      <w:r w:rsidRPr="006472CE">
        <w:rPr>
          <w:bdr w:val="none" w:sz="0" w:space="0" w:color="auto" w:frame="1"/>
        </w:rPr>
        <w:t xml:space="preserve">ohezionе politike još nijesu objavljeni, moguće je planirati aktivnosti isključivo na osnovu važećeg okvira. Posebno će odredbe koje se tiču imenovanja programskih </w:t>
      </w:r>
      <w:r w:rsidRPr="006472CE">
        <w:rPr>
          <w:bdr w:val="none" w:sz="0" w:space="0" w:color="auto" w:frame="1"/>
        </w:rPr>
        <w:lastRenderedPageBreak/>
        <w:t>tijela uticati na relevantne odluke crnogorskih vlasti. Očekuje se da će Komisija objaviti nacrte prijedloga u drugoj polovini 2025. godine.</w:t>
      </w:r>
    </w:p>
    <w:p w14:paraId="3FF5CEF5" w14:textId="15DB65CC" w:rsidR="00A5132F" w:rsidRPr="00B83578" w:rsidRDefault="00017758" w:rsidP="007B6C77">
      <w:pPr>
        <w:pStyle w:val="Heading2"/>
      </w:pPr>
      <w:bookmarkStart w:id="54" w:name="_Toc201700333"/>
      <w:r>
        <w:t>Planirane akcije</w:t>
      </w:r>
      <w:bookmarkEnd w:id="54"/>
      <w:r w:rsidR="00A5132F" w:rsidRPr="00B83578">
        <w:t xml:space="preserve"> </w:t>
      </w:r>
    </w:p>
    <w:p w14:paraId="54117408" w14:textId="27912381" w:rsidR="00A5132F" w:rsidRPr="00B83578" w:rsidRDefault="00042B56" w:rsidP="00A5132F">
      <w:pPr>
        <w:spacing w:after="200" w:line="276" w:lineRule="auto"/>
        <w:jc w:val="left"/>
        <w:rPr>
          <w:rFonts w:eastAsia="Calibri" w:cs="Arial"/>
          <w:kern w:val="0"/>
          <w:szCs w:val="20"/>
        </w:rPr>
      </w:pPr>
      <w:r>
        <w:rPr>
          <w:rFonts w:eastAsia="Calibri" w:cs="Arial"/>
          <w:kern w:val="0"/>
          <w:szCs w:val="20"/>
        </w:rPr>
        <w:t>Naredne akcije su planirane za osiguranje zadovoljavajućeg nivoa implementacije Završnog mjerila 4.</w:t>
      </w:r>
    </w:p>
    <w:p w14:paraId="3C9D2761" w14:textId="7B579EDE" w:rsidR="00A5132F" w:rsidRPr="00AF267A" w:rsidRDefault="00543023" w:rsidP="007B6C77">
      <w:pPr>
        <w:pStyle w:val="Heading3"/>
      </w:pPr>
      <w:bookmarkStart w:id="55" w:name="_Toc201700334"/>
      <w:r>
        <w:t>Akcija</w:t>
      </w:r>
      <w:r w:rsidR="00A5132F" w:rsidRPr="00AF267A">
        <w:t xml:space="preserve"> </w:t>
      </w:r>
      <w:r w:rsidR="0032369C">
        <w:t>ZM</w:t>
      </w:r>
      <w:r w:rsidR="00A5132F" w:rsidRPr="00AF267A">
        <w:t xml:space="preserve">4.1 </w:t>
      </w:r>
      <w:r w:rsidR="009E36FF">
        <w:t>Studija o institucionalnom okviru za implementaciju Kohezione politike EU razmatrane sa Radnom grupom za Poglavlje 22</w:t>
      </w:r>
      <w:bookmarkEnd w:id="55"/>
    </w:p>
    <w:p w14:paraId="73FC9139" w14:textId="77777777" w:rsidR="00A5132F" w:rsidRPr="00B83578" w:rsidRDefault="00A5132F" w:rsidP="00A5132F">
      <w:pPr>
        <w:spacing w:after="0"/>
        <w:jc w:val="left"/>
        <w:rPr>
          <w:rFonts w:eastAsia="Calibri" w:cs="Arial"/>
          <w:kern w:val="0"/>
          <w:szCs w:val="20"/>
        </w:rPr>
      </w:pPr>
    </w:p>
    <w:p w14:paraId="58584EF8" w14:textId="7AB9047E" w:rsidR="00042B56" w:rsidRDefault="00042B56" w:rsidP="00042B56">
      <w:pPr>
        <w:spacing w:after="0"/>
        <w:rPr>
          <w:rFonts w:eastAsia="Calibri" w:cs="Arial"/>
          <w:kern w:val="0"/>
          <w:szCs w:val="20"/>
        </w:rPr>
      </w:pPr>
      <w:r w:rsidRPr="00042B56">
        <w:rPr>
          <w:rFonts w:eastAsia="Calibri" w:cs="Arial"/>
          <w:kern w:val="0"/>
          <w:szCs w:val="20"/>
        </w:rPr>
        <w:t xml:space="preserve">Početni korak u definisanju institucionalnog ustrojstva za </w:t>
      </w:r>
      <w:r w:rsidR="007B60BB">
        <w:rPr>
          <w:rFonts w:eastAsia="Calibri" w:cs="Arial"/>
          <w:kern w:val="0"/>
          <w:szCs w:val="20"/>
        </w:rPr>
        <w:t>implementaciju</w:t>
      </w:r>
      <w:r w:rsidRPr="00042B56">
        <w:rPr>
          <w:rFonts w:eastAsia="Calibri" w:cs="Arial"/>
          <w:kern w:val="0"/>
          <w:szCs w:val="20"/>
        </w:rPr>
        <w:t xml:space="preserve"> </w:t>
      </w:r>
      <w:r>
        <w:rPr>
          <w:rFonts w:eastAsia="Calibri" w:cs="Arial"/>
          <w:kern w:val="0"/>
          <w:szCs w:val="20"/>
        </w:rPr>
        <w:t>K</w:t>
      </w:r>
      <w:r w:rsidRPr="00042B56">
        <w:rPr>
          <w:rFonts w:eastAsia="Calibri" w:cs="Arial"/>
          <w:kern w:val="0"/>
          <w:szCs w:val="20"/>
        </w:rPr>
        <w:t>ohezionе politike EU jeste utvrđivanje broja i obima programa, zatim definisanje institucionalnog okvira sa brojem upravljačkih tijela za pojedine programe, kao i određivanje institucija/organizacionih jedinica u okviru tih institucija koje će obavljati funkcije pojedinačnih tijela u sistemu.</w:t>
      </w:r>
      <w:r>
        <w:rPr>
          <w:rFonts w:eastAsia="Calibri" w:cs="Arial"/>
          <w:kern w:val="0"/>
          <w:szCs w:val="20"/>
        </w:rPr>
        <w:t xml:space="preserve"> </w:t>
      </w:r>
      <w:r w:rsidRPr="00042B56">
        <w:rPr>
          <w:rFonts w:eastAsia="Calibri" w:cs="Arial"/>
          <w:kern w:val="0"/>
          <w:szCs w:val="20"/>
        </w:rPr>
        <w:t xml:space="preserve">Studija će uzeti u obzir zaključke Studije o broju i obimu programa (aktivnost </w:t>
      </w:r>
      <w:r w:rsidR="0032369C">
        <w:rPr>
          <w:rFonts w:eastAsia="Calibri" w:cs="Arial"/>
          <w:kern w:val="0"/>
          <w:szCs w:val="20"/>
        </w:rPr>
        <w:t>ZM</w:t>
      </w:r>
      <w:r w:rsidRPr="00042B56">
        <w:rPr>
          <w:rFonts w:eastAsia="Calibri" w:cs="Arial"/>
          <w:kern w:val="0"/>
          <w:szCs w:val="20"/>
        </w:rPr>
        <w:t xml:space="preserve">2.1). Rezultati Studije biće osnova za diskusiju sa Radnom grupom za Poglavlje 22 i za formulisanje preporuka </w:t>
      </w:r>
      <w:r w:rsidRPr="00042B56">
        <w:rPr>
          <w:rFonts w:eastAsia="Calibri" w:cs="Arial"/>
          <w:b/>
          <w:kern w:val="0"/>
          <w:szCs w:val="20"/>
        </w:rPr>
        <w:t xml:space="preserve">Vladi o planiranom institucionalnom ustrojstvu za </w:t>
      </w:r>
      <w:r w:rsidR="007B60BB">
        <w:rPr>
          <w:rFonts w:eastAsia="Calibri" w:cs="Arial"/>
          <w:b/>
          <w:kern w:val="0"/>
          <w:szCs w:val="20"/>
        </w:rPr>
        <w:t>implementaciju</w:t>
      </w:r>
      <w:r w:rsidRPr="00042B56">
        <w:rPr>
          <w:rFonts w:eastAsia="Calibri" w:cs="Arial"/>
          <w:b/>
          <w:kern w:val="0"/>
          <w:szCs w:val="20"/>
        </w:rPr>
        <w:t xml:space="preserve"> kohezionе politike EU</w:t>
      </w:r>
      <w:r w:rsidRPr="00042B56">
        <w:rPr>
          <w:rFonts w:eastAsia="Calibri" w:cs="Arial"/>
          <w:kern w:val="0"/>
          <w:szCs w:val="20"/>
        </w:rPr>
        <w:t>, koje će biti usvojene kroz ak</w:t>
      </w:r>
      <w:r>
        <w:rPr>
          <w:rFonts w:eastAsia="Calibri" w:cs="Arial"/>
          <w:kern w:val="0"/>
          <w:szCs w:val="20"/>
        </w:rPr>
        <w:t>ciju</w:t>
      </w:r>
      <w:r w:rsidRPr="00042B56">
        <w:rPr>
          <w:rFonts w:eastAsia="Calibri" w:cs="Arial"/>
          <w:kern w:val="0"/>
          <w:szCs w:val="20"/>
        </w:rPr>
        <w:t xml:space="preserve"> </w:t>
      </w:r>
      <w:r w:rsidR="0032369C">
        <w:rPr>
          <w:rFonts w:eastAsia="Calibri" w:cs="Arial"/>
          <w:kern w:val="0"/>
          <w:szCs w:val="20"/>
        </w:rPr>
        <w:t>ZM</w:t>
      </w:r>
      <w:r w:rsidRPr="00042B56">
        <w:rPr>
          <w:rFonts w:eastAsia="Calibri" w:cs="Arial"/>
          <w:kern w:val="0"/>
          <w:szCs w:val="20"/>
        </w:rPr>
        <w:t>4.2.</w:t>
      </w:r>
    </w:p>
    <w:p w14:paraId="587E3DFC" w14:textId="77777777" w:rsidR="00A5132F" w:rsidRPr="00B83578" w:rsidRDefault="00A5132F" w:rsidP="00A5132F">
      <w:pPr>
        <w:spacing w:after="0"/>
        <w:rPr>
          <w:rFonts w:eastAsia="Calibri" w:cs="Arial"/>
          <w:b/>
          <w:bCs/>
          <w:kern w:val="0"/>
          <w:szCs w:val="20"/>
        </w:rPr>
      </w:pPr>
    </w:p>
    <w:p w14:paraId="7E1CCA81" w14:textId="206AE950" w:rsidR="00A5132F" w:rsidRPr="00B83578" w:rsidRDefault="00543023" w:rsidP="007B6C77">
      <w:pPr>
        <w:pStyle w:val="Heading3"/>
      </w:pPr>
      <w:bookmarkStart w:id="56" w:name="_Toc201700335"/>
      <w:r>
        <w:t>Akcija</w:t>
      </w:r>
      <w:r w:rsidR="00A5132F" w:rsidRPr="00B83578">
        <w:t xml:space="preserve"> </w:t>
      </w:r>
      <w:r w:rsidR="0032369C">
        <w:t>ZM</w:t>
      </w:r>
      <w:r w:rsidR="00A5132F" w:rsidRPr="00B83578">
        <w:t xml:space="preserve">4.2. </w:t>
      </w:r>
      <w:r w:rsidR="009E36FF">
        <w:t>Pravni okvir za implementaciju Kohezione politike</w:t>
      </w:r>
      <w:bookmarkEnd w:id="56"/>
      <w:r w:rsidR="00A5132F" w:rsidRPr="00B83578">
        <w:t xml:space="preserve"> </w:t>
      </w:r>
    </w:p>
    <w:p w14:paraId="34D47A2B" w14:textId="7AF40FB8" w:rsidR="00042B56" w:rsidRDefault="00042B56" w:rsidP="00042B56">
      <w:r>
        <w:t>Kao što je već pomenuto, imajući u vidu potrebu za pravnom sigurnošću</w:t>
      </w:r>
      <w:r w:rsidR="00D55F60">
        <w:t xml:space="preserve">, </w:t>
      </w:r>
      <w:r>
        <w:t>koja će biti moguća tek nakon potpisivanja Ugovora o pristupanju Crne Gore Evropskoj uniji i usvajanja post-2027 regulative od strane Evropske komisije</w:t>
      </w:r>
      <w:r w:rsidR="00D55F60">
        <w:t xml:space="preserve">, </w:t>
      </w:r>
      <w:r>
        <w:t xml:space="preserve">Zakon o </w:t>
      </w:r>
      <w:r w:rsidR="007B60BB">
        <w:t>implementaciji</w:t>
      </w:r>
      <w:r>
        <w:t xml:space="preserve"> kohezionе politike biće usvojen tek kada se ti uslovi ispune. Taj zakon će predstavljati pravni osnov za uredbu o </w:t>
      </w:r>
      <w:r w:rsidR="00765DC1">
        <w:t>imenovanju</w:t>
      </w:r>
      <w:r>
        <w:t xml:space="preserve"> programskih tijela za kohezionе programe. Planirano je, stoga, da se pravni okvir za kohezion</w:t>
      </w:r>
      <w:r w:rsidR="00D55F60">
        <w:t>u</w:t>
      </w:r>
      <w:r>
        <w:t xml:space="preserve"> politiku pripremi na vrijeme kako bi mogao brzo da stupi na snagu odmah nakon potpisivanja Ugovora o pristupanju i usvajanja post-2027 regulative.</w:t>
      </w:r>
    </w:p>
    <w:p w14:paraId="29B33160" w14:textId="79F0F18F" w:rsidR="00042B56" w:rsidRDefault="00042B56" w:rsidP="00042B56">
      <w:r>
        <w:t xml:space="preserve">Ipak, da bi privremeno odabrana </w:t>
      </w:r>
      <w:r w:rsidR="005B55A5">
        <w:t>tijela programa</w:t>
      </w:r>
      <w:r>
        <w:t xml:space="preserve"> blagovremeno započela neophodne pripreme, predviđeno je da Vlada u prvom kvartalu 2026. godine </w:t>
      </w:r>
      <w:r w:rsidRPr="00D55F60">
        <w:rPr>
          <w:b/>
        </w:rPr>
        <w:t>usvoji odluku</w:t>
      </w:r>
      <w:r>
        <w:t xml:space="preserve"> u formi Vladinog Zaključka o planiranim nominacijama, zasnovanu na prethodnoj raspravi o institucionalnom ustrojstvu u Radnoj grupi za Poglavlje 22 i usklađenu sa prijedlozima Komisije za post-2027 regulativni okvir. Vladin Zaključak će, pored nominacija programskih tijela, obuhvatiti i nominaciju budućeg Koordinacionog tijela, koje nije obavezno prema regulativama, ali je praksa u brojnim državama članicama EU.</w:t>
      </w:r>
    </w:p>
    <w:p w14:paraId="438375D8" w14:textId="5E253FDB" w:rsidR="00042B56" w:rsidRDefault="00042B56" w:rsidP="00042B56">
      <w:r>
        <w:t>U skladu s navedenim, ova Ak</w:t>
      </w:r>
      <w:r w:rsidR="007B60BB">
        <w:t>cija</w:t>
      </w:r>
      <w:r>
        <w:t xml:space="preserve"> će biti usredsređena na izradu Vladinog Zaključka (Odluke) o nominovanju programskih tijela i budućeg Koordinacionog tijela.</w:t>
      </w:r>
    </w:p>
    <w:p w14:paraId="48237C45" w14:textId="35BA1EFB" w:rsidR="002773A0" w:rsidRPr="00112AB0" w:rsidRDefault="001D692B" w:rsidP="002773A0">
      <w:pPr>
        <w:pStyle w:val="Caption"/>
      </w:pPr>
      <w:bookmarkStart w:id="57" w:name="_Toc193895448"/>
      <w:r>
        <w:t>Tabela</w:t>
      </w:r>
      <w:r w:rsidR="002773A0">
        <w:t xml:space="preserve"> 4.</w:t>
      </w:r>
      <w:r w:rsidR="002773A0" w:rsidRPr="00A35E9A">
        <w:t xml:space="preserve"> </w:t>
      </w:r>
      <w:r w:rsidR="00C17022">
        <w:t>MP</w:t>
      </w:r>
      <w:fldSimple w:instr=" SEQ Table \* ARABIC ">
        <w:r w:rsidR="003C2962">
          <w:rPr>
            <w:noProof/>
          </w:rPr>
          <w:t>4</w:t>
        </w:r>
      </w:fldSimple>
      <w:r w:rsidR="002773A0" w:rsidRPr="00A35E9A">
        <w:t xml:space="preserve">: </w:t>
      </w:r>
      <w:r w:rsidR="00017758">
        <w:t>Planirane akcije za zatvaranje Završnog mjerila</w:t>
      </w:r>
      <w:r w:rsidR="002773A0" w:rsidRPr="00112AB0">
        <w:t xml:space="preserve"> 4</w:t>
      </w:r>
      <w:bookmarkEnd w:id="57"/>
    </w:p>
    <w:tbl>
      <w:tblPr>
        <w:tblStyle w:val="GridTable5Dark-Accent11"/>
        <w:tblW w:w="5000" w:type="pct"/>
        <w:tblInd w:w="0" w:type="dxa"/>
        <w:tblLook w:val="04A0" w:firstRow="1" w:lastRow="0" w:firstColumn="1" w:lastColumn="0" w:noHBand="0" w:noVBand="1"/>
      </w:tblPr>
      <w:tblGrid>
        <w:gridCol w:w="804"/>
        <w:gridCol w:w="1310"/>
        <w:gridCol w:w="1386"/>
        <w:gridCol w:w="954"/>
        <w:gridCol w:w="1310"/>
        <w:gridCol w:w="961"/>
        <w:gridCol w:w="832"/>
        <w:gridCol w:w="1034"/>
        <w:gridCol w:w="759"/>
      </w:tblGrid>
      <w:tr w:rsidR="00992B8E" w:rsidRPr="00992B8E" w14:paraId="43EEE0E6" w14:textId="77777777" w:rsidTr="00992B8E">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419" w:type="pct"/>
            <w:hideMark/>
          </w:tcPr>
          <w:p w14:paraId="69FAA2E6" w14:textId="198A0EF2" w:rsidR="00B92AF5" w:rsidRPr="00992B8E" w:rsidRDefault="00543023" w:rsidP="00B92AF5">
            <w:pPr>
              <w:spacing w:after="0"/>
              <w:jc w:val="left"/>
              <w:rPr>
                <w:rFonts w:eastAsia="Times New Roman"/>
                <w:kern w:val="0"/>
                <w:sz w:val="16"/>
                <w:szCs w:val="16"/>
                <w:lang w:eastAsia="en-GB"/>
                <w14:ligatures w14:val="none"/>
              </w:rPr>
            </w:pPr>
            <w:r>
              <w:rPr>
                <w:rFonts w:eastAsia="Times New Roman"/>
                <w:kern w:val="0"/>
                <w:sz w:val="16"/>
                <w:szCs w:val="16"/>
                <w:lang w:eastAsia="en-GB"/>
                <w14:ligatures w14:val="none"/>
              </w:rPr>
              <w:t>Kod akcije</w:t>
            </w:r>
          </w:p>
        </w:tc>
        <w:tc>
          <w:tcPr>
            <w:tcW w:w="822" w:type="pct"/>
            <w:hideMark/>
          </w:tcPr>
          <w:p w14:paraId="4F4841A6" w14:textId="141D7210" w:rsidR="00B92AF5" w:rsidRPr="00992B8E" w:rsidRDefault="00543023" w:rsidP="00B92AF5">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Pr>
                <w:rFonts w:eastAsia="Times New Roman"/>
                <w:kern w:val="0"/>
                <w:sz w:val="16"/>
                <w:szCs w:val="16"/>
                <w:lang w:eastAsia="en-GB"/>
                <w14:ligatures w14:val="none"/>
              </w:rPr>
              <w:t>Naziv akcije</w:t>
            </w:r>
          </w:p>
        </w:tc>
        <w:tc>
          <w:tcPr>
            <w:tcW w:w="880" w:type="pct"/>
            <w:hideMark/>
          </w:tcPr>
          <w:p w14:paraId="220B4CF5" w14:textId="77777777" w:rsidR="00B92AF5" w:rsidRPr="00992B8E" w:rsidRDefault="00B92AF5" w:rsidP="00B92AF5">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992B8E">
              <w:rPr>
                <w:rFonts w:eastAsia="Times New Roman"/>
                <w:kern w:val="0"/>
                <w:sz w:val="16"/>
                <w:szCs w:val="16"/>
                <w:lang w:eastAsia="en-GB"/>
                <w14:ligatures w14:val="none"/>
              </w:rPr>
              <w:t>Responsible</w:t>
            </w:r>
          </w:p>
        </w:tc>
        <w:tc>
          <w:tcPr>
            <w:tcW w:w="419" w:type="pct"/>
            <w:hideMark/>
          </w:tcPr>
          <w:p w14:paraId="269409B4" w14:textId="540D72A9" w:rsidR="00B92AF5" w:rsidRPr="00992B8E" w:rsidRDefault="0013334C" w:rsidP="00B92AF5">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13334C">
              <w:rPr>
                <w:rFonts w:eastAsia="Times New Roman"/>
                <w:kern w:val="0"/>
                <w:sz w:val="16"/>
                <w:szCs w:val="16"/>
                <w:lang w:eastAsia="en-GB"/>
                <w14:ligatures w14:val="none"/>
              </w:rPr>
              <w:t>Raspored</w:t>
            </w:r>
          </w:p>
        </w:tc>
        <w:tc>
          <w:tcPr>
            <w:tcW w:w="781" w:type="pct"/>
            <w:hideMark/>
          </w:tcPr>
          <w:p w14:paraId="184508CC" w14:textId="6761524F" w:rsidR="00B92AF5" w:rsidRPr="00992B8E" w:rsidRDefault="0013334C" w:rsidP="00B92AF5">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13334C">
              <w:rPr>
                <w:rFonts w:eastAsia="Times New Roman"/>
                <w:kern w:val="0"/>
                <w:sz w:val="16"/>
                <w:szCs w:val="16"/>
                <w:lang w:eastAsia="en-GB"/>
                <w14:ligatures w14:val="none"/>
              </w:rPr>
              <w:t>Indikator</w:t>
            </w:r>
          </w:p>
        </w:tc>
        <w:tc>
          <w:tcPr>
            <w:tcW w:w="419" w:type="pct"/>
            <w:hideMark/>
          </w:tcPr>
          <w:p w14:paraId="2B6F3BC0" w14:textId="2407D12F" w:rsidR="00B92AF5" w:rsidRPr="00992B8E" w:rsidRDefault="00683B6B" w:rsidP="00B92AF5">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683B6B">
              <w:rPr>
                <w:rFonts w:eastAsia="Times New Roman"/>
                <w:kern w:val="0"/>
                <w:sz w:val="16"/>
                <w:szCs w:val="16"/>
                <w:lang w:eastAsia="en-GB"/>
                <w14:ligatures w14:val="none"/>
              </w:rPr>
              <w:t>Vrsta</w:t>
            </w:r>
          </w:p>
        </w:tc>
        <w:tc>
          <w:tcPr>
            <w:tcW w:w="419" w:type="pct"/>
            <w:hideMark/>
          </w:tcPr>
          <w:p w14:paraId="6553ECB8" w14:textId="243F8BFF" w:rsidR="00B92AF5" w:rsidRPr="00992B8E" w:rsidRDefault="00683B6B" w:rsidP="00B92AF5">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683B6B">
              <w:rPr>
                <w:rFonts w:eastAsia="Times New Roman"/>
                <w:kern w:val="0"/>
                <w:sz w:val="16"/>
                <w:szCs w:val="16"/>
                <w:lang w:eastAsia="en-GB"/>
                <w14:ligatures w14:val="none"/>
              </w:rPr>
              <w:t>Resurs</w:t>
            </w:r>
          </w:p>
        </w:tc>
        <w:tc>
          <w:tcPr>
            <w:tcW w:w="419" w:type="pct"/>
            <w:hideMark/>
          </w:tcPr>
          <w:p w14:paraId="5FAD42FB" w14:textId="14604742" w:rsidR="00B92AF5" w:rsidRPr="00992B8E" w:rsidRDefault="00683B6B" w:rsidP="00B92AF5">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sidRPr="00683B6B">
              <w:rPr>
                <w:rFonts w:eastAsia="Times New Roman"/>
                <w:kern w:val="0"/>
                <w:sz w:val="16"/>
                <w:szCs w:val="16"/>
                <w:lang w:eastAsia="en-GB"/>
                <w14:ligatures w14:val="none"/>
              </w:rPr>
              <w:t>Napomene</w:t>
            </w:r>
          </w:p>
        </w:tc>
        <w:tc>
          <w:tcPr>
            <w:tcW w:w="419" w:type="pct"/>
            <w:hideMark/>
          </w:tcPr>
          <w:p w14:paraId="14EF85DB" w14:textId="1F849967" w:rsidR="00B92AF5" w:rsidRPr="00992B8E" w:rsidRDefault="00A067C3" w:rsidP="00B92AF5">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6"/>
                <w:szCs w:val="16"/>
                <w:lang w:eastAsia="en-GB"/>
                <w14:ligatures w14:val="none"/>
              </w:rPr>
            </w:pPr>
            <w:r>
              <w:rPr>
                <w:rFonts w:eastAsia="Times New Roman"/>
                <w:kern w:val="0"/>
                <w:sz w:val="16"/>
                <w:szCs w:val="16"/>
                <w:lang w:eastAsia="en-GB"/>
                <w14:ligatures w14:val="none"/>
              </w:rPr>
              <w:t>DAP</w:t>
            </w:r>
            <w:r w:rsidR="007029BB">
              <w:rPr>
                <w:rFonts w:eastAsia="Times New Roman"/>
                <w:kern w:val="0"/>
                <w:sz w:val="16"/>
                <w:szCs w:val="16"/>
                <w:lang w:eastAsia="en-GB"/>
                <w14:ligatures w14:val="none"/>
              </w:rPr>
              <w:t xml:space="preserve"> oznaka</w:t>
            </w:r>
          </w:p>
        </w:tc>
      </w:tr>
      <w:tr w:rsidR="00992B8E" w:rsidRPr="00992B8E" w14:paraId="1C1013DE" w14:textId="77777777" w:rsidTr="00992B8E">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419" w:type="pct"/>
            <w:hideMark/>
          </w:tcPr>
          <w:p w14:paraId="3E36B631" w14:textId="55ED43C7" w:rsidR="00B92AF5" w:rsidRPr="00992B8E" w:rsidRDefault="0032369C" w:rsidP="00B92AF5">
            <w:pPr>
              <w:spacing w:after="0"/>
              <w:jc w:val="left"/>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ZM</w:t>
            </w:r>
            <w:r w:rsidR="00B92AF5" w:rsidRPr="00992B8E">
              <w:rPr>
                <w:rFonts w:ascii="Aptos" w:eastAsia="Times New Roman" w:hAnsi="Aptos"/>
                <w:kern w:val="0"/>
                <w:sz w:val="16"/>
                <w:szCs w:val="16"/>
                <w:lang w:eastAsia="en-GB"/>
                <w14:ligatures w14:val="none"/>
              </w:rPr>
              <w:t>.4.01.</w:t>
            </w:r>
          </w:p>
        </w:tc>
        <w:tc>
          <w:tcPr>
            <w:tcW w:w="822" w:type="pct"/>
            <w:hideMark/>
          </w:tcPr>
          <w:p w14:paraId="53F83916" w14:textId="49A5F419" w:rsidR="00B92AF5" w:rsidRPr="00992B8E" w:rsidRDefault="007029BB" w:rsidP="00B92AF5">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Studija institucionalne postavke za implementaciju Kohezione politike EU i diskusija Radne grupe.</w:t>
            </w:r>
          </w:p>
        </w:tc>
        <w:tc>
          <w:tcPr>
            <w:tcW w:w="880" w:type="pct"/>
            <w:hideMark/>
          </w:tcPr>
          <w:p w14:paraId="2E34206A" w14:textId="77777777" w:rsidR="00F6574C" w:rsidRDefault="006D6E25" w:rsidP="00B92AF5">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Ministarstvo evropskih poslova - </w:t>
            </w:r>
            <w:r w:rsidR="0086543E" w:rsidRPr="0086543E">
              <w:rPr>
                <w:rFonts w:ascii="Aptos" w:eastAsia="Times New Roman" w:hAnsi="Aptos"/>
                <w:kern w:val="0"/>
                <w:sz w:val="16"/>
                <w:szCs w:val="16"/>
                <w:lang w:eastAsia="en-GB"/>
                <w14:ligatures w14:val="none"/>
              </w:rPr>
              <w:t>NIPAK</w:t>
            </w:r>
            <w:r>
              <w:rPr>
                <w:rFonts w:ascii="Aptos" w:eastAsia="Times New Roman" w:hAnsi="Aptos"/>
                <w:kern w:val="0"/>
                <w:sz w:val="16"/>
                <w:szCs w:val="16"/>
                <w:lang w:eastAsia="en-GB"/>
                <w14:ligatures w14:val="none"/>
              </w:rPr>
              <w:t xml:space="preserve"> Kancelarija</w:t>
            </w:r>
            <w:r w:rsidR="00B92AF5" w:rsidRPr="00992B8E">
              <w:rPr>
                <w:rFonts w:ascii="Aptos" w:eastAsia="Times New Roman" w:hAnsi="Aptos"/>
                <w:kern w:val="0"/>
                <w:sz w:val="16"/>
                <w:szCs w:val="16"/>
                <w:lang w:eastAsia="en-GB"/>
                <w14:ligatures w14:val="none"/>
              </w:rPr>
              <w:t xml:space="preserve">; </w:t>
            </w:r>
            <w:r>
              <w:rPr>
                <w:rFonts w:ascii="Aptos" w:eastAsia="Times New Roman" w:hAnsi="Aptos"/>
                <w:kern w:val="0"/>
                <w:sz w:val="16"/>
                <w:szCs w:val="16"/>
                <w:lang w:eastAsia="en-GB"/>
                <w14:ligatures w14:val="none"/>
              </w:rPr>
              <w:t>Ministarstvo Finansija - NAO/Upravljačka struktura</w:t>
            </w:r>
            <w:r w:rsidR="00B92AF5" w:rsidRPr="00992B8E">
              <w:rPr>
                <w:rFonts w:ascii="Aptos" w:eastAsia="Times New Roman" w:hAnsi="Aptos"/>
                <w:kern w:val="0"/>
                <w:sz w:val="16"/>
                <w:szCs w:val="16"/>
                <w:lang w:eastAsia="en-GB"/>
                <w14:ligatures w14:val="none"/>
              </w:rPr>
              <w:t xml:space="preserve">; </w:t>
            </w:r>
          </w:p>
          <w:p w14:paraId="74B2DF2D" w14:textId="4B2D9183" w:rsidR="00B92AF5" w:rsidRPr="00992B8E" w:rsidRDefault="00720740" w:rsidP="00B92AF5">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Radna grupa za poglavlje 22</w:t>
            </w:r>
          </w:p>
        </w:tc>
        <w:tc>
          <w:tcPr>
            <w:tcW w:w="419" w:type="pct"/>
            <w:hideMark/>
          </w:tcPr>
          <w:p w14:paraId="0D28A78E" w14:textId="51135D1E" w:rsidR="00B92AF5" w:rsidRPr="00992B8E" w:rsidRDefault="00B92AF5" w:rsidP="00B92AF5">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sidRPr="00992B8E">
              <w:rPr>
                <w:rFonts w:ascii="Aptos" w:eastAsia="Times New Roman" w:hAnsi="Aptos"/>
                <w:kern w:val="0"/>
                <w:sz w:val="16"/>
                <w:szCs w:val="16"/>
                <w:lang w:eastAsia="en-GB"/>
                <w14:ligatures w14:val="none"/>
              </w:rPr>
              <w:t>2025-</w:t>
            </w:r>
            <w:r w:rsidR="000744D1">
              <w:rPr>
                <w:rFonts w:ascii="Aptos" w:eastAsia="Times New Roman" w:hAnsi="Aptos"/>
                <w:kern w:val="0"/>
                <w:sz w:val="16"/>
                <w:szCs w:val="16"/>
                <w:lang w:eastAsia="en-GB"/>
                <w14:ligatures w14:val="none"/>
              </w:rPr>
              <w:t>Kvartal</w:t>
            </w:r>
            <w:r w:rsidRPr="00992B8E">
              <w:rPr>
                <w:rFonts w:ascii="Aptos" w:eastAsia="Times New Roman" w:hAnsi="Aptos"/>
                <w:kern w:val="0"/>
                <w:sz w:val="16"/>
                <w:szCs w:val="16"/>
                <w:lang w:eastAsia="en-GB"/>
                <w14:ligatures w14:val="none"/>
              </w:rPr>
              <w:t>4</w:t>
            </w:r>
          </w:p>
        </w:tc>
        <w:tc>
          <w:tcPr>
            <w:tcW w:w="781" w:type="pct"/>
            <w:hideMark/>
          </w:tcPr>
          <w:p w14:paraId="6BB09CC5" w14:textId="1C30885D" w:rsidR="00B92AF5" w:rsidRPr="00992B8E" w:rsidRDefault="009E36FF" w:rsidP="00B92AF5">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Studija o institucionalnom okviru za implementaciju Kohezione politike EU razmatrane sa Radnom grupom za Poglavlje 22</w:t>
            </w:r>
            <w:r w:rsidR="00B92AF5" w:rsidRPr="00992B8E">
              <w:rPr>
                <w:rFonts w:ascii="Aptos" w:eastAsia="Times New Roman" w:hAnsi="Aptos"/>
                <w:kern w:val="0"/>
                <w:sz w:val="16"/>
                <w:szCs w:val="16"/>
                <w:lang w:eastAsia="en-GB"/>
                <w14:ligatures w14:val="none"/>
              </w:rPr>
              <w:t>.</w:t>
            </w:r>
          </w:p>
        </w:tc>
        <w:tc>
          <w:tcPr>
            <w:tcW w:w="419" w:type="pct"/>
            <w:hideMark/>
          </w:tcPr>
          <w:p w14:paraId="717B1585" w14:textId="54995ED9" w:rsidR="00B92AF5" w:rsidRPr="00992B8E" w:rsidRDefault="0013334C" w:rsidP="00B92AF5">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sidRPr="0013334C">
              <w:rPr>
                <w:rFonts w:ascii="Aptos" w:eastAsia="Times New Roman" w:hAnsi="Aptos"/>
                <w:kern w:val="0"/>
                <w:sz w:val="16"/>
                <w:szCs w:val="16"/>
                <w:lang w:eastAsia="en-GB"/>
                <w14:ligatures w14:val="none"/>
              </w:rPr>
              <w:t>Indikator</w:t>
            </w:r>
          </w:p>
        </w:tc>
        <w:tc>
          <w:tcPr>
            <w:tcW w:w="419" w:type="pct"/>
            <w:hideMark/>
          </w:tcPr>
          <w:p w14:paraId="19F57526" w14:textId="5C3AAD5B" w:rsidR="00B92AF5" w:rsidRPr="00992B8E" w:rsidRDefault="00720740" w:rsidP="00B92AF5">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Podržano od strane </w:t>
            </w:r>
            <w:r w:rsidR="0032369C">
              <w:rPr>
                <w:rFonts w:ascii="Aptos" w:eastAsia="Times New Roman" w:hAnsi="Aptos"/>
                <w:kern w:val="0"/>
                <w:sz w:val="16"/>
                <w:szCs w:val="16"/>
                <w:lang w:eastAsia="en-GB"/>
                <w14:ligatures w14:val="none"/>
              </w:rPr>
              <w:t>TP</w:t>
            </w:r>
          </w:p>
        </w:tc>
        <w:tc>
          <w:tcPr>
            <w:tcW w:w="419" w:type="pct"/>
            <w:hideMark/>
          </w:tcPr>
          <w:p w14:paraId="789BE095" w14:textId="187829B3" w:rsidR="00B92AF5" w:rsidRPr="00992B8E" w:rsidRDefault="007029BB" w:rsidP="00B92AF5">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Vremenski okvir zavisi od objavljivanja prijedloga Komisije za Kohezionu politiku nakon 2027. godine.</w:t>
            </w:r>
          </w:p>
        </w:tc>
        <w:tc>
          <w:tcPr>
            <w:tcW w:w="419" w:type="pct"/>
            <w:hideMark/>
          </w:tcPr>
          <w:p w14:paraId="0F03B3A9" w14:textId="77777777" w:rsidR="00B92AF5" w:rsidRPr="00992B8E" w:rsidRDefault="00B92AF5" w:rsidP="00B92AF5">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6"/>
                <w:szCs w:val="16"/>
                <w:lang w:eastAsia="en-GB"/>
                <w14:ligatures w14:val="none"/>
              </w:rPr>
            </w:pPr>
            <w:r w:rsidRPr="00992B8E">
              <w:rPr>
                <w:rFonts w:ascii="Aptos" w:eastAsia="Times New Roman" w:hAnsi="Aptos"/>
                <w:kern w:val="0"/>
                <w:sz w:val="16"/>
                <w:szCs w:val="16"/>
                <w:lang w:eastAsia="en-GB"/>
                <w14:ligatures w14:val="none"/>
              </w:rPr>
              <w:t>2.01.</w:t>
            </w:r>
          </w:p>
        </w:tc>
      </w:tr>
      <w:tr w:rsidR="00992B8E" w:rsidRPr="00992B8E" w14:paraId="01D778CC" w14:textId="77777777" w:rsidTr="00992B8E">
        <w:trPr>
          <w:trHeight w:val="1050"/>
        </w:trPr>
        <w:tc>
          <w:tcPr>
            <w:cnfStyle w:val="001000000000" w:firstRow="0" w:lastRow="0" w:firstColumn="1" w:lastColumn="0" w:oddVBand="0" w:evenVBand="0" w:oddHBand="0" w:evenHBand="0" w:firstRowFirstColumn="0" w:firstRowLastColumn="0" w:lastRowFirstColumn="0" w:lastRowLastColumn="0"/>
            <w:tcW w:w="419" w:type="pct"/>
            <w:hideMark/>
          </w:tcPr>
          <w:p w14:paraId="2FD6EB57" w14:textId="707E82A1" w:rsidR="00B92AF5" w:rsidRPr="00992B8E" w:rsidRDefault="0032369C" w:rsidP="00B92AF5">
            <w:pPr>
              <w:spacing w:after="0"/>
              <w:jc w:val="left"/>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ZM</w:t>
            </w:r>
            <w:r w:rsidR="00B92AF5" w:rsidRPr="00992B8E">
              <w:rPr>
                <w:rFonts w:ascii="Aptos" w:eastAsia="Times New Roman" w:hAnsi="Aptos"/>
                <w:kern w:val="0"/>
                <w:sz w:val="16"/>
                <w:szCs w:val="16"/>
                <w:lang w:eastAsia="en-GB"/>
                <w14:ligatures w14:val="none"/>
              </w:rPr>
              <w:t>.4.02.</w:t>
            </w:r>
          </w:p>
        </w:tc>
        <w:tc>
          <w:tcPr>
            <w:tcW w:w="822" w:type="pct"/>
            <w:hideMark/>
          </w:tcPr>
          <w:p w14:paraId="630F2B37" w14:textId="480780DA" w:rsidR="00B92AF5" w:rsidRPr="00992B8E" w:rsidRDefault="007029BB" w:rsidP="00B92AF5">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Priprema i usvajanje Zaključka Vlade o institucionalnom okviru za implementaciju Kohezione politike EU.</w:t>
            </w:r>
          </w:p>
        </w:tc>
        <w:tc>
          <w:tcPr>
            <w:tcW w:w="880" w:type="pct"/>
            <w:hideMark/>
          </w:tcPr>
          <w:p w14:paraId="2B52E0FA" w14:textId="77777777" w:rsidR="00934067" w:rsidRDefault="006D6E25" w:rsidP="00B92AF5">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Ministarstvo evropskih poslova - </w:t>
            </w:r>
            <w:r w:rsidR="0086543E" w:rsidRPr="0086543E">
              <w:rPr>
                <w:rFonts w:ascii="Aptos" w:eastAsia="Times New Roman" w:hAnsi="Aptos"/>
                <w:kern w:val="0"/>
                <w:sz w:val="16"/>
                <w:szCs w:val="16"/>
                <w:lang w:eastAsia="en-GB"/>
                <w14:ligatures w14:val="none"/>
              </w:rPr>
              <w:t>NIPAK</w:t>
            </w:r>
            <w:r>
              <w:rPr>
                <w:rFonts w:ascii="Aptos" w:eastAsia="Times New Roman" w:hAnsi="Aptos"/>
                <w:kern w:val="0"/>
                <w:sz w:val="16"/>
                <w:szCs w:val="16"/>
                <w:lang w:eastAsia="en-GB"/>
                <w14:ligatures w14:val="none"/>
              </w:rPr>
              <w:t xml:space="preserve"> Kancelarija</w:t>
            </w:r>
            <w:r w:rsidR="00B92AF5" w:rsidRPr="00992B8E">
              <w:rPr>
                <w:rFonts w:ascii="Aptos" w:eastAsia="Times New Roman" w:hAnsi="Aptos"/>
                <w:kern w:val="0"/>
                <w:sz w:val="16"/>
                <w:szCs w:val="16"/>
                <w:lang w:eastAsia="en-GB"/>
                <w14:ligatures w14:val="none"/>
              </w:rPr>
              <w:t xml:space="preserve">; </w:t>
            </w:r>
            <w:r>
              <w:rPr>
                <w:rFonts w:ascii="Aptos" w:eastAsia="Times New Roman" w:hAnsi="Aptos"/>
                <w:kern w:val="0"/>
                <w:sz w:val="16"/>
                <w:szCs w:val="16"/>
                <w:lang w:eastAsia="en-GB"/>
                <w14:ligatures w14:val="none"/>
              </w:rPr>
              <w:t>Ministarstvo Finansija - NAO/Upravljačka struktura</w:t>
            </w:r>
            <w:r w:rsidR="00F6574C">
              <w:rPr>
                <w:rFonts w:ascii="Aptos" w:eastAsia="Times New Roman" w:hAnsi="Aptos"/>
                <w:kern w:val="0"/>
                <w:sz w:val="16"/>
                <w:szCs w:val="16"/>
                <w:lang w:eastAsia="en-GB"/>
                <w14:ligatures w14:val="none"/>
              </w:rPr>
              <w:t>;</w:t>
            </w:r>
          </w:p>
          <w:p w14:paraId="57F9C92D" w14:textId="5BA385DA" w:rsidR="00B92AF5" w:rsidRPr="00992B8E" w:rsidRDefault="00720740" w:rsidP="00B92AF5">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lastRenderedPageBreak/>
              <w:t>Radna grupa za poglavlje 22</w:t>
            </w:r>
          </w:p>
        </w:tc>
        <w:tc>
          <w:tcPr>
            <w:tcW w:w="419" w:type="pct"/>
            <w:hideMark/>
          </w:tcPr>
          <w:p w14:paraId="24A7A847" w14:textId="59AB299C" w:rsidR="00B92AF5" w:rsidRPr="00992B8E" w:rsidRDefault="00B92AF5" w:rsidP="00B92AF5">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sidRPr="00992B8E">
              <w:rPr>
                <w:rFonts w:ascii="Aptos" w:eastAsia="Times New Roman" w:hAnsi="Aptos"/>
                <w:kern w:val="0"/>
                <w:sz w:val="16"/>
                <w:szCs w:val="16"/>
                <w:lang w:eastAsia="en-GB"/>
                <w14:ligatures w14:val="none"/>
              </w:rPr>
              <w:lastRenderedPageBreak/>
              <w:t>202</w:t>
            </w:r>
            <w:r w:rsidR="007624C7" w:rsidRPr="00992B8E">
              <w:rPr>
                <w:rFonts w:ascii="Aptos" w:eastAsia="Times New Roman" w:hAnsi="Aptos"/>
                <w:kern w:val="0"/>
                <w:sz w:val="16"/>
                <w:szCs w:val="16"/>
                <w:lang w:eastAsia="en-GB"/>
                <w14:ligatures w14:val="none"/>
              </w:rPr>
              <w:t>6</w:t>
            </w:r>
            <w:r w:rsidRPr="00992B8E">
              <w:rPr>
                <w:rFonts w:ascii="Aptos" w:eastAsia="Times New Roman" w:hAnsi="Aptos"/>
                <w:kern w:val="0"/>
                <w:sz w:val="16"/>
                <w:szCs w:val="16"/>
                <w:lang w:eastAsia="en-GB"/>
                <w14:ligatures w14:val="none"/>
              </w:rPr>
              <w:t>-</w:t>
            </w:r>
            <w:r w:rsidR="000744D1">
              <w:rPr>
                <w:rFonts w:ascii="Aptos" w:eastAsia="Times New Roman" w:hAnsi="Aptos"/>
                <w:kern w:val="0"/>
                <w:sz w:val="16"/>
                <w:szCs w:val="16"/>
                <w:lang w:eastAsia="en-GB"/>
                <w14:ligatures w14:val="none"/>
              </w:rPr>
              <w:t>Kvartal</w:t>
            </w:r>
            <w:r w:rsidR="007624C7" w:rsidRPr="00992B8E">
              <w:rPr>
                <w:rFonts w:ascii="Aptos" w:eastAsia="Times New Roman" w:hAnsi="Aptos"/>
                <w:kern w:val="0"/>
                <w:sz w:val="16"/>
                <w:szCs w:val="16"/>
                <w:lang w:eastAsia="en-GB"/>
                <w14:ligatures w14:val="none"/>
              </w:rPr>
              <w:t>1</w:t>
            </w:r>
          </w:p>
        </w:tc>
        <w:tc>
          <w:tcPr>
            <w:tcW w:w="781" w:type="pct"/>
            <w:hideMark/>
          </w:tcPr>
          <w:p w14:paraId="4EEF78F8" w14:textId="03D57AE1" w:rsidR="00B92AF5" w:rsidRPr="00992B8E" w:rsidRDefault="007029BB" w:rsidP="00B92AF5">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Zaključak (odluka) </w:t>
            </w:r>
            <w:r w:rsidR="00097367">
              <w:rPr>
                <w:rFonts w:ascii="Aptos" w:eastAsia="Times New Roman" w:hAnsi="Aptos"/>
                <w:kern w:val="0"/>
                <w:sz w:val="16"/>
                <w:szCs w:val="16"/>
                <w:lang w:eastAsia="en-GB"/>
                <w14:ligatures w14:val="none"/>
              </w:rPr>
              <w:t>Vl</w:t>
            </w:r>
            <w:r>
              <w:rPr>
                <w:rFonts w:ascii="Aptos" w:eastAsia="Times New Roman" w:hAnsi="Aptos"/>
                <w:kern w:val="0"/>
                <w:sz w:val="16"/>
                <w:szCs w:val="16"/>
                <w:lang w:eastAsia="en-GB"/>
                <w14:ligatures w14:val="none"/>
              </w:rPr>
              <w:t>ade objavljen na vladinom sajtu.</w:t>
            </w:r>
          </w:p>
        </w:tc>
        <w:tc>
          <w:tcPr>
            <w:tcW w:w="419" w:type="pct"/>
            <w:hideMark/>
          </w:tcPr>
          <w:p w14:paraId="54009F61" w14:textId="30088847" w:rsidR="00B92AF5" w:rsidRPr="00992B8E" w:rsidRDefault="0013334C" w:rsidP="00B92AF5">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sidRPr="0013334C">
              <w:rPr>
                <w:rFonts w:ascii="Aptos" w:eastAsia="Times New Roman" w:hAnsi="Aptos"/>
                <w:kern w:val="0"/>
                <w:sz w:val="16"/>
                <w:szCs w:val="16"/>
                <w:lang w:eastAsia="en-GB"/>
                <w14:ligatures w14:val="none"/>
              </w:rPr>
              <w:t>Prekretnica</w:t>
            </w:r>
          </w:p>
        </w:tc>
        <w:tc>
          <w:tcPr>
            <w:tcW w:w="419" w:type="pct"/>
            <w:hideMark/>
          </w:tcPr>
          <w:p w14:paraId="36EF2B8C" w14:textId="30886FA9" w:rsidR="00B92AF5" w:rsidRPr="00992B8E" w:rsidRDefault="00720740" w:rsidP="00B92AF5">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Podržano od strane </w:t>
            </w:r>
            <w:r w:rsidR="0032369C">
              <w:rPr>
                <w:rFonts w:ascii="Aptos" w:eastAsia="Times New Roman" w:hAnsi="Aptos"/>
                <w:kern w:val="0"/>
                <w:sz w:val="16"/>
                <w:szCs w:val="16"/>
                <w:lang w:eastAsia="en-GB"/>
                <w14:ligatures w14:val="none"/>
              </w:rPr>
              <w:t>TP</w:t>
            </w:r>
          </w:p>
        </w:tc>
        <w:tc>
          <w:tcPr>
            <w:tcW w:w="419" w:type="pct"/>
            <w:hideMark/>
          </w:tcPr>
          <w:p w14:paraId="10667580" w14:textId="5CF3E364" w:rsidR="00B92AF5" w:rsidRPr="00992B8E" w:rsidRDefault="007029BB" w:rsidP="00B92AF5">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Pr>
                <w:rFonts w:ascii="Aptos" w:eastAsia="Times New Roman" w:hAnsi="Aptos"/>
                <w:kern w:val="0"/>
                <w:sz w:val="16"/>
                <w:szCs w:val="16"/>
                <w:lang w:eastAsia="en-GB"/>
                <w14:ligatures w14:val="none"/>
              </w:rPr>
              <w:t xml:space="preserve">Vremenski okvir zavisi od objavljivanja prijedloga Komisije za Kohezionu politiku </w:t>
            </w:r>
            <w:r>
              <w:rPr>
                <w:rFonts w:ascii="Aptos" w:eastAsia="Times New Roman" w:hAnsi="Aptos"/>
                <w:kern w:val="0"/>
                <w:sz w:val="16"/>
                <w:szCs w:val="16"/>
                <w:lang w:eastAsia="en-GB"/>
                <w14:ligatures w14:val="none"/>
              </w:rPr>
              <w:lastRenderedPageBreak/>
              <w:t>nakon 2027. godine.</w:t>
            </w:r>
          </w:p>
        </w:tc>
        <w:tc>
          <w:tcPr>
            <w:tcW w:w="419" w:type="pct"/>
            <w:hideMark/>
          </w:tcPr>
          <w:p w14:paraId="45B66898" w14:textId="14220240" w:rsidR="00B92AF5" w:rsidRPr="00992B8E" w:rsidRDefault="005C2420" w:rsidP="00B92AF5">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6"/>
                <w:szCs w:val="16"/>
                <w:lang w:eastAsia="en-GB"/>
                <w14:ligatures w14:val="none"/>
              </w:rPr>
            </w:pPr>
            <w:r w:rsidRPr="00992B8E">
              <w:rPr>
                <w:rFonts w:ascii="Aptos" w:eastAsia="Times New Roman" w:hAnsi="Aptos"/>
                <w:kern w:val="0"/>
                <w:sz w:val="16"/>
                <w:szCs w:val="16"/>
                <w:lang w:eastAsia="en-GB"/>
                <w14:ligatures w14:val="none"/>
              </w:rPr>
              <w:lastRenderedPageBreak/>
              <w:t>1.03</w:t>
            </w:r>
          </w:p>
        </w:tc>
      </w:tr>
    </w:tbl>
    <w:p w14:paraId="2B4D3FD0" w14:textId="77777777" w:rsidR="002773A0" w:rsidRPr="00A35E9A" w:rsidRDefault="002773A0" w:rsidP="002773A0"/>
    <w:p w14:paraId="386104CC" w14:textId="77777777" w:rsidR="00DD7EEE" w:rsidRPr="00B83578" w:rsidRDefault="00DD7EEE" w:rsidP="00DD7EEE"/>
    <w:p w14:paraId="7D01C652" w14:textId="11F660E3" w:rsidR="00DD7EEE" w:rsidRPr="00B83578" w:rsidRDefault="009E36FF" w:rsidP="007B6C77">
      <w:pPr>
        <w:pStyle w:val="Heading1"/>
      </w:pPr>
      <w:bookmarkStart w:id="58" w:name="_Toc201700336"/>
      <w:r>
        <w:t>Završno mjerilo</w:t>
      </w:r>
      <w:r w:rsidR="00DD7EEE" w:rsidRPr="00B83578">
        <w:t xml:space="preserve"> 5</w:t>
      </w:r>
      <w:bookmarkEnd w:id="58"/>
    </w:p>
    <w:p w14:paraId="48222B2E" w14:textId="23632AF8" w:rsidR="00DD7EEE" w:rsidRPr="00B83578" w:rsidRDefault="00D55F60" w:rsidP="00DD7EEE">
      <w:pPr>
        <w:pBdr>
          <w:top w:val="single" w:sz="4" w:space="1" w:color="auto"/>
          <w:left w:val="single" w:sz="4" w:space="4" w:color="auto"/>
          <w:bottom w:val="single" w:sz="4" w:space="1" w:color="auto"/>
          <w:right w:val="single" w:sz="4" w:space="4" w:color="auto"/>
        </w:pBdr>
        <w:shd w:val="clear" w:color="auto" w:fill="C1E4F5"/>
        <w:spacing w:before="120" w:line="276" w:lineRule="auto"/>
        <w:rPr>
          <w:rFonts w:eastAsia="Calibri" w:cs="Arial"/>
          <w:b/>
          <w:i/>
          <w:iCs/>
          <w:kern w:val="0"/>
          <w:sz w:val="22"/>
        </w:rPr>
      </w:pPr>
      <w:r>
        <w:rPr>
          <w:rFonts w:eastAsia="Calibri" w:cs="Arial"/>
          <w:b/>
          <w:i/>
          <w:iCs/>
          <w:kern w:val="0"/>
          <w:sz w:val="22"/>
        </w:rPr>
        <w:t>ZAVRŠNO MJERILO</w:t>
      </w:r>
      <w:r w:rsidR="00DD7EEE" w:rsidRPr="00B83578">
        <w:rPr>
          <w:rFonts w:eastAsia="Calibri" w:cs="Arial"/>
          <w:b/>
          <w:i/>
          <w:iCs/>
          <w:kern w:val="0"/>
          <w:sz w:val="22"/>
        </w:rPr>
        <w:t xml:space="preserve"> 5. </w:t>
      </w:r>
      <w:r w:rsidRPr="00D55F60">
        <w:rPr>
          <w:rFonts w:eastAsia="Calibri" w:cs="Arial"/>
          <w:b/>
          <w:i/>
          <w:iCs/>
          <w:kern w:val="0"/>
          <w:sz w:val="24"/>
          <w:szCs w:val="24"/>
        </w:rPr>
        <w:t>Crna Gora usvaja individualne strategije organizacionog razvoja za sve ključne organizacije uključene u upravljanje/implementaciju budućih ESI fondova (uključujući analizu snaga, slabosti, mogućnosti i pr</w:t>
      </w:r>
      <w:r>
        <w:rPr>
          <w:rFonts w:eastAsia="Calibri" w:cs="Arial"/>
          <w:b/>
          <w:i/>
          <w:iCs/>
          <w:kern w:val="0"/>
          <w:sz w:val="24"/>
          <w:szCs w:val="24"/>
        </w:rPr>
        <w:t>ij</w:t>
      </w:r>
      <w:r w:rsidRPr="00D55F60">
        <w:rPr>
          <w:rFonts w:eastAsia="Calibri" w:cs="Arial"/>
          <w:b/>
          <w:i/>
          <w:iCs/>
          <w:kern w:val="0"/>
          <w:sz w:val="24"/>
          <w:szCs w:val="24"/>
        </w:rPr>
        <w:t>etnji, proc</w:t>
      </w:r>
      <w:r>
        <w:rPr>
          <w:rFonts w:eastAsia="Calibri" w:cs="Arial"/>
          <w:b/>
          <w:i/>
          <w:iCs/>
          <w:kern w:val="0"/>
          <w:sz w:val="24"/>
          <w:szCs w:val="24"/>
        </w:rPr>
        <w:t>j</w:t>
      </w:r>
      <w:r w:rsidRPr="00D55F60">
        <w:rPr>
          <w:rFonts w:eastAsia="Calibri" w:cs="Arial"/>
          <w:b/>
          <w:i/>
          <w:iCs/>
          <w:kern w:val="0"/>
          <w:sz w:val="24"/>
          <w:szCs w:val="24"/>
        </w:rPr>
        <w:t xml:space="preserve">enu potreba za </w:t>
      </w:r>
      <w:r w:rsidR="00671D09">
        <w:rPr>
          <w:rFonts w:eastAsia="Calibri" w:cs="Arial"/>
          <w:b/>
          <w:i/>
          <w:iCs/>
          <w:kern w:val="0"/>
          <w:sz w:val="24"/>
          <w:szCs w:val="24"/>
        </w:rPr>
        <w:t>obukama</w:t>
      </w:r>
      <w:r w:rsidRPr="00D55F60">
        <w:rPr>
          <w:rFonts w:eastAsia="Calibri" w:cs="Arial"/>
          <w:b/>
          <w:i/>
          <w:iCs/>
          <w:kern w:val="0"/>
          <w:sz w:val="24"/>
          <w:szCs w:val="24"/>
        </w:rPr>
        <w:t>, planove kadrova, plan obuke/</w:t>
      </w:r>
      <w:r w:rsidR="00C30F51" w:rsidRPr="00C30F51">
        <w:rPr>
          <w:rFonts w:eastAsia="Calibri" w:cs="Arial"/>
          <w:b/>
          <w:iCs/>
          <w:kern w:val="0"/>
          <w:sz w:val="24"/>
          <w:szCs w:val="24"/>
        </w:rPr>
        <w:t>jačanja kapaciteta</w:t>
      </w:r>
      <w:r w:rsidRPr="00D55F60">
        <w:rPr>
          <w:rFonts w:eastAsia="Calibri" w:cs="Arial"/>
          <w:b/>
          <w:i/>
          <w:iCs/>
          <w:kern w:val="0"/>
          <w:sz w:val="24"/>
          <w:szCs w:val="24"/>
        </w:rPr>
        <w:t xml:space="preserve">), kao i sveobuhvatnu strategiju institucionalnog razvoja i </w:t>
      </w:r>
      <w:r w:rsidR="00C30F51" w:rsidRPr="00C30F51">
        <w:rPr>
          <w:rFonts w:eastAsia="Calibri" w:cs="Arial"/>
          <w:b/>
          <w:iCs/>
          <w:kern w:val="0"/>
          <w:sz w:val="24"/>
          <w:szCs w:val="24"/>
        </w:rPr>
        <w:t>jačanja kapaciteta</w:t>
      </w:r>
      <w:r w:rsidRPr="00D55F60">
        <w:rPr>
          <w:rFonts w:eastAsia="Calibri" w:cs="Arial"/>
          <w:b/>
          <w:i/>
          <w:iCs/>
          <w:kern w:val="0"/>
          <w:sz w:val="24"/>
          <w:szCs w:val="24"/>
        </w:rPr>
        <w:t>/obuke, zasnovanu na adekvatnoj proc</w:t>
      </w:r>
      <w:r>
        <w:rPr>
          <w:rFonts w:eastAsia="Calibri" w:cs="Arial"/>
          <w:b/>
          <w:i/>
          <w:iCs/>
          <w:kern w:val="0"/>
          <w:sz w:val="24"/>
          <w:szCs w:val="24"/>
        </w:rPr>
        <w:t>j</w:t>
      </w:r>
      <w:r w:rsidRPr="00D55F60">
        <w:rPr>
          <w:rFonts w:eastAsia="Calibri" w:cs="Arial"/>
          <w:b/>
          <w:i/>
          <w:iCs/>
          <w:kern w:val="0"/>
          <w:sz w:val="24"/>
          <w:szCs w:val="24"/>
        </w:rPr>
        <w:t>eni rizika svih uključenih t</w:t>
      </w:r>
      <w:r>
        <w:rPr>
          <w:rFonts w:eastAsia="Calibri" w:cs="Arial"/>
          <w:b/>
          <w:i/>
          <w:iCs/>
          <w:kern w:val="0"/>
          <w:sz w:val="24"/>
          <w:szCs w:val="24"/>
        </w:rPr>
        <w:t>ij</w:t>
      </w:r>
      <w:r w:rsidRPr="00D55F60">
        <w:rPr>
          <w:rFonts w:eastAsia="Calibri" w:cs="Arial"/>
          <w:b/>
          <w:i/>
          <w:iCs/>
          <w:kern w:val="0"/>
          <w:sz w:val="24"/>
          <w:szCs w:val="24"/>
        </w:rPr>
        <w:t>ela (uključujući korisnike tamo gd</w:t>
      </w:r>
      <w:r>
        <w:rPr>
          <w:rFonts w:eastAsia="Calibri" w:cs="Arial"/>
          <w:b/>
          <w:i/>
          <w:iCs/>
          <w:kern w:val="0"/>
          <w:sz w:val="24"/>
          <w:szCs w:val="24"/>
        </w:rPr>
        <w:t>j</w:t>
      </w:r>
      <w:r w:rsidRPr="00D55F60">
        <w:rPr>
          <w:rFonts w:eastAsia="Calibri" w:cs="Arial"/>
          <w:b/>
          <w:i/>
          <w:iCs/>
          <w:kern w:val="0"/>
          <w:sz w:val="24"/>
          <w:szCs w:val="24"/>
        </w:rPr>
        <w:t>e su već identifikovani).</w:t>
      </w:r>
    </w:p>
    <w:p w14:paraId="61DF530F" w14:textId="40ACDB18" w:rsidR="00DD7EEE" w:rsidRPr="00B83578" w:rsidRDefault="009E36FF" w:rsidP="007B6C77">
      <w:pPr>
        <w:pStyle w:val="Heading2"/>
      </w:pPr>
      <w:bookmarkStart w:id="59" w:name="_Toc201700337"/>
      <w:r>
        <w:t>Relevantni zahtjevi Kohezione politike</w:t>
      </w:r>
      <w:bookmarkEnd w:id="59"/>
    </w:p>
    <w:p w14:paraId="46350D3D" w14:textId="45D69872" w:rsidR="00D55F60" w:rsidRDefault="00D55F60" w:rsidP="00D55F60">
      <w:r>
        <w:t xml:space="preserve">Administrativni kapacitet za </w:t>
      </w:r>
      <w:r w:rsidR="007B60BB">
        <w:t>implementaciju</w:t>
      </w:r>
      <w:r>
        <w:t xml:space="preserve"> Fondova predstavlja sveobuhvatan preduslov za države članice prije bilo koje pojedinačne regulative. U tom pogledu, regulatorni okvir predviđa odredbe koje se odnose na unaprjeđenje </w:t>
      </w:r>
      <w:r w:rsidR="000744D1">
        <w:t>administrativnih</w:t>
      </w:r>
      <w:r>
        <w:t xml:space="preserve"> kapaciteta i ciljane mjere </w:t>
      </w:r>
      <w:r w:rsidR="000744D1">
        <w:t>za jačanje</w:t>
      </w:r>
      <w:r>
        <w:t xml:space="preserve"> administrativn</w:t>
      </w:r>
      <w:r w:rsidR="000744D1">
        <w:t>ih</w:t>
      </w:r>
      <w:r>
        <w:t xml:space="preserve"> kapaciteta putem </w:t>
      </w:r>
      <w:r w:rsidR="00F6773D">
        <w:t>tehničke pomoći</w:t>
      </w:r>
      <w:r>
        <w:t xml:space="preserve">, a ne putem izričitih pravnih zahtjeva. Shodno tome, u regulatornom okviru ne postoji naslov niti poseban član pod nazivom Administrativni kapacitet, već su reference rasute po različitim članovima u nekoliko uredbi, kao i u članovima koji se odnose na </w:t>
      </w:r>
      <w:r w:rsidR="00F6773D">
        <w:t>tehničku pomoć</w:t>
      </w:r>
      <w:r>
        <w:t xml:space="preserve">. Pored toga, Sporazum o partnerstvu mora da sadrži sažetak planiranih aktivnosti za jačanje </w:t>
      </w:r>
      <w:r w:rsidR="000744D1">
        <w:t>administrativnih</w:t>
      </w:r>
      <w:r>
        <w:t xml:space="preserve"> kapaciteta za </w:t>
      </w:r>
      <w:r w:rsidR="00A80895">
        <w:t>implementaciju</w:t>
      </w:r>
      <w:r>
        <w:t xml:space="preserve"> fondova obuhvaćenih Sporazumom o partnerstvu (</w:t>
      </w:r>
      <w:r w:rsidR="00CD0020">
        <w:rPr>
          <w:b/>
        </w:rPr>
        <w:t>RZO</w:t>
      </w:r>
      <w:r w:rsidRPr="002C04F3">
        <w:rPr>
          <w:b/>
        </w:rPr>
        <w:t xml:space="preserve"> član 11</w:t>
      </w:r>
      <w:r>
        <w:t>).</w:t>
      </w:r>
    </w:p>
    <w:p w14:paraId="352913B7" w14:textId="02BAD0A4" w:rsidR="00D55F60" w:rsidRDefault="00D55F60" w:rsidP="00D55F60">
      <w:r>
        <w:t xml:space="preserve">Administrativni kapacitet ne odnosi se samo na </w:t>
      </w:r>
      <w:r w:rsidR="005B55A5">
        <w:t>tijela programa</w:t>
      </w:r>
      <w:r>
        <w:t>, već na čitav ekosistem za Fondove, uključujući partnere i podnosioce/primaoce sredstava iz fondova; međutim, oni ni</w:t>
      </w:r>
      <w:r w:rsidR="002C04F3">
        <w:t>je</w:t>
      </w:r>
      <w:r>
        <w:t>su posebno relevantni za ovo završno mjerilo.</w:t>
      </w:r>
    </w:p>
    <w:p w14:paraId="5FBB76BD" w14:textId="45A46DF0" w:rsidR="002C04F3" w:rsidRDefault="00D55F60" w:rsidP="00D55F60">
      <w:r>
        <w:t>Svaki program uključuje sažetak izazova u administrativn</w:t>
      </w:r>
      <w:r w:rsidR="000744D1">
        <w:t>i</w:t>
      </w:r>
      <w:r>
        <w:t>m kapacitet</w:t>
      </w:r>
      <w:r w:rsidR="000744D1">
        <w:t>ima</w:t>
      </w:r>
      <w:r>
        <w:t xml:space="preserve"> i upravljanju, kao i mjera pojednostavljenja (</w:t>
      </w:r>
      <w:r w:rsidR="00CD0020">
        <w:rPr>
          <w:b/>
        </w:rPr>
        <w:t>RZO</w:t>
      </w:r>
      <w:r w:rsidRPr="002C04F3">
        <w:rPr>
          <w:b/>
        </w:rPr>
        <w:t xml:space="preserve"> član 22</w:t>
      </w:r>
      <w:r>
        <w:t xml:space="preserve">). Odbor za </w:t>
      </w:r>
      <w:r w:rsidR="00E26D99" w:rsidRPr="00E26D99">
        <w:t>monitoring</w:t>
      </w:r>
      <w:r>
        <w:t xml:space="preserve"> ispituje napredak u </w:t>
      </w:r>
      <w:r w:rsidR="000744D1">
        <w:t>jačanju</w:t>
      </w:r>
      <w:r>
        <w:t xml:space="preserve"> administrativn</w:t>
      </w:r>
      <w:r w:rsidR="000744D1">
        <w:t>ih</w:t>
      </w:r>
      <w:r>
        <w:t xml:space="preserve"> kapaciteta za javne institucije, partnere i korisnike, gdje je to relevantno (</w:t>
      </w:r>
      <w:r w:rsidR="00CD0020">
        <w:rPr>
          <w:b/>
        </w:rPr>
        <w:t>RZO</w:t>
      </w:r>
      <w:r w:rsidRPr="002C04F3">
        <w:rPr>
          <w:b/>
        </w:rPr>
        <w:t xml:space="preserve"> član 40.1</w:t>
      </w:r>
      <w:r>
        <w:t>).</w:t>
      </w:r>
    </w:p>
    <w:p w14:paraId="46A6799B" w14:textId="5EE7A6FE" w:rsidR="002C04F3" w:rsidRPr="002C04F3" w:rsidRDefault="002C04F3" w:rsidP="002C04F3">
      <w:pPr>
        <w:rPr>
          <w:bCs/>
          <w:kern w:val="0"/>
        </w:rPr>
      </w:pPr>
      <w:r>
        <w:rPr>
          <w:b/>
          <w:bCs/>
          <w:kern w:val="0"/>
        </w:rPr>
        <w:t>Č</w:t>
      </w:r>
      <w:r w:rsidRPr="002C04F3">
        <w:rPr>
          <w:b/>
          <w:bCs/>
          <w:kern w:val="0"/>
        </w:rPr>
        <w:t xml:space="preserve">lan 36 </w:t>
      </w:r>
      <w:r w:rsidR="00CD0020">
        <w:rPr>
          <w:b/>
          <w:bCs/>
          <w:kern w:val="0"/>
        </w:rPr>
        <w:t>RZO</w:t>
      </w:r>
      <w:r w:rsidRPr="002C04F3">
        <w:rPr>
          <w:bCs/>
          <w:kern w:val="0"/>
        </w:rPr>
        <w:t xml:space="preserve"> o </w:t>
      </w:r>
      <w:r w:rsidR="00F6773D">
        <w:rPr>
          <w:bCs/>
          <w:kern w:val="0"/>
        </w:rPr>
        <w:t>tehničkoj pomoći</w:t>
      </w:r>
      <w:r w:rsidRPr="002C04F3">
        <w:rPr>
          <w:bCs/>
          <w:kern w:val="0"/>
        </w:rPr>
        <w:t xml:space="preserve"> država članica pojašnjava da Fondovi mogu podržati aktivnosti neophodne za efikasno upravljanje i korišćenje tih Fondova, uključujući </w:t>
      </w:r>
      <w:r w:rsidR="00C30F51" w:rsidRPr="00C30F51">
        <w:rPr>
          <w:bCs/>
          <w:kern w:val="0"/>
        </w:rPr>
        <w:t>jačanje kapaciteta</w:t>
      </w:r>
      <w:r w:rsidRPr="002C04F3">
        <w:rPr>
          <w:bCs/>
          <w:kern w:val="0"/>
        </w:rPr>
        <w:t xml:space="preserve"> partnera. Dodatne aktivnosti </w:t>
      </w:r>
      <w:r w:rsidR="00F6773D">
        <w:rPr>
          <w:bCs/>
          <w:kern w:val="0"/>
        </w:rPr>
        <w:t>tehničke pomoći</w:t>
      </w:r>
      <w:r w:rsidRPr="002C04F3">
        <w:rPr>
          <w:bCs/>
          <w:kern w:val="0"/>
        </w:rPr>
        <w:t xml:space="preserve"> za jačanje kapaciteta i efikasnosti relevantnih javnih organa i t</w:t>
      </w:r>
      <w:r>
        <w:rPr>
          <w:bCs/>
          <w:kern w:val="0"/>
        </w:rPr>
        <w:t>ij</w:t>
      </w:r>
      <w:r w:rsidRPr="002C04F3">
        <w:rPr>
          <w:bCs/>
          <w:kern w:val="0"/>
        </w:rPr>
        <w:t>ela, korisnika i relevantnih partnera, neophodnih za efikasno upravljanje i korišćenje Fondova, mogu se predložiti kao finansiranje koje nije povezano sa troškovima (</w:t>
      </w:r>
      <w:r w:rsidR="00CD0020">
        <w:rPr>
          <w:b/>
          <w:bCs/>
          <w:kern w:val="0"/>
        </w:rPr>
        <w:t>RZO</w:t>
      </w:r>
      <w:r w:rsidRPr="002C04F3">
        <w:rPr>
          <w:b/>
          <w:bCs/>
          <w:kern w:val="0"/>
        </w:rPr>
        <w:t xml:space="preserve"> </w:t>
      </w:r>
      <w:r>
        <w:rPr>
          <w:b/>
          <w:bCs/>
          <w:kern w:val="0"/>
        </w:rPr>
        <w:t xml:space="preserve">član </w:t>
      </w:r>
      <w:proofErr w:type="gramStart"/>
      <w:r w:rsidRPr="002C04F3">
        <w:rPr>
          <w:b/>
          <w:bCs/>
          <w:kern w:val="0"/>
        </w:rPr>
        <w:t xml:space="preserve">37 </w:t>
      </w:r>
      <w:r w:rsidRPr="002C04F3">
        <w:rPr>
          <w:bCs/>
          <w:kern w:val="0"/>
        </w:rPr>
        <w:t>)</w:t>
      </w:r>
      <w:proofErr w:type="gramEnd"/>
      <w:r w:rsidRPr="002C04F3">
        <w:rPr>
          <w:bCs/>
          <w:kern w:val="0"/>
        </w:rPr>
        <w:t>.</w:t>
      </w:r>
    </w:p>
    <w:p w14:paraId="77A8DA10" w14:textId="64F64D11" w:rsidR="002C04F3" w:rsidRPr="002C04F3" w:rsidRDefault="002C04F3" w:rsidP="002C04F3">
      <w:pPr>
        <w:rPr>
          <w:bCs/>
          <w:kern w:val="0"/>
        </w:rPr>
      </w:pPr>
      <w:r w:rsidRPr="002C04F3">
        <w:rPr>
          <w:bCs/>
          <w:kern w:val="0"/>
        </w:rPr>
        <w:t>Izv</w:t>
      </w:r>
      <w:r>
        <w:rPr>
          <w:bCs/>
          <w:kern w:val="0"/>
        </w:rPr>
        <w:t>j</w:t>
      </w:r>
      <w:r w:rsidRPr="002C04F3">
        <w:rPr>
          <w:bCs/>
          <w:kern w:val="0"/>
        </w:rPr>
        <w:t>eštaji po državama, koji se objavljuju u okviru Evropskog semestra, pružaju preliminarne stavove službi Komisije o prioritetnim oblastima ulaganja i okvirnim uslovima za efikasnu realizaciju u budućoj perspektivi Kohezione politike. Dokument „Evropski semestar 2019: Izv</w:t>
      </w:r>
      <w:r>
        <w:rPr>
          <w:bCs/>
          <w:kern w:val="0"/>
        </w:rPr>
        <w:t>j</w:t>
      </w:r>
      <w:r w:rsidRPr="002C04F3">
        <w:rPr>
          <w:bCs/>
          <w:kern w:val="0"/>
        </w:rPr>
        <w:t xml:space="preserve">eštaji po državama, </w:t>
      </w:r>
      <w:r>
        <w:rPr>
          <w:bCs/>
          <w:kern w:val="0"/>
        </w:rPr>
        <w:t>ANEKS</w:t>
      </w:r>
      <w:r w:rsidRPr="002C04F3">
        <w:rPr>
          <w:bCs/>
          <w:kern w:val="0"/>
        </w:rPr>
        <w:t xml:space="preserve"> D: UPUTSTVA ZA </w:t>
      </w:r>
      <w:r>
        <w:rPr>
          <w:bCs/>
          <w:kern w:val="0"/>
        </w:rPr>
        <w:t>INVESTICIJE</w:t>
      </w:r>
      <w:r w:rsidRPr="002C04F3">
        <w:rPr>
          <w:bCs/>
          <w:kern w:val="0"/>
        </w:rPr>
        <w:t xml:space="preserve"> U OKVIRU FINANSIRANJA KOHEZIONE POLITIKE 2021–2027” sadržao je od</w:t>
      </w:r>
      <w:r>
        <w:rPr>
          <w:bCs/>
          <w:kern w:val="0"/>
        </w:rPr>
        <w:t>j</w:t>
      </w:r>
      <w:r w:rsidRPr="002C04F3">
        <w:rPr>
          <w:bCs/>
          <w:kern w:val="0"/>
        </w:rPr>
        <w:t>eljak o faktorima za efikasnu realizaciju Kohezione politike.</w:t>
      </w:r>
    </w:p>
    <w:p w14:paraId="587FD45A" w14:textId="166545A0" w:rsidR="002C04F3" w:rsidRPr="002C04F3" w:rsidRDefault="002C04F3" w:rsidP="002C04F3">
      <w:pPr>
        <w:rPr>
          <w:bCs/>
          <w:kern w:val="0"/>
        </w:rPr>
      </w:pPr>
      <w:r w:rsidRPr="002C04F3">
        <w:rPr>
          <w:bCs/>
          <w:kern w:val="0"/>
        </w:rPr>
        <w:t xml:space="preserve">Napominje se da su za </w:t>
      </w:r>
      <w:r w:rsidR="000744D1">
        <w:rPr>
          <w:bCs/>
          <w:kern w:val="0"/>
        </w:rPr>
        <w:t>jačanje</w:t>
      </w:r>
      <w:r w:rsidRPr="002C04F3">
        <w:rPr>
          <w:bCs/>
          <w:kern w:val="0"/>
        </w:rPr>
        <w:t xml:space="preserve"> administrativnih kapaciteta izrađene mape puta, koje su pilotirane za perspektivu 2014–2020, a zatim proširene i na period 2021–2027, uključujući mogućnost finansiranja Mape puta za </w:t>
      </w:r>
      <w:r w:rsidR="007B60BB">
        <w:rPr>
          <w:bCs/>
          <w:kern w:val="0"/>
        </w:rPr>
        <w:t>jačanje</w:t>
      </w:r>
      <w:r w:rsidRPr="002C04F3">
        <w:rPr>
          <w:bCs/>
          <w:kern w:val="0"/>
        </w:rPr>
        <w:t xml:space="preserve"> administrativnih kapaciteta putem opcije finansiranja koje nije povezano sa troškovima (Član 37. </w:t>
      </w:r>
      <w:r w:rsidR="00CD0020">
        <w:rPr>
          <w:bCs/>
          <w:kern w:val="0"/>
        </w:rPr>
        <w:t>RZO</w:t>
      </w:r>
      <w:r w:rsidRPr="002C04F3">
        <w:rPr>
          <w:bCs/>
          <w:kern w:val="0"/>
        </w:rPr>
        <w:t xml:space="preserve">), što je predviđeno </w:t>
      </w:r>
      <w:r>
        <w:rPr>
          <w:bCs/>
          <w:kern w:val="0"/>
        </w:rPr>
        <w:t xml:space="preserve">Regulativom o finansiranju Mape puta za </w:t>
      </w:r>
      <w:r w:rsidR="000744D1">
        <w:rPr>
          <w:bCs/>
          <w:kern w:val="0"/>
        </w:rPr>
        <w:t>jačanje</w:t>
      </w:r>
      <w:r>
        <w:rPr>
          <w:bCs/>
          <w:kern w:val="0"/>
        </w:rPr>
        <w:t xml:space="preserve"> administrativnih kapaciteta</w:t>
      </w:r>
      <w:r w:rsidRPr="002C04F3">
        <w:rPr>
          <w:bCs/>
          <w:kern w:val="0"/>
        </w:rPr>
        <w:t>.</w:t>
      </w:r>
    </w:p>
    <w:p w14:paraId="15EE8860" w14:textId="6A0E6A6A" w:rsidR="00DD7EEE" w:rsidRPr="00B83578" w:rsidRDefault="00017758" w:rsidP="007B6C77">
      <w:pPr>
        <w:pStyle w:val="Heading2"/>
      </w:pPr>
      <w:bookmarkStart w:id="60" w:name="_Toc201700338"/>
      <w:r>
        <w:lastRenderedPageBreak/>
        <w:t>Procjena trenutne situacije</w:t>
      </w:r>
      <w:bookmarkEnd w:id="60"/>
      <w:r w:rsidR="00DD7EEE" w:rsidRPr="00B83578">
        <w:t xml:space="preserve"> </w:t>
      </w:r>
    </w:p>
    <w:p w14:paraId="1BEBD74A" w14:textId="34DBCD9B" w:rsidR="002C04F3" w:rsidRDefault="002C04F3" w:rsidP="004F1ACE">
      <w:r w:rsidRPr="002C04F3">
        <w:t xml:space="preserve">Što se tiče administrativnih kapaciteta za pripremu i </w:t>
      </w:r>
      <w:r w:rsidR="007B60BB">
        <w:t>implementaciju</w:t>
      </w:r>
      <w:r w:rsidRPr="002C04F3">
        <w:t xml:space="preserve"> </w:t>
      </w:r>
      <w:r>
        <w:t>Kohezione politike</w:t>
      </w:r>
      <w:r w:rsidRPr="002C04F3">
        <w:t>, Crna Gora nam</w:t>
      </w:r>
      <w:r>
        <w:t>j</w:t>
      </w:r>
      <w:r w:rsidRPr="002C04F3">
        <w:t xml:space="preserve">erava da odgovori na potrebe svih aktera u ekosistemu </w:t>
      </w:r>
      <w:r w:rsidRPr="007B60BB">
        <w:t xml:space="preserve">Kohezione politike, </w:t>
      </w:r>
      <w:r w:rsidR="00402589" w:rsidRPr="007B60BB">
        <w:t>naročito</w:t>
      </w:r>
      <w:r w:rsidRPr="007B60BB">
        <w:t xml:space="preserve"> institucija uključenih u upravljanje fondovima, partnera i (potencijalnih) korisnika. Ovo će se r</w:t>
      </w:r>
      <w:r w:rsidR="00402589" w:rsidRPr="007B60BB">
        <w:t>j</w:t>
      </w:r>
      <w:r w:rsidRPr="007B60BB">
        <w:t>ešavati kroz razvoj Mape puta za jačanje administrativnih kapaciteta, oslanjajući se na pilot akciju o unapr</w:t>
      </w:r>
      <w:r w:rsidR="00402589" w:rsidRPr="007B60BB">
        <w:t>j</w:t>
      </w:r>
      <w:r w:rsidRPr="007B60BB">
        <w:t>eđenju administrativnih kapaciteta u fazi prethodnog pripremanja za period programiranja posl</w:t>
      </w:r>
      <w:r w:rsidR="00402589" w:rsidRPr="007B60BB">
        <w:t>ij</w:t>
      </w:r>
      <w:r w:rsidRPr="007B60BB">
        <w:t>e 2020. godine, koju je sproveo OE</w:t>
      </w:r>
      <w:r w:rsidR="00EA1B2F">
        <w:t>CD</w:t>
      </w:r>
      <w:r w:rsidRPr="007B60BB">
        <w:t xml:space="preserve"> u ime i u bliskom partnerstvu sa DG REGIO, alat</w:t>
      </w:r>
      <w:r w:rsidR="00402589" w:rsidRPr="007B60BB">
        <w:rPr>
          <w:vertAlign w:val="superscript"/>
        </w:rPr>
        <w:footnoteReference w:id="67"/>
      </w:r>
      <w:r w:rsidR="00402589" w:rsidRPr="007B60BB">
        <w:t xml:space="preserve"> </w:t>
      </w:r>
      <w:r w:rsidRPr="007B60BB">
        <w:t xml:space="preserve"> za rukovođenje pripremljen od strane službi Evropske komisije i dobre prakse iz država članica. </w:t>
      </w:r>
      <w:r w:rsidR="007B60BB" w:rsidRPr="007B60BB">
        <w:t>Regulativa</w:t>
      </w:r>
      <w:r w:rsidRPr="007B60BB">
        <w:t xml:space="preserve"> o zajedničkim odredbama (</w:t>
      </w:r>
      <w:r w:rsidR="00CD0020">
        <w:t>RZO</w:t>
      </w:r>
      <w:r w:rsidRPr="007B60BB">
        <w:t>) za period 2021-2027 stavlja veći akcenat na jačanje kapaciteta nego u prethodnim ciklusima programiranja</w:t>
      </w:r>
      <w:r w:rsidRPr="002C04F3">
        <w:t>, podstičući strateškije korišćenje sredstava za m</w:t>
      </w:r>
      <w:r w:rsidR="00402589">
        <w:t>j</w:t>
      </w:r>
      <w:r w:rsidRPr="002C04F3">
        <w:t>ere jačanja kapaciteta.</w:t>
      </w:r>
    </w:p>
    <w:p w14:paraId="79BBBBB8" w14:textId="37F94BB7" w:rsidR="00402589" w:rsidRPr="00402589" w:rsidRDefault="00402589" w:rsidP="00402589">
      <w:pPr>
        <w:rPr>
          <w:rFonts w:eastAsia="Times New Roman"/>
          <w:kern w:val="0"/>
          <w14:ligatures w14:val="none"/>
        </w:rPr>
      </w:pPr>
      <w:r w:rsidRPr="00402589">
        <w:rPr>
          <w:rFonts w:eastAsia="Times New Roman"/>
          <w:kern w:val="0"/>
          <w14:ligatures w14:val="none"/>
        </w:rPr>
        <w:t>Crna Gora je već 2024. godine sprovela pilot projekat zasnovan na kompetencijama za institucije IPA III: prilagođeni Okvir kompetencija koji identifikuje kombinaciju znanja, v</w:t>
      </w:r>
      <w:r>
        <w:rPr>
          <w:rFonts w:eastAsia="Times New Roman"/>
          <w:kern w:val="0"/>
          <w14:ligatures w14:val="none"/>
        </w:rPr>
        <w:t>j</w:t>
      </w:r>
      <w:r w:rsidRPr="00402589">
        <w:rPr>
          <w:rFonts w:eastAsia="Times New Roman"/>
          <w:kern w:val="0"/>
          <w14:ligatures w14:val="none"/>
        </w:rPr>
        <w:t>eština i sposobnosti potrebnih osoblju u IPA institucijama</w:t>
      </w:r>
      <w:r w:rsidR="007B60BB" w:rsidRPr="00B83578">
        <w:rPr>
          <w:rFonts w:eastAsia="Times New Roman"/>
          <w:bCs/>
          <w:vertAlign w:val="superscript"/>
        </w:rPr>
        <w:footnoteReference w:id="68"/>
      </w:r>
      <w:r w:rsidRPr="00402589">
        <w:rPr>
          <w:rFonts w:eastAsia="Times New Roman"/>
          <w:kern w:val="0"/>
          <w14:ligatures w14:val="none"/>
        </w:rPr>
        <w:t xml:space="preserve"> u skladu sa njihovom dod</w:t>
      </w:r>
      <w:r>
        <w:rPr>
          <w:rFonts w:eastAsia="Times New Roman"/>
          <w:kern w:val="0"/>
          <w14:ligatures w14:val="none"/>
        </w:rPr>
        <w:t>ij</w:t>
      </w:r>
      <w:r w:rsidRPr="00402589">
        <w:rPr>
          <w:rFonts w:eastAsia="Times New Roman"/>
          <w:kern w:val="0"/>
          <w14:ligatures w14:val="none"/>
        </w:rPr>
        <w:t>eljenom ulogom i zadacima identifikovanim u važećem pravnom okviru za IPA III. Na osnovu Okvira kompetencija</w:t>
      </w:r>
      <w:r w:rsidRPr="00B83578">
        <w:rPr>
          <w:rFonts w:eastAsia="Times New Roman"/>
          <w:bCs/>
          <w:vertAlign w:val="superscript"/>
        </w:rPr>
        <w:footnoteReference w:id="69"/>
      </w:r>
      <w:r w:rsidRPr="00402589">
        <w:rPr>
          <w:rFonts w:eastAsia="Times New Roman"/>
          <w:kern w:val="0"/>
          <w14:ligatures w14:val="none"/>
        </w:rPr>
        <w:t xml:space="preserve"> pripremljen je </w:t>
      </w:r>
      <w:r>
        <w:rPr>
          <w:rFonts w:eastAsia="Times New Roman"/>
          <w:kern w:val="0"/>
          <w14:ligatures w14:val="none"/>
        </w:rPr>
        <w:t>onlajn</w:t>
      </w:r>
      <w:r w:rsidRPr="00402589">
        <w:rPr>
          <w:rFonts w:eastAsia="Times New Roman"/>
          <w:kern w:val="0"/>
          <w14:ligatures w14:val="none"/>
        </w:rPr>
        <w:t xml:space="preserve"> upitnik za proc</w:t>
      </w:r>
      <w:r>
        <w:rPr>
          <w:rFonts w:eastAsia="Times New Roman"/>
          <w:kern w:val="0"/>
          <w14:ligatures w14:val="none"/>
        </w:rPr>
        <w:t>j</w:t>
      </w:r>
      <w:r w:rsidRPr="00402589">
        <w:rPr>
          <w:rFonts w:eastAsia="Times New Roman"/>
          <w:kern w:val="0"/>
          <w14:ligatures w14:val="none"/>
        </w:rPr>
        <w:t>enu kapaciteta. Analizirani su odgovori i pripremljen Izv</w:t>
      </w:r>
      <w:r>
        <w:rPr>
          <w:rFonts w:eastAsia="Times New Roman"/>
          <w:kern w:val="0"/>
          <w14:ligatures w14:val="none"/>
        </w:rPr>
        <w:t>j</w:t>
      </w:r>
      <w:r w:rsidRPr="00402589">
        <w:rPr>
          <w:rFonts w:eastAsia="Times New Roman"/>
          <w:kern w:val="0"/>
          <w14:ligatures w14:val="none"/>
        </w:rPr>
        <w:t xml:space="preserve">eštaj o analizi potreba za </w:t>
      </w:r>
      <w:r w:rsidR="00671D09">
        <w:rPr>
          <w:rFonts w:eastAsia="Times New Roman"/>
          <w:kern w:val="0"/>
          <w14:ligatures w14:val="none"/>
        </w:rPr>
        <w:t>obukama</w:t>
      </w:r>
      <w:r w:rsidRPr="00402589">
        <w:rPr>
          <w:rFonts w:eastAsia="Times New Roman"/>
          <w:kern w:val="0"/>
          <w14:ligatures w14:val="none"/>
        </w:rPr>
        <w:t xml:space="preserve"> koji je poslužio kao osnova za tri programa za </w:t>
      </w:r>
      <w:r w:rsidR="00C30F51" w:rsidRPr="00C30F51">
        <w:rPr>
          <w:rFonts w:eastAsia="Times New Roman"/>
          <w:kern w:val="0"/>
          <w14:ligatures w14:val="none"/>
        </w:rPr>
        <w:t>jačanje kapaciteta</w:t>
      </w:r>
      <w:r w:rsidRPr="00402589">
        <w:rPr>
          <w:rFonts w:eastAsia="Times New Roman"/>
          <w:kern w:val="0"/>
          <w14:ligatures w14:val="none"/>
        </w:rPr>
        <w:t>:</w:t>
      </w:r>
    </w:p>
    <w:p w14:paraId="321D8053" w14:textId="77777777" w:rsidR="00402589" w:rsidRPr="00402589" w:rsidRDefault="00402589" w:rsidP="00402589">
      <w:pPr>
        <w:rPr>
          <w:rFonts w:eastAsia="Times New Roman"/>
          <w:kern w:val="0"/>
          <w14:ligatures w14:val="none"/>
        </w:rPr>
      </w:pPr>
      <w:r w:rsidRPr="00402589">
        <w:rPr>
          <w:rFonts w:eastAsia="Times New Roman"/>
          <w:kern w:val="0"/>
          <w14:ligatures w14:val="none"/>
        </w:rPr>
        <w:t>a) Uvodni program obuke za IPA III</w:t>
      </w:r>
    </w:p>
    <w:p w14:paraId="30D0BB02" w14:textId="77777777" w:rsidR="00402589" w:rsidRPr="00402589" w:rsidRDefault="00402589" w:rsidP="00402589">
      <w:pPr>
        <w:rPr>
          <w:rFonts w:eastAsia="Times New Roman"/>
          <w:kern w:val="0"/>
          <w14:ligatures w14:val="none"/>
        </w:rPr>
      </w:pPr>
      <w:r w:rsidRPr="00402589">
        <w:rPr>
          <w:rFonts w:eastAsia="Times New Roman"/>
          <w:kern w:val="0"/>
          <w14:ligatures w14:val="none"/>
        </w:rPr>
        <w:t>b) Napredni program obuke za IPA III</w:t>
      </w:r>
    </w:p>
    <w:p w14:paraId="52A300CF" w14:textId="1406E89A" w:rsidR="00402589" w:rsidRPr="00402589" w:rsidRDefault="00402589" w:rsidP="00402589">
      <w:pPr>
        <w:rPr>
          <w:rFonts w:eastAsia="Times New Roman"/>
          <w:kern w:val="0"/>
          <w14:ligatures w14:val="none"/>
        </w:rPr>
      </w:pPr>
      <w:r w:rsidRPr="00402589">
        <w:rPr>
          <w:rFonts w:eastAsia="Times New Roman"/>
          <w:kern w:val="0"/>
          <w14:ligatures w14:val="none"/>
        </w:rPr>
        <w:t xml:space="preserve">c) Uvodni program obuke o </w:t>
      </w:r>
      <w:r>
        <w:rPr>
          <w:rFonts w:eastAsia="Times New Roman"/>
          <w:kern w:val="0"/>
          <w14:ligatures w14:val="none"/>
        </w:rPr>
        <w:t>K</w:t>
      </w:r>
      <w:r w:rsidRPr="00402589">
        <w:rPr>
          <w:rFonts w:eastAsia="Times New Roman"/>
          <w:kern w:val="0"/>
          <w14:ligatures w14:val="none"/>
        </w:rPr>
        <w:t>ohezionoj politici.</w:t>
      </w:r>
    </w:p>
    <w:p w14:paraId="5D262744" w14:textId="5956DC8C" w:rsidR="00402589" w:rsidRDefault="00402589" w:rsidP="00402589">
      <w:pPr>
        <w:rPr>
          <w:rFonts w:eastAsia="Times New Roman"/>
          <w:kern w:val="0"/>
          <w14:ligatures w14:val="none"/>
        </w:rPr>
      </w:pPr>
      <w:r w:rsidRPr="00402589">
        <w:rPr>
          <w:rFonts w:eastAsia="Times New Roman"/>
          <w:kern w:val="0"/>
          <w14:ligatures w14:val="none"/>
        </w:rPr>
        <w:t xml:space="preserve">Prva izdanja Uvodnog i Naprednog programa obuke za IPA su sprovedena za 137 zaposlenih u IPA sistemu, a početak sprovođenja Uvodnog programa obuke o </w:t>
      </w:r>
      <w:r>
        <w:rPr>
          <w:rFonts w:eastAsia="Times New Roman"/>
          <w:kern w:val="0"/>
          <w14:ligatures w14:val="none"/>
        </w:rPr>
        <w:t>K</w:t>
      </w:r>
      <w:r w:rsidRPr="00402589">
        <w:rPr>
          <w:rFonts w:eastAsia="Times New Roman"/>
          <w:kern w:val="0"/>
          <w14:ligatures w14:val="none"/>
        </w:rPr>
        <w:t xml:space="preserve">ohezionoj politici planiran je od marta 2025. godine. Više detalja je dato u </w:t>
      </w:r>
      <w:r>
        <w:rPr>
          <w:rFonts w:eastAsia="Times New Roman"/>
          <w:kern w:val="0"/>
          <w14:ligatures w14:val="none"/>
        </w:rPr>
        <w:t>Aneksu</w:t>
      </w:r>
      <w:r w:rsidRPr="00402589">
        <w:rPr>
          <w:rFonts w:eastAsia="Times New Roman"/>
          <w:kern w:val="0"/>
          <w14:ligatures w14:val="none"/>
        </w:rPr>
        <w:t xml:space="preserve"> III.</w:t>
      </w:r>
    </w:p>
    <w:p w14:paraId="7DEDC7B2" w14:textId="41D49ADD" w:rsidR="00402589" w:rsidRDefault="00402589" w:rsidP="00402589">
      <w:r>
        <w:t xml:space="preserve">U pripremi je Anketa za procjenu kapaciteta za Kohezionu politiku, usmjerena na budućnost, koja će biti upućena osoblju izvan IPA sistema koje radi u državnim organima sa relevantnim nadležnostima za Kohezionu politiku. Ovo će omogućiti kompletan pregled kapaciteta u relevantnim institucijama i obezbijediti osnovu za izradu Mape puta za </w:t>
      </w:r>
      <w:r w:rsidR="000744D1">
        <w:t>jačanje</w:t>
      </w:r>
      <w:r>
        <w:t xml:space="preserve"> administrativnih kapaciteta, kao i specifičnih, naprednijih programa za </w:t>
      </w:r>
      <w:r w:rsidR="00C30F51" w:rsidRPr="00C30F51">
        <w:t>jačanje kapaciteta</w:t>
      </w:r>
      <w:r>
        <w:t>.</w:t>
      </w:r>
    </w:p>
    <w:p w14:paraId="43374625" w14:textId="299B53FE" w:rsidR="00402589" w:rsidRDefault="00402589" w:rsidP="00402589">
      <w:r>
        <w:t>Za informacije o administrativnim kapacitetima javne uprave u celini, lokalnih samouprava i potencijalnih korisnika, pogledajte Poglavlje 3 u Dugoročnom planu</w:t>
      </w:r>
      <w:r w:rsidR="0080778F">
        <w:t xml:space="preserve"> aktivnosti</w:t>
      </w:r>
      <w:r>
        <w:t>.</w:t>
      </w:r>
    </w:p>
    <w:p w14:paraId="78EDF003" w14:textId="5D00CA28" w:rsidR="00DD7EEE" w:rsidRPr="00B83578" w:rsidRDefault="009E36FF" w:rsidP="007B6C77">
      <w:pPr>
        <w:pStyle w:val="Heading2"/>
      </w:pPr>
      <w:bookmarkStart w:id="61" w:name="_Toc201700339"/>
      <w:r>
        <w:t>Izazovi povezani sa implementacijom Završnog mjerila</w:t>
      </w:r>
      <w:r w:rsidR="00DD7EEE" w:rsidRPr="00B83578">
        <w:t xml:space="preserve"> 5</w:t>
      </w:r>
      <w:bookmarkEnd w:id="61"/>
      <w:r w:rsidR="00DD7EEE" w:rsidRPr="00B83578">
        <w:t xml:space="preserve"> </w:t>
      </w:r>
    </w:p>
    <w:p w14:paraId="7002FB91" w14:textId="77777777" w:rsidR="00402589" w:rsidRDefault="00402589" w:rsidP="00402589">
      <w:r>
        <w:t>Identifikovani izazovi su i interni i eksterni.</w:t>
      </w:r>
    </w:p>
    <w:p w14:paraId="3D79CC6F" w14:textId="109306C3" w:rsidR="00402589" w:rsidRDefault="00402589" w:rsidP="00402589">
      <w:r>
        <w:t xml:space="preserve">Kada je riječ o internim izazovima, s obzirom na to da će se </w:t>
      </w:r>
      <w:r w:rsidR="002F67D3">
        <w:t>implementacija</w:t>
      </w:r>
      <w:r>
        <w:t xml:space="preserve"> IPA fondova i Kohezi</w:t>
      </w:r>
      <w:r w:rsidR="002F67D3">
        <w:t>onih</w:t>
      </w:r>
      <w:r>
        <w:t xml:space="preserve"> fondova odvijati paralelno, ključni element biće osmišljavanje Strategij</w:t>
      </w:r>
      <w:r w:rsidR="002F67D3">
        <w:t>e</w:t>
      </w:r>
      <w:r>
        <w:t xml:space="preserve"> organizacionog razvoja (</w:t>
      </w:r>
      <w:r w:rsidR="00C17022">
        <w:t>SOR</w:t>
      </w:r>
      <w:r>
        <w:t>) kako bi se osiguralo da će sve potrebe biti zadovoljene u slučajevima kada su institucije uključene u oba sistema. Dalje, planovi zapošljavanja treba da budu realistični i da uzmu u obzir kompletan programski ciklus sa pravilno postepenim i prilagođenim pristupom. Pretpostavke će morati da se naprave o vrsti i broju m</w:t>
      </w:r>
      <w:r w:rsidR="002F67D3">
        <w:t>j</w:t>
      </w:r>
      <w:r>
        <w:t>era, potencijalnim korisnicima/tipologiji i broju operacija, kao i o posledičnoj analizi opterećenja za svaku instituciju. Takođe, imajući u vidu da je veoma ograničen d</w:t>
      </w:r>
      <w:r w:rsidR="002F67D3">
        <w:t>i</w:t>
      </w:r>
      <w:r>
        <w:t xml:space="preserve">o IPA fondova do sada korišćen za grant šeme </w:t>
      </w:r>
      <w:r w:rsidR="002F67D3">
        <w:t xml:space="preserve">u </w:t>
      </w:r>
      <w:r>
        <w:t>privatnom sektoru, moguće je da će u proces biti uključena nova Posrednička t</w:t>
      </w:r>
      <w:r w:rsidR="002F67D3">
        <w:t>ij</w:t>
      </w:r>
      <w:r>
        <w:t xml:space="preserve">ela bez iskustva u upravljanju EU fondovima; stoga bi u ovakvim slučajevima moglo biti neophodno posebno mentorstvo prilikom izrade odgovarajuće </w:t>
      </w:r>
      <w:r w:rsidR="00C17022">
        <w:t>SOR</w:t>
      </w:r>
      <w:r>
        <w:t>.</w:t>
      </w:r>
    </w:p>
    <w:p w14:paraId="04A48164" w14:textId="3E27A558" w:rsidR="00402589" w:rsidRDefault="00402589" w:rsidP="00402589">
      <w:r>
        <w:t xml:space="preserve">S obzirom na ranu fazu razvoja </w:t>
      </w:r>
      <w:r w:rsidR="00C17022">
        <w:t>SOR</w:t>
      </w:r>
      <w:r w:rsidR="002F67D3">
        <w:t>-a</w:t>
      </w:r>
      <w:r>
        <w:t xml:space="preserve"> u odnosu na izradu programa i identifikaciju m</w:t>
      </w:r>
      <w:r w:rsidR="002F67D3">
        <w:t>j</w:t>
      </w:r>
      <w:r>
        <w:t>era, vrlo je v</w:t>
      </w:r>
      <w:r w:rsidR="002F67D3">
        <w:t>j</w:t>
      </w:r>
      <w:r>
        <w:t>erovatno da bi bilo preuranjeno sprovesti adekvatnu proc</w:t>
      </w:r>
      <w:r w:rsidR="002F67D3">
        <w:t>j</w:t>
      </w:r>
      <w:r>
        <w:t>enu rizika korisnika. Ipak, ovaj aspekt biće razvijen kroz Mapu puta za jačanje administrativnih kapaciteta.</w:t>
      </w:r>
    </w:p>
    <w:p w14:paraId="36047C3F" w14:textId="3AA225EC" w:rsidR="00402589" w:rsidRDefault="00402589" w:rsidP="00402589">
      <w:r>
        <w:lastRenderedPageBreak/>
        <w:t>Glavni eksterni izazov odnosi se na neizv</w:t>
      </w:r>
      <w:r w:rsidR="002F67D3">
        <w:t>j</w:t>
      </w:r>
      <w:r>
        <w:t xml:space="preserve">esnost regulatornog okvira za finansijsku perspektivu 2028–2034, što je već istaknuto </w:t>
      </w:r>
      <w:r w:rsidR="002F67D3">
        <w:t>na drugim mjestima</w:t>
      </w:r>
      <w:r>
        <w:t>.</w:t>
      </w:r>
    </w:p>
    <w:p w14:paraId="7A7FDB4D" w14:textId="77777777" w:rsidR="002F67D3" w:rsidRDefault="00402589" w:rsidP="00402589">
      <w:r>
        <w:t xml:space="preserve">Međutim, kao što je navedeno u Uvodu, polazi se od pretpostavke da bi svi koraci za privremeno zatvaranje trebalo </w:t>
      </w:r>
      <w:r w:rsidR="002F67D3">
        <w:t>biti</w:t>
      </w:r>
      <w:r>
        <w:t xml:space="preserve"> završeni do sredine 2026. godine, što je uzeto u obzir u planiranim aktivnostima u nastavku.</w:t>
      </w:r>
    </w:p>
    <w:p w14:paraId="2AADAA88" w14:textId="64964288" w:rsidR="00DD7EEE" w:rsidRPr="00B83578" w:rsidRDefault="00017758" w:rsidP="007B6C77">
      <w:pPr>
        <w:pStyle w:val="Heading2"/>
      </w:pPr>
      <w:bookmarkStart w:id="62" w:name="_Toc201700340"/>
      <w:r>
        <w:t>Planirane akcije</w:t>
      </w:r>
      <w:bookmarkEnd w:id="62"/>
      <w:r w:rsidR="00DD7EEE" w:rsidRPr="00B83578">
        <w:t xml:space="preserve"> </w:t>
      </w:r>
    </w:p>
    <w:p w14:paraId="6373E292" w14:textId="779748F3" w:rsidR="00DD7EEE" w:rsidRPr="00B83578" w:rsidRDefault="002F67D3" w:rsidP="004F1ACE">
      <w:r>
        <w:t>Naredne ak</w:t>
      </w:r>
      <w:r w:rsidR="007B60BB">
        <w:t>cije</w:t>
      </w:r>
      <w:r>
        <w:t xml:space="preserve"> su planirane kako bi se osigurao zadovoljavajući nivo implementacije Završnog mjerila 5</w:t>
      </w:r>
      <w:r w:rsidR="00DD7EEE" w:rsidRPr="00B83578">
        <w:t>:</w:t>
      </w:r>
    </w:p>
    <w:p w14:paraId="6F4EC1AA" w14:textId="30397AEA" w:rsidR="002F67D3" w:rsidRDefault="00543023" w:rsidP="002F67D3">
      <w:pPr>
        <w:pStyle w:val="Heading3"/>
      </w:pPr>
      <w:bookmarkStart w:id="63" w:name="_Toc201700341"/>
      <w:r>
        <w:t>Akcija</w:t>
      </w:r>
      <w:r w:rsidR="00DD7EEE" w:rsidRPr="00B83578">
        <w:t xml:space="preserve"> </w:t>
      </w:r>
      <w:r w:rsidR="0032369C">
        <w:t>ZM</w:t>
      </w:r>
      <w:r w:rsidR="00DD7EEE" w:rsidRPr="00B83578">
        <w:t xml:space="preserve">5.1 </w:t>
      </w:r>
      <w:r w:rsidR="009E36FF">
        <w:t>Koncept i metodologija za razvoj Mape puta za jačanje administrativnih kapaciteta, uključujući Obrazac za Strategije organizacionog razvoja</w:t>
      </w:r>
      <w:bookmarkEnd w:id="63"/>
    </w:p>
    <w:p w14:paraId="3B688BA6" w14:textId="3CF7D29A" w:rsidR="002F67D3" w:rsidRDefault="002F67D3" w:rsidP="002F67D3">
      <w:r>
        <w:t xml:space="preserve">Na osnovu pilot akcije unaprjeđenja administrativnih kapaciteta sprovedene radi pripreme za programski period post-2020. godine, koju je OECD realizovao u ime i u bliskom partnerstvu sa DG REGIO, kao i na osnovu </w:t>
      </w:r>
      <w:r w:rsidR="00B65807">
        <w:t>alata</w:t>
      </w:r>
      <w:r w:rsidR="00B65807" w:rsidRPr="00B83578">
        <w:rPr>
          <w:rFonts w:eastAsia="Calibri"/>
          <w:vertAlign w:val="superscript"/>
        </w:rPr>
        <w:footnoteReference w:id="70"/>
      </w:r>
      <w:r w:rsidR="00B65807" w:rsidRPr="00B83578">
        <w:rPr>
          <w:rFonts w:eastAsia="Calibri"/>
        </w:rPr>
        <w:t xml:space="preserve"> </w:t>
      </w:r>
      <w:r>
        <w:t xml:space="preserve"> pripremljenog od strane službi Evropske komisije i dobrih praksi iz država članica, biće razvijeni koncept i metodologija za izradu mape puta unaprjeđenja administrativnih kapaciteta, neophodnih za efikasnu upravu i implementaciju EU fondova. Takođe, biće uzeta u obzir i iskustva država članica koje su već razvile svoje Mape puta. Metodologija će se zasnivati na razumijevanju da će predstavnici svih relevantnih zainteresovanih strana biti uključeni u analizu, izradu i </w:t>
      </w:r>
      <w:r w:rsidR="00A80895">
        <w:t>implementaciju</w:t>
      </w:r>
      <w:r>
        <w:t xml:space="preserve"> mape puta, što zahtijeva potpuno preuzimanje odgovornosti od strane cijelog ekosistema Kohezione politike. Metodologija će sadržati detaljan vremenski okvir za izradu Mape puta i pružiti jasne informacije o tome kako će zainteresovane strane biti aktivno uključene tokom čitavog procesa izrade.</w:t>
      </w:r>
    </w:p>
    <w:p w14:paraId="16683C89" w14:textId="44FEA94B" w:rsidR="002F67D3" w:rsidRDefault="002F67D3" w:rsidP="002F67D3">
      <w:r>
        <w:t>Metodologija će uzeti u obzir instrument za samoprocjenu za upravljačka tijela</w:t>
      </w:r>
      <w:r w:rsidR="00B65807" w:rsidRPr="00B83578">
        <w:rPr>
          <w:vertAlign w:val="superscript"/>
        </w:rPr>
        <w:footnoteReference w:id="71"/>
      </w:r>
      <w:r w:rsidR="00B65807" w:rsidRPr="00B83578">
        <w:t xml:space="preserve"> </w:t>
      </w:r>
      <w:r>
        <w:t xml:space="preserve"> koji su razvili OECD i EK, te će pružiti smjernice za njegovu upotrebu, imajući u vidu da su iskustva upravljačkih tijela IPA programa značajno ograničena u poređenju sa odgovornostima upravljačkih tijela Kohezione politike.</w:t>
      </w:r>
    </w:p>
    <w:p w14:paraId="4ECA3D2D" w14:textId="4213123B" w:rsidR="002F67D3" w:rsidRDefault="002F67D3" w:rsidP="002F67D3">
      <w:r>
        <w:t xml:space="preserve">Metodologija će uključiti predloženi obrazac za Strategije organizacionog razvoja za institucije koje su identifikovane kao buduća </w:t>
      </w:r>
      <w:r w:rsidR="005B55A5">
        <w:t>tijela programa</w:t>
      </w:r>
      <w:r>
        <w:t xml:space="preserve"> Kohezione politike.</w:t>
      </w:r>
    </w:p>
    <w:p w14:paraId="7D9B0B86" w14:textId="6ADD3E7E" w:rsidR="00DD7EEE" w:rsidRPr="00B83578" w:rsidRDefault="00543023" w:rsidP="007B6C77">
      <w:pPr>
        <w:pStyle w:val="Heading3"/>
      </w:pPr>
      <w:bookmarkStart w:id="64" w:name="_Toc201700342"/>
      <w:r>
        <w:t>Akcija</w:t>
      </w:r>
      <w:r w:rsidR="00DD7EEE" w:rsidRPr="00B83578">
        <w:t xml:space="preserve"> </w:t>
      </w:r>
      <w:r w:rsidR="0032369C">
        <w:t>ZM</w:t>
      </w:r>
      <w:r w:rsidR="00DD7EEE" w:rsidRPr="00B83578">
        <w:t>.5.2</w:t>
      </w:r>
      <w:r w:rsidR="00DD7EEE" w:rsidRPr="00B83578">
        <w:tab/>
      </w:r>
      <w:r w:rsidR="009E36FF">
        <w:t>Smjernice za izradu Strategija organizacionog razvoja</w:t>
      </w:r>
      <w:bookmarkEnd w:id="64"/>
      <w:r w:rsidR="00DD7EEE" w:rsidRPr="00B83578">
        <w:t xml:space="preserve"> </w:t>
      </w:r>
    </w:p>
    <w:p w14:paraId="40160CB0" w14:textId="2FB1AA20" w:rsidR="00DD7EEE" w:rsidRPr="00B83578" w:rsidRDefault="00B65807" w:rsidP="00E86DC9">
      <w:r w:rsidRPr="00B65807">
        <w:t xml:space="preserve">Biće izrađen vodič za izradu Strategija organizacionog razvoja, zasnovan na obrascu razvijenom u okviru Akcije </w:t>
      </w:r>
      <w:r w:rsidR="0032369C">
        <w:t>ZM</w:t>
      </w:r>
      <w:r w:rsidRPr="00B65807">
        <w:t>.5.1.</w:t>
      </w:r>
      <w:r>
        <w:t xml:space="preserve"> </w:t>
      </w:r>
    </w:p>
    <w:p w14:paraId="28F1A344" w14:textId="00CCC001" w:rsidR="00DD7EEE" w:rsidRPr="00B83578" w:rsidRDefault="00543023" w:rsidP="007B6C77">
      <w:pPr>
        <w:pStyle w:val="Heading3"/>
      </w:pPr>
      <w:bookmarkStart w:id="65" w:name="_Toc201700343"/>
      <w:r>
        <w:t>Akcija</w:t>
      </w:r>
      <w:r w:rsidR="00DD7EEE" w:rsidRPr="00B83578">
        <w:t xml:space="preserve"> </w:t>
      </w:r>
      <w:r w:rsidR="0032369C">
        <w:t>ZM</w:t>
      </w:r>
      <w:r w:rsidR="00DD7EEE" w:rsidRPr="00B83578">
        <w:t>5.3</w:t>
      </w:r>
      <w:r w:rsidR="00DD7EEE" w:rsidRPr="00B83578">
        <w:tab/>
      </w:r>
      <w:r w:rsidR="00893B7C">
        <w:t>Analiza potreba za obukama za institucije identifikovane kao buduća tijela Programa Kohezione politike</w:t>
      </w:r>
      <w:bookmarkEnd w:id="65"/>
      <w:r w:rsidR="00DD7EEE" w:rsidRPr="00B83578">
        <w:t xml:space="preserve"> </w:t>
      </w:r>
    </w:p>
    <w:p w14:paraId="35F0FCC3" w14:textId="6C8A1D54" w:rsidR="00B65807" w:rsidRDefault="00B65807" w:rsidP="00E86DC9">
      <w:r w:rsidRPr="00B65807">
        <w:t>Koristeći pristup zasnovan na kompetencijama i oslanjajući se na pilot</w:t>
      </w:r>
      <w:r>
        <w:t xml:space="preserve"> </w:t>
      </w:r>
      <w:r w:rsidRPr="00B65807">
        <w:t xml:space="preserve">aktivnost koja je već sprovedena za IPA institucije, sprovešće se analize potreba za </w:t>
      </w:r>
      <w:r w:rsidR="00671D09">
        <w:t>obukama</w:t>
      </w:r>
      <w:r w:rsidRPr="00B65807">
        <w:t xml:space="preserve"> za institucije uključene u upravljanje sredstvima Kohezi</w:t>
      </w:r>
      <w:r>
        <w:t>one</w:t>
      </w:r>
      <w:r w:rsidRPr="00B65807">
        <w:t xml:space="preserve"> politike. </w:t>
      </w:r>
    </w:p>
    <w:p w14:paraId="2C79DDB7" w14:textId="5FD312D3" w:rsidR="00B65807" w:rsidRDefault="00B65807" w:rsidP="00E86DC9">
      <w:r w:rsidRPr="00B65807">
        <w:t xml:space="preserve">Pilotirana analiza potreba za </w:t>
      </w:r>
      <w:r w:rsidR="00671D09">
        <w:t>obukama</w:t>
      </w:r>
      <w:r w:rsidRPr="00B65807">
        <w:t xml:space="preserve"> biće prilagođena i proširena na dodatna tijela identifikovana kao ona koja imaju ulogu u upravljanju sredstvima Kohezi</w:t>
      </w:r>
      <w:r>
        <w:t>one</w:t>
      </w:r>
      <w:r w:rsidRPr="00B65807">
        <w:t xml:space="preserve"> politike (vidi Akciju </w:t>
      </w:r>
      <w:r w:rsidR="0032369C">
        <w:t>ZM</w:t>
      </w:r>
      <w:r w:rsidRPr="00B65807">
        <w:t xml:space="preserve">4.2 – Vladin zaključak o institucionalnom ustrojstvu za </w:t>
      </w:r>
      <w:r w:rsidR="007B60BB">
        <w:t>implementaciju</w:t>
      </w:r>
      <w:r w:rsidRPr="00B65807">
        <w:t xml:space="preserve"> Kohezi</w:t>
      </w:r>
      <w:r>
        <w:t>one</w:t>
      </w:r>
      <w:r w:rsidRPr="00B65807">
        <w:t xml:space="preserve"> politike EU) kao i na nov</w:t>
      </w:r>
      <w:r w:rsidR="007B60BB">
        <w:t>o</w:t>
      </w:r>
      <w:r w:rsidRPr="00B65807">
        <w:t>zaposlene u relevantnim IPA institucijama.</w:t>
      </w:r>
    </w:p>
    <w:p w14:paraId="789604FB" w14:textId="12BE7196" w:rsidR="00DD7EEE" w:rsidRPr="00B83578" w:rsidRDefault="00543023" w:rsidP="007B6C77">
      <w:pPr>
        <w:pStyle w:val="Heading3"/>
      </w:pPr>
      <w:bookmarkStart w:id="66" w:name="_Toc201700344"/>
      <w:r>
        <w:t>Akcija</w:t>
      </w:r>
      <w:r w:rsidR="00DD7EEE" w:rsidRPr="00B83578">
        <w:t xml:space="preserve"> </w:t>
      </w:r>
      <w:r w:rsidR="0032369C">
        <w:t>ZM</w:t>
      </w:r>
      <w:r w:rsidR="00DD7EEE" w:rsidRPr="00B83578">
        <w:t>5.4</w:t>
      </w:r>
      <w:r w:rsidR="00DD7EEE" w:rsidRPr="00B83578">
        <w:tab/>
      </w:r>
      <w:r w:rsidR="005536BC">
        <w:t xml:space="preserve">Dizajn Programa za </w:t>
      </w:r>
      <w:r w:rsidR="00C30F51" w:rsidRPr="00C30F51">
        <w:t>jačanje kapaciteta</w:t>
      </w:r>
      <w:r w:rsidR="005536BC">
        <w:t xml:space="preserve"> za institucije koje su identifikovane kao buduća Tijela programa Kohezione politike</w:t>
      </w:r>
      <w:bookmarkEnd w:id="66"/>
      <w:r w:rsidR="00DD7EEE" w:rsidRPr="00B83578">
        <w:t xml:space="preserve"> </w:t>
      </w:r>
    </w:p>
    <w:p w14:paraId="6DF25531" w14:textId="0A76DDB2" w:rsidR="00ED11DB" w:rsidRDefault="00ED11DB" w:rsidP="00E86DC9">
      <w:r w:rsidRPr="00ED11DB">
        <w:t xml:space="preserve">Nakon Analize potreba za </w:t>
      </w:r>
      <w:r w:rsidR="00671D09">
        <w:t>obukama</w:t>
      </w:r>
      <w:r w:rsidRPr="00ED11DB">
        <w:t xml:space="preserve"> (onlajn upitnik zasnovan na kompetencijama) institucija identifikovanih kao uključenih u upravljanje programima Kohezi</w:t>
      </w:r>
      <w:r>
        <w:t>one</w:t>
      </w:r>
      <w:r w:rsidRPr="00ED11DB">
        <w:t xml:space="preserve"> politike (tj. programskih tijela), rezultata diskusija fokus grupa o nalazima i uzimajući u obzir druge raspoložive informacije (uključujući izvještaje revizije, evaluacije </w:t>
      </w:r>
      <w:r w:rsidRPr="00ED11DB">
        <w:lastRenderedPageBreak/>
        <w:t xml:space="preserve">i sl.), biće osmišljen Program </w:t>
      </w:r>
      <w:r w:rsidR="00C30F51" w:rsidRPr="00C30F51">
        <w:t>jačanja kapaciteta</w:t>
      </w:r>
      <w:r w:rsidRPr="00ED11DB">
        <w:t xml:space="preserve"> kao srednj</w:t>
      </w:r>
      <w:r w:rsidR="007B60BB">
        <w:t>e</w:t>
      </w:r>
      <w:r w:rsidRPr="00ED11DB">
        <w:t xml:space="preserve">ročni program predviđen indikativno do privremenog zatvaranja Poglavlja 22; ipak, on će se ažurirati i predstavljati osnovu za Godišnje planove obuka u okviru Mape puta za </w:t>
      </w:r>
      <w:r w:rsidR="007B60BB">
        <w:t>jačanje</w:t>
      </w:r>
      <w:r w:rsidRPr="00ED11DB">
        <w:t xml:space="preserve"> administrativnih kapaciteta (Akcija 3.3). Ovaj program će se nadovezati na već razvijeni Uvodni program za Kohezionu politiku.</w:t>
      </w:r>
    </w:p>
    <w:p w14:paraId="6B2AE465" w14:textId="520DB192" w:rsidR="00DD7EEE" w:rsidRPr="00B83578" w:rsidRDefault="00543023" w:rsidP="007B6C77">
      <w:pPr>
        <w:pStyle w:val="Heading3"/>
      </w:pPr>
      <w:bookmarkStart w:id="67" w:name="_Toc201700345"/>
      <w:r>
        <w:t>Akcija</w:t>
      </w:r>
      <w:r w:rsidR="00DD7EEE" w:rsidRPr="00B83578">
        <w:t xml:space="preserve"> </w:t>
      </w:r>
      <w:r w:rsidR="0032369C">
        <w:t>ZM</w:t>
      </w:r>
      <w:r w:rsidR="00DD7EEE" w:rsidRPr="00B83578">
        <w:t>5.5</w:t>
      </w:r>
      <w:r w:rsidR="00DD7EEE" w:rsidRPr="00B83578">
        <w:tab/>
      </w:r>
      <w:r w:rsidR="005536BC">
        <w:t>Obuka/mentorstvo za izradu strategija organizacionog razvoja</w:t>
      </w:r>
      <w:bookmarkEnd w:id="67"/>
    </w:p>
    <w:p w14:paraId="0CED5AF7" w14:textId="391C6EA6" w:rsidR="00ED11DB" w:rsidRDefault="00ED11DB" w:rsidP="00E86DC9">
      <w:r w:rsidRPr="00ED11DB">
        <w:t xml:space="preserve">Specifične aktivnosti obuke i mentorstva biće sprovedene u relevantnim institucijama radi izrade Strategija organizacionog razvoja, na osnovu vodiča razvijenog u okviru Akcije </w:t>
      </w:r>
      <w:r w:rsidR="0032369C">
        <w:t>ZM</w:t>
      </w:r>
      <w:r w:rsidRPr="00ED11DB">
        <w:t xml:space="preserve">5.2 i izrađenog Programa </w:t>
      </w:r>
      <w:r w:rsidR="00C30F51" w:rsidRPr="00C30F51">
        <w:t>jačanja kapaciteta</w:t>
      </w:r>
      <w:r w:rsidRPr="00ED11DB">
        <w:t>.</w:t>
      </w:r>
    </w:p>
    <w:p w14:paraId="0AF07253" w14:textId="75C365F1" w:rsidR="00DD7EEE" w:rsidRPr="00B83578" w:rsidRDefault="00543023" w:rsidP="007B6C77">
      <w:pPr>
        <w:pStyle w:val="Heading3"/>
      </w:pPr>
      <w:bookmarkStart w:id="68" w:name="_Toc201700346"/>
      <w:r>
        <w:t>Akcija</w:t>
      </w:r>
      <w:r w:rsidR="00DD7EEE" w:rsidRPr="00B83578">
        <w:t xml:space="preserve"> </w:t>
      </w:r>
      <w:r w:rsidR="0032369C">
        <w:t>ZM</w:t>
      </w:r>
      <w:r w:rsidR="00DD7EEE" w:rsidRPr="00B83578">
        <w:t>5.6</w:t>
      </w:r>
      <w:r w:rsidR="00DD7EEE" w:rsidRPr="00B83578">
        <w:tab/>
      </w:r>
      <w:r w:rsidR="005536BC">
        <w:t>Model finansijskih nedostataka</w:t>
      </w:r>
      <w:bookmarkEnd w:id="68"/>
    </w:p>
    <w:p w14:paraId="181FC1DC" w14:textId="5F43DA32" w:rsidR="007D03AC" w:rsidRDefault="007D03AC" w:rsidP="00E86DC9">
      <w:r w:rsidRPr="007D03AC">
        <w:t>Biće pripremljena Analiza finansijsk</w:t>
      </w:r>
      <w:r>
        <w:t>ih nedostataka</w:t>
      </w:r>
      <w:r w:rsidRPr="007D03AC">
        <w:t xml:space="preserve"> zasnovana na pretpostavkama o obimu i visini sredstava Kohezi</w:t>
      </w:r>
      <w:r>
        <w:t>one</w:t>
      </w:r>
      <w:r w:rsidRPr="007D03AC">
        <w:t xml:space="preserve"> politike nakon pristupanja, broju programa i institucionalnom ustrojstvu. Svrha je da se procijene potrebe crnogorskih struktura i </w:t>
      </w:r>
      <w:r w:rsidR="00106577">
        <w:t>tijel</w:t>
      </w:r>
      <w:r w:rsidRPr="007D03AC">
        <w:t>a u pogledu kadra i drugih resursa i da se procijene troškovi za efikasnu i efektivnu pripremu za upravljanje sredstvima Kohezi</w:t>
      </w:r>
      <w:r w:rsidR="00A91838">
        <w:t>one</w:t>
      </w:r>
      <w:r w:rsidRPr="007D03AC">
        <w:t xml:space="preserve"> politike nakon pristupanja, kako bi se obezbijedio nivo pripremljenosti neophodan za punu apsorpciju fondova u skladu sa svim važećim pravilima.</w:t>
      </w:r>
    </w:p>
    <w:p w14:paraId="5A3DAAB3" w14:textId="57116D77" w:rsidR="00DD7EEE" w:rsidRPr="00B83578" w:rsidRDefault="00543023" w:rsidP="007B6C77">
      <w:pPr>
        <w:pStyle w:val="Heading3"/>
      </w:pPr>
      <w:bookmarkStart w:id="69" w:name="_Toc201700347"/>
      <w:r>
        <w:t>Akcija</w:t>
      </w:r>
      <w:r w:rsidR="00DD7EEE" w:rsidRPr="00B83578">
        <w:t xml:space="preserve"> </w:t>
      </w:r>
      <w:r w:rsidR="0032369C">
        <w:t>ZM</w:t>
      </w:r>
      <w:r w:rsidR="00DD7EEE" w:rsidRPr="00B83578">
        <w:t>5.7</w:t>
      </w:r>
      <w:r w:rsidR="00DD7EEE" w:rsidRPr="00B83578">
        <w:tab/>
      </w:r>
      <w:r w:rsidR="005536BC">
        <w:t>Izrada nacrta individualnih strategija organizacionog razvoja za institucije identifikovane kao buduća Tijela programa Kohezione politike</w:t>
      </w:r>
      <w:bookmarkEnd w:id="69"/>
    </w:p>
    <w:p w14:paraId="7E02D9C7" w14:textId="12DD6F1E" w:rsidR="00A91838" w:rsidRDefault="00A91838" w:rsidP="00A91838">
      <w:r>
        <w:t xml:space="preserve">Individualne strategije organizacionog razvoja za institucije identifikovane kao buduća </w:t>
      </w:r>
      <w:r w:rsidR="005B55A5">
        <w:t>tijela programa</w:t>
      </w:r>
      <w:r>
        <w:t xml:space="preserve"> Kohezione politike biće izrađene uzimajući u obzir i Analizu finansijskih nedostataka pripremljenu u okviru </w:t>
      </w:r>
      <w:r w:rsidR="0032369C">
        <w:t>ZM</w:t>
      </w:r>
      <w:r>
        <w:t>5.6, radi planiranja kadrovskih i drugih potrebnih resursa. Planovi kadrova oslanjaće se na predloženi Model finansijskih nedostataka i, gdje je primjenjivo, na planove za efikasan transfer osoblja/ekspertize iz IPA fondova u fondove Kohezione politike, kao i na buduće zapošljavanje.</w:t>
      </w:r>
    </w:p>
    <w:p w14:paraId="70C54D91" w14:textId="4A0B95FF" w:rsidR="00A91838" w:rsidRDefault="00A91838" w:rsidP="00A91838">
      <w:r>
        <w:t xml:space="preserve">Konsultacije će se voditi sa relevantnim resornim ministarstvima, i to: Ministarstvom evropskih poslova – Kancelarija </w:t>
      </w:r>
      <w:r w:rsidR="0086543E" w:rsidRPr="0086543E">
        <w:t>NIPAK</w:t>
      </w:r>
      <w:r>
        <w:t>-a, Ministarstvom javne uprave i Ministarstvom finansija – NAO/upravljačka struktura.</w:t>
      </w:r>
    </w:p>
    <w:p w14:paraId="69D4DFC1" w14:textId="188A3194" w:rsidR="00DD7EEE" w:rsidRPr="00B83578" w:rsidRDefault="00543023" w:rsidP="007B6C77">
      <w:pPr>
        <w:pStyle w:val="Heading3"/>
      </w:pPr>
      <w:bookmarkStart w:id="70" w:name="_Toc201700348"/>
      <w:r>
        <w:t>Akcija</w:t>
      </w:r>
      <w:r w:rsidR="00DD7EEE" w:rsidRPr="00B83578">
        <w:t xml:space="preserve"> </w:t>
      </w:r>
      <w:r w:rsidR="0032369C">
        <w:t>ZM</w:t>
      </w:r>
      <w:r w:rsidR="00DD7EEE" w:rsidRPr="00B83578">
        <w:t>5.8</w:t>
      </w:r>
      <w:r w:rsidR="00DD7EEE" w:rsidRPr="00B83578">
        <w:tab/>
      </w:r>
      <w:r w:rsidR="005536BC">
        <w:t>Usvajanje individualnih strategija organizacionog razvoja od strane budućih TIjela programa</w:t>
      </w:r>
      <w:bookmarkEnd w:id="70"/>
    </w:p>
    <w:p w14:paraId="2698E893" w14:textId="7EAAB9D3" w:rsidR="00DD7EEE" w:rsidRPr="00B83578" w:rsidRDefault="00A91838" w:rsidP="00E86DC9">
      <w:r>
        <w:t xml:space="preserve">Strategije organizacionoh razvoja će biti usvojene od strane institucija identifikovanih kao buduća </w:t>
      </w:r>
      <w:r w:rsidR="005B55A5">
        <w:t>tijela programa</w:t>
      </w:r>
      <w:r>
        <w:t xml:space="preserve"> Kohezione politike. </w:t>
      </w:r>
    </w:p>
    <w:p w14:paraId="52E34D4E" w14:textId="70BC7EB9" w:rsidR="002773A0" w:rsidRPr="00A35E9A" w:rsidRDefault="001D692B" w:rsidP="002773A0">
      <w:pPr>
        <w:keepNext/>
        <w:spacing w:before="200" w:after="0"/>
        <w:rPr>
          <w:rFonts w:eastAsia="Calibri" w:cs="Arial"/>
          <w:i/>
          <w:iCs/>
          <w:color w:val="44546A"/>
          <w:sz w:val="18"/>
          <w:szCs w:val="18"/>
        </w:rPr>
      </w:pPr>
      <w:bookmarkStart w:id="71" w:name="_Toc193895449"/>
      <w:r>
        <w:rPr>
          <w:rFonts w:cs="Arial"/>
          <w:i/>
          <w:iCs/>
          <w:color w:val="0E2841" w:themeColor="text2"/>
          <w:sz w:val="18"/>
          <w:szCs w:val="18"/>
        </w:rPr>
        <w:t>Tabela</w:t>
      </w:r>
      <w:r w:rsidR="002773A0" w:rsidRPr="00A35E9A">
        <w:rPr>
          <w:rFonts w:cs="Arial"/>
          <w:i/>
          <w:iCs/>
          <w:color w:val="0E2841" w:themeColor="text2"/>
          <w:sz w:val="18"/>
          <w:szCs w:val="18"/>
        </w:rPr>
        <w:t xml:space="preserve"> </w:t>
      </w:r>
      <w:r w:rsidR="002773A0">
        <w:rPr>
          <w:rFonts w:cs="Arial"/>
          <w:i/>
          <w:iCs/>
          <w:color w:val="0E2841" w:themeColor="text2"/>
          <w:sz w:val="18"/>
          <w:szCs w:val="18"/>
        </w:rPr>
        <w:t xml:space="preserve">5. </w:t>
      </w:r>
      <w:r w:rsidR="00C17022">
        <w:rPr>
          <w:i/>
          <w:iCs/>
          <w:sz w:val="18"/>
          <w:szCs w:val="18"/>
        </w:rPr>
        <w:t>MP</w:t>
      </w:r>
      <w:r w:rsidR="002773A0" w:rsidRPr="00A35E9A">
        <w:rPr>
          <w:rFonts w:cs="Arial"/>
          <w:i/>
          <w:iCs/>
          <w:color w:val="0E2841" w:themeColor="text2"/>
          <w:sz w:val="18"/>
          <w:szCs w:val="18"/>
        </w:rPr>
        <w:fldChar w:fldCharType="begin"/>
      </w:r>
      <w:r w:rsidR="002773A0" w:rsidRPr="00A35E9A">
        <w:rPr>
          <w:rFonts w:cs="Arial"/>
          <w:i/>
          <w:iCs/>
          <w:color w:val="0E2841" w:themeColor="text2"/>
          <w:sz w:val="18"/>
          <w:szCs w:val="18"/>
        </w:rPr>
        <w:instrText xml:space="preserve"> SEQ Table \* ARABIC </w:instrText>
      </w:r>
      <w:r w:rsidR="002773A0" w:rsidRPr="00A35E9A">
        <w:rPr>
          <w:rFonts w:cs="Arial"/>
          <w:i/>
          <w:iCs/>
          <w:color w:val="0E2841" w:themeColor="text2"/>
          <w:sz w:val="18"/>
          <w:szCs w:val="18"/>
        </w:rPr>
        <w:fldChar w:fldCharType="separate"/>
      </w:r>
      <w:r w:rsidR="003C2962">
        <w:rPr>
          <w:rFonts w:cs="Arial"/>
          <w:i/>
          <w:iCs/>
          <w:noProof/>
          <w:color w:val="0E2841" w:themeColor="text2"/>
          <w:sz w:val="18"/>
          <w:szCs w:val="18"/>
        </w:rPr>
        <w:t>5</w:t>
      </w:r>
      <w:r w:rsidR="002773A0" w:rsidRPr="00A35E9A">
        <w:rPr>
          <w:rFonts w:cs="Arial"/>
          <w:i/>
          <w:iCs/>
          <w:color w:val="0E2841" w:themeColor="text2"/>
          <w:sz w:val="18"/>
          <w:szCs w:val="18"/>
        </w:rPr>
        <w:fldChar w:fldCharType="end"/>
      </w:r>
      <w:r w:rsidR="002773A0" w:rsidRPr="00A35E9A">
        <w:rPr>
          <w:rFonts w:cs="Arial"/>
          <w:i/>
          <w:iCs/>
          <w:color w:val="0E2841" w:themeColor="text2"/>
          <w:sz w:val="18"/>
          <w:szCs w:val="18"/>
        </w:rPr>
        <w:t xml:space="preserve">: </w:t>
      </w:r>
      <w:r w:rsidR="00017758">
        <w:rPr>
          <w:rFonts w:cs="Arial"/>
          <w:i/>
          <w:iCs/>
          <w:color w:val="0E2841" w:themeColor="text2"/>
          <w:sz w:val="18"/>
          <w:szCs w:val="18"/>
        </w:rPr>
        <w:t>Planirane akcije za zatvaranje Završnog mjerila</w:t>
      </w:r>
      <w:r w:rsidR="002773A0" w:rsidRPr="00A35E9A">
        <w:rPr>
          <w:rFonts w:eastAsia="Calibri" w:cs="Arial"/>
          <w:i/>
          <w:iCs/>
          <w:color w:val="44546A"/>
          <w:sz w:val="18"/>
          <w:szCs w:val="18"/>
        </w:rPr>
        <w:t xml:space="preserve"> 5</w:t>
      </w:r>
      <w:bookmarkEnd w:id="71"/>
    </w:p>
    <w:tbl>
      <w:tblPr>
        <w:tblStyle w:val="GridTable5Dark-Accent11"/>
        <w:tblW w:w="5000" w:type="pct"/>
        <w:tblInd w:w="0" w:type="dxa"/>
        <w:tblLook w:val="04A0" w:firstRow="1" w:lastRow="0" w:firstColumn="1" w:lastColumn="0" w:noHBand="0" w:noVBand="1"/>
      </w:tblPr>
      <w:tblGrid>
        <w:gridCol w:w="823"/>
        <w:gridCol w:w="1304"/>
        <w:gridCol w:w="1200"/>
        <w:gridCol w:w="862"/>
        <w:gridCol w:w="1142"/>
        <w:gridCol w:w="868"/>
        <w:gridCol w:w="872"/>
        <w:gridCol w:w="1551"/>
        <w:gridCol w:w="728"/>
      </w:tblGrid>
      <w:tr w:rsidR="00745C56" w:rsidRPr="00745C56" w14:paraId="15B23F6D" w14:textId="77777777" w:rsidTr="00745C56">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66" w:type="pct"/>
            <w:hideMark/>
          </w:tcPr>
          <w:p w14:paraId="412761CA" w14:textId="30D3D2C1" w:rsidR="00745C56" w:rsidRPr="00745C56" w:rsidRDefault="00543023" w:rsidP="00745C56">
            <w:pPr>
              <w:spacing w:after="0"/>
              <w:jc w:val="left"/>
              <w:rPr>
                <w:rFonts w:eastAsia="Times New Roman"/>
                <w:kern w:val="0"/>
                <w:sz w:val="14"/>
                <w:szCs w:val="14"/>
                <w:lang w:eastAsia="en-GB"/>
                <w14:ligatures w14:val="none"/>
              </w:rPr>
            </w:pPr>
            <w:r>
              <w:rPr>
                <w:rFonts w:eastAsia="Times New Roman"/>
                <w:kern w:val="0"/>
                <w:sz w:val="14"/>
                <w:szCs w:val="14"/>
                <w:lang w:eastAsia="en-GB"/>
                <w14:ligatures w14:val="none"/>
              </w:rPr>
              <w:t>Kod akcije</w:t>
            </w:r>
          </w:p>
        </w:tc>
        <w:tc>
          <w:tcPr>
            <w:tcW w:w="669" w:type="pct"/>
            <w:hideMark/>
          </w:tcPr>
          <w:p w14:paraId="1EDF509C" w14:textId="43B4FE01" w:rsidR="00745C56" w:rsidRPr="00745C56" w:rsidRDefault="00543023" w:rsidP="00745C56">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Naziv akcije</w:t>
            </w:r>
          </w:p>
        </w:tc>
        <w:tc>
          <w:tcPr>
            <w:tcW w:w="660" w:type="pct"/>
            <w:hideMark/>
          </w:tcPr>
          <w:p w14:paraId="78243C6C" w14:textId="7DE054D5" w:rsidR="00745C56" w:rsidRPr="00745C56" w:rsidRDefault="0013334C" w:rsidP="00745C56">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Nadležnost</w:t>
            </w:r>
          </w:p>
        </w:tc>
        <w:tc>
          <w:tcPr>
            <w:tcW w:w="408" w:type="pct"/>
            <w:hideMark/>
          </w:tcPr>
          <w:p w14:paraId="212EED94" w14:textId="1C046E5A" w:rsidR="00745C56" w:rsidRPr="00745C56" w:rsidRDefault="0013334C" w:rsidP="00745C56">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Raspored</w:t>
            </w:r>
          </w:p>
        </w:tc>
        <w:tc>
          <w:tcPr>
            <w:tcW w:w="644" w:type="pct"/>
            <w:hideMark/>
          </w:tcPr>
          <w:p w14:paraId="205D0170" w14:textId="0337E031" w:rsidR="00745C56" w:rsidRPr="00745C56" w:rsidRDefault="0013334C" w:rsidP="00745C56">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Indikator</w:t>
            </w:r>
            <w:r w:rsidR="00745C56" w:rsidRPr="00745C56">
              <w:rPr>
                <w:rFonts w:eastAsia="Times New Roman"/>
                <w:kern w:val="0"/>
                <w:sz w:val="14"/>
                <w:szCs w:val="14"/>
                <w:lang w:eastAsia="en-GB"/>
                <w14:ligatures w14:val="none"/>
              </w:rPr>
              <w:t xml:space="preserve"> </w:t>
            </w:r>
          </w:p>
        </w:tc>
        <w:tc>
          <w:tcPr>
            <w:tcW w:w="391" w:type="pct"/>
            <w:hideMark/>
          </w:tcPr>
          <w:p w14:paraId="2B0CE1C8" w14:textId="5F734090" w:rsidR="00745C56" w:rsidRPr="00745C56" w:rsidRDefault="00683B6B" w:rsidP="00745C56">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Vrsta</w:t>
            </w:r>
          </w:p>
        </w:tc>
        <w:tc>
          <w:tcPr>
            <w:tcW w:w="492" w:type="pct"/>
            <w:hideMark/>
          </w:tcPr>
          <w:p w14:paraId="283E830F" w14:textId="2948283B" w:rsidR="00745C56" w:rsidRPr="00745C56" w:rsidRDefault="00683B6B" w:rsidP="00745C56">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Resursi</w:t>
            </w:r>
          </w:p>
        </w:tc>
        <w:tc>
          <w:tcPr>
            <w:tcW w:w="855" w:type="pct"/>
            <w:hideMark/>
          </w:tcPr>
          <w:p w14:paraId="0136A248" w14:textId="5A21896A" w:rsidR="00745C56" w:rsidRPr="00745C56" w:rsidRDefault="00683B6B" w:rsidP="00745C56">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Napomene</w:t>
            </w:r>
          </w:p>
        </w:tc>
        <w:tc>
          <w:tcPr>
            <w:tcW w:w="416" w:type="pct"/>
            <w:hideMark/>
          </w:tcPr>
          <w:p w14:paraId="27FC50BE" w14:textId="6C569FEE" w:rsidR="00745C56" w:rsidRPr="00745C56" w:rsidRDefault="00A067C3" w:rsidP="00745C56">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DAP</w:t>
            </w:r>
            <w:r w:rsidR="007029BB">
              <w:rPr>
                <w:rFonts w:eastAsia="Times New Roman"/>
                <w:kern w:val="0"/>
                <w:sz w:val="14"/>
                <w:szCs w:val="14"/>
                <w:lang w:eastAsia="en-GB"/>
                <w14:ligatures w14:val="none"/>
              </w:rPr>
              <w:t xml:space="preserve"> oznaka</w:t>
            </w:r>
          </w:p>
        </w:tc>
      </w:tr>
      <w:tr w:rsidR="00745C56" w:rsidRPr="00745C56" w14:paraId="6B1785E7" w14:textId="77777777" w:rsidTr="00745C56">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466" w:type="pct"/>
            <w:hideMark/>
          </w:tcPr>
          <w:p w14:paraId="7237F2A0" w14:textId="7DB5B39D" w:rsidR="00745C56" w:rsidRPr="00745C56" w:rsidRDefault="0032369C" w:rsidP="00745C56">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45C56" w:rsidRPr="00745C56">
              <w:rPr>
                <w:rFonts w:ascii="Aptos" w:eastAsia="Times New Roman" w:hAnsi="Aptos"/>
                <w:kern w:val="0"/>
                <w:sz w:val="14"/>
                <w:szCs w:val="14"/>
                <w:lang w:eastAsia="en-GB"/>
                <w14:ligatures w14:val="none"/>
              </w:rPr>
              <w:t>.5.01.</w:t>
            </w:r>
          </w:p>
        </w:tc>
        <w:tc>
          <w:tcPr>
            <w:tcW w:w="669" w:type="pct"/>
            <w:hideMark/>
          </w:tcPr>
          <w:p w14:paraId="6763EB42" w14:textId="5645610D" w:rsidR="00745C56" w:rsidRPr="00745C56" w:rsidRDefault="00543023"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Koncept i metodologija za Razvoj mape puta za </w:t>
            </w:r>
            <w:r w:rsidR="000744D1">
              <w:rPr>
                <w:rFonts w:ascii="Aptos" w:eastAsia="Times New Roman" w:hAnsi="Aptos"/>
                <w:kern w:val="0"/>
                <w:sz w:val="14"/>
                <w:szCs w:val="14"/>
                <w:lang w:eastAsia="en-GB"/>
                <w14:ligatures w14:val="none"/>
              </w:rPr>
              <w:t>jačanje</w:t>
            </w:r>
            <w:r>
              <w:rPr>
                <w:rFonts w:ascii="Aptos" w:eastAsia="Times New Roman" w:hAnsi="Aptos"/>
                <w:kern w:val="0"/>
                <w:sz w:val="14"/>
                <w:szCs w:val="14"/>
                <w:lang w:eastAsia="en-GB"/>
                <w14:ligatures w14:val="none"/>
              </w:rPr>
              <w:t xml:space="preserve"> administrativnih kapaciteta</w:t>
            </w:r>
          </w:p>
        </w:tc>
        <w:tc>
          <w:tcPr>
            <w:tcW w:w="660" w:type="pct"/>
            <w:hideMark/>
          </w:tcPr>
          <w:p w14:paraId="7F452042" w14:textId="3C9DCA69" w:rsidR="00745C56" w:rsidRPr="00745C56" w:rsidRDefault="006D6E25"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45C56" w:rsidRPr="00745C56">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Ministarstvo Finansija - NAO/Upravljačka struktura</w:t>
            </w:r>
            <w:r w:rsidR="00745C56" w:rsidRPr="00745C56">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408" w:type="pct"/>
            <w:hideMark/>
          </w:tcPr>
          <w:p w14:paraId="19F389A7" w14:textId="32CA3F0F" w:rsidR="00745C56" w:rsidRPr="00745C56" w:rsidRDefault="00745C56" w:rsidP="00745C56">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745C56">
              <w:rPr>
                <w:rFonts w:ascii="Aptos" w:eastAsia="Times New Roman" w:hAnsi="Aptos"/>
                <w:kern w:val="0"/>
                <w:sz w:val="14"/>
                <w:szCs w:val="14"/>
                <w:lang w:eastAsia="en-GB"/>
                <w14:ligatures w14:val="none"/>
              </w:rPr>
              <w:t>2</w:t>
            </w:r>
          </w:p>
        </w:tc>
        <w:tc>
          <w:tcPr>
            <w:tcW w:w="644" w:type="pct"/>
            <w:hideMark/>
          </w:tcPr>
          <w:p w14:paraId="2EF480F1" w14:textId="601CA91E" w:rsidR="00745C56" w:rsidRPr="00745C56" w:rsidRDefault="007029BB"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Koncept i metodologija su razmatrani i usvojeni od strane Radne grupe za Poglavlje 22.</w:t>
            </w:r>
          </w:p>
        </w:tc>
        <w:tc>
          <w:tcPr>
            <w:tcW w:w="391" w:type="pct"/>
            <w:hideMark/>
          </w:tcPr>
          <w:p w14:paraId="75037D02" w14:textId="68C3DBA0" w:rsidR="00745C56" w:rsidRPr="00745C56" w:rsidRDefault="0013334C"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92" w:type="pct"/>
            <w:hideMark/>
          </w:tcPr>
          <w:p w14:paraId="21DF9F4D" w14:textId="45D47093" w:rsidR="00745C56" w:rsidRPr="00745C56" w:rsidRDefault="00720740"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55" w:type="pct"/>
            <w:hideMark/>
          </w:tcPr>
          <w:p w14:paraId="1AEF2444" w14:textId="77777777" w:rsidR="00745C56" w:rsidRPr="00745C56" w:rsidRDefault="00745C56"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16" w:type="pct"/>
            <w:hideMark/>
          </w:tcPr>
          <w:p w14:paraId="634F0FA1" w14:textId="77777777" w:rsidR="00745C56" w:rsidRPr="00745C56" w:rsidRDefault="00745C56"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3.01.</w:t>
            </w:r>
          </w:p>
        </w:tc>
      </w:tr>
      <w:tr w:rsidR="00745C56" w:rsidRPr="00745C56" w14:paraId="6F41AEC8" w14:textId="77777777" w:rsidTr="00745C56">
        <w:trPr>
          <w:trHeight w:val="1920"/>
        </w:trPr>
        <w:tc>
          <w:tcPr>
            <w:cnfStyle w:val="001000000000" w:firstRow="0" w:lastRow="0" w:firstColumn="1" w:lastColumn="0" w:oddVBand="0" w:evenVBand="0" w:oddHBand="0" w:evenHBand="0" w:firstRowFirstColumn="0" w:firstRowLastColumn="0" w:lastRowFirstColumn="0" w:lastRowLastColumn="0"/>
            <w:tcW w:w="466" w:type="pct"/>
            <w:hideMark/>
          </w:tcPr>
          <w:p w14:paraId="0078D6C6" w14:textId="4A2FA0BB" w:rsidR="00745C56" w:rsidRPr="00745C56" w:rsidRDefault="0032369C" w:rsidP="00745C56">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lastRenderedPageBreak/>
              <w:t>ZM</w:t>
            </w:r>
            <w:r w:rsidR="00745C56" w:rsidRPr="00745C56">
              <w:rPr>
                <w:rFonts w:ascii="Aptos" w:eastAsia="Times New Roman" w:hAnsi="Aptos"/>
                <w:kern w:val="0"/>
                <w:sz w:val="14"/>
                <w:szCs w:val="14"/>
                <w:lang w:eastAsia="en-GB"/>
                <w14:ligatures w14:val="none"/>
              </w:rPr>
              <w:t>.5.02.</w:t>
            </w:r>
          </w:p>
        </w:tc>
        <w:tc>
          <w:tcPr>
            <w:tcW w:w="669" w:type="pct"/>
            <w:hideMark/>
          </w:tcPr>
          <w:p w14:paraId="36D4141D" w14:textId="63FC6B70" w:rsidR="00745C56" w:rsidRPr="00745C56" w:rsidRDefault="009E36FF"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Smjernice za izradu Strategija organizacionog razvoja</w:t>
            </w:r>
            <w:r w:rsidR="00745C56" w:rsidRPr="00745C56">
              <w:rPr>
                <w:rFonts w:ascii="Aptos" w:eastAsia="Times New Roman" w:hAnsi="Aptos"/>
                <w:kern w:val="0"/>
                <w:sz w:val="14"/>
                <w:szCs w:val="14"/>
                <w:lang w:eastAsia="en-GB"/>
                <w14:ligatures w14:val="none"/>
              </w:rPr>
              <w:t xml:space="preserve"> </w:t>
            </w:r>
          </w:p>
        </w:tc>
        <w:tc>
          <w:tcPr>
            <w:tcW w:w="660" w:type="pct"/>
            <w:hideMark/>
          </w:tcPr>
          <w:p w14:paraId="0114807F" w14:textId="319F0170" w:rsidR="00745C56" w:rsidRPr="00745C56" w:rsidRDefault="006D6E25"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08" w:type="pct"/>
            <w:hideMark/>
          </w:tcPr>
          <w:p w14:paraId="0A922C8E" w14:textId="5B87E35F" w:rsidR="00745C56" w:rsidRPr="00745C56" w:rsidRDefault="00745C56" w:rsidP="00745C56">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45C56">
              <w:rPr>
                <w:rFonts w:ascii="Aptos" w:eastAsia="Times New Roman" w:hAnsi="Aptos"/>
                <w:kern w:val="0"/>
                <w:sz w:val="14"/>
                <w:szCs w:val="14"/>
                <w:lang w:eastAsia="en-GB"/>
                <w14:ligatures w14:val="none"/>
              </w:rPr>
              <w:t>1</w:t>
            </w:r>
          </w:p>
        </w:tc>
        <w:tc>
          <w:tcPr>
            <w:tcW w:w="644" w:type="pct"/>
            <w:hideMark/>
          </w:tcPr>
          <w:p w14:paraId="24C401B4" w14:textId="4D3988A7" w:rsidR="00745C56" w:rsidRPr="00745C56" w:rsidRDefault="00130A44"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Uputstvo za korišćenje šablona Strategije organizacionog razvoja.</w:t>
            </w:r>
          </w:p>
        </w:tc>
        <w:tc>
          <w:tcPr>
            <w:tcW w:w="391" w:type="pct"/>
            <w:hideMark/>
          </w:tcPr>
          <w:p w14:paraId="0E822BA0" w14:textId="4F2CB7E7" w:rsidR="00745C56" w:rsidRPr="00745C56" w:rsidRDefault="0013334C"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92" w:type="pct"/>
            <w:hideMark/>
          </w:tcPr>
          <w:p w14:paraId="32D0510F" w14:textId="6178289A" w:rsidR="00745C56" w:rsidRPr="00745C56" w:rsidRDefault="00720740"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55" w:type="pct"/>
            <w:hideMark/>
          </w:tcPr>
          <w:p w14:paraId="7CC289EB" w14:textId="77777777" w:rsidR="00745C56" w:rsidRPr="00745C56" w:rsidRDefault="00745C56"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16" w:type="pct"/>
            <w:hideMark/>
          </w:tcPr>
          <w:p w14:paraId="4E320048" w14:textId="77777777" w:rsidR="00745C56" w:rsidRPr="00745C56" w:rsidRDefault="00745C56"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3.02.</w:t>
            </w:r>
          </w:p>
        </w:tc>
      </w:tr>
      <w:tr w:rsidR="00745C56" w:rsidRPr="00745C56" w14:paraId="333E77E8" w14:textId="77777777" w:rsidTr="00745C56">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466" w:type="pct"/>
            <w:hideMark/>
          </w:tcPr>
          <w:p w14:paraId="45DB2CB0" w14:textId="52AAC036" w:rsidR="00745C56" w:rsidRPr="00745C56" w:rsidRDefault="0032369C" w:rsidP="00745C56">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45C56" w:rsidRPr="00745C56">
              <w:rPr>
                <w:rFonts w:ascii="Aptos" w:eastAsia="Times New Roman" w:hAnsi="Aptos"/>
                <w:kern w:val="0"/>
                <w:sz w:val="14"/>
                <w:szCs w:val="14"/>
                <w:lang w:eastAsia="en-GB"/>
                <w14:ligatures w14:val="none"/>
              </w:rPr>
              <w:t>.5.03.</w:t>
            </w:r>
          </w:p>
        </w:tc>
        <w:tc>
          <w:tcPr>
            <w:tcW w:w="669" w:type="pct"/>
            <w:hideMark/>
          </w:tcPr>
          <w:p w14:paraId="044E237F" w14:textId="721A40DE" w:rsidR="00745C56" w:rsidRPr="00745C56" w:rsidRDefault="00543023"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Analiza potreba za obukom za Ekosistem Kohezione politike</w:t>
            </w:r>
          </w:p>
        </w:tc>
        <w:tc>
          <w:tcPr>
            <w:tcW w:w="660" w:type="pct"/>
            <w:hideMark/>
          </w:tcPr>
          <w:p w14:paraId="44B48485" w14:textId="70F08D75" w:rsidR="00745C56" w:rsidRPr="00745C56" w:rsidRDefault="006D6E25"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45C56" w:rsidRPr="00745C56">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
        </w:tc>
        <w:tc>
          <w:tcPr>
            <w:tcW w:w="408" w:type="pct"/>
            <w:hideMark/>
          </w:tcPr>
          <w:p w14:paraId="5C4CC3CC" w14:textId="05C58FA6" w:rsidR="00745C56" w:rsidRPr="00745C56" w:rsidRDefault="00745C56" w:rsidP="00745C56">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45C56">
              <w:rPr>
                <w:rFonts w:ascii="Aptos" w:eastAsia="Times New Roman" w:hAnsi="Aptos"/>
                <w:kern w:val="0"/>
                <w:sz w:val="14"/>
                <w:szCs w:val="14"/>
                <w:lang w:eastAsia="en-GB"/>
                <w14:ligatures w14:val="none"/>
              </w:rPr>
              <w:t>1</w:t>
            </w:r>
          </w:p>
        </w:tc>
        <w:tc>
          <w:tcPr>
            <w:tcW w:w="644" w:type="pct"/>
            <w:hideMark/>
          </w:tcPr>
          <w:p w14:paraId="08004F04" w14:textId="57A62CBC" w:rsidR="00745C56" w:rsidRPr="00745C56" w:rsidRDefault="00130A44"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TNA izvještaj za Tijela programa.</w:t>
            </w:r>
          </w:p>
        </w:tc>
        <w:tc>
          <w:tcPr>
            <w:tcW w:w="391" w:type="pct"/>
            <w:hideMark/>
          </w:tcPr>
          <w:p w14:paraId="0EE40122" w14:textId="3D686CBA" w:rsidR="00745C56" w:rsidRPr="00745C56" w:rsidRDefault="0013334C"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92" w:type="pct"/>
            <w:hideMark/>
          </w:tcPr>
          <w:p w14:paraId="5C0C1D10" w14:textId="668C8BE9" w:rsidR="00745C56" w:rsidRPr="00745C56" w:rsidRDefault="00720740"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55" w:type="pct"/>
            <w:hideMark/>
          </w:tcPr>
          <w:p w14:paraId="57C3D2FE" w14:textId="07C36272" w:rsidR="00745C56" w:rsidRPr="00745C56" w:rsidRDefault="007029BB"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Ekosistem se sastoji od 3 grupe: 1) Institucije uključene u upravljanje sredstvima (buduća Tijela progrma) 2) Partneri; 3) Korisnici.</w:t>
            </w:r>
          </w:p>
        </w:tc>
        <w:tc>
          <w:tcPr>
            <w:tcW w:w="416" w:type="pct"/>
            <w:hideMark/>
          </w:tcPr>
          <w:p w14:paraId="0E822E7F" w14:textId="77777777" w:rsidR="00745C56" w:rsidRPr="00745C56" w:rsidRDefault="00745C56"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3.03.</w:t>
            </w:r>
          </w:p>
        </w:tc>
      </w:tr>
      <w:tr w:rsidR="00745C56" w:rsidRPr="00745C56" w14:paraId="776F3E00" w14:textId="77777777" w:rsidTr="00745C56">
        <w:trPr>
          <w:trHeight w:val="2160"/>
        </w:trPr>
        <w:tc>
          <w:tcPr>
            <w:cnfStyle w:val="001000000000" w:firstRow="0" w:lastRow="0" w:firstColumn="1" w:lastColumn="0" w:oddVBand="0" w:evenVBand="0" w:oddHBand="0" w:evenHBand="0" w:firstRowFirstColumn="0" w:firstRowLastColumn="0" w:lastRowFirstColumn="0" w:lastRowLastColumn="0"/>
            <w:tcW w:w="466" w:type="pct"/>
            <w:hideMark/>
          </w:tcPr>
          <w:p w14:paraId="7E8ADAD7" w14:textId="4924DB13" w:rsidR="00745C56" w:rsidRPr="00745C56" w:rsidRDefault="0032369C" w:rsidP="00745C56">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45C56" w:rsidRPr="00745C56">
              <w:rPr>
                <w:rFonts w:ascii="Aptos" w:eastAsia="Times New Roman" w:hAnsi="Aptos"/>
                <w:kern w:val="0"/>
                <w:sz w:val="14"/>
                <w:szCs w:val="14"/>
                <w:lang w:eastAsia="en-GB"/>
                <w14:ligatures w14:val="none"/>
              </w:rPr>
              <w:t>.5.04.</w:t>
            </w:r>
          </w:p>
        </w:tc>
        <w:tc>
          <w:tcPr>
            <w:tcW w:w="669" w:type="pct"/>
            <w:hideMark/>
          </w:tcPr>
          <w:p w14:paraId="2FFA68F6" w14:textId="41497F22" w:rsidR="00745C56" w:rsidRPr="00745C56" w:rsidRDefault="00543023"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Dizajn i isporuka Programa za jačanje kapaciteta za Kohezionu politiku</w:t>
            </w:r>
            <w:r w:rsidR="00745C56" w:rsidRPr="00745C56">
              <w:rPr>
                <w:rFonts w:ascii="Aptos" w:eastAsia="Times New Roman" w:hAnsi="Aptos"/>
                <w:kern w:val="0"/>
                <w:sz w:val="14"/>
                <w:szCs w:val="14"/>
                <w:lang w:eastAsia="en-GB"/>
                <w14:ligatures w14:val="none"/>
              </w:rPr>
              <w:t xml:space="preserve"> </w:t>
            </w:r>
          </w:p>
        </w:tc>
        <w:tc>
          <w:tcPr>
            <w:tcW w:w="660" w:type="pct"/>
            <w:hideMark/>
          </w:tcPr>
          <w:p w14:paraId="0CC091E0" w14:textId="77777777" w:rsidR="00FC47F9" w:rsidRDefault="006D6E25"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45C56" w:rsidRPr="00745C56">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Ministarstvo Finansija - NAO/Upravljačka struktura</w:t>
            </w:r>
            <w:r w:rsidR="00745C56" w:rsidRPr="00745C56">
              <w:rPr>
                <w:rFonts w:ascii="Aptos" w:eastAsia="Times New Roman" w:hAnsi="Aptos"/>
                <w:kern w:val="0"/>
                <w:sz w:val="14"/>
                <w:szCs w:val="14"/>
                <w:lang w:eastAsia="en-GB"/>
                <w14:ligatures w14:val="none"/>
              </w:rPr>
              <w:t xml:space="preserve">; </w:t>
            </w:r>
          </w:p>
          <w:p w14:paraId="34996CC6" w14:textId="440B9E31" w:rsidR="00745C56" w:rsidRPr="00745C56" w:rsidRDefault="00720740"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Radna grupa za poglavlje 22</w:t>
            </w:r>
          </w:p>
        </w:tc>
        <w:tc>
          <w:tcPr>
            <w:tcW w:w="408" w:type="pct"/>
            <w:hideMark/>
          </w:tcPr>
          <w:p w14:paraId="7CEEC5BD" w14:textId="1E8A4162" w:rsidR="00745C56" w:rsidRPr="00745C56" w:rsidRDefault="00745C56" w:rsidP="00745C56">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45C56">
              <w:rPr>
                <w:rFonts w:ascii="Aptos" w:eastAsia="Times New Roman" w:hAnsi="Aptos"/>
                <w:kern w:val="0"/>
                <w:sz w:val="14"/>
                <w:szCs w:val="14"/>
                <w:lang w:eastAsia="en-GB"/>
                <w14:ligatures w14:val="none"/>
              </w:rPr>
              <w:t>2</w:t>
            </w:r>
          </w:p>
        </w:tc>
        <w:tc>
          <w:tcPr>
            <w:tcW w:w="644" w:type="pct"/>
            <w:hideMark/>
          </w:tcPr>
          <w:p w14:paraId="6F24CD62" w14:textId="605C3A63" w:rsidR="00745C56" w:rsidRPr="00745C56" w:rsidRDefault="007029BB"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Programi jačanja kapaciteta za Tijela programa.</w:t>
            </w:r>
          </w:p>
        </w:tc>
        <w:tc>
          <w:tcPr>
            <w:tcW w:w="391" w:type="pct"/>
            <w:hideMark/>
          </w:tcPr>
          <w:p w14:paraId="71E80DD4" w14:textId="65FA0715" w:rsidR="00745C56" w:rsidRPr="00745C56" w:rsidRDefault="0013334C"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92" w:type="pct"/>
            <w:hideMark/>
          </w:tcPr>
          <w:p w14:paraId="6E676723" w14:textId="77777777" w:rsidR="00745C56" w:rsidRPr="00745C56" w:rsidRDefault="00745C56"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855" w:type="pct"/>
            <w:hideMark/>
          </w:tcPr>
          <w:p w14:paraId="0FECA3ED" w14:textId="77777777" w:rsidR="00745C56" w:rsidRPr="00745C56" w:rsidRDefault="00745C56" w:rsidP="00745C56">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16" w:type="pct"/>
            <w:hideMark/>
          </w:tcPr>
          <w:p w14:paraId="04597878" w14:textId="77777777" w:rsidR="00745C56" w:rsidRPr="00745C56" w:rsidRDefault="00745C56"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3.04.</w:t>
            </w:r>
          </w:p>
        </w:tc>
      </w:tr>
      <w:tr w:rsidR="00745C56" w:rsidRPr="00745C56" w14:paraId="7BAB5F78" w14:textId="77777777" w:rsidTr="00745C5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466" w:type="pct"/>
            <w:hideMark/>
          </w:tcPr>
          <w:p w14:paraId="01AA7EDD" w14:textId="4EF8CFE6" w:rsidR="00745C56" w:rsidRPr="00745C56" w:rsidRDefault="0032369C" w:rsidP="00745C56">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45C56" w:rsidRPr="00745C56">
              <w:rPr>
                <w:rFonts w:ascii="Aptos" w:eastAsia="Times New Roman" w:hAnsi="Aptos"/>
                <w:kern w:val="0"/>
                <w:sz w:val="14"/>
                <w:szCs w:val="14"/>
                <w:lang w:eastAsia="en-GB"/>
                <w14:ligatures w14:val="none"/>
              </w:rPr>
              <w:t>.5.05.</w:t>
            </w:r>
          </w:p>
        </w:tc>
        <w:tc>
          <w:tcPr>
            <w:tcW w:w="669" w:type="pct"/>
            <w:hideMark/>
          </w:tcPr>
          <w:p w14:paraId="04D19751" w14:textId="3FE2C50C" w:rsidR="00745C56" w:rsidRPr="00745C56" w:rsidRDefault="005536BC"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Obuka/mentorstvo za izradu strategija organizacionog razvoja</w:t>
            </w:r>
          </w:p>
        </w:tc>
        <w:tc>
          <w:tcPr>
            <w:tcW w:w="660" w:type="pct"/>
            <w:hideMark/>
          </w:tcPr>
          <w:p w14:paraId="77A6A649" w14:textId="09FAA3B0" w:rsidR="00745C56" w:rsidRPr="00745C56" w:rsidRDefault="006D6E25"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745C56" w:rsidRPr="00745C56">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p>
        </w:tc>
        <w:tc>
          <w:tcPr>
            <w:tcW w:w="408" w:type="pct"/>
            <w:hideMark/>
          </w:tcPr>
          <w:p w14:paraId="4F4647A1" w14:textId="132A2F51" w:rsidR="00745C56" w:rsidRPr="00745C56" w:rsidRDefault="00745C56" w:rsidP="00745C56">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45C56">
              <w:rPr>
                <w:rFonts w:ascii="Aptos" w:eastAsia="Times New Roman" w:hAnsi="Aptos"/>
                <w:kern w:val="0"/>
                <w:sz w:val="14"/>
                <w:szCs w:val="14"/>
                <w:lang w:eastAsia="en-GB"/>
                <w14:ligatures w14:val="none"/>
              </w:rPr>
              <w:t>2</w:t>
            </w:r>
          </w:p>
        </w:tc>
        <w:tc>
          <w:tcPr>
            <w:tcW w:w="644" w:type="pct"/>
            <w:hideMark/>
          </w:tcPr>
          <w:p w14:paraId="5636C5A0" w14:textId="7CBBA3E7" w:rsidR="00745C56" w:rsidRPr="00745C56" w:rsidRDefault="007029BB"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Izvještaji o obuci/Održane mentorske sesije.</w:t>
            </w:r>
          </w:p>
        </w:tc>
        <w:tc>
          <w:tcPr>
            <w:tcW w:w="391" w:type="pct"/>
            <w:hideMark/>
          </w:tcPr>
          <w:p w14:paraId="0E4878AC" w14:textId="33A453D9" w:rsidR="00745C56" w:rsidRPr="00745C56" w:rsidRDefault="0013334C"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92" w:type="pct"/>
            <w:hideMark/>
          </w:tcPr>
          <w:p w14:paraId="0D4A2765" w14:textId="100DCC43" w:rsidR="00745C56" w:rsidRPr="00745C56" w:rsidRDefault="00720740"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55" w:type="pct"/>
            <w:hideMark/>
          </w:tcPr>
          <w:p w14:paraId="70D5F70D" w14:textId="77777777" w:rsidR="00745C56" w:rsidRPr="00745C56" w:rsidRDefault="00745C56"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16" w:type="pct"/>
            <w:hideMark/>
          </w:tcPr>
          <w:p w14:paraId="5B7391C0" w14:textId="77777777" w:rsidR="00745C56" w:rsidRPr="00745C56" w:rsidRDefault="00745C56" w:rsidP="00745C56">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745C56" w:rsidRPr="00745C56" w14:paraId="3336F735" w14:textId="77777777" w:rsidTr="00745C56">
        <w:trPr>
          <w:trHeight w:val="2400"/>
        </w:trPr>
        <w:tc>
          <w:tcPr>
            <w:cnfStyle w:val="001000000000" w:firstRow="0" w:lastRow="0" w:firstColumn="1" w:lastColumn="0" w:oddVBand="0" w:evenVBand="0" w:oddHBand="0" w:evenHBand="0" w:firstRowFirstColumn="0" w:firstRowLastColumn="0" w:lastRowFirstColumn="0" w:lastRowLastColumn="0"/>
            <w:tcW w:w="466" w:type="pct"/>
            <w:hideMark/>
          </w:tcPr>
          <w:p w14:paraId="787A6DEF" w14:textId="25C7999F" w:rsidR="00745C56" w:rsidRPr="00745C56" w:rsidRDefault="0032369C" w:rsidP="00745C56">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45C56" w:rsidRPr="00745C56">
              <w:rPr>
                <w:rFonts w:ascii="Aptos" w:eastAsia="Times New Roman" w:hAnsi="Aptos"/>
                <w:kern w:val="0"/>
                <w:sz w:val="14"/>
                <w:szCs w:val="14"/>
                <w:lang w:eastAsia="en-GB"/>
                <w14:ligatures w14:val="none"/>
              </w:rPr>
              <w:t>.5.06.</w:t>
            </w:r>
          </w:p>
        </w:tc>
        <w:tc>
          <w:tcPr>
            <w:tcW w:w="669" w:type="pct"/>
            <w:hideMark/>
          </w:tcPr>
          <w:p w14:paraId="0BD86708" w14:textId="15129005" w:rsidR="00745C56" w:rsidRPr="00745C56" w:rsidRDefault="005536BC"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Model finansijskih nedostataka</w:t>
            </w:r>
            <w:r w:rsidR="00745C56" w:rsidRPr="00745C56">
              <w:rPr>
                <w:rFonts w:ascii="Aptos" w:eastAsia="Times New Roman" w:hAnsi="Aptos"/>
                <w:kern w:val="0"/>
                <w:sz w:val="14"/>
                <w:szCs w:val="14"/>
                <w:lang w:eastAsia="en-GB"/>
                <w14:ligatures w14:val="none"/>
              </w:rPr>
              <w:t>.</w:t>
            </w:r>
          </w:p>
        </w:tc>
        <w:tc>
          <w:tcPr>
            <w:tcW w:w="660" w:type="pct"/>
            <w:hideMark/>
          </w:tcPr>
          <w:p w14:paraId="07F56577" w14:textId="6AA5F68B" w:rsidR="00745C56" w:rsidRPr="00745C56" w:rsidRDefault="006D6E25"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08" w:type="pct"/>
            <w:hideMark/>
          </w:tcPr>
          <w:p w14:paraId="6C424B9D" w14:textId="652150B5" w:rsidR="00745C56" w:rsidRPr="00745C56" w:rsidRDefault="00745C56" w:rsidP="00745C56">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45C56">
              <w:rPr>
                <w:rFonts w:ascii="Aptos" w:eastAsia="Times New Roman" w:hAnsi="Aptos"/>
                <w:kern w:val="0"/>
                <w:sz w:val="14"/>
                <w:szCs w:val="14"/>
                <w:lang w:eastAsia="en-GB"/>
                <w14:ligatures w14:val="none"/>
              </w:rPr>
              <w:t>1</w:t>
            </w:r>
          </w:p>
        </w:tc>
        <w:tc>
          <w:tcPr>
            <w:tcW w:w="644" w:type="pct"/>
            <w:hideMark/>
          </w:tcPr>
          <w:p w14:paraId="465BA784" w14:textId="65470C73" w:rsidR="00745C56" w:rsidRPr="00745C56" w:rsidRDefault="005536BC"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Izvještaj Modela finansijskih nedostataka</w:t>
            </w:r>
            <w:r w:rsidR="00130A44">
              <w:rPr>
                <w:rFonts w:ascii="Aptos" w:eastAsia="Times New Roman" w:hAnsi="Aptos"/>
                <w:kern w:val="0"/>
                <w:sz w:val="14"/>
                <w:szCs w:val="14"/>
                <w:lang w:eastAsia="en-GB"/>
                <w14:ligatures w14:val="none"/>
              </w:rPr>
              <w:t>.</w:t>
            </w:r>
          </w:p>
        </w:tc>
        <w:tc>
          <w:tcPr>
            <w:tcW w:w="391" w:type="pct"/>
            <w:hideMark/>
          </w:tcPr>
          <w:p w14:paraId="453658EE" w14:textId="021E1AEF" w:rsidR="00745C56" w:rsidRPr="00745C56" w:rsidRDefault="0013334C"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92" w:type="pct"/>
            <w:hideMark/>
          </w:tcPr>
          <w:p w14:paraId="50FE8477" w14:textId="53B9B865" w:rsidR="00745C56" w:rsidRPr="00745C56" w:rsidRDefault="00720740"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55" w:type="pct"/>
            <w:hideMark/>
          </w:tcPr>
          <w:p w14:paraId="4F2CB98C" w14:textId="123ABE8E" w:rsidR="00745C56" w:rsidRPr="00745C56" w:rsidRDefault="00130A44"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Izrada Modela finansijskih nedostataka je u skladu sa dizajnom Mape puta za jačanje administrativnih kapaciteta. Model se može izraditi tek nakon objavljivanja prijedloga Komisije za regulatorni okvir nakon 2027. godine.</w:t>
            </w:r>
          </w:p>
        </w:tc>
        <w:tc>
          <w:tcPr>
            <w:tcW w:w="416" w:type="pct"/>
            <w:hideMark/>
          </w:tcPr>
          <w:p w14:paraId="01D7146B" w14:textId="77777777" w:rsidR="00745C56" w:rsidRPr="00745C56" w:rsidRDefault="00745C56"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2.03.</w:t>
            </w:r>
          </w:p>
        </w:tc>
      </w:tr>
      <w:tr w:rsidR="00745C56" w:rsidRPr="00745C56" w14:paraId="76E6BF8A" w14:textId="77777777" w:rsidTr="00745C56">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466" w:type="pct"/>
            <w:hideMark/>
          </w:tcPr>
          <w:p w14:paraId="5EB677C8" w14:textId="145570B1" w:rsidR="00745C56" w:rsidRPr="00745C56" w:rsidRDefault="0032369C" w:rsidP="00745C56">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45C56" w:rsidRPr="00745C56">
              <w:rPr>
                <w:rFonts w:ascii="Aptos" w:eastAsia="Times New Roman" w:hAnsi="Aptos"/>
                <w:kern w:val="0"/>
                <w:sz w:val="14"/>
                <w:szCs w:val="14"/>
                <w:lang w:eastAsia="en-GB"/>
                <w14:ligatures w14:val="none"/>
              </w:rPr>
              <w:t>.5.07.</w:t>
            </w:r>
          </w:p>
        </w:tc>
        <w:tc>
          <w:tcPr>
            <w:tcW w:w="669" w:type="pct"/>
            <w:hideMark/>
          </w:tcPr>
          <w:p w14:paraId="191E2819" w14:textId="46B7C94A" w:rsidR="00745C56" w:rsidRPr="00745C56" w:rsidRDefault="00130A44"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Izrada nacrta i usvajanje pojedinačnih strategija organizacionog razvoja od strane budućih Tijela programa.            </w:t>
            </w:r>
          </w:p>
        </w:tc>
        <w:tc>
          <w:tcPr>
            <w:tcW w:w="660" w:type="pct"/>
            <w:hideMark/>
          </w:tcPr>
          <w:p w14:paraId="34F504E6" w14:textId="40C9071F" w:rsidR="00745C56" w:rsidRPr="00745C56" w:rsidRDefault="006D6E25"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745C56" w:rsidRPr="00745C56">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p>
        </w:tc>
        <w:tc>
          <w:tcPr>
            <w:tcW w:w="408" w:type="pct"/>
            <w:hideMark/>
          </w:tcPr>
          <w:p w14:paraId="36C9BFC6" w14:textId="1B3DAB33" w:rsidR="00745C56" w:rsidRPr="00745C56" w:rsidRDefault="00745C56" w:rsidP="00745C56">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45C56">
              <w:rPr>
                <w:rFonts w:ascii="Aptos" w:eastAsia="Times New Roman" w:hAnsi="Aptos"/>
                <w:kern w:val="0"/>
                <w:sz w:val="14"/>
                <w:szCs w:val="14"/>
                <w:lang w:eastAsia="en-GB"/>
                <w14:ligatures w14:val="none"/>
              </w:rPr>
              <w:t>2</w:t>
            </w:r>
          </w:p>
        </w:tc>
        <w:tc>
          <w:tcPr>
            <w:tcW w:w="644" w:type="pct"/>
            <w:hideMark/>
          </w:tcPr>
          <w:p w14:paraId="74CEEF0F" w14:textId="4A2FA080" w:rsidR="00745C56" w:rsidRPr="00745C56" w:rsidRDefault="00130A44"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Izrada nacrta strategija organizacionog razvoja od strane relevantnih institucija.          </w:t>
            </w:r>
          </w:p>
        </w:tc>
        <w:tc>
          <w:tcPr>
            <w:tcW w:w="391" w:type="pct"/>
            <w:hideMark/>
          </w:tcPr>
          <w:p w14:paraId="41B61460" w14:textId="7921AE43" w:rsidR="00745C56" w:rsidRPr="00745C56" w:rsidRDefault="0013334C"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92" w:type="pct"/>
            <w:hideMark/>
          </w:tcPr>
          <w:p w14:paraId="01387F85" w14:textId="3EC1A70B" w:rsidR="00745C56" w:rsidRPr="00745C56" w:rsidRDefault="00720740"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55" w:type="pct"/>
            <w:hideMark/>
          </w:tcPr>
          <w:p w14:paraId="6F80C038" w14:textId="056CD1C2" w:rsidR="00745C56" w:rsidRPr="00745C56" w:rsidRDefault="00130A44"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Ovo će biti priloženo u vidu Aneksa kao sastavni dio Mape puta </w:t>
            </w:r>
            <w:r w:rsidR="0032369C">
              <w:rPr>
                <w:rFonts w:ascii="Aptos" w:eastAsia="Times New Roman" w:hAnsi="Aptos"/>
                <w:kern w:val="0"/>
                <w:sz w:val="14"/>
                <w:szCs w:val="14"/>
                <w:lang w:eastAsia="en-GB"/>
                <w14:ligatures w14:val="none"/>
              </w:rPr>
              <w:t>za jačanje administrativnih kapaciteta</w:t>
            </w:r>
            <w:r>
              <w:rPr>
                <w:rFonts w:ascii="Aptos" w:eastAsia="Times New Roman" w:hAnsi="Aptos"/>
                <w:kern w:val="0"/>
                <w:sz w:val="14"/>
                <w:szCs w:val="14"/>
                <w:lang w:eastAsia="en-GB"/>
                <w14:ligatures w14:val="none"/>
              </w:rPr>
              <w:t xml:space="preserve">.         </w:t>
            </w:r>
          </w:p>
        </w:tc>
        <w:tc>
          <w:tcPr>
            <w:tcW w:w="416" w:type="pct"/>
            <w:hideMark/>
          </w:tcPr>
          <w:p w14:paraId="395B194F" w14:textId="77777777" w:rsidR="00745C56" w:rsidRPr="00745C56" w:rsidRDefault="00745C56" w:rsidP="00745C56">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3.05.</w:t>
            </w:r>
          </w:p>
        </w:tc>
      </w:tr>
      <w:tr w:rsidR="00745C56" w:rsidRPr="00745C56" w14:paraId="6BF71D52" w14:textId="77777777" w:rsidTr="00745C56">
        <w:trPr>
          <w:trHeight w:val="2160"/>
        </w:trPr>
        <w:tc>
          <w:tcPr>
            <w:cnfStyle w:val="001000000000" w:firstRow="0" w:lastRow="0" w:firstColumn="1" w:lastColumn="0" w:oddVBand="0" w:evenVBand="0" w:oddHBand="0" w:evenHBand="0" w:firstRowFirstColumn="0" w:firstRowLastColumn="0" w:lastRowFirstColumn="0" w:lastRowLastColumn="0"/>
            <w:tcW w:w="466" w:type="pct"/>
            <w:hideMark/>
          </w:tcPr>
          <w:p w14:paraId="0D4F1B27" w14:textId="3652F58D" w:rsidR="00745C56" w:rsidRPr="00745C56" w:rsidRDefault="0032369C" w:rsidP="00745C56">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lastRenderedPageBreak/>
              <w:t>ZM</w:t>
            </w:r>
            <w:r w:rsidR="00745C56" w:rsidRPr="00745C56">
              <w:rPr>
                <w:rFonts w:ascii="Aptos" w:eastAsia="Times New Roman" w:hAnsi="Aptos"/>
                <w:kern w:val="0"/>
                <w:sz w:val="14"/>
                <w:szCs w:val="14"/>
                <w:lang w:eastAsia="en-GB"/>
                <w14:ligatures w14:val="none"/>
              </w:rPr>
              <w:t>.5.08.</w:t>
            </w:r>
          </w:p>
        </w:tc>
        <w:tc>
          <w:tcPr>
            <w:tcW w:w="669" w:type="pct"/>
            <w:hideMark/>
          </w:tcPr>
          <w:p w14:paraId="2ED17120" w14:textId="2E51BEB0" w:rsidR="00745C56" w:rsidRPr="00745C56" w:rsidRDefault="00130A44"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Izrada nacrta i usvajanje pojedinačnih strategija organizacionog razvoja od strane budućih Tijela programa.            </w:t>
            </w:r>
          </w:p>
        </w:tc>
        <w:tc>
          <w:tcPr>
            <w:tcW w:w="660" w:type="pct"/>
            <w:hideMark/>
          </w:tcPr>
          <w:p w14:paraId="33ED96D1" w14:textId="0AA354FB" w:rsidR="00745C56" w:rsidRPr="00745C56" w:rsidRDefault="006D6E25"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745C56" w:rsidRPr="00745C56">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p>
        </w:tc>
        <w:tc>
          <w:tcPr>
            <w:tcW w:w="408" w:type="pct"/>
            <w:hideMark/>
          </w:tcPr>
          <w:p w14:paraId="3CBFA0A0" w14:textId="7578FB0D" w:rsidR="00745C56" w:rsidRPr="00745C56" w:rsidRDefault="00745C56" w:rsidP="00745C56">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45C56">
              <w:rPr>
                <w:rFonts w:ascii="Aptos" w:eastAsia="Times New Roman" w:hAnsi="Aptos"/>
                <w:kern w:val="0"/>
                <w:sz w:val="14"/>
                <w:szCs w:val="14"/>
                <w:lang w:eastAsia="en-GB"/>
                <w14:ligatures w14:val="none"/>
              </w:rPr>
              <w:t>2</w:t>
            </w:r>
          </w:p>
        </w:tc>
        <w:tc>
          <w:tcPr>
            <w:tcW w:w="644" w:type="pct"/>
            <w:hideMark/>
          </w:tcPr>
          <w:p w14:paraId="1E81E5A8" w14:textId="5B19E282" w:rsidR="00745C56" w:rsidRPr="00745C56" w:rsidRDefault="00130A44"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Strategije organizacionog razvoja usvojene od strane relevantnih institucija.   </w:t>
            </w:r>
          </w:p>
        </w:tc>
        <w:tc>
          <w:tcPr>
            <w:tcW w:w="391" w:type="pct"/>
            <w:hideMark/>
          </w:tcPr>
          <w:p w14:paraId="7854151A" w14:textId="34426B61" w:rsidR="00745C56" w:rsidRPr="00745C56" w:rsidRDefault="0013334C"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92" w:type="pct"/>
            <w:hideMark/>
          </w:tcPr>
          <w:p w14:paraId="4CBA73B1" w14:textId="6BB97B66" w:rsidR="00745C56" w:rsidRPr="00745C56" w:rsidRDefault="00720740"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55" w:type="pct"/>
            <w:hideMark/>
          </w:tcPr>
          <w:p w14:paraId="27F520D9" w14:textId="0DA76D20" w:rsidR="00745C56" w:rsidRPr="00745C56" w:rsidRDefault="00130A44"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Ovo će biti priloženo u vidu Aneksa kao sastavni dio Mape puta </w:t>
            </w:r>
            <w:r w:rsidR="0032369C">
              <w:rPr>
                <w:rFonts w:ascii="Aptos" w:eastAsia="Times New Roman" w:hAnsi="Aptos"/>
                <w:kern w:val="0"/>
                <w:sz w:val="14"/>
                <w:szCs w:val="14"/>
                <w:lang w:eastAsia="en-GB"/>
                <w14:ligatures w14:val="none"/>
              </w:rPr>
              <w:t>za jačanje administrativnih kapaciteta</w:t>
            </w:r>
            <w:r>
              <w:rPr>
                <w:rFonts w:ascii="Aptos" w:eastAsia="Times New Roman" w:hAnsi="Aptos"/>
                <w:kern w:val="0"/>
                <w:sz w:val="14"/>
                <w:szCs w:val="14"/>
                <w:lang w:eastAsia="en-GB"/>
                <w14:ligatures w14:val="none"/>
              </w:rPr>
              <w:t xml:space="preserve">.         </w:t>
            </w:r>
          </w:p>
        </w:tc>
        <w:tc>
          <w:tcPr>
            <w:tcW w:w="416" w:type="pct"/>
            <w:hideMark/>
          </w:tcPr>
          <w:p w14:paraId="01F9EC9E" w14:textId="77777777" w:rsidR="00745C56" w:rsidRPr="00745C56" w:rsidRDefault="00745C56" w:rsidP="00745C56">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45C56">
              <w:rPr>
                <w:rFonts w:ascii="Aptos" w:eastAsia="Times New Roman" w:hAnsi="Aptos"/>
                <w:kern w:val="0"/>
                <w:sz w:val="14"/>
                <w:szCs w:val="14"/>
                <w:lang w:eastAsia="en-GB"/>
                <w14:ligatures w14:val="none"/>
              </w:rPr>
              <w:t>3.05.</w:t>
            </w:r>
          </w:p>
        </w:tc>
      </w:tr>
    </w:tbl>
    <w:p w14:paraId="3296A8DF" w14:textId="77777777" w:rsidR="00A5132F" w:rsidRPr="00B83578" w:rsidRDefault="00A5132F" w:rsidP="00A5132F"/>
    <w:p w14:paraId="58D9382B" w14:textId="08433A22" w:rsidR="00A5132F" w:rsidRPr="00B83578" w:rsidRDefault="009E36FF" w:rsidP="007B6C77">
      <w:pPr>
        <w:pStyle w:val="Heading1"/>
      </w:pPr>
      <w:bookmarkStart w:id="72" w:name="_Toc201700349"/>
      <w:r>
        <w:t>Završno mjerilo</w:t>
      </w:r>
      <w:r w:rsidR="00A5132F" w:rsidRPr="00B83578">
        <w:t xml:space="preserve"> 6</w:t>
      </w:r>
      <w:bookmarkEnd w:id="72"/>
    </w:p>
    <w:p w14:paraId="204CBC90" w14:textId="77777777" w:rsidR="00A5132F" w:rsidRPr="00B83578" w:rsidRDefault="00A5132F" w:rsidP="00A5132F"/>
    <w:p w14:paraId="3AEAAC37" w14:textId="114ED5E8" w:rsidR="00A5132F" w:rsidRPr="00B83578" w:rsidRDefault="00A91838" w:rsidP="00A5132F">
      <w:pPr>
        <w:pBdr>
          <w:top w:val="single" w:sz="4" w:space="1" w:color="auto"/>
          <w:left w:val="single" w:sz="4" w:space="4" w:color="auto"/>
          <w:bottom w:val="single" w:sz="4" w:space="1" w:color="auto"/>
          <w:right w:val="single" w:sz="4" w:space="4" w:color="auto"/>
        </w:pBdr>
        <w:shd w:val="clear" w:color="auto" w:fill="C1E4F5"/>
        <w:spacing w:before="120" w:line="276" w:lineRule="auto"/>
        <w:rPr>
          <w:rFonts w:eastAsia="Calibri" w:cs="Arial"/>
          <w:b/>
          <w:i/>
          <w:iCs/>
          <w:kern w:val="0"/>
          <w:sz w:val="22"/>
        </w:rPr>
      </w:pPr>
      <w:r>
        <w:rPr>
          <w:rFonts w:eastAsia="Calibri" w:cs="Arial"/>
          <w:b/>
          <w:i/>
          <w:iCs/>
          <w:kern w:val="0"/>
          <w:sz w:val="22"/>
        </w:rPr>
        <w:t>ZAVRŠNO MJERILO</w:t>
      </w:r>
      <w:r w:rsidR="00A5132F" w:rsidRPr="00B83578">
        <w:rPr>
          <w:rFonts w:eastAsia="Calibri" w:cs="Arial"/>
          <w:b/>
          <w:i/>
          <w:iCs/>
          <w:kern w:val="0"/>
          <w:sz w:val="22"/>
        </w:rPr>
        <w:t xml:space="preserve"> 6. </w:t>
      </w:r>
      <w:r w:rsidRPr="00A91838">
        <w:rPr>
          <w:rFonts w:eastAsia="Calibri" w:cs="Arial"/>
          <w:b/>
          <w:i/>
          <w:iCs/>
          <w:kern w:val="0"/>
          <w:sz w:val="22"/>
        </w:rPr>
        <w:t xml:space="preserve">Crna Gora dostavlja Komisiji detaljan plan i vremenski okvir u vezi sa uspostavljanjem sistema za </w:t>
      </w:r>
      <w:r w:rsidR="00E26D99" w:rsidRPr="00E26D99">
        <w:rPr>
          <w:rFonts w:eastAsia="Calibri" w:cs="Arial"/>
          <w:b/>
          <w:iCs/>
          <w:kern w:val="0"/>
          <w:sz w:val="22"/>
        </w:rPr>
        <w:t>monitoring</w:t>
      </w:r>
      <w:r w:rsidRPr="00A91838">
        <w:rPr>
          <w:rFonts w:eastAsia="Calibri" w:cs="Arial"/>
          <w:b/>
          <w:i/>
          <w:iCs/>
          <w:kern w:val="0"/>
          <w:sz w:val="22"/>
        </w:rPr>
        <w:t xml:space="preserve"> i evaluaciju, uključujući uspostavljanje elektronskog </w:t>
      </w:r>
      <w:r w:rsidR="00673523">
        <w:rPr>
          <w:rFonts w:eastAsia="Calibri" w:cs="Arial"/>
          <w:b/>
          <w:i/>
          <w:iCs/>
          <w:kern w:val="0"/>
          <w:sz w:val="22"/>
        </w:rPr>
        <w:t xml:space="preserve">Informacionog </w:t>
      </w:r>
      <w:r w:rsidR="00A067C3">
        <w:rPr>
          <w:rFonts w:eastAsia="Calibri" w:cs="Arial"/>
          <w:b/>
          <w:i/>
          <w:iCs/>
          <w:kern w:val="0"/>
          <w:sz w:val="22"/>
        </w:rPr>
        <w:t>s</w:t>
      </w:r>
      <w:r w:rsidR="00673523">
        <w:rPr>
          <w:rFonts w:eastAsia="Calibri" w:cs="Arial"/>
          <w:b/>
          <w:i/>
          <w:iCs/>
          <w:kern w:val="0"/>
          <w:sz w:val="22"/>
        </w:rPr>
        <w:t>istema za upravljanje</w:t>
      </w:r>
      <w:r w:rsidRPr="00A91838">
        <w:rPr>
          <w:rFonts w:eastAsia="Calibri" w:cs="Arial"/>
          <w:b/>
          <w:i/>
          <w:iCs/>
          <w:kern w:val="0"/>
          <w:sz w:val="22"/>
        </w:rPr>
        <w:t xml:space="preserve"> (</w:t>
      </w:r>
      <w:r w:rsidR="00A067C3">
        <w:rPr>
          <w:rFonts w:eastAsia="Calibri" w:cs="Arial"/>
          <w:b/>
          <w:i/>
          <w:iCs/>
          <w:kern w:val="0"/>
          <w:sz w:val="22"/>
        </w:rPr>
        <w:t>ISU</w:t>
      </w:r>
      <w:r w:rsidRPr="00A91838">
        <w:rPr>
          <w:rFonts w:eastAsia="Calibri" w:cs="Arial"/>
          <w:b/>
          <w:i/>
          <w:iCs/>
          <w:kern w:val="0"/>
          <w:sz w:val="22"/>
        </w:rPr>
        <w:t>).</w:t>
      </w:r>
    </w:p>
    <w:p w14:paraId="6A7F90D4" w14:textId="2B323F57" w:rsidR="00A5132F" w:rsidRPr="00B83578" w:rsidRDefault="009E36FF" w:rsidP="007B6C77">
      <w:pPr>
        <w:pStyle w:val="Heading2"/>
      </w:pPr>
      <w:bookmarkStart w:id="73" w:name="_Toc201700350"/>
      <w:r>
        <w:t>Relevantni zahtjevi Kohezione politike</w:t>
      </w:r>
      <w:bookmarkEnd w:id="73"/>
    </w:p>
    <w:p w14:paraId="75D5C980" w14:textId="1EEBB77A" w:rsidR="008E49E3" w:rsidRDefault="00975088" w:rsidP="008E49E3">
      <w:r>
        <w:t>Regulativa</w:t>
      </w:r>
      <w:r w:rsidR="008E49E3">
        <w:t xml:space="preserve"> o zajedničkim odredbama (</w:t>
      </w:r>
      <w:r w:rsidR="00CD0020">
        <w:t>RZO</w:t>
      </w:r>
      <w:r w:rsidR="008E49E3">
        <w:t xml:space="preserve">) propisuje glavne zahtjeve za </w:t>
      </w:r>
      <w:r w:rsidR="0072079B">
        <w:t>monitoring</w:t>
      </w:r>
      <w:r w:rsidR="008E49E3">
        <w:t xml:space="preserve"> programa radi provjere njihove realizacije i napretka ka postavljenim ciljevima i metama, dok pripremu i </w:t>
      </w:r>
      <w:r w:rsidR="0072079B">
        <w:t>implementaciju</w:t>
      </w:r>
      <w:r w:rsidR="008E49E3">
        <w:t xml:space="preserve"> programa treba da prate evaluacije koje se sprovode u skladu s utvrđenim planovima.</w:t>
      </w:r>
    </w:p>
    <w:p w14:paraId="1FBB5C93" w14:textId="67D48F93" w:rsidR="008E49E3" w:rsidRDefault="008E49E3" w:rsidP="008E49E3">
      <w:r>
        <w:t xml:space="preserve">Zahtjevi za uspostavljanje </w:t>
      </w:r>
      <w:r w:rsidRPr="008E49E3">
        <w:rPr>
          <w:b/>
        </w:rPr>
        <w:t>Okvira učinka</w:t>
      </w:r>
      <w:r>
        <w:t xml:space="preserve"> definisani su u čl. 16–17 </w:t>
      </w:r>
      <w:r w:rsidR="00CD0020">
        <w:t>RZO</w:t>
      </w:r>
      <w:r>
        <w:t xml:space="preserve">-a Okvir učinka i članu 22 stav 3 tačka (d) Sadržaj programa. Članovi 16–17 obavezuju državu članicu EU da pripremi okvir učinka (član 16) i uradi to u skladu s metodologijom za njegovo uspostavljanje (član 17), kako bi se omogućio </w:t>
      </w:r>
      <w:r w:rsidR="0072079B">
        <w:t>monitoring</w:t>
      </w:r>
      <w:r>
        <w:t>, izvještavanje i evaluacija učinka programa tokom njihove realizacije.</w:t>
      </w:r>
    </w:p>
    <w:p w14:paraId="755FEDFB" w14:textId="77777777" w:rsidR="008E49E3" w:rsidRDefault="008E49E3" w:rsidP="008E49E3">
      <w:r>
        <w:t>Okvir učinka obuhvata:</w:t>
      </w:r>
    </w:p>
    <w:p w14:paraId="012E4954" w14:textId="565BE21F" w:rsidR="00A5132F" w:rsidRPr="00B83578" w:rsidRDefault="008E49E3" w:rsidP="000E7F10">
      <w:pPr>
        <w:numPr>
          <w:ilvl w:val="0"/>
          <w:numId w:val="5"/>
        </w:numPr>
        <w:contextualSpacing/>
        <w:rPr>
          <w:rFonts w:eastAsia="Calibri" w:cs="Arial"/>
          <w:kern w:val="0"/>
          <w:szCs w:val="20"/>
        </w:rPr>
      </w:pPr>
      <w:r w:rsidRPr="008E49E3">
        <w:rPr>
          <w:rFonts w:eastAsia="Calibri" w:cs="Arial"/>
          <w:kern w:val="0"/>
          <w:szCs w:val="20"/>
        </w:rPr>
        <w:t>indikator</w:t>
      </w:r>
      <w:r w:rsidR="00814E0A">
        <w:rPr>
          <w:rFonts w:eastAsia="Calibri" w:cs="Arial"/>
          <w:kern w:val="0"/>
          <w:szCs w:val="20"/>
        </w:rPr>
        <w:t>e</w:t>
      </w:r>
      <w:r w:rsidRPr="008E49E3">
        <w:rPr>
          <w:rFonts w:eastAsia="Calibri" w:cs="Arial"/>
          <w:kern w:val="0"/>
          <w:szCs w:val="20"/>
        </w:rPr>
        <w:t xml:space="preserve"> učinka i rezultata povezani</w:t>
      </w:r>
      <w:r w:rsidR="00814E0A">
        <w:rPr>
          <w:rFonts w:eastAsia="Calibri" w:cs="Arial"/>
          <w:kern w:val="0"/>
          <w:szCs w:val="20"/>
        </w:rPr>
        <w:t>m</w:t>
      </w:r>
      <w:r w:rsidRPr="008E49E3">
        <w:rPr>
          <w:rFonts w:eastAsia="Calibri" w:cs="Arial"/>
          <w:kern w:val="0"/>
          <w:szCs w:val="20"/>
        </w:rPr>
        <w:t xml:space="preserve"> sa specifičnim ciljevima utvrđenim u propisima specifičnim za fondove izabranim za program</w:t>
      </w:r>
      <w:r w:rsidR="00A5132F" w:rsidRPr="00B83578">
        <w:rPr>
          <w:rFonts w:eastAsia="Calibri" w:cs="Arial"/>
          <w:kern w:val="0"/>
          <w:szCs w:val="20"/>
        </w:rPr>
        <w:t xml:space="preserve">; </w:t>
      </w:r>
    </w:p>
    <w:p w14:paraId="67BFD7E8" w14:textId="0FBCD813" w:rsidR="00A5132F" w:rsidRPr="00B83578" w:rsidRDefault="00814E0A" w:rsidP="000E7F10">
      <w:pPr>
        <w:numPr>
          <w:ilvl w:val="0"/>
          <w:numId w:val="5"/>
        </w:numPr>
        <w:contextualSpacing/>
        <w:jc w:val="left"/>
        <w:rPr>
          <w:rFonts w:eastAsia="Calibri" w:cs="Arial"/>
          <w:kern w:val="0"/>
          <w:szCs w:val="20"/>
        </w:rPr>
      </w:pPr>
      <w:r w:rsidRPr="00814E0A">
        <w:rPr>
          <w:rFonts w:eastAsia="Calibri" w:cs="Arial"/>
          <w:kern w:val="0"/>
          <w:szCs w:val="20"/>
        </w:rPr>
        <w:t xml:space="preserve">prekretnice koje treba ostvariti do kraja 2024. godine za indikatore </w:t>
      </w:r>
      <w:r w:rsidR="00673523">
        <w:rPr>
          <w:rFonts w:eastAsia="Calibri" w:cs="Arial"/>
          <w:kern w:val="0"/>
          <w:szCs w:val="20"/>
        </w:rPr>
        <w:t>izlaznih rezultata</w:t>
      </w:r>
      <w:r w:rsidRPr="00814E0A">
        <w:rPr>
          <w:rFonts w:eastAsia="Calibri" w:cs="Arial"/>
          <w:kern w:val="0"/>
          <w:szCs w:val="20"/>
        </w:rPr>
        <w:t>; i</w:t>
      </w:r>
      <w:r w:rsidR="00A5132F" w:rsidRPr="00B83578">
        <w:rPr>
          <w:rFonts w:eastAsia="Calibri" w:cs="Arial"/>
          <w:kern w:val="0"/>
          <w:szCs w:val="20"/>
        </w:rPr>
        <w:t xml:space="preserve"> </w:t>
      </w:r>
    </w:p>
    <w:p w14:paraId="45CAC88E" w14:textId="31EAE64A" w:rsidR="00A5132F" w:rsidRPr="00B83578" w:rsidRDefault="00814E0A" w:rsidP="000E7F10">
      <w:pPr>
        <w:numPr>
          <w:ilvl w:val="0"/>
          <w:numId w:val="5"/>
        </w:numPr>
        <w:spacing w:after="0"/>
        <w:contextualSpacing/>
        <w:jc w:val="left"/>
        <w:rPr>
          <w:rFonts w:eastAsia="Calibri" w:cs="Arial"/>
          <w:kern w:val="0"/>
          <w:szCs w:val="20"/>
        </w:rPr>
      </w:pPr>
      <w:r>
        <w:rPr>
          <w:rFonts w:eastAsia="Calibri" w:cs="Arial"/>
          <w:kern w:val="0"/>
          <w:szCs w:val="20"/>
        </w:rPr>
        <w:t>ciljeve koje treba ostvariti</w:t>
      </w:r>
      <w:r w:rsidR="0072079B">
        <w:rPr>
          <w:rFonts w:eastAsia="Calibri" w:cs="Arial"/>
          <w:kern w:val="0"/>
          <w:szCs w:val="20"/>
        </w:rPr>
        <w:t xml:space="preserve"> </w:t>
      </w:r>
      <w:r>
        <w:rPr>
          <w:rFonts w:eastAsia="Calibri" w:cs="Arial"/>
          <w:kern w:val="0"/>
          <w:szCs w:val="20"/>
        </w:rPr>
        <w:t xml:space="preserve">do kraja 2029. godine za indikatore učinka i </w:t>
      </w:r>
      <w:r w:rsidR="00673523">
        <w:rPr>
          <w:rFonts w:eastAsia="Calibri" w:cs="Arial"/>
          <w:kern w:val="0"/>
          <w:szCs w:val="20"/>
        </w:rPr>
        <w:t xml:space="preserve">izlaznih </w:t>
      </w:r>
      <w:r>
        <w:rPr>
          <w:rFonts w:eastAsia="Calibri" w:cs="Arial"/>
          <w:kern w:val="0"/>
          <w:szCs w:val="20"/>
        </w:rPr>
        <w:t>rezultata.</w:t>
      </w:r>
    </w:p>
    <w:p w14:paraId="1A40988D" w14:textId="77777777" w:rsidR="00AA5827" w:rsidRPr="00B83578" w:rsidRDefault="00AA5827" w:rsidP="00AA5827">
      <w:pPr>
        <w:spacing w:after="0"/>
        <w:rPr>
          <w:rFonts w:eastAsia="Calibri" w:cs="Arial"/>
          <w:b/>
          <w:bCs/>
          <w:kern w:val="0"/>
          <w:szCs w:val="20"/>
        </w:rPr>
      </w:pPr>
    </w:p>
    <w:p w14:paraId="1EBE44A9" w14:textId="29A9A06C" w:rsidR="00814E0A" w:rsidRPr="00A25DE9" w:rsidRDefault="00814E0A" w:rsidP="00814E0A">
      <w:pPr>
        <w:spacing w:after="0"/>
        <w:rPr>
          <w:rFonts w:eastAsia="Calibri" w:cs="Arial"/>
          <w:bCs/>
          <w:kern w:val="0"/>
          <w:szCs w:val="20"/>
        </w:rPr>
      </w:pPr>
      <w:r w:rsidRPr="00814E0A">
        <w:rPr>
          <w:rFonts w:eastAsia="Calibri" w:cs="Arial"/>
          <w:b/>
          <w:bCs/>
          <w:kern w:val="0"/>
          <w:szCs w:val="20"/>
        </w:rPr>
        <w:t>Zajednički pokazatelji ostvarenih</w:t>
      </w:r>
      <w:r w:rsidR="0072079B">
        <w:rPr>
          <w:rFonts w:eastAsia="Calibri" w:cs="Arial"/>
          <w:b/>
          <w:bCs/>
          <w:kern w:val="0"/>
          <w:szCs w:val="20"/>
        </w:rPr>
        <w:t xml:space="preserve"> izlaznih</w:t>
      </w:r>
      <w:r w:rsidRPr="00814E0A">
        <w:rPr>
          <w:rFonts w:eastAsia="Calibri" w:cs="Arial"/>
          <w:b/>
          <w:bCs/>
          <w:kern w:val="0"/>
          <w:szCs w:val="20"/>
        </w:rPr>
        <w:t xml:space="preserve"> </w:t>
      </w:r>
      <w:r w:rsidR="00A25DE9">
        <w:rPr>
          <w:rFonts w:eastAsia="Calibri" w:cs="Arial"/>
          <w:b/>
          <w:bCs/>
          <w:kern w:val="0"/>
          <w:szCs w:val="20"/>
        </w:rPr>
        <w:t>rezultata</w:t>
      </w:r>
      <w:r w:rsidRPr="00814E0A">
        <w:rPr>
          <w:rFonts w:eastAsia="Calibri" w:cs="Arial"/>
          <w:b/>
          <w:bCs/>
          <w:kern w:val="0"/>
          <w:szCs w:val="20"/>
        </w:rPr>
        <w:t xml:space="preserve"> (output) i </w:t>
      </w:r>
      <w:r w:rsidR="00A25DE9">
        <w:rPr>
          <w:rFonts w:eastAsia="Calibri" w:cs="Arial"/>
          <w:b/>
          <w:bCs/>
          <w:kern w:val="0"/>
          <w:szCs w:val="20"/>
        </w:rPr>
        <w:t>ishoda</w:t>
      </w:r>
      <w:r w:rsidRPr="00814E0A">
        <w:rPr>
          <w:rFonts w:eastAsia="Calibri" w:cs="Arial"/>
          <w:b/>
          <w:bCs/>
          <w:kern w:val="0"/>
          <w:szCs w:val="20"/>
        </w:rPr>
        <w:t xml:space="preserve"> </w:t>
      </w:r>
      <w:r w:rsidRPr="00A25DE9">
        <w:rPr>
          <w:rFonts w:eastAsia="Calibri" w:cs="Arial"/>
          <w:bCs/>
          <w:kern w:val="0"/>
          <w:szCs w:val="20"/>
        </w:rPr>
        <w:t>objavljeni su u propisima specifičnim za svaki fond, kako slijedi:</w:t>
      </w:r>
    </w:p>
    <w:p w14:paraId="045CD7A6" w14:textId="0636875F" w:rsidR="00814E0A" w:rsidRPr="00A25DE9" w:rsidRDefault="00814E0A" w:rsidP="00814E0A">
      <w:pPr>
        <w:spacing w:after="0"/>
        <w:rPr>
          <w:rFonts w:eastAsia="Calibri" w:cs="Arial"/>
          <w:bCs/>
          <w:kern w:val="0"/>
          <w:szCs w:val="20"/>
        </w:rPr>
      </w:pPr>
      <w:r w:rsidRPr="00A25DE9">
        <w:rPr>
          <w:rFonts w:eastAsia="Calibri" w:cs="Arial"/>
          <w:bCs/>
          <w:kern w:val="0"/>
          <w:szCs w:val="20"/>
        </w:rPr>
        <w:t xml:space="preserve">• </w:t>
      </w:r>
      <w:r w:rsidR="00975088">
        <w:rPr>
          <w:rFonts w:eastAsia="Calibri" w:cs="Arial"/>
          <w:bCs/>
          <w:kern w:val="0"/>
          <w:szCs w:val="20"/>
        </w:rPr>
        <w:t>Regulativa</w:t>
      </w:r>
      <w:r w:rsidRPr="00A25DE9">
        <w:rPr>
          <w:rFonts w:eastAsia="Calibri" w:cs="Arial"/>
          <w:bCs/>
          <w:kern w:val="0"/>
          <w:szCs w:val="20"/>
        </w:rPr>
        <w:t xml:space="preserve"> o </w:t>
      </w:r>
      <w:r w:rsidR="003D7057">
        <w:rPr>
          <w:rFonts w:eastAsia="Calibri" w:cs="Arial"/>
          <w:bCs/>
          <w:kern w:val="0"/>
          <w:szCs w:val="20"/>
        </w:rPr>
        <w:t>EFRR</w:t>
      </w:r>
      <w:r w:rsidRPr="00A25DE9">
        <w:rPr>
          <w:rFonts w:eastAsia="Calibri" w:cs="Arial"/>
          <w:bCs/>
          <w:kern w:val="0"/>
          <w:szCs w:val="20"/>
        </w:rPr>
        <w:t>-u i Kohezi</w:t>
      </w:r>
      <w:r w:rsidR="00A25DE9">
        <w:rPr>
          <w:rFonts w:eastAsia="Calibri" w:cs="Arial"/>
          <w:bCs/>
          <w:kern w:val="0"/>
          <w:szCs w:val="20"/>
        </w:rPr>
        <w:t>onom</w:t>
      </w:r>
      <w:r w:rsidRPr="00A25DE9">
        <w:rPr>
          <w:rFonts w:eastAsia="Calibri" w:cs="Arial"/>
          <w:bCs/>
          <w:kern w:val="0"/>
          <w:szCs w:val="20"/>
        </w:rPr>
        <w:t xml:space="preserve"> fondu (</w:t>
      </w:r>
      <w:r w:rsidR="00975088">
        <w:rPr>
          <w:rFonts w:eastAsia="Calibri" w:cs="Arial"/>
          <w:bCs/>
          <w:kern w:val="0"/>
          <w:szCs w:val="20"/>
        </w:rPr>
        <w:t>Regulativa</w:t>
      </w:r>
      <w:r w:rsidRPr="00A25DE9">
        <w:rPr>
          <w:rFonts w:eastAsia="Calibri" w:cs="Arial"/>
          <w:bCs/>
          <w:kern w:val="0"/>
          <w:szCs w:val="20"/>
        </w:rPr>
        <w:t xml:space="preserve"> 2021/1058), član 8 stav (1) i </w:t>
      </w:r>
      <w:r w:rsidR="00A25DE9">
        <w:rPr>
          <w:rFonts w:eastAsia="Calibri" w:cs="Arial"/>
          <w:bCs/>
          <w:kern w:val="0"/>
          <w:szCs w:val="20"/>
        </w:rPr>
        <w:t>Aneksi</w:t>
      </w:r>
      <w:r w:rsidRPr="00A25DE9">
        <w:rPr>
          <w:rFonts w:eastAsia="Calibri" w:cs="Arial"/>
          <w:bCs/>
          <w:kern w:val="0"/>
          <w:szCs w:val="20"/>
        </w:rPr>
        <w:t xml:space="preserve"> I i II</w:t>
      </w:r>
    </w:p>
    <w:p w14:paraId="78C99D05" w14:textId="473F42B7" w:rsidR="00814E0A" w:rsidRPr="00A25DE9" w:rsidRDefault="00814E0A" w:rsidP="00814E0A">
      <w:pPr>
        <w:spacing w:after="0"/>
        <w:rPr>
          <w:rFonts w:eastAsia="Calibri" w:cs="Arial"/>
          <w:bCs/>
          <w:kern w:val="0"/>
          <w:szCs w:val="20"/>
        </w:rPr>
      </w:pPr>
      <w:r w:rsidRPr="00A25DE9">
        <w:rPr>
          <w:rFonts w:eastAsia="Calibri" w:cs="Arial"/>
          <w:bCs/>
          <w:kern w:val="0"/>
          <w:szCs w:val="20"/>
        </w:rPr>
        <w:t xml:space="preserve">• </w:t>
      </w:r>
      <w:r w:rsidR="00975088">
        <w:rPr>
          <w:rFonts w:eastAsia="Calibri" w:cs="Arial"/>
          <w:bCs/>
          <w:kern w:val="0"/>
          <w:szCs w:val="20"/>
        </w:rPr>
        <w:t>Regulativa</w:t>
      </w:r>
      <w:r w:rsidRPr="00A25DE9">
        <w:rPr>
          <w:rFonts w:eastAsia="Calibri" w:cs="Arial"/>
          <w:bCs/>
          <w:kern w:val="0"/>
          <w:szCs w:val="20"/>
        </w:rPr>
        <w:t xml:space="preserve"> o Fondu za pravednu tranziciju (</w:t>
      </w:r>
      <w:r w:rsidR="00975088">
        <w:rPr>
          <w:rFonts w:eastAsia="Calibri" w:cs="Arial"/>
          <w:bCs/>
          <w:kern w:val="0"/>
          <w:szCs w:val="20"/>
        </w:rPr>
        <w:t>Regulativa</w:t>
      </w:r>
      <w:r w:rsidRPr="00A25DE9">
        <w:rPr>
          <w:rFonts w:eastAsia="Calibri" w:cs="Arial"/>
          <w:bCs/>
          <w:kern w:val="0"/>
          <w:szCs w:val="20"/>
        </w:rPr>
        <w:t xml:space="preserve"> 2021/1056), član 12 i </w:t>
      </w:r>
      <w:r w:rsidR="00A25DE9">
        <w:rPr>
          <w:rFonts w:eastAsia="Calibri" w:cs="Arial"/>
          <w:bCs/>
          <w:kern w:val="0"/>
          <w:szCs w:val="20"/>
        </w:rPr>
        <w:t>Aneks</w:t>
      </w:r>
      <w:r w:rsidRPr="00A25DE9">
        <w:rPr>
          <w:rFonts w:eastAsia="Calibri" w:cs="Arial"/>
          <w:bCs/>
          <w:kern w:val="0"/>
          <w:szCs w:val="20"/>
        </w:rPr>
        <w:t xml:space="preserve"> III</w:t>
      </w:r>
    </w:p>
    <w:p w14:paraId="6999BEFA" w14:textId="20DF3EA9" w:rsidR="00814E0A" w:rsidRPr="00A25DE9" w:rsidRDefault="00814E0A" w:rsidP="00814E0A">
      <w:pPr>
        <w:spacing w:after="0"/>
        <w:rPr>
          <w:rFonts w:eastAsia="Calibri" w:cs="Arial"/>
          <w:bCs/>
          <w:kern w:val="0"/>
          <w:szCs w:val="20"/>
        </w:rPr>
      </w:pPr>
      <w:r w:rsidRPr="00A25DE9">
        <w:rPr>
          <w:rFonts w:eastAsia="Calibri" w:cs="Arial"/>
          <w:bCs/>
          <w:kern w:val="0"/>
          <w:szCs w:val="20"/>
        </w:rPr>
        <w:t xml:space="preserve">• </w:t>
      </w:r>
      <w:r w:rsidR="00975088">
        <w:rPr>
          <w:rFonts w:eastAsia="Calibri" w:cs="Arial"/>
          <w:bCs/>
          <w:kern w:val="0"/>
          <w:szCs w:val="20"/>
        </w:rPr>
        <w:t>Regulativa</w:t>
      </w:r>
      <w:r w:rsidRPr="00A25DE9">
        <w:rPr>
          <w:rFonts w:eastAsia="Calibri" w:cs="Arial"/>
          <w:bCs/>
          <w:kern w:val="0"/>
          <w:szCs w:val="20"/>
        </w:rPr>
        <w:t xml:space="preserve"> o ESF+ (</w:t>
      </w:r>
      <w:r w:rsidR="00975088">
        <w:rPr>
          <w:rFonts w:eastAsia="Calibri" w:cs="Arial"/>
          <w:bCs/>
          <w:kern w:val="0"/>
          <w:szCs w:val="20"/>
        </w:rPr>
        <w:t>Regulativa</w:t>
      </w:r>
      <w:r w:rsidRPr="00A25DE9">
        <w:rPr>
          <w:rFonts w:eastAsia="Calibri" w:cs="Arial"/>
          <w:bCs/>
          <w:kern w:val="0"/>
          <w:szCs w:val="20"/>
        </w:rPr>
        <w:t xml:space="preserve"> 2021/1057), čl. 17 i 23 te </w:t>
      </w:r>
      <w:r w:rsidR="00A25DE9">
        <w:rPr>
          <w:rFonts w:eastAsia="Calibri" w:cs="Arial"/>
          <w:bCs/>
          <w:kern w:val="0"/>
          <w:szCs w:val="20"/>
        </w:rPr>
        <w:t>Aneksi</w:t>
      </w:r>
      <w:r w:rsidRPr="00A25DE9">
        <w:rPr>
          <w:rFonts w:eastAsia="Calibri" w:cs="Arial"/>
          <w:bCs/>
          <w:kern w:val="0"/>
          <w:szCs w:val="20"/>
        </w:rPr>
        <w:t xml:space="preserve"> I, II i III</w:t>
      </w:r>
    </w:p>
    <w:p w14:paraId="6A047C23" w14:textId="4FB23BC2" w:rsidR="00A25DE9" w:rsidRDefault="00814E0A" w:rsidP="00814E0A">
      <w:pPr>
        <w:spacing w:after="0"/>
        <w:rPr>
          <w:rFonts w:eastAsia="Calibri" w:cs="Arial"/>
          <w:bCs/>
          <w:kern w:val="0"/>
          <w:szCs w:val="20"/>
        </w:rPr>
      </w:pPr>
      <w:r w:rsidRPr="00A25DE9">
        <w:rPr>
          <w:rFonts w:eastAsia="Calibri" w:cs="Arial"/>
          <w:bCs/>
          <w:kern w:val="0"/>
          <w:szCs w:val="20"/>
        </w:rPr>
        <w:t xml:space="preserve">• </w:t>
      </w:r>
      <w:r w:rsidR="00975088">
        <w:rPr>
          <w:rFonts w:eastAsia="Calibri" w:cs="Arial"/>
          <w:bCs/>
          <w:kern w:val="0"/>
          <w:szCs w:val="20"/>
        </w:rPr>
        <w:t>Regulativa</w:t>
      </w:r>
      <w:r w:rsidRPr="00A25DE9">
        <w:rPr>
          <w:rFonts w:eastAsia="Calibri" w:cs="Arial"/>
          <w:bCs/>
          <w:kern w:val="0"/>
          <w:szCs w:val="20"/>
        </w:rPr>
        <w:t xml:space="preserve"> o evropskoj teritorijalnoj saradnji – </w:t>
      </w:r>
      <w:r w:rsidR="003D7057">
        <w:rPr>
          <w:rFonts w:eastAsia="Calibri" w:cs="Arial"/>
          <w:bCs/>
          <w:kern w:val="0"/>
          <w:szCs w:val="20"/>
        </w:rPr>
        <w:t>ETS</w:t>
      </w:r>
      <w:r w:rsidRPr="00A25DE9">
        <w:rPr>
          <w:rFonts w:eastAsia="Calibri" w:cs="Arial"/>
          <w:bCs/>
          <w:kern w:val="0"/>
          <w:szCs w:val="20"/>
        </w:rPr>
        <w:t xml:space="preserve"> (</w:t>
      </w:r>
      <w:r w:rsidR="00975088">
        <w:rPr>
          <w:rFonts w:eastAsia="Calibri" w:cs="Arial"/>
          <w:bCs/>
          <w:kern w:val="0"/>
          <w:szCs w:val="20"/>
        </w:rPr>
        <w:t>Regulativa</w:t>
      </w:r>
      <w:r w:rsidRPr="00A25DE9">
        <w:rPr>
          <w:rFonts w:eastAsia="Calibri" w:cs="Arial"/>
          <w:bCs/>
          <w:kern w:val="0"/>
          <w:szCs w:val="20"/>
        </w:rPr>
        <w:t xml:space="preserve"> 2021/1059), Poglavlje IV, čl. 28-35</w:t>
      </w:r>
    </w:p>
    <w:p w14:paraId="6FB8ABCE" w14:textId="77777777" w:rsidR="00A25DE9" w:rsidRPr="00A25DE9" w:rsidRDefault="00A25DE9" w:rsidP="00814E0A">
      <w:pPr>
        <w:spacing w:after="0"/>
        <w:rPr>
          <w:rFonts w:eastAsia="Calibri" w:cs="Arial"/>
          <w:bCs/>
          <w:kern w:val="0"/>
          <w:szCs w:val="20"/>
        </w:rPr>
      </w:pPr>
    </w:p>
    <w:p w14:paraId="1F35EBBE" w14:textId="77777777" w:rsidR="00A5132F" w:rsidRPr="00B37A34" w:rsidRDefault="00A5132F" w:rsidP="00A5132F">
      <w:pPr>
        <w:rPr>
          <w:rFonts w:eastAsia="Calibri" w:cs="Arial"/>
          <w:kern w:val="0"/>
          <w:szCs w:val="20"/>
          <w:lang w:val="fr-FR"/>
        </w:rPr>
      </w:pPr>
    </w:p>
    <w:p w14:paraId="64093CED" w14:textId="04F03D25" w:rsidR="00A25DE9" w:rsidRDefault="00A25DE9" w:rsidP="00A25DE9">
      <w:r>
        <w:t xml:space="preserve">Član 22(3)(d) </w:t>
      </w:r>
      <w:r w:rsidR="00CD0020">
        <w:t>RZO</w:t>
      </w:r>
      <w:r>
        <w:t>-a zahtijeva izbor indikatora</w:t>
      </w:r>
      <w:r w:rsidR="00673523">
        <w:t xml:space="preserve"> izlaznih</w:t>
      </w:r>
      <w:r>
        <w:t xml:space="preserve"> rezultata i ishoda za svaki specifični cilj (izuzev specifičnih oblika </w:t>
      </w:r>
      <w:r w:rsidR="00F6773D">
        <w:t>tehničke pomoći</w:t>
      </w:r>
      <w:r>
        <w:t>).</w:t>
      </w:r>
    </w:p>
    <w:p w14:paraId="4D0AEC1B" w14:textId="56A008B8" w:rsidR="00A25DE9" w:rsidRDefault="00A25DE9" w:rsidP="00A25DE9">
      <w:r>
        <w:t xml:space="preserve">Što se tiče uspostavljanja </w:t>
      </w:r>
      <w:r w:rsidR="0072079B">
        <w:rPr>
          <w:b/>
        </w:rPr>
        <w:t>Odbora za monitoring</w:t>
      </w:r>
      <w:r>
        <w:t xml:space="preserve"> </w:t>
      </w:r>
      <w:r w:rsidRPr="00A25DE9">
        <w:t>i</w:t>
      </w:r>
      <w:r>
        <w:t xml:space="preserve"> podrške </w:t>
      </w:r>
      <w:r w:rsidR="0072079B">
        <w:t>njegovom radu</w:t>
      </w:r>
      <w:r>
        <w:t xml:space="preserve"> od strane Upravljačkog </w:t>
      </w:r>
      <w:r w:rsidR="00106577">
        <w:t>tijel</w:t>
      </w:r>
      <w:r>
        <w:t xml:space="preserve">a, član 38 </w:t>
      </w:r>
      <w:r w:rsidR="00CD0020">
        <w:t>RZO</w:t>
      </w:r>
      <w:r>
        <w:t xml:space="preserve">-a se fokusira na osnivanje </w:t>
      </w:r>
      <w:r w:rsidR="0072079B">
        <w:t>Odbora za monitoring</w:t>
      </w:r>
      <w:r>
        <w:t xml:space="preserve"> i usvajanje i objavljivanje Poslovnika o radu; član 39 o sastavu </w:t>
      </w:r>
      <w:r w:rsidR="0072079B">
        <w:t>Odbora za monitoring</w:t>
      </w:r>
      <w:r>
        <w:t xml:space="preserve"> treba čitati u vezi sa članom 88 o Partnerstvu i višeslojnom upravljanju; član 40 propisuje funkcije </w:t>
      </w:r>
      <w:r w:rsidR="0072079B">
        <w:t>O</w:t>
      </w:r>
      <w:r>
        <w:t>dbora</w:t>
      </w:r>
      <w:r w:rsidR="0072079B">
        <w:t xml:space="preserve"> za monitoring</w:t>
      </w:r>
      <w:r>
        <w:t>; član 41 propisuje organizaciju godišnjih revizijskih sastanaka radi ispitivanja učinka Programa.</w:t>
      </w:r>
    </w:p>
    <w:p w14:paraId="3C47577C" w14:textId="74AB04F7" w:rsidR="00A25DE9" w:rsidRDefault="00A25DE9" w:rsidP="00A25DE9">
      <w:r>
        <w:lastRenderedPageBreak/>
        <w:t>Član 75 propisuje da Upravljačk</w:t>
      </w:r>
      <w:r w:rsidR="00106577">
        <w:t>o tijelo</w:t>
      </w:r>
      <w:r>
        <w:t xml:space="preserve"> blagovremeno dostavlja </w:t>
      </w:r>
      <w:r w:rsidR="0072079B">
        <w:t>O</w:t>
      </w:r>
      <w:r>
        <w:t>dboru</w:t>
      </w:r>
      <w:r w:rsidR="0072079B">
        <w:t xml:space="preserve"> za monitoring</w:t>
      </w:r>
      <w:r>
        <w:t xml:space="preserve"> sve informacije neophodne za obavljanje njegovih zadataka, kao i da obezbjeđuje </w:t>
      </w:r>
      <w:r w:rsidR="00E26D99" w:rsidRPr="00E26D99">
        <w:t>monitoring</w:t>
      </w:r>
      <w:r>
        <w:t xml:space="preserve"> odluka i preporuka </w:t>
      </w:r>
      <w:r w:rsidR="0072079B">
        <w:t>O</w:t>
      </w:r>
      <w:r>
        <w:t>dbora</w:t>
      </w:r>
      <w:r w:rsidR="0072079B">
        <w:t xml:space="preserve"> za monitoring</w:t>
      </w:r>
      <w:r>
        <w:t>.</w:t>
      </w:r>
    </w:p>
    <w:p w14:paraId="581D9E16" w14:textId="57C04531" w:rsidR="00A25DE9" w:rsidRPr="00A25DE9" w:rsidRDefault="00A25DE9" w:rsidP="00A25DE9">
      <w:pPr>
        <w:rPr>
          <w:rFonts w:eastAsia="Calibri" w:cs="Arial"/>
          <w:kern w:val="0"/>
          <w:szCs w:val="20"/>
        </w:rPr>
      </w:pPr>
      <w:r w:rsidRPr="00A25DE9">
        <w:rPr>
          <w:rFonts w:eastAsia="Calibri" w:cs="Arial"/>
          <w:kern w:val="0"/>
          <w:szCs w:val="20"/>
        </w:rPr>
        <w:t xml:space="preserve">Što se tiče uspostavljanja elektronskog </w:t>
      </w:r>
      <w:r w:rsidR="00A067C3">
        <w:rPr>
          <w:rFonts w:eastAsia="Calibri" w:cs="Arial"/>
          <w:b/>
          <w:kern w:val="0"/>
          <w:szCs w:val="20"/>
        </w:rPr>
        <w:t>Informacionog sistema za upravljanje</w:t>
      </w:r>
      <w:r w:rsidR="0072079B">
        <w:rPr>
          <w:rFonts w:eastAsia="Calibri" w:cs="Arial"/>
          <w:b/>
          <w:kern w:val="0"/>
          <w:szCs w:val="20"/>
        </w:rPr>
        <w:t xml:space="preserve"> (</w:t>
      </w:r>
      <w:r w:rsidR="00A067C3">
        <w:rPr>
          <w:rFonts w:eastAsia="Calibri" w:cs="Arial"/>
          <w:b/>
          <w:kern w:val="0"/>
          <w:szCs w:val="20"/>
        </w:rPr>
        <w:t>ISU</w:t>
      </w:r>
      <w:r w:rsidR="0072079B">
        <w:rPr>
          <w:rFonts w:eastAsia="Calibri" w:cs="Arial"/>
          <w:b/>
          <w:kern w:val="0"/>
          <w:szCs w:val="20"/>
        </w:rPr>
        <w:t>)</w:t>
      </w:r>
      <w:r w:rsidRPr="00642095">
        <w:rPr>
          <w:rFonts w:eastAsia="Calibri" w:cs="Arial"/>
          <w:b/>
          <w:kern w:val="0"/>
          <w:szCs w:val="20"/>
        </w:rPr>
        <w:t xml:space="preserve">, </w:t>
      </w:r>
      <w:r w:rsidR="00642095">
        <w:rPr>
          <w:rFonts w:eastAsia="Calibri" w:cs="Arial"/>
          <w:b/>
          <w:kern w:val="0"/>
          <w:szCs w:val="20"/>
        </w:rPr>
        <w:t>E</w:t>
      </w:r>
      <w:r w:rsidRPr="00642095">
        <w:rPr>
          <w:rFonts w:eastAsia="Calibri" w:cs="Arial"/>
          <w:b/>
          <w:kern w:val="0"/>
          <w:szCs w:val="20"/>
        </w:rPr>
        <w:t>lektronskog prenosa podataka</w:t>
      </w:r>
      <w:r w:rsidRPr="00A25DE9">
        <w:rPr>
          <w:rFonts w:eastAsia="Calibri" w:cs="Arial"/>
          <w:kern w:val="0"/>
          <w:szCs w:val="20"/>
        </w:rPr>
        <w:t>, završnog izv</w:t>
      </w:r>
      <w:r w:rsidR="00642095">
        <w:rPr>
          <w:rFonts w:eastAsia="Calibri" w:cs="Arial"/>
          <w:kern w:val="0"/>
          <w:szCs w:val="20"/>
        </w:rPr>
        <w:t>j</w:t>
      </w:r>
      <w:r w:rsidRPr="00A25DE9">
        <w:rPr>
          <w:rFonts w:eastAsia="Calibri" w:cs="Arial"/>
          <w:kern w:val="0"/>
          <w:szCs w:val="20"/>
        </w:rPr>
        <w:t xml:space="preserve">eštaja o učinku i </w:t>
      </w:r>
      <w:r w:rsidRPr="00642095">
        <w:rPr>
          <w:rFonts w:eastAsia="Calibri" w:cs="Arial"/>
          <w:b/>
          <w:kern w:val="0"/>
          <w:szCs w:val="20"/>
        </w:rPr>
        <w:t>e-Kohezionog sistema</w:t>
      </w:r>
      <w:r w:rsidRPr="00A25DE9">
        <w:rPr>
          <w:rFonts w:eastAsia="Calibri" w:cs="Arial"/>
          <w:kern w:val="0"/>
          <w:szCs w:val="20"/>
        </w:rPr>
        <w:t>:</w:t>
      </w:r>
    </w:p>
    <w:p w14:paraId="440D8073" w14:textId="3008107E" w:rsidR="00A25DE9" w:rsidRPr="00A25DE9" w:rsidRDefault="00A25DE9" w:rsidP="00A25DE9">
      <w:pPr>
        <w:rPr>
          <w:rFonts w:eastAsia="Calibri" w:cs="Arial"/>
          <w:kern w:val="0"/>
          <w:szCs w:val="20"/>
        </w:rPr>
      </w:pPr>
      <w:r w:rsidRPr="00A25DE9">
        <w:rPr>
          <w:rFonts w:eastAsia="Calibri" w:cs="Arial"/>
          <w:kern w:val="0"/>
          <w:szCs w:val="20"/>
        </w:rPr>
        <w:t xml:space="preserve">Član 42 </w:t>
      </w:r>
      <w:r w:rsidR="00CD0020">
        <w:rPr>
          <w:rFonts w:eastAsia="Calibri" w:cs="Arial"/>
          <w:kern w:val="0"/>
          <w:szCs w:val="20"/>
        </w:rPr>
        <w:t>RZO</w:t>
      </w:r>
      <w:r w:rsidRPr="00A25DE9">
        <w:rPr>
          <w:rFonts w:eastAsia="Calibri" w:cs="Arial"/>
          <w:kern w:val="0"/>
          <w:szCs w:val="20"/>
        </w:rPr>
        <w:t xml:space="preserve">-a odnosi se na elektronski prenos podataka, koji se vrši sastavljanjem 12 tabela prema šablonu u Prilogu VII </w:t>
      </w:r>
      <w:r w:rsidR="00CD0020">
        <w:rPr>
          <w:rFonts w:eastAsia="Calibri" w:cs="Arial"/>
          <w:kern w:val="0"/>
          <w:szCs w:val="20"/>
        </w:rPr>
        <w:t>RZO</w:t>
      </w:r>
      <w:r w:rsidRPr="00A25DE9">
        <w:rPr>
          <w:rFonts w:eastAsia="Calibri" w:cs="Arial"/>
          <w:kern w:val="0"/>
          <w:szCs w:val="20"/>
        </w:rPr>
        <w:t>-a. Član 43 zaht</w:t>
      </w:r>
      <w:r w:rsidR="00642095">
        <w:rPr>
          <w:rFonts w:eastAsia="Calibri" w:cs="Arial"/>
          <w:kern w:val="0"/>
          <w:szCs w:val="20"/>
        </w:rPr>
        <w:t>ij</w:t>
      </w:r>
      <w:r w:rsidRPr="00A25DE9">
        <w:rPr>
          <w:rFonts w:eastAsia="Calibri" w:cs="Arial"/>
          <w:kern w:val="0"/>
          <w:szCs w:val="20"/>
        </w:rPr>
        <w:t>eva pripremu i objavljivanje završnog izv</w:t>
      </w:r>
      <w:r w:rsidR="00642095">
        <w:rPr>
          <w:rFonts w:eastAsia="Calibri" w:cs="Arial"/>
          <w:kern w:val="0"/>
          <w:szCs w:val="20"/>
        </w:rPr>
        <w:t>j</w:t>
      </w:r>
      <w:r w:rsidRPr="00A25DE9">
        <w:rPr>
          <w:rFonts w:eastAsia="Calibri" w:cs="Arial"/>
          <w:kern w:val="0"/>
          <w:szCs w:val="20"/>
        </w:rPr>
        <w:t>eštaja o učinku.</w:t>
      </w:r>
    </w:p>
    <w:p w14:paraId="5038CEDE" w14:textId="4677CD5C" w:rsidR="00A25DE9" w:rsidRPr="00A25DE9" w:rsidRDefault="00A25DE9" w:rsidP="00A25DE9">
      <w:pPr>
        <w:rPr>
          <w:rFonts w:eastAsia="Calibri" w:cs="Arial"/>
          <w:kern w:val="0"/>
          <w:szCs w:val="20"/>
        </w:rPr>
      </w:pPr>
      <w:r w:rsidRPr="00A25DE9">
        <w:rPr>
          <w:rFonts w:eastAsia="Calibri" w:cs="Arial"/>
          <w:kern w:val="0"/>
          <w:szCs w:val="20"/>
        </w:rPr>
        <w:t xml:space="preserve">Član 69 </w:t>
      </w:r>
      <w:r w:rsidR="00CD0020">
        <w:rPr>
          <w:rFonts w:eastAsia="Calibri" w:cs="Arial"/>
          <w:kern w:val="0"/>
          <w:szCs w:val="20"/>
        </w:rPr>
        <w:t>RZO</w:t>
      </w:r>
      <w:r w:rsidRPr="00A25DE9">
        <w:rPr>
          <w:rFonts w:eastAsia="Calibri" w:cs="Arial"/>
          <w:kern w:val="0"/>
          <w:szCs w:val="20"/>
        </w:rPr>
        <w:t xml:space="preserve">-a fokusira se na kvalitet, tačnost i pouzdanost sistema praćenja i podataka o indikatorima, </w:t>
      </w:r>
      <w:r w:rsidR="00642095">
        <w:rPr>
          <w:rFonts w:eastAsia="Calibri" w:cs="Arial"/>
          <w:kern w:val="0"/>
          <w:szCs w:val="20"/>
        </w:rPr>
        <w:t>O</w:t>
      </w:r>
      <w:r w:rsidRPr="00A25DE9">
        <w:rPr>
          <w:rFonts w:eastAsia="Calibri" w:cs="Arial"/>
          <w:kern w:val="0"/>
          <w:szCs w:val="20"/>
        </w:rPr>
        <w:t xml:space="preserve">bjavljivanje informacija, </w:t>
      </w:r>
      <w:r w:rsidR="00642095">
        <w:rPr>
          <w:rFonts w:eastAsia="Calibri" w:cs="Arial"/>
          <w:kern w:val="0"/>
          <w:szCs w:val="20"/>
        </w:rPr>
        <w:t>S</w:t>
      </w:r>
      <w:r w:rsidRPr="00A25DE9">
        <w:rPr>
          <w:rFonts w:eastAsia="Calibri" w:cs="Arial"/>
          <w:kern w:val="0"/>
          <w:szCs w:val="20"/>
        </w:rPr>
        <w:t xml:space="preserve">isteme i procedure za revizorski trag, </w:t>
      </w:r>
      <w:r w:rsidR="00642095">
        <w:rPr>
          <w:rFonts w:eastAsia="Calibri" w:cs="Arial"/>
          <w:kern w:val="0"/>
          <w:szCs w:val="20"/>
        </w:rPr>
        <w:t>S</w:t>
      </w:r>
      <w:r w:rsidRPr="00A25DE9">
        <w:rPr>
          <w:rFonts w:eastAsia="Calibri" w:cs="Arial"/>
          <w:kern w:val="0"/>
          <w:szCs w:val="20"/>
        </w:rPr>
        <w:t>isteme za elektronsku razm</w:t>
      </w:r>
      <w:r w:rsidR="00642095">
        <w:rPr>
          <w:rFonts w:eastAsia="Calibri" w:cs="Arial"/>
          <w:kern w:val="0"/>
          <w:szCs w:val="20"/>
        </w:rPr>
        <w:t>j</w:t>
      </w:r>
      <w:r w:rsidRPr="00A25DE9">
        <w:rPr>
          <w:rFonts w:eastAsia="Calibri" w:cs="Arial"/>
          <w:kern w:val="0"/>
          <w:szCs w:val="20"/>
        </w:rPr>
        <w:t>enu podataka.</w:t>
      </w:r>
    </w:p>
    <w:p w14:paraId="74FDEECF" w14:textId="77777777" w:rsidR="00A25DE9" w:rsidRPr="00A25DE9" w:rsidRDefault="00A25DE9" w:rsidP="00A25DE9">
      <w:pPr>
        <w:rPr>
          <w:rFonts w:eastAsia="Calibri" w:cs="Arial"/>
          <w:kern w:val="0"/>
          <w:szCs w:val="20"/>
        </w:rPr>
      </w:pPr>
      <w:r w:rsidRPr="00A25DE9">
        <w:rPr>
          <w:rFonts w:eastAsia="Calibri" w:cs="Arial"/>
          <w:kern w:val="0"/>
          <w:szCs w:val="20"/>
        </w:rPr>
        <w:t>Član 69 fokusira se na odgovornosti država članica, između ostalog, u vezi sa:</w:t>
      </w:r>
    </w:p>
    <w:p w14:paraId="662DAFEC" w14:textId="5B0441F7" w:rsidR="00A25DE9" w:rsidRPr="00A25DE9" w:rsidRDefault="00A25DE9" w:rsidP="00A25DE9">
      <w:pPr>
        <w:rPr>
          <w:rFonts w:eastAsia="Calibri" w:cs="Arial"/>
          <w:kern w:val="0"/>
          <w:szCs w:val="20"/>
        </w:rPr>
      </w:pPr>
      <w:r w:rsidRPr="00A25DE9">
        <w:rPr>
          <w:rFonts w:eastAsia="Calibri" w:cs="Arial"/>
          <w:kern w:val="0"/>
          <w:szCs w:val="20"/>
        </w:rPr>
        <w:t xml:space="preserve">Članom 69(2) i (12) i </w:t>
      </w:r>
      <w:r w:rsidR="00642095">
        <w:rPr>
          <w:rFonts w:eastAsia="Calibri" w:cs="Arial"/>
          <w:kern w:val="0"/>
          <w:szCs w:val="20"/>
        </w:rPr>
        <w:t>Aneksom</w:t>
      </w:r>
      <w:r w:rsidRPr="00A25DE9">
        <w:rPr>
          <w:rFonts w:eastAsia="Calibri" w:cs="Arial"/>
          <w:kern w:val="0"/>
          <w:szCs w:val="20"/>
        </w:rPr>
        <w:t xml:space="preserve"> XII o detaljnim pravilima i šablonu za izv</w:t>
      </w:r>
      <w:r w:rsidR="00642095">
        <w:rPr>
          <w:rFonts w:eastAsia="Calibri" w:cs="Arial"/>
          <w:kern w:val="0"/>
          <w:szCs w:val="20"/>
        </w:rPr>
        <w:t>j</w:t>
      </w:r>
      <w:r w:rsidRPr="00A25DE9">
        <w:rPr>
          <w:rFonts w:eastAsia="Calibri" w:cs="Arial"/>
          <w:kern w:val="0"/>
          <w:szCs w:val="20"/>
        </w:rPr>
        <w:t>eštavanje o nepravilnostima – Odeljak 2 Šablon za elektronsko izv</w:t>
      </w:r>
      <w:r w:rsidR="00642095">
        <w:rPr>
          <w:rFonts w:eastAsia="Calibri" w:cs="Arial"/>
          <w:kern w:val="0"/>
          <w:szCs w:val="20"/>
        </w:rPr>
        <w:t>j</w:t>
      </w:r>
      <w:r w:rsidRPr="00A25DE9">
        <w:rPr>
          <w:rFonts w:eastAsia="Calibri" w:cs="Arial"/>
          <w:kern w:val="0"/>
          <w:szCs w:val="20"/>
        </w:rPr>
        <w:t>eštavanje putem Sistema za upravljanje nepravilnostima (IMS).</w:t>
      </w:r>
    </w:p>
    <w:p w14:paraId="53A69506" w14:textId="77777777" w:rsidR="00A25DE9" w:rsidRDefault="00A25DE9" w:rsidP="00A25DE9">
      <w:pPr>
        <w:rPr>
          <w:rFonts w:eastAsia="Calibri" w:cs="Arial"/>
          <w:kern w:val="0"/>
          <w:szCs w:val="20"/>
        </w:rPr>
      </w:pPr>
      <w:r w:rsidRPr="00A25DE9">
        <w:rPr>
          <w:rFonts w:eastAsia="Calibri" w:cs="Arial"/>
          <w:kern w:val="0"/>
          <w:szCs w:val="20"/>
        </w:rPr>
        <w:t>Član 69(4) Kvalitet, tačnost i pouzdanost sistema praćenja i podataka o indikatorima.</w:t>
      </w:r>
    </w:p>
    <w:p w14:paraId="10A89055" w14:textId="23A3ADE4" w:rsidR="00642095" w:rsidRPr="00642095" w:rsidRDefault="00642095" w:rsidP="00642095">
      <w:pPr>
        <w:rPr>
          <w:rFonts w:eastAsia="Calibri" w:cs="Arial"/>
          <w:kern w:val="0"/>
          <w:szCs w:val="20"/>
        </w:rPr>
      </w:pPr>
      <w:r w:rsidRPr="00642095">
        <w:rPr>
          <w:rFonts w:eastAsia="Calibri" w:cs="Arial"/>
          <w:kern w:val="0"/>
          <w:szCs w:val="20"/>
        </w:rPr>
        <w:t>Član 69(5) Objavljivanje informacija u skladu sa zaht</w:t>
      </w:r>
      <w:r>
        <w:rPr>
          <w:rFonts w:eastAsia="Calibri" w:cs="Arial"/>
          <w:kern w:val="0"/>
          <w:szCs w:val="20"/>
        </w:rPr>
        <w:t>j</w:t>
      </w:r>
      <w:r w:rsidRPr="00642095">
        <w:rPr>
          <w:rFonts w:eastAsia="Calibri" w:cs="Arial"/>
          <w:kern w:val="0"/>
          <w:szCs w:val="20"/>
        </w:rPr>
        <w:t xml:space="preserve">evima utvrđenim </w:t>
      </w:r>
      <w:r w:rsidR="00CD0020">
        <w:rPr>
          <w:rFonts w:eastAsia="Calibri" w:cs="Arial"/>
          <w:kern w:val="0"/>
          <w:szCs w:val="20"/>
        </w:rPr>
        <w:t>RZO</w:t>
      </w:r>
      <w:r w:rsidRPr="00642095">
        <w:rPr>
          <w:rFonts w:eastAsia="Calibri" w:cs="Arial"/>
          <w:kern w:val="0"/>
          <w:szCs w:val="20"/>
        </w:rPr>
        <w:t>-om i posebnim propisima za fondove, osim u slučajevima kada pravo Unije ili nacionalno pravo isključuje takvo objavljivanje iz razloga bezb</w:t>
      </w:r>
      <w:r>
        <w:rPr>
          <w:rFonts w:eastAsia="Calibri" w:cs="Arial"/>
          <w:kern w:val="0"/>
          <w:szCs w:val="20"/>
        </w:rPr>
        <w:t>j</w:t>
      </w:r>
      <w:r w:rsidRPr="00642095">
        <w:rPr>
          <w:rFonts w:eastAsia="Calibri" w:cs="Arial"/>
          <w:kern w:val="0"/>
          <w:szCs w:val="20"/>
        </w:rPr>
        <w:t xml:space="preserve">ednosti, javnog reda, krivičnih istraga ili zaštite ličnih podataka u skladu sa </w:t>
      </w:r>
      <w:r>
        <w:rPr>
          <w:rFonts w:eastAsia="Calibri" w:cs="Arial"/>
          <w:kern w:val="0"/>
          <w:szCs w:val="20"/>
        </w:rPr>
        <w:t>Regulativom</w:t>
      </w:r>
      <w:r w:rsidRPr="00642095">
        <w:rPr>
          <w:rFonts w:eastAsia="Calibri" w:cs="Arial"/>
          <w:kern w:val="0"/>
          <w:szCs w:val="20"/>
        </w:rPr>
        <w:t xml:space="preserve"> (EU) 2016/679 (Opšta </w:t>
      </w:r>
      <w:r>
        <w:rPr>
          <w:rFonts w:eastAsia="Calibri" w:cs="Arial"/>
          <w:kern w:val="0"/>
          <w:szCs w:val="20"/>
        </w:rPr>
        <w:t>regulativa</w:t>
      </w:r>
      <w:r w:rsidRPr="00642095">
        <w:rPr>
          <w:rFonts w:eastAsia="Calibri" w:cs="Arial"/>
          <w:kern w:val="0"/>
          <w:szCs w:val="20"/>
        </w:rPr>
        <w:t xml:space="preserve"> o zaštiti podataka o ličnosti).</w:t>
      </w:r>
    </w:p>
    <w:p w14:paraId="33E88EF8" w14:textId="79E9B345" w:rsidR="00642095" w:rsidRPr="00642095" w:rsidRDefault="00642095" w:rsidP="00642095">
      <w:pPr>
        <w:rPr>
          <w:rFonts w:eastAsia="Calibri" w:cs="Arial"/>
          <w:kern w:val="0"/>
          <w:szCs w:val="20"/>
        </w:rPr>
      </w:pPr>
      <w:r w:rsidRPr="00642095">
        <w:rPr>
          <w:rFonts w:eastAsia="Calibri" w:cs="Arial"/>
          <w:kern w:val="0"/>
          <w:szCs w:val="20"/>
        </w:rPr>
        <w:t>Član 69(6) Sistemi i procedure za obezb</w:t>
      </w:r>
      <w:r>
        <w:rPr>
          <w:rFonts w:eastAsia="Calibri" w:cs="Arial"/>
          <w:kern w:val="0"/>
          <w:szCs w:val="20"/>
        </w:rPr>
        <w:t>j</w:t>
      </w:r>
      <w:r w:rsidRPr="00642095">
        <w:rPr>
          <w:rFonts w:eastAsia="Calibri" w:cs="Arial"/>
          <w:kern w:val="0"/>
          <w:szCs w:val="20"/>
        </w:rPr>
        <w:t>eđivanje da sva dokumenta neophodna za revizorski trag, kako je utvrđeno u Aneksu XIII, budu čuvana u skladu sa zaht</w:t>
      </w:r>
      <w:r>
        <w:rPr>
          <w:rFonts w:eastAsia="Calibri" w:cs="Arial"/>
          <w:kern w:val="0"/>
          <w:szCs w:val="20"/>
        </w:rPr>
        <w:t>j</w:t>
      </w:r>
      <w:r w:rsidRPr="00642095">
        <w:rPr>
          <w:rFonts w:eastAsia="Calibri" w:cs="Arial"/>
          <w:kern w:val="0"/>
          <w:szCs w:val="20"/>
        </w:rPr>
        <w:t>evima iz Člana 82.</w:t>
      </w:r>
    </w:p>
    <w:p w14:paraId="4B0D9096" w14:textId="11A0F493" w:rsidR="00642095" w:rsidRPr="00642095" w:rsidRDefault="00642095" w:rsidP="00642095">
      <w:pPr>
        <w:rPr>
          <w:rFonts w:eastAsia="Calibri" w:cs="Arial"/>
          <w:kern w:val="0"/>
          <w:szCs w:val="20"/>
        </w:rPr>
      </w:pPr>
      <w:r w:rsidRPr="00642095">
        <w:rPr>
          <w:rFonts w:eastAsia="Calibri" w:cs="Arial"/>
          <w:kern w:val="0"/>
          <w:szCs w:val="20"/>
        </w:rPr>
        <w:t>Član 69(8) Elektronski sistemi za razm</w:t>
      </w:r>
      <w:r>
        <w:rPr>
          <w:rFonts w:eastAsia="Calibri" w:cs="Arial"/>
          <w:kern w:val="0"/>
          <w:szCs w:val="20"/>
        </w:rPr>
        <w:t>j</w:t>
      </w:r>
      <w:r w:rsidRPr="00642095">
        <w:rPr>
          <w:rFonts w:eastAsia="Calibri" w:cs="Arial"/>
          <w:kern w:val="0"/>
          <w:szCs w:val="20"/>
        </w:rPr>
        <w:t>enu podataka između upravljačkih t</w:t>
      </w:r>
      <w:r>
        <w:rPr>
          <w:rFonts w:eastAsia="Calibri" w:cs="Arial"/>
          <w:kern w:val="0"/>
          <w:szCs w:val="20"/>
        </w:rPr>
        <w:t>ij</w:t>
      </w:r>
      <w:r w:rsidRPr="00642095">
        <w:rPr>
          <w:rFonts w:eastAsia="Calibri" w:cs="Arial"/>
          <w:kern w:val="0"/>
          <w:szCs w:val="20"/>
        </w:rPr>
        <w:t>ela programa i korisnika (</w:t>
      </w:r>
      <w:r w:rsidRPr="00642095">
        <w:rPr>
          <w:rFonts w:eastAsia="Calibri" w:cs="Arial"/>
          <w:b/>
          <w:kern w:val="0"/>
          <w:szCs w:val="20"/>
        </w:rPr>
        <w:t>e-Kohezija</w:t>
      </w:r>
      <w:r w:rsidRPr="00642095">
        <w:rPr>
          <w:rFonts w:eastAsia="Calibri" w:cs="Arial"/>
          <w:kern w:val="0"/>
          <w:szCs w:val="20"/>
        </w:rPr>
        <w:t>) upućuje na Aneks XIV za dodatna uputstva.</w:t>
      </w:r>
    </w:p>
    <w:p w14:paraId="15602DEF" w14:textId="66D369AA" w:rsidR="00642095" w:rsidRPr="00642095" w:rsidRDefault="00642095" w:rsidP="00642095">
      <w:pPr>
        <w:rPr>
          <w:rFonts w:eastAsia="Calibri" w:cs="Arial"/>
          <w:kern w:val="0"/>
          <w:szCs w:val="20"/>
        </w:rPr>
      </w:pPr>
      <w:r w:rsidRPr="00642095">
        <w:rPr>
          <w:rFonts w:eastAsia="Calibri" w:cs="Arial"/>
          <w:kern w:val="0"/>
          <w:szCs w:val="20"/>
        </w:rPr>
        <w:t>Član 69(9) Elektronski sistem za razm</w:t>
      </w:r>
      <w:r>
        <w:rPr>
          <w:rFonts w:eastAsia="Calibri" w:cs="Arial"/>
          <w:kern w:val="0"/>
          <w:szCs w:val="20"/>
        </w:rPr>
        <w:t>j</w:t>
      </w:r>
      <w:r w:rsidRPr="00642095">
        <w:rPr>
          <w:rFonts w:eastAsia="Calibri" w:cs="Arial"/>
          <w:kern w:val="0"/>
          <w:szCs w:val="20"/>
        </w:rPr>
        <w:t>enu podataka između država članica i Komisije – Član 69(9) upućuje na Aneks XV SFC2021 za dodatna uputstva.</w:t>
      </w:r>
    </w:p>
    <w:p w14:paraId="5B8EC083" w14:textId="7628B602" w:rsidR="00642095" w:rsidRPr="00642095" w:rsidRDefault="00642095" w:rsidP="00642095">
      <w:pPr>
        <w:rPr>
          <w:rFonts w:eastAsia="Calibri" w:cs="Arial"/>
          <w:kern w:val="0"/>
          <w:szCs w:val="20"/>
        </w:rPr>
      </w:pPr>
      <w:r w:rsidRPr="00642095">
        <w:rPr>
          <w:rFonts w:eastAsia="Calibri" w:cs="Arial"/>
          <w:kern w:val="0"/>
          <w:szCs w:val="20"/>
        </w:rPr>
        <w:t>Član 72(1)(e) propisuje da Upravljačko t</w:t>
      </w:r>
      <w:r>
        <w:rPr>
          <w:rFonts w:eastAsia="Calibri" w:cs="Arial"/>
          <w:kern w:val="0"/>
          <w:szCs w:val="20"/>
        </w:rPr>
        <w:t>ij</w:t>
      </w:r>
      <w:r w:rsidRPr="00642095">
        <w:rPr>
          <w:rFonts w:eastAsia="Calibri" w:cs="Arial"/>
          <w:kern w:val="0"/>
          <w:szCs w:val="20"/>
        </w:rPr>
        <w:t xml:space="preserve">elo mora elektronski da evidentira i </w:t>
      </w:r>
      <w:r w:rsidRPr="00642095">
        <w:rPr>
          <w:rFonts w:eastAsia="Calibri" w:cs="Arial"/>
          <w:b/>
          <w:kern w:val="0"/>
          <w:szCs w:val="20"/>
        </w:rPr>
        <w:t xml:space="preserve">čuva podatke o svakoj operaciji koji su neophodni za </w:t>
      </w:r>
      <w:r w:rsidR="00E26D99" w:rsidRPr="00E26D99">
        <w:rPr>
          <w:rFonts w:eastAsia="Calibri" w:cs="Arial"/>
          <w:b/>
          <w:kern w:val="0"/>
          <w:szCs w:val="20"/>
        </w:rPr>
        <w:t>monitoring</w:t>
      </w:r>
      <w:r w:rsidRPr="00642095">
        <w:rPr>
          <w:rFonts w:eastAsia="Calibri" w:cs="Arial"/>
          <w:b/>
          <w:kern w:val="0"/>
          <w:szCs w:val="20"/>
        </w:rPr>
        <w:t>, evaluaciju</w:t>
      </w:r>
      <w:r w:rsidRPr="00642095">
        <w:rPr>
          <w:rFonts w:eastAsia="Calibri" w:cs="Arial"/>
          <w:kern w:val="0"/>
          <w:szCs w:val="20"/>
        </w:rPr>
        <w:t xml:space="preserve">, finansijsko upravljanje, verifikacije i revizije u skladu sa </w:t>
      </w:r>
      <w:r>
        <w:rPr>
          <w:rFonts w:eastAsia="Calibri" w:cs="Arial"/>
          <w:kern w:val="0"/>
          <w:szCs w:val="20"/>
        </w:rPr>
        <w:t>Aneksom</w:t>
      </w:r>
      <w:r w:rsidRPr="00642095">
        <w:rPr>
          <w:rFonts w:eastAsia="Calibri" w:cs="Arial"/>
          <w:kern w:val="0"/>
          <w:szCs w:val="20"/>
        </w:rPr>
        <w:t xml:space="preserve"> XVII, i da o</w:t>
      </w:r>
      <w:r>
        <w:rPr>
          <w:rFonts w:eastAsia="Calibri" w:cs="Arial"/>
          <w:kern w:val="0"/>
          <w:szCs w:val="20"/>
        </w:rPr>
        <w:t>sigura</w:t>
      </w:r>
      <w:r w:rsidRPr="00642095">
        <w:rPr>
          <w:rFonts w:eastAsia="Calibri" w:cs="Arial"/>
          <w:kern w:val="0"/>
          <w:szCs w:val="20"/>
        </w:rPr>
        <w:t xml:space="preserve"> bezb</w:t>
      </w:r>
      <w:r>
        <w:rPr>
          <w:rFonts w:eastAsia="Calibri" w:cs="Arial"/>
          <w:kern w:val="0"/>
          <w:szCs w:val="20"/>
        </w:rPr>
        <w:t>j</w:t>
      </w:r>
      <w:r w:rsidRPr="00642095">
        <w:rPr>
          <w:rFonts w:eastAsia="Calibri" w:cs="Arial"/>
          <w:kern w:val="0"/>
          <w:szCs w:val="20"/>
        </w:rPr>
        <w:t>ednost, integritet i pov</w:t>
      </w:r>
      <w:r>
        <w:rPr>
          <w:rFonts w:eastAsia="Calibri" w:cs="Arial"/>
          <w:kern w:val="0"/>
          <w:szCs w:val="20"/>
        </w:rPr>
        <w:t>j</w:t>
      </w:r>
      <w:r w:rsidRPr="00642095">
        <w:rPr>
          <w:rFonts w:eastAsia="Calibri" w:cs="Arial"/>
          <w:kern w:val="0"/>
          <w:szCs w:val="20"/>
        </w:rPr>
        <w:t>erljivost podataka i autentifikaciju korisnika.</w:t>
      </w:r>
    </w:p>
    <w:p w14:paraId="4FC713B5" w14:textId="56F869DE" w:rsidR="00642095" w:rsidRPr="00642095" w:rsidRDefault="00642095" w:rsidP="00642095">
      <w:pPr>
        <w:rPr>
          <w:rFonts w:eastAsia="Calibri" w:cs="Arial"/>
          <w:kern w:val="0"/>
          <w:szCs w:val="20"/>
        </w:rPr>
      </w:pPr>
      <w:r w:rsidRPr="00642095">
        <w:rPr>
          <w:rFonts w:eastAsia="Calibri" w:cs="Arial"/>
          <w:kern w:val="0"/>
          <w:szCs w:val="20"/>
        </w:rPr>
        <w:t xml:space="preserve">U vezi sa izradom Plana evaluacije za kohezione programe, članovi 44 i 45 </w:t>
      </w:r>
      <w:r w:rsidR="00CD0020">
        <w:rPr>
          <w:rFonts w:eastAsia="Calibri" w:cs="Arial"/>
          <w:kern w:val="0"/>
          <w:szCs w:val="20"/>
        </w:rPr>
        <w:t>RZO</w:t>
      </w:r>
      <w:r w:rsidRPr="00642095">
        <w:rPr>
          <w:rFonts w:eastAsia="Calibri" w:cs="Arial"/>
          <w:kern w:val="0"/>
          <w:szCs w:val="20"/>
        </w:rPr>
        <w:t>-a odnose se na evaluaciju programa od strane države članice i evaluaciju od strane Komisije. U roku od godinu dana od odobrenja programa, Plan evaluacije mora biti prosl</w:t>
      </w:r>
      <w:r>
        <w:rPr>
          <w:rFonts w:eastAsia="Calibri" w:cs="Arial"/>
          <w:kern w:val="0"/>
          <w:szCs w:val="20"/>
        </w:rPr>
        <w:t>ij</w:t>
      </w:r>
      <w:r w:rsidRPr="00642095">
        <w:rPr>
          <w:rFonts w:eastAsia="Calibri" w:cs="Arial"/>
          <w:kern w:val="0"/>
          <w:szCs w:val="20"/>
        </w:rPr>
        <w:t>eđen Komisiji.</w:t>
      </w:r>
    </w:p>
    <w:p w14:paraId="4AE313AF" w14:textId="43C94610" w:rsidR="008F5007" w:rsidRDefault="00642095" w:rsidP="00642095">
      <w:pPr>
        <w:rPr>
          <w:rFonts w:eastAsia="Calibri" w:cs="Arial"/>
          <w:kern w:val="0"/>
          <w:szCs w:val="20"/>
        </w:rPr>
      </w:pPr>
      <w:r w:rsidRPr="00642095">
        <w:rPr>
          <w:rFonts w:eastAsia="Calibri" w:cs="Arial"/>
          <w:kern w:val="0"/>
          <w:szCs w:val="20"/>
        </w:rPr>
        <w:t xml:space="preserve">Od najveće važnosti je </w:t>
      </w:r>
      <w:r w:rsidRPr="008F5007">
        <w:rPr>
          <w:rFonts w:eastAsia="Calibri" w:cs="Arial"/>
          <w:kern w:val="0"/>
          <w:szCs w:val="20"/>
          <w:u w:val="single"/>
        </w:rPr>
        <w:t>pravni okvir EU za zaštitu finansijskih interesa EU</w:t>
      </w:r>
      <w:r w:rsidRPr="00642095">
        <w:rPr>
          <w:rFonts w:eastAsia="Calibri" w:cs="Arial"/>
          <w:kern w:val="0"/>
          <w:szCs w:val="20"/>
        </w:rPr>
        <w:t>, a posebno Direktive (s obzirom da je potrebno njihovo prenošenje u nacionalno zakonodavstvo). "EU Direktiva o zaštiti uzbunjivača" 2019/1937 je jednom izm</w:t>
      </w:r>
      <w:r w:rsidR="008F5007">
        <w:rPr>
          <w:rFonts w:eastAsia="Calibri" w:cs="Arial"/>
          <w:kern w:val="0"/>
          <w:szCs w:val="20"/>
        </w:rPr>
        <w:t>ij</w:t>
      </w:r>
      <w:r w:rsidRPr="00642095">
        <w:rPr>
          <w:rFonts w:eastAsia="Calibri" w:cs="Arial"/>
          <w:kern w:val="0"/>
          <w:szCs w:val="20"/>
        </w:rPr>
        <w:t>enjena 2020, 2022. i 2023. godine, i tri puta u 2024. godini</w:t>
      </w:r>
      <w:r w:rsidR="008F5007" w:rsidRPr="00B83578">
        <w:rPr>
          <w:rStyle w:val="FootnoteReference"/>
          <w:color w:val="000000" w:themeColor="text1"/>
        </w:rPr>
        <w:footnoteReference w:id="72"/>
      </w:r>
      <w:r w:rsidRPr="00642095">
        <w:rPr>
          <w:rFonts w:eastAsia="Calibri" w:cs="Arial"/>
          <w:kern w:val="0"/>
          <w:szCs w:val="20"/>
        </w:rPr>
        <w:t>.</w:t>
      </w:r>
    </w:p>
    <w:p w14:paraId="46C702DD" w14:textId="3906F278" w:rsidR="00A5132F" w:rsidRPr="00B83578" w:rsidRDefault="00017758" w:rsidP="007B6C77">
      <w:pPr>
        <w:pStyle w:val="Heading2"/>
      </w:pPr>
      <w:bookmarkStart w:id="74" w:name="_Toc201700351"/>
      <w:r>
        <w:t>Procjena trenutne situacije</w:t>
      </w:r>
      <w:bookmarkEnd w:id="74"/>
    </w:p>
    <w:p w14:paraId="49264EE3" w14:textId="6617FAC4" w:rsidR="008F5007" w:rsidRDefault="008F5007" w:rsidP="00DB097A">
      <w:r w:rsidRPr="008F5007">
        <w:t>Trenutna situacija je proc</w:t>
      </w:r>
      <w:r>
        <w:t>ij</w:t>
      </w:r>
      <w:r w:rsidRPr="008F5007">
        <w:t>enjena u januaru 2025. godine u okviru „Izv</w:t>
      </w:r>
      <w:r>
        <w:t>j</w:t>
      </w:r>
      <w:r w:rsidRPr="008F5007">
        <w:t>eštaja o trenutno dostupnim IT r</w:t>
      </w:r>
      <w:r>
        <w:t>j</w:t>
      </w:r>
      <w:r w:rsidRPr="008F5007">
        <w:t xml:space="preserve">ešenjima za potrebe praćenja i evaluacije EU </w:t>
      </w:r>
      <w:r w:rsidR="00477A44">
        <w:t>podrške</w:t>
      </w:r>
      <w:r w:rsidRPr="008F5007">
        <w:t xml:space="preserve"> (uključujući planirani razvoj) i preporukama za dalji </w:t>
      </w:r>
      <w:proofErr w:type="gramStart"/>
      <w:r w:rsidRPr="008F5007">
        <w:t>razvoj“</w:t>
      </w:r>
      <w:proofErr w:type="gramEnd"/>
      <w:r w:rsidRPr="008F5007">
        <w:t xml:space="preserve">, koji je pripremila Kancelarija </w:t>
      </w:r>
      <w:r w:rsidR="0086543E" w:rsidRPr="0086543E">
        <w:t>NIPAK</w:t>
      </w:r>
      <w:r w:rsidRPr="008F5007">
        <w:t xml:space="preserve">-a uz podršku EU projekta </w:t>
      </w:r>
      <w:r w:rsidR="00F6773D">
        <w:t>tehničke pomoći</w:t>
      </w:r>
      <w:r w:rsidRPr="008F5007">
        <w:t xml:space="preserve"> „PPF sa </w:t>
      </w:r>
      <w:r w:rsidR="0086543E" w:rsidRPr="0086543E">
        <w:t>NIPAK</w:t>
      </w:r>
      <w:r w:rsidRPr="008F5007">
        <w:t>-om“. Ključna preporuka iz Izv</w:t>
      </w:r>
      <w:r>
        <w:t>j</w:t>
      </w:r>
      <w:r w:rsidRPr="008F5007">
        <w:t>eštaja je da, uzimajući u obzir potpuno različite zaht</w:t>
      </w:r>
      <w:r>
        <w:t>ij</w:t>
      </w:r>
      <w:r w:rsidRPr="008F5007">
        <w:t>eve za sredstva IPA i Kohezionih fondova, budući informacioni sistem za upravljanje (</w:t>
      </w:r>
      <w:r w:rsidR="00A067C3">
        <w:t>ISU</w:t>
      </w:r>
      <w:r w:rsidRPr="008F5007">
        <w:t xml:space="preserve">) za programe osim </w:t>
      </w:r>
      <w:r w:rsidR="003D7057">
        <w:t>ETS</w:t>
      </w:r>
      <w:r w:rsidRPr="008F5007">
        <w:t xml:space="preserve"> programa treba graditi od početka, na osnovu najboljih praksi država članica EU. Druga preporuka je da dizajn </w:t>
      </w:r>
      <w:r w:rsidR="00A067C3">
        <w:t>ISU</w:t>
      </w:r>
      <w:r w:rsidRPr="008F5007">
        <w:t>-a za Kohezionu politiku treba u potpunosti da uzme u obzir nacionalnu IT infrastrukturu Crne Gore.</w:t>
      </w:r>
    </w:p>
    <w:p w14:paraId="48486EAD" w14:textId="3DF66910" w:rsidR="00A5132F" w:rsidRPr="00B83578" w:rsidRDefault="005536BC" w:rsidP="007B6C77">
      <w:pPr>
        <w:pStyle w:val="Heading3"/>
      </w:pPr>
      <w:bookmarkStart w:id="75" w:name="_Toc201700352"/>
      <w:r>
        <w:lastRenderedPageBreak/>
        <w:t>Nacionalna IT infrastruktura</w:t>
      </w:r>
      <w:bookmarkEnd w:id="75"/>
      <w:r w:rsidR="00A5132F" w:rsidRPr="00B83578">
        <w:t xml:space="preserve"> </w:t>
      </w:r>
    </w:p>
    <w:p w14:paraId="07B5CE52" w14:textId="4D729406" w:rsidR="008F5007" w:rsidRDefault="008F5007" w:rsidP="008F5007">
      <w:r>
        <w:t xml:space="preserve">Ministarstvo javne uprave i Generalni sekretarijat Vlade Crne Gore su dva glavna </w:t>
      </w:r>
      <w:r w:rsidR="00106577">
        <w:t xml:space="preserve">tijela </w:t>
      </w:r>
      <w:r>
        <w:t xml:space="preserve">odgovorna za nacionalnu IT infrastrukturu i, u tom kontekstu, za razvoj integracionih sistema za buduće informacione sisteme </w:t>
      </w:r>
      <w:r w:rsidR="00A067C3">
        <w:t>za upravljanje</w:t>
      </w:r>
      <w:r>
        <w:t xml:space="preserve"> (</w:t>
      </w:r>
      <w:r w:rsidR="00A067C3">
        <w:t>ISU</w:t>
      </w:r>
      <w:r>
        <w:t>). Na osnovu dostupnih izvještaja o Implementaciji Akcionog plana za Strategiju digitalne transformacije Crne Gore 2022-2026 za 2022.</w:t>
      </w:r>
      <w:r w:rsidRPr="008F5007">
        <w:rPr>
          <w:rStyle w:val="FootnoteReference"/>
          <w:rFonts w:eastAsia="Calibri" w:cs="Arial"/>
          <w:color w:val="000000"/>
          <w:kern w:val="0"/>
          <w:szCs w:val="20"/>
        </w:rPr>
        <w:t xml:space="preserve"> </w:t>
      </w:r>
      <w:r w:rsidRPr="00B83578">
        <w:rPr>
          <w:rStyle w:val="FootnoteReference"/>
          <w:rFonts w:eastAsia="Calibri" w:cs="Arial"/>
          <w:color w:val="000000"/>
          <w:kern w:val="0"/>
          <w:szCs w:val="20"/>
        </w:rPr>
        <w:footnoteReference w:id="73"/>
      </w:r>
      <w:r>
        <w:t xml:space="preserve"> i 2023.</w:t>
      </w:r>
      <w:r w:rsidRPr="00B83578">
        <w:rPr>
          <w:rStyle w:val="FootnoteReference"/>
          <w:rFonts w:eastAsia="Calibri" w:cs="Arial"/>
          <w:color w:val="000000"/>
          <w:kern w:val="0"/>
          <w:szCs w:val="20"/>
        </w:rPr>
        <w:footnoteReference w:id="74"/>
      </w:r>
      <w:r>
        <w:t>godinu, jasno je da je Crna Gora ostvarila značajan napredak tokom prve dvije godine implementacije svoje Strategije digitalne transformacije. Svaki izvještaj procjenjuje operativne ciljeve definisane za konkretnu godinu, na osnovu Akcionog plana za 2022-2023, koji sadrži 79 planiranih aktivnosti za cio period.</w:t>
      </w:r>
    </w:p>
    <w:p w14:paraId="459808C6" w14:textId="0443F651" w:rsidR="008F5007" w:rsidRDefault="008F5007" w:rsidP="008F5007">
      <w:r>
        <w:t xml:space="preserve">Crna Gora je ostvarila napredak u interoperabilnosti povećanjem dostupnosti elektronskih registara. Crna Gora takođe radi na poboljšanju elektronske identifikacije i unaprjeđenju svoje platforme za e-usluge JSERP kako bi se podstakla interoperabilnost između </w:t>
      </w:r>
      <w:r w:rsidR="005F0E1C">
        <w:t>tijela</w:t>
      </w:r>
      <w:r>
        <w:t xml:space="preserve"> javne uprave. Broj elektronskih registara prijavljenih u Metaregistru povećan je sa 12 na 37, što odražava značajan napredak u interoperabilnosti.</w:t>
      </w:r>
    </w:p>
    <w:p w14:paraId="68EB7CE0" w14:textId="1BD484B1" w:rsidR="008F5007" w:rsidRDefault="008F5007" w:rsidP="008F5007">
      <w:r>
        <w:t>Crna Gora je uspostavila i unaprijedila Nacionalni sistem za elektronsku identifikaciju (eID sistem), koji omogućava sigurnu elektronsku identifikaciju i autentifikaciju. Ovaj sistem omogućava centralizovano upravljanje elektronskim identitetima kako građana, tako i preduzeća. JSERP platforma, osnovni interoperabilni sistem za razmjenu podataka, aktivno se koristi, sa čak 2,5 miliona upita obrađenih samo tokom 2023. godine. Sistem trenutno omogućava razmjenu podataka između 18 institucija i 17 registarskih parova, a planirani su dalji napreci.</w:t>
      </w:r>
    </w:p>
    <w:p w14:paraId="5AF69D8E" w14:textId="1CD1B87F" w:rsidR="008F5007" w:rsidRDefault="008F5007" w:rsidP="008F5007">
      <w:r>
        <w:t>Mjere za modernizaciju infrastrukture za elektronske komunikacije uključivale su usvajanje zakona radi smanjenja troškova uvođenja širokopojasnog interneta i dodjelu radio-frekvencija za 5G mreže. Svim mobilnim operaterima je naloženo da obezbijede 5G pokrivenost do 2024. godine, uz proširenje ciljeva pokrivenosti do 2026. i 2030. godine. Vlada je fokusirana na unaprjeđenje digitalnih vještina u Crnoj Gori, uključujući akreditovanje novih ICT obrazovnih programa. Na primjer, Ministarstvo prosvete je razvilo nove programe obuke iz oblasti mašinskog učenja, administracije mreža i veb razvoja. Ministarstvo je takođe pokrenulo razvoj Digitalne akademije, onlajn platforme sa ciljem unaprjeđenja digitalnih veština državnih službenika, učenika i ranjivih grupa.</w:t>
      </w:r>
    </w:p>
    <w:p w14:paraId="19738020" w14:textId="4FF80FA5" w:rsidR="008F5007" w:rsidRDefault="008F5007" w:rsidP="008F5007">
      <w:r>
        <w:t xml:space="preserve">Crna Gora je ostvarila značajan napredak u uspostavljanju čvrste IT infrastrukture, koja služi kao osnova za razvoj budućeg </w:t>
      </w:r>
      <w:r w:rsidR="00A067C3">
        <w:t>Informacionog sistema za upravljanje</w:t>
      </w:r>
      <w:r>
        <w:t xml:space="preserve"> (</w:t>
      </w:r>
      <w:r w:rsidR="00A067C3">
        <w:t>ISU</w:t>
      </w:r>
      <w:r>
        <w:t>). Glavni resursi uključuju:</w:t>
      </w:r>
    </w:p>
    <w:p w14:paraId="7F070970" w14:textId="5AE51CCA" w:rsidR="008F5007" w:rsidRDefault="008F5007" w:rsidP="008F5007">
      <w:r w:rsidRPr="008F5007">
        <w:rPr>
          <w:i/>
        </w:rPr>
        <w:t>Primarni Data Centar</w:t>
      </w:r>
      <w:r>
        <w:t xml:space="preserve"> </w:t>
      </w:r>
      <w:r w:rsidRPr="002F257A">
        <w:rPr>
          <w:i/>
        </w:rPr>
        <w:t>(PDC)</w:t>
      </w:r>
      <w:r>
        <w:t xml:space="preserve">: Ovaj centar pruža ključne IT usluge za državnu upravu, uključujući </w:t>
      </w:r>
      <w:r w:rsidR="0072079B">
        <w:t>suvišne</w:t>
      </w:r>
      <w:r w:rsidRPr="0072079B">
        <w:t xml:space="preserve"> sisteme</w:t>
      </w:r>
      <w:r>
        <w:t xml:space="preserve"> i sigurnu mrežnu konfiguraciju. Podržava brojne državne sisteme, iako se suočava sa izazovima u pogledu fizičke bezb</w:t>
      </w:r>
      <w:r w:rsidR="002F257A">
        <w:t>j</w:t>
      </w:r>
      <w:r>
        <w:t>ednosti i upravljanja rizicima, posebno na svojoj trenutnoj lokaciji.</w:t>
      </w:r>
    </w:p>
    <w:p w14:paraId="4C0213C5" w14:textId="58468908" w:rsidR="008F5007" w:rsidRDefault="008F5007" w:rsidP="008F5007">
      <w:r w:rsidRPr="002F257A">
        <w:rPr>
          <w:i/>
        </w:rPr>
        <w:t>Data Centar za Oporavak od Katastrofa</w:t>
      </w:r>
      <w:r>
        <w:t xml:space="preserve"> </w:t>
      </w:r>
      <w:r w:rsidRPr="002F257A">
        <w:rPr>
          <w:i/>
        </w:rPr>
        <w:t>(DRS):</w:t>
      </w:r>
      <w:r>
        <w:t xml:space="preserve"> Nudeći usluge </w:t>
      </w:r>
      <w:r w:rsidRPr="002F257A">
        <w:rPr>
          <w:i/>
        </w:rPr>
        <w:t>backup-a</w:t>
      </w:r>
      <w:r>
        <w:t xml:space="preserve"> i oporavka, ovaj centar je od suštinskog značaja za obezb</w:t>
      </w:r>
      <w:r w:rsidR="002F257A">
        <w:t>j</w:t>
      </w:r>
      <w:r>
        <w:t>eđivanje kontinuiteta poslovanja tokom prekida sistema ili katastrofa. Međutim, određene kritične aplikacije iz Primarnog Data Centra još uv</w:t>
      </w:r>
      <w:r w:rsidR="002F257A">
        <w:t>ij</w:t>
      </w:r>
      <w:r>
        <w:t>ek ni</w:t>
      </w:r>
      <w:r w:rsidR="002F257A">
        <w:t>je</w:t>
      </w:r>
      <w:r>
        <w:t>su replicirane.</w:t>
      </w:r>
    </w:p>
    <w:p w14:paraId="0A076DEB" w14:textId="2503E9CD" w:rsidR="008F5007" w:rsidRDefault="008F5007" w:rsidP="008F5007">
      <w:r w:rsidRPr="002F257A">
        <w:rPr>
          <w:i/>
        </w:rPr>
        <w:t>Sistem privatnog oblaka</w:t>
      </w:r>
      <w:r>
        <w:t>: Trenutno podržava 11 državnih institucija sa 122 virtuelna servera, ovaj sistem obezb</w:t>
      </w:r>
      <w:r w:rsidR="002F257A">
        <w:t>j</w:t>
      </w:r>
      <w:r>
        <w:t>eđuje skalabilnu infrastrukturu za buduće proširenje. U toku je migracija usluga na ovaj sistem oblaka, što obećava poboljšano skladištenje podataka i alokaciju resursa.</w:t>
      </w:r>
    </w:p>
    <w:p w14:paraId="1594CE1F" w14:textId="2B236531" w:rsidR="002F257A" w:rsidRDefault="002F257A" w:rsidP="00A5132F">
      <w:pPr>
        <w:rPr>
          <w:rFonts w:eastAsia="Calibri" w:cs="Arial"/>
          <w:color w:val="000000"/>
          <w:kern w:val="0"/>
          <w:szCs w:val="20"/>
        </w:rPr>
      </w:pPr>
      <w:r w:rsidRPr="002F257A">
        <w:rPr>
          <w:rFonts w:eastAsia="Calibri" w:cs="Arial"/>
          <w:color w:val="000000"/>
          <w:kern w:val="0"/>
          <w:szCs w:val="20"/>
        </w:rPr>
        <w:t xml:space="preserve">Ministarstvo javne uprave ima ključnu ulogu u upravljanju i nadzoru IT infrastrukture Crne Gore, predstavljajući jednog od glavnih aktera u digitalnoj transformaciji zemlje i budućem razvoju </w:t>
      </w:r>
      <w:r w:rsidR="00A067C3">
        <w:rPr>
          <w:rFonts w:eastAsia="Calibri" w:cs="Arial"/>
          <w:color w:val="000000"/>
          <w:kern w:val="0"/>
          <w:szCs w:val="20"/>
        </w:rPr>
        <w:t>ISU</w:t>
      </w:r>
      <w:r w:rsidRPr="002F257A">
        <w:rPr>
          <w:rFonts w:eastAsia="Calibri" w:cs="Arial"/>
          <w:color w:val="000000"/>
          <w:kern w:val="0"/>
          <w:szCs w:val="20"/>
        </w:rPr>
        <w:t>-a. Ministarstvo takođe koordinira s drugim javnim institucijama kako bi osiguralo pravilno upravljanje IT sistemima, a već je implementiralo ključne alate kao što je Elektronski sistem za upravljanje dokumentima (eDMS).</w:t>
      </w:r>
    </w:p>
    <w:p w14:paraId="01373BCB" w14:textId="46E6BB42" w:rsidR="00A5132F" w:rsidRPr="00B83578" w:rsidRDefault="005536BC" w:rsidP="007B6C77">
      <w:pPr>
        <w:pStyle w:val="Heading3"/>
      </w:pPr>
      <w:bookmarkStart w:id="76" w:name="_Toc201700353"/>
      <w:r>
        <w:t xml:space="preserve">Iskustvo u korišćenju </w:t>
      </w:r>
      <w:r w:rsidR="00A067C3">
        <w:t>ISU</w:t>
      </w:r>
      <w:r>
        <w:t>-a za Kohezionu politiku</w:t>
      </w:r>
      <w:bookmarkEnd w:id="76"/>
    </w:p>
    <w:p w14:paraId="19CDEF58" w14:textId="5D25F23E" w:rsidR="002F257A" w:rsidRDefault="002F257A" w:rsidP="00DB097A">
      <w:r w:rsidRPr="002F257A">
        <w:t xml:space="preserve">Iskustvo u korišćenju </w:t>
      </w:r>
      <w:r w:rsidR="00A067C3">
        <w:t>ISU</w:t>
      </w:r>
      <w:r w:rsidRPr="002F257A">
        <w:t xml:space="preserve">-a za </w:t>
      </w:r>
      <w:r w:rsidR="00673523">
        <w:t>K</w:t>
      </w:r>
      <w:r w:rsidRPr="002F257A">
        <w:t xml:space="preserve">ohezionu politiku stečeno je kroz programe evropske teritorijalne saradnje koji koriste JEMS (Zajednički elektronski sistem za </w:t>
      </w:r>
      <w:r w:rsidR="00E26D99" w:rsidRPr="00E26D99">
        <w:t>monitoring</w:t>
      </w:r>
      <w:r w:rsidRPr="002F257A">
        <w:t xml:space="preserve">), sveobuhvatni veb-bazirani </w:t>
      </w:r>
      <w:r w:rsidR="00A80895">
        <w:t>Informacionog sistema za</w:t>
      </w:r>
      <w:r w:rsidR="00E26D99">
        <w:t xml:space="preserve"> upravljanje</w:t>
      </w:r>
      <w:r w:rsidRPr="002F257A">
        <w:t xml:space="preserve"> (</w:t>
      </w:r>
      <w:r w:rsidR="00A067C3">
        <w:t>ISU</w:t>
      </w:r>
      <w:r w:rsidRPr="002F257A">
        <w:t>) koji se koristi za upravljanje INTERREG programima. JEMS obezb</w:t>
      </w:r>
      <w:r>
        <w:t>j</w:t>
      </w:r>
      <w:r w:rsidRPr="002F257A">
        <w:t xml:space="preserve">eđuje alate </w:t>
      </w:r>
      <w:r w:rsidRPr="002F257A">
        <w:lastRenderedPageBreak/>
        <w:t>za upravljanje projektima od početka do kraja, podržavajući čitav životni ciklus projekta, od podnošenja aplikacija, finansijskog praćenja, skladištenja dokumenata do izv</w:t>
      </w:r>
      <w:r>
        <w:t>j</w:t>
      </w:r>
      <w:r w:rsidRPr="002F257A">
        <w:t>eštavanja o usklađenosti, čime se obezb</w:t>
      </w:r>
      <w:r>
        <w:t>j</w:t>
      </w:r>
      <w:r w:rsidRPr="002F257A">
        <w:t>eđuju transparentnost, efikasnost i usklađenost sa propisima EU. Crna Gora učestvuje u dva programa prekogranične saradnje sa državama članicama EU, a za te programe (Hrvatska – Bosna i Hercegovina – Crna Gora i Italija – Albanija – Crna Gora), kao i za transnacionalne programe (ADRION, EUROMED i D</w:t>
      </w:r>
      <w:r>
        <w:t>ANUBE</w:t>
      </w:r>
      <w:r w:rsidRPr="002F257A">
        <w:t xml:space="preserve">), Crna Gora ima pristup JEMS-u. Za IPA-IPA programe prekogranične saradnje (Crna Gora – Albanija, Crna Gora – Kosovo, Srbija – Crna Gora, Bosna i Hercegovina – Crna Gora), ne postoji poseban IT sistem (osim IPA APP koji koriste </w:t>
      </w:r>
      <w:r w:rsidR="003D7057">
        <w:t>PTFU</w:t>
      </w:r>
      <w:r w:rsidRPr="002F257A">
        <w:t>-ovi).</w:t>
      </w:r>
    </w:p>
    <w:p w14:paraId="1EADC4BF" w14:textId="2714BC3B" w:rsidR="00A5132F" w:rsidRPr="00B83578" w:rsidRDefault="0072079B" w:rsidP="007B6C77">
      <w:pPr>
        <w:pStyle w:val="Heading3"/>
      </w:pPr>
      <w:bookmarkStart w:id="77" w:name="_Toc201700354"/>
      <w:r>
        <w:t>Drugo</w:t>
      </w:r>
      <w:r w:rsidR="005536BC">
        <w:t xml:space="preserve"> relevantno iskustvo</w:t>
      </w:r>
      <w:bookmarkEnd w:id="77"/>
      <w:r w:rsidR="00A5132F" w:rsidRPr="00B83578">
        <w:t xml:space="preserve"> </w:t>
      </w:r>
    </w:p>
    <w:p w14:paraId="0A3355D6" w14:textId="72FAF489" w:rsidR="002F257A" w:rsidRDefault="002F257A" w:rsidP="00DB097A">
      <w:r w:rsidRPr="002F257A">
        <w:t>EKO FOND u Crnoj Gori predstavlja usp</w:t>
      </w:r>
      <w:r>
        <w:t>j</w:t>
      </w:r>
      <w:r w:rsidRPr="002F257A">
        <w:t>ešnu prim</w:t>
      </w:r>
      <w:r>
        <w:t>j</w:t>
      </w:r>
      <w:r w:rsidRPr="002F257A">
        <w:t xml:space="preserve">enu digitalnih sistema u upravljanju projektima iz oblasti zaštite životne sredine i energetike. Njegovi IT sistemi prikazuju efikasne prakse digitalizacije, koje mogu poslužiti kao model za druge sektore u zemlji, uključujući i budući razvoj </w:t>
      </w:r>
      <w:r w:rsidR="00A067C3">
        <w:t>ISU</w:t>
      </w:r>
      <w:r w:rsidRPr="002F257A">
        <w:t xml:space="preserve"> sistema. Portal EKO-FOND je onlajn platforma nam</w:t>
      </w:r>
      <w:r>
        <w:t>ij</w:t>
      </w:r>
      <w:r w:rsidRPr="002F257A">
        <w:t xml:space="preserve">enjena olakšavanju podnošenja prijava za bespovratna sredstva koja se odnose na poboljšanje energetske efikasnosti u stambenim objektima u Crnoj Gori. Portal omogućava pojedincima da apliciraju za bespovratnu finansijsku podršku (grantove) za </w:t>
      </w:r>
      <w:r w:rsidR="00A80895">
        <w:t>implementaciju</w:t>
      </w:r>
      <w:r w:rsidRPr="002F257A">
        <w:t xml:space="preserve"> m</w:t>
      </w:r>
      <w:r>
        <w:t>j</w:t>
      </w:r>
      <w:r w:rsidRPr="002F257A">
        <w:t>era energetske efikasnosti u individualnim i kolektivnim stambenim objektima. Cilj je da se proces prijavljivanja pojednostavi tako što će biti potpuno digitalizovan, omogućavajući podnosiocima prijava da dostave potrebnu dokumentaciju i prate status svoje prijave onlajn.</w:t>
      </w:r>
    </w:p>
    <w:p w14:paraId="3A9BDA22" w14:textId="115ED6AC" w:rsidR="00A5132F" w:rsidRPr="00B83578" w:rsidRDefault="009E36FF" w:rsidP="007B6C77">
      <w:pPr>
        <w:pStyle w:val="Heading2"/>
      </w:pPr>
      <w:bookmarkStart w:id="78" w:name="_Toc201700355"/>
      <w:r>
        <w:t>Izazovi povezani sa implementacijom Završnog mjerila</w:t>
      </w:r>
      <w:r w:rsidR="00A5132F" w:rsidRPr="00B83578">
        <w:t xml:space="preserve"> 6</w:t>
      </w:r>
      <w:bookmarkEnd w:id="78"/>
    </w:p>
    <w:p w14:paraId="229EFDC1" w14:textId="77777777" w:rsidR="002F257A" w:rsidRPr="002F257A" w:rsidRDefault="002F257A" w:rsidP="002F257A">
      <w:pPr>
        <w:rPr>
          <w:bdr w:val="none" w:sz="0" w:space="0" w:color="auto" w:frame="1"/>
        </w:rPr>
      </w:pPr>
      <w:r w:rsidRPr="002F257A">
        <w:rPr>
          <w:bdr w:val="none" w:sz="0" w:space="0" w:color="auto" w:frame="1"/>
        </w:rPr>
        <w:t>Identifikovani izazovi su i interni i eksterni.</w:t>
      </w:r>
    </w:p>
    <w:p w14:paraId="487993E7" w14:textId="793B87BB" w:rsidR="002F257A" w:rsidRPr="002F257A" w:rsidRDefault="002F257A" w:rsidP="002F257A">
      <w:pPr>
        <w:rPr>
          <w:bdr w:val="none" w:sz="0" w:space="0" w:color="auto" w:frame="1"/>
        </w:rPr>
      </w:pPr>
      <w:r w:rsidRPr="002F257A">
        <w:rPr>
          <w:bdr w:val="none" w:sz="0" w:space="0" w:color="auto" w:frame="1"/>
        </w:rPr>
        <w:t>Dva glavna interna izazova su: i) efektivna koordinacija između t</w:t>
      </w:r>
      <w:r>
        <w:rPr>
          <w:bdr w:val="none" w:sz="0" w:space="0" w:color="auto" w:frame="1"/>
        </w:rPr>
        <w:t>ij</w:t>
      </w:r>
      <w:r w:rsidRPr="002F257A">
        <w:rPr>
          <w:bdr w:val="none" w:sz="0" w:space="0" w:color="auto" w:frame="1"/>
        </w:rPr>
        <w:t xml:space="preserve">ela zaduženih za IT infrastrukturu i razvoj </w:t>
      </w:r>
      <w:r w:rsidR="00A80895">
        <w:rPr>
          <w:bdr w:val="none" w:sz="0" w:space="0" w:color="auto" w:frame="1"/>
        </w:rPr>
        <w:t xml:space="preserve">Informacionog </w:t>
      </w:r>
      <w:r w:rsidR="00A067C3">
        <w:rPr>
          <w:bdr w:val="none" w:sz="0" w:space="0" w:color="auto" w:frame="1"/>
        </w:rPr>
        <w:t>s</w:t>
      </w:r>
      <w:r w:rsidR="00A80895">
        <w:rPr>
          <w:bdr w:val="none" w:sz="0" w:space="0" w:color="auto" w:frame="1"/>
        </w:rPr>
        <w:t>istema za upravljanje</w:t>
      </w:r>
      <w:r w:rsidRPr="002F257A">
        <w:rPr>
          <w:bdr w:val="none" w:sz="0" w:space="0" w:color="auto" w:frame="1"/>
        </w:rPr>
        <w:t xml:space="preserve"> (</w:t>
      </w:r>
      <w:r w:rsidR="00A067C3">
        <w:rPr>
          <w:bdr w:val="none" w:sz="0" w:space="0" w:color="auto" w:frame="1"/>
        </w:rPr>
        <w:t>ISU</w:t>
      </w:r>
      <w:r w:rsidRPr="002F257A">
        <w:rPr>
          <w:bdr w:val="none" w:sz="0" w:space="0" w:color="auto" w:frame="1"/>
        </w:rPr>
        <w:t xml:space="preserve">) i e-Kohezije, koji podržavaju implementaciju Kohezionih fondova; i ii) dizajn sistema koji je sveobuhvatan, </w:t>
      </w:r>
      <w:proofErr w:type="gramStart"/>
      <w:r w:rsidRPr="002F257A">
        <w:rPr>
          <w:bdr w:val="none" w:sz="0" w:space="0" w:color="auto" w:frame="1"/>
        </w:rPr>
        <w:t>a</w:t>
      </w:r>
      <w:proofErr w:type="gramEnd"/>
      <w:r w:rsidRPr="002F257A">
        <w:rPr>
          <w:bdr w:val="none" w:sz="0" w:space="0" w:color="auto" w:frame="1"/>
        </w:rPr>
        <w:t xml:space="preserve"> istovremeno </w:t>
      </w:r>
      <w:r w:rsidR="00CA6030">
        <w:rPr>
          <w:bdr w:val="none" w:sz="0" w:space="0" w:color="auto" w:frame="1"/>
        </w:rPr>
        <w:t>obezbje</w:t>
      </w:r>
      <w:r w:rsidRPr="002F257A">
        <w:rPr>
          <w:bdr w:val="none" w:sz="0" w:space="0" w:color="auto" w:frame="1"/>
        </w:rPr>
        <w:t>đuje korišćenje logičnih, jednostavnih i intuitivnih funkcija i interfejsa, te je stoga lak za korišćenje svim operaterima.</w:t>
      </w:r>
    </w:p>
    <w:p w14:paraId="625C6650" w14:textId="67B046A4" w:rsidR="002F257A" w:rsidRDefault="002F257A" w:rsidP="002F257A">
      <w:pPr>
        <w:rPr>
          <w:bdr w:val="none" w:sz="0" w:space="0" w:color="auto" w:frame="1"/>
        </w:rPr>
      </w:pPr>
      <w:r w:rsidRPr="002F257A">
        <w:rPr>
          <w:bdr w:val="none" w:sz="0" w:space="0" w:color="auto" w:frame="1"/>
        </w:rPr>
        <w:t>Glavni eksterni izazov se odnosi na neizv</w:t>
      </w:r>
      <w:r w:rsidR="00124E5C">
        <w:rPr>
          <w:bdr w:val="none" w:sz="0" w:space="0" w:color="auto" w:frame="1"/>
        </w:rPr>
        <w:t>j</w:t>
      </w:r>
      <w:r w:rsidRPr="002F257A">
        <w:rPr>
          <w:bdr w:val="none" w:sz="0" w:space="0" w:color="auto" w:frame="1"/>
        </w:rPr>
        <w:t>esnost pravnog okvira za finansijsku perspektivu 2028-2034. Budući da pr</w:t>
      </w:r>
      <w:r w:rsidR="00124E5C">
        <w:rPr>
          <w:bdr w:val="none" w:sz="0" w:space="0" w:color="auto" w:frame="1"/>
        </w:rPr>
        <w:t>ij</w:t>
      </w:r>
      <w:r w:rsidRPr="002F257A">
        <w:rPr>
          <w:bdr w:val="none" w:sz="0" w:space="0" w:color="auto" w:frame="1"/>
        </w:rPr>
        <w:t>edlozi Komisije za budući pravni okvir za Kohezionu politiku još uv</w:t>
      </w:r>
      <w:r w:rsidR="00124E5C">
        <w:rPr>
          <w:bdr w:val="none" w:sz="0" w:space="0" w:color="auto" w:frame="1"/>
        </w:rPr>
        <w:t>ij</w:t>
      </w:r>
      <w:r w:rsidRPr="002F257A">
        <w:rPr>
          <w:bdr w:val="none" w:sz="0" w:space="0" w:color="auto" w:frame="1"/>
        </w:rPr>
        <w:t>ek ni</w:t>
      </w:r>
      <w:r w:rsidR="00124E5C">
        <w:rPr>
          <w:bdr w:val="none" w:sz="0" w:space="0" w:color="auto" w:frame="1"/>
        </w:rPr>
        <w:t>je</w:t>
      </w:r>
      <w:r w:rsidRPr="002F257A">
        <w:rPr>
          <w:bdr w:val="none" w:sz="0" w:space="0" w:color="auto" w:frame="1"/>
        </w:rPr>
        <w:t xml:space="preserve">su objavljeni, akcije se mogu identifikovati samo na osnovu trenutnog pravnog okvira. Konkretno, odredbe koje se odnose na </w:t>
      </w:r>
      <w:r w:rsidR="00362CDE">
        <w:rPr>
          <w:bdr w:val="none" w:sz="0" w:space="0" w:color="auto" w:frame="1"/>
        </w:rPr>
        <w:t>Informacioni sistem za upravljanje</w:t>
      </w:r>
      <w:r w:rsidRPr="002F257A">
        <w:rPr>
          <w:bdr w:val="none" w:sz="0" w:space="0" w:color="auto" w:frame="1"/>
        </w:rPr>
        <w:t xml:space="preserve"> i potencijalni interfejs između </w:t>
      </w:r>
      <w:r w:rsidR="00A067C3">
        <w:rPr>
          <w:bdr w:val="none" w:sz="0" w:space="0" w:color="auto" w:frame="1"/>
        </w:rPr>
        <w:t>ISU</w:t>
      </w:r>
      <w:r w:rsidRPr="002F257A">
        <w:rPr>
          <w:bdr w:val="none" w:sz="0" w:space="0" w:color="auto" w:frame="1"/>
        </w:rPr>
        <w:t>-a Crne Gore (za Kohezione fondove) i Sistema za upravljanje nepravilnostima (IMS), elektronski prenos podataka i e-Kohezioni sistem. Očekuje se da će Komisija objaviti nacrte pr</w:t>
      </w:r>
      <w:r w:rsidR="00124E5C">
        <w:rPr>
          <w:bdr w:val="none" w:sz="0" w:space="0" w:color="auto" w:frame="1"/>
        </w:rPr>
        <w:t>ij</w:t>
      </w:r>
      <w:r w:rsidRPr="002F257A">
        <w:rPr>
          <w:bdr w:val="none" w:sz="0" w:space="0" w:color="auto" w:frame="1"/>
        </w:rPr>
        <w:t>edloga u drugoj polovini 2025. godine.</w:t>
      </w:r>
    </w:p>
    <w:p w14:paraId="6031AE9C" w14:textId="0F5BB87F" w:rsidR="00A5132F" w:rsidRPr="00B83578" w:rsidRDefault="00017758" w:rsidP="007B6C77">
      <w:pPr>
        <w:pStyle w:val="Heading2"/>
      </w:pPr>
      <w:bookmarkStart w:id="79" w:name="_Toc201700356"/>
      <w:r>
        <w:t>Planirane akcije</w:t>
      </w:r>
      <w:bookmarkEnd w:id="79"/>
      <w:r w:rsidR="00A5132F" w:rsidRPr="00B83578">
        <w:t xml:space="preserve"> </w:t>
      </w:r>
    </w:p>
    <w:p w14:paraId="6D048C3B" w14:textId="1FFFD35F" w:rsidR="00A5132F" w:rsidRPr="00B83578" w:rsidRDefault="00124E5C" w:rsidP="00673B99">
      <w:r>
        <w:t xml:space="preserve">Naredne akcije su planirane za osiguranje zadovoljavajućeg nivoa implementacije Završnog mjerila 6: </w:t>
      </w:r>
    </w:p>
    <w:p w14:paraId="6284B369" w14:textId="32F96F2D" w:rsidR="00A5132F" w:rsidRPr="00B83578" w:rsidRDefault="00543023" w:rsidP="007B6C77">
      <w:pPr>
        <w:pStyle w:val="Heading3"/>
      </w:pPr>
      <w:bookmarkStart w:id="80" w:name="_Toc201700357"/>
      <w:r>
        <w:t>Akcija</w:t>
      </w:r>
      <w:r w:rsidR="00A5132F" w:rsidRPr="00B83578">
        <w:t xml:space="preserve"> </w:t>
      </w:r>
      <w:r w:rsidR="0032369C">
        <w:t>ZM</w:t>
      </w:r>
      <w:r w:rsidR="00A5132F" w:rsidRPr="00B83578">
        <w:t xml:space="preserve">6.1. </w:t>
      </w:r>
      <w:r w:rsidR="00A22920">
        <w:t>Studija o uspostavljanju e-Kohezije i Informacionog sistema za upravljanje</w:t>
      </w:r>
      <w:bookmarkEnd w:id="80"/>
    </w:p>
    <w:p w14:paraId="0858ECF8" w14:textId="0CFB0CC3" w:rsidR="00124E5C" w:rsidRDefault="00124E5C" w:rsidP="00673B99">
      <w:r w:rsidRPr="00124E5C">
        <w:t>Period 2021-2027. godine uveo je pojednostavljen pristup upotrebljivosti informacionih sistema – države članice prim</w:t>
      </w:r>
      <w:r>
        <w:t>j</w:t>
      </w:r>
      <w:r w:rsidRPr="00124E5C">
        <w:t xml:space="preserve">enjuju sisteme koji omogućavaju korisnicima da elektronskim putem i samo jednom dostave sve informacije i dokumente programskim </w:t>
      </w:r>
      <w:r w:rsidR="005F0E1C">
        <w:t>tijelima</w:t>
      </w:r>
      <w:r w:rsidRPr="00124E5C">
        <w:t>. Ovo zaht</w:t>
      </w:r>
      <w:r>
        <w:t>ij</w:t>
      </w:r>
      <w:r w:rsidRPr="00124E5C">
        <w:t xml:space="preserve">eva uspostavljanje potpuno funkcionalnog elektronskog sistema za prijavljivanje i </w:t>
      </w:r>
      <w:r w:rsidR="00A80895" w:rsidRPr="00A80895">
        <w:t>monitoring</w:t>
      </w:r>
      <w:r w:rsidRPr="00124E5C">
        <w:t>, sa mogućnostima pristupa za različite programske o</w:t>
      </w:r>
      <w:r w:rsidR="005F0E1C">
        <w:t>tijela</w:t>
      </w:r>
      <w:r w:rsidRPr="00124E5C">
        <w:t xml:space="preserve">, uključujući službenike koji vrše verifikaciju upravljanja, kao osnovu ne samo za </w:t>
      </w:r>
      <w:r w:rsidR="00A80895" w:rsidRPr="00A80895">
        <w:t>monitoring</w:t>
      </w:r>
      <w:r w:rsidRPr="00124E5C">
        <w:t xml:space="preserve"> i evaluaciju, već i za sisteme kontrole i revizije (ili razvoj interfejsa i maksimalno korišćenje već postojećih baza podataka). Poboljšane karakteristike uključuju intuitivne interfejse, pojednostavljene procese unosa podataka i poboljšanu pristupačnost, kako bi se osiguralo da svi korisnici, bez obzira na tehničku stručnost, mogu efikasno da koriste sisteme. Cilj je smanjenje </w:t>
      </w:r>
      <w:r w:rsidR="000744D1">
        <w:t>administrativnih</w:t>
      </w:r>
      <w:r w:rsidRPr="00124E5C">
        <w:t xml:space="preserve"> opterećenja i poboljšanje korisničkog iskustva za zainteresovane strane uključene u upravljanje sredstvima EU i izv</w:t>
      </w:r>
      <w:r>
        <w:t>j</w:t>
      </w:r>
      <w:r w:rsidRPr="00124E5C">
        <w:t>eštavanje o njima. Ovaj pristup usm</w:t>
      </w:r>
      <w:r>
        <w:t>j</w:t>
      </w:r>
      <w:r w:rsidRPr="00124E5C">
        <w:t>eren na korisnika osmišljen je da olakša brže usvajanje i efikasnije korišćenje sistema na različitim administrativnim nivoima.</w:t>
      </w:r>
    </w:p>
    <w:p w14:paraId="0A7839C6" w14:textId="1A2C65AA" w:rsidR="00124E5C" w:rsidRDefault="00124E5C" w:rsidP="00124E5C">
      <w:r>
        <w:lastRenderedPageBreak/>
        <w:t xml:space="preserve">Međutim, uvođenje novog alata jasno podrazumijeva period učenja i prilagođavanja za nadležne </w:t>
      </w:r>
      <w:r w:rsidR="005F0E1C">
        <w:t>tijela</w:t>
      </w:r>
      <w:r>
        <w:t xml:space="preserve"> Programa, što ukazuje na povećanje troškova koji </w:t>
      </w:r>
      <w:r w:rsidR="00E136F2">
        <w:t>nijesu</w:t>
      </w:r>
      <w:r>
        <w:t xml:space="preserve"> samo finansijske prirode. Ponovo, nije sprovedena sistematska studija uticaja ovih promjena na nadležne </w:t>
      </w:r>
      <w:r w:rsidR="005F0E1C">
        <w:t>tijela</w:t>
      </w:r>
      <w:r>
        <w:t xml:space="preserve"> Programa.</w:t>
      </w:r>
    </w:p>
    <w:p w14:paraId="414D1D79" w14:textId="1799A08F" w:rsidR="00124E5C" w:rsidRDefault="00124E5C" w:rsidP="00124E5C">
      <w:r>
        <w:t>Evropska unija je 2012. godine proc</w:t>
      </w:r>
      <w:r w:rsidR="00D52F16">
        <w:t>ij</w:t>
      </w:r>
      <w:r>
        <w:t>enila da će upotreba digitalnih tehnologija smanjiti opterećenje radom upravljačkih t</w:t>
      </w:r>
      <w:r w:rsidR="00D52F16">
        <w:t>ij</w:t>
      </w:r>
      <w:r>
        <w:t>ela za 11%, čime će se r</w:t>
      </w:r>
      <w:r w:rsidR="00D52F16">
        <w:t>ij</w:t>
      </w:r>
      <w:r>
        <w:t>ešiti ukupni administrativni teret u upravljanju fondovima</w:t>
      </w:r>
      <w:r w:rsidR="00D52F16" w:rsidRPr="00B83578">
        <w:rPr>
          <w:rFonts w:eastAsia="Calibri" w:cs="Arial"/>
          <w:kern w:val="0"/>
          <w:szCs w:val="20"/>
          <w:vertAlign w:val="superscript"/>
        </w:rPr>
        <w:footnoteReference w:id="75"/>
      </w:r>
      <w:r w:rsidR="00D52F16" w:rsidRPr="00B83578">
        <w:rPr>
          <w:rFonts w:eastAsia="Calibri" w:cs="Arial"/>
          <w:kern w:val="0"/>
          <w:szCs w:val="20"/>
        </w:rPr>
        <w:t>.</w:t>
      </w:r>
      <w:r>
        <w:t>. Međutim, očekuje se da će prim</w:t>
      </w:r>
      <w:r w:rsidR="00D52F16">
        <w:t>j</w:t>
      </w:r>
      <w:r>
        <w:t>ena v</w:t>
      </w:r>
      <w:r w:rsidR="00D52F16">
        <w:t>j</w:t>
      </w:r>
      <w:r>
        <w:t>eštačke inteligencije značajno povećati navedeni procenat.</w:t>
      </w:r>
    </w:p>
    <w:p w14:paraId="1569CA2B" w14:textId="016C406F" w:rsidR="00124E5C" w:rsidRDefault="00124E5C" w:rsidP="00124E5C">
      <w:r>
        <w:t xml:space="preserve">Planirana je studija o uspostavljanju e-Kohezije i </w:t>
      </w:r>
      <w:r w:rsidR="00A067C3">
        <w:t>ISU</w:t>
      </w:r>
      <w:r>
        <w:t>-a kako bi se identifikovalo optimalno r</w:t>
      </w:r>
      <w:r w:rsidR="00D52F16">
        <w:t>j</w:t>
      </w:r>
      <w:r>
        <w:t xml:space="preserve">ešenje povezanog sistema e-Kohezije i Informacionog sistema za </w:t>
      </w:r>
      <w:r w:rsidR="00A80895">
        <w:t>upravljanje</w:t>
      </w:r>
      <w:r>
        <w:t xml:space="preserve"> (</w:t>
      </w:r>
      <w:r w:rsidR="00A067C3">
        <w:t>ISU</w:t>
      </w:r>
      <w:r>
        <w:t>) u Crnoj Gori, pri čemu će e-Kohezija biti integrisani modul</w:t>
      </w:r>
      <w:r w:rsidR="00D52F16" w:rsidRPr="00B83578">
        <w:rPr>
          <w:rFonts w:eastAsia="Calibri" w:cs="Arial"/>
          <w:color w:val="000000"/>
          <w:kern w:val="0"/>
          <w:szCs w:val="20"/>
          <w:vertAlign w:val="superscript"/>
        </w:rPr>
        <w:footnoteReference w:id="76"/>
      </w:r>
      <w:r>
        <w:t xml:space="preserve">, uzimajući u obzir i najsavremenije tehnologije, efikasnu interoperabilnost sistema na različitim nivoima upravljanja i među različitim zainteresovanim stranama uključenim u </w:t>
      </w:r>
      <w:r w:rsidR="00D52F16">
        <w:t>K</w:t>
      </w:r>
      <w:r>
        <w:t>ohezionu politiku</w:t>
      </w:r>
      <w:r w:rsidR="00D52F16" w:rsidRPr="00B83578">
        <w:rPr>
          <w:rFonts w:eastAsia="Calibri" w:cs="Arial"/>
          <w:kern w:val="0"/>
          <w:szCs w:val="20"/>
          <w:vertAlign w:val="superscript"/>
        </w:rPr>
        <w:footnoteReference w:id="77"/>
      </w:r>
      <w:r>
        <w:t xml:space="preserve">, kao i naučene lekcije iz zemalja članica EU u vezi sa uspostavljanjem e-Kohezije i </w:t>
      </w:r>
      <w:r w:rsidR="00A067C3">
        <w:t>ISU</w:t>
      </w:r>
      <w:r>
        <w:t xml:space="preserve">-a. Studija će takođe analizirati opcije da li imati jedinstven </w:t>
      </w:r>
      <w:r w:rsidR="00A067C3">
        <w:t>ISU</w:t>
      </w:r>
      <w:r>
        <w:t xml:space="preserve"> ili </w:t>
      </w:r>
      <w:r w:rsidR="00A067C3">
        <w:t>ISU</w:t>
      </w:r>
      <w:r>
        <w:t xml:space="preserve"> za </w:t>
      </w:r>
      <w:r w:rsidR="003D7057">
        <w:t>EFRR</w:t>
      </w:r>
      <w:r>
        <w:t>+CF+</w:t>
      </w:r>
      <w:r w:rsidR="00A067C3">
        <w:t>FPT</w:t>
      </w:r>
      <w:r>
        <w:t xml:space="preserve"> i poseban </w:t>
      </w:r>
      <w:r w:rsidR="00A067C3">
        <w:t>ISU</w:t>
      </w:r>
      <w:r>
        <w:t xml:space="preserve"> za ESF+. U slučaju jedinstvenog </w:t>
      </w:r>
      <w:r w:rsidR="00A067C3">
        <w:t>ISU</w:t>
      </w:r>
      <w:r>
        <w:t xml:space="preserve">-a, pored </w:t>
      </w:r>
      <w:r w:rsidR="00A067C3">
        <w:t>ISU</w:t>
      </w:r>
      <w:r>
        <w:t>-a koji koriste sva nadležna t</w:t>
      </w:r>
      <w:r w:rsidR="00D52F16">
        <w:t>ij</w:t>
      </w:r>
      <w:r>
        <w:t xml:space="preserve">ela Programa i ostali predviđeni korisnici, postojaće i specifični moduli po fondu koji omogućavaju različite funkcionalnosti u okviru fondova </w:t>
      </w:r>
      <w:r w:rsidR="00D52F16">
        <w:t>K</w:t>
      </w:r>
      <w:r>
        <w:t>ohezi</w:t>
      </w:r>
      <w:r w:rsidR="00D52F16">
        <w:t>one</w:t>
      </w:r>
      <w:r>
        <w:t xml:space="preserve"> politike.</w:t>
      </w:r>
    </w:p>
    <w:p w14:paraId="28B92E30" w14:textId="546E4610" w:rsidR="00A5132F" w:rsidRPr="007B6C77" w:rsidRDefault="00543023" w:rsidP="007B6C77">
      <w:pPr>
        <w:pStyle w:val="Heading3"/>
      </w:pPr>
      <w:bookmarkStart w:id="81" w:name="_Toc201700358"/>
      <w:r>
        <w:t>Akcija</w:t>
      </w:r>
      <w:r w:rsidR="00A5132F" w:rsidRPr="00B83578">
        <w:t xml:space="preserve"> </w:t>
      </w:r>
      <w:r w:rsidR="0032369C">
        <w:t>ZM</w:t>
      </w:r>
      <w:r w:rsidR="00A5132F" w:rsidRPr="00B83578">
        <w:t xml:space="preserve">6.2. </w:t>
      </w:r>
      <w:r w:rsidR="00A22920">
        <w:t xml:space="preserve">Odluka o </w:t>
      </w:r>
      <w:r w:rsidR="00A067C3">
        <w:t>ISU</w:t>
      </w:r>
      <w:r w:rsidR="00A22920">
        <w:t xml:space="preserve"> arhitekturi</w:t>
      </w:r>
      <w:bookmarkEnd w:id="81"/>
      <w:r w:rsidR="00A5132F" w:rsidRPr="007B6C77">
        <w:t xml:space="preserve"> </w:t>
      </w:r>
    </w:p>
    <w:p w14:paraId="137ACE65" w14:textId="20723B2C" w:rsidR="00D52F16" w:rsidRDefault="00D52F16" w:rsidP="00A5132F">
      <w:pPr>
        <w:rPr>
          <w:rFonts w:eastAsia="Calibri" w:cs="Arial"/>
          <w:kern w:val="0"/>
          <w:szCs w:val="20"/>
        </w:rPr>
      </w:pPr>
      <w:r w:rsidRPr="00D52F16">
        <w:rPr>
          <w:rFonts w:eastAsia="Calibri" w:cs="Arial"/>
          <w:kern w:val="0"/>
          <w:szCs w:val="20"/>
        </w:rPr>
        <w:t xml:space="preserve">Na osnovu Studije u okviru </w:t>
      </w:r>
      <w:r w:rsidR="0032369C">
        <w:rPr>
          <w:rFonts w:eastAsia="Calibri" w:cs="Arial"/>
          <w:kern w:val="0"/>
          <w:szCs w:val="20"/>
        </w:rPr>
        <w:t>ZM</w:t>
      </w:r>
      <w:r w:rsidRPr="00D52F16">
        <w:rPr>
          <w:rFonts w:eastAsia="Calibri" w:cs="Arial"/>
          <w:kern w:val="0"/>
          <w:szCs w:val="20"/>
        </w:rPr>
        <w:t xml:space="preserve">6.1, odluku o arhitekturi </w:t>
      </w:r>
      <w:r w:rsidR="00A067C3">
        <w:rPr>
          <w:rFonts w:eastAsia="Calibri" w:cs="Arial"/>
          <w:kern w:val="0"/>
          <w:szCs w:val="20"/>
        </w:rPr>
        <w:t>ISU</w:t>
      </w:r>
      <w:r w:rsidRPr="00D52F16">
        <w:rPr>
          <w:rFonts w:eastAsia="Calibri" w:cs="Arial"/>
          <w:kern w:val="0"/>
          <w:szCs w:val="20"/>
        </w:rPr>
        <w:t xml:space="preserve">-a donijeće ad hoc formiran Međuinstitucionalni upravni odbor, odgovoran za dizajn, razvoj i implementaciju </w:t>
      </w:r>
      <w:r w:rsidR="00A067C3">
        <w:rPr>
          <w:rFonts w:eastAsia="Calibri" w:cs="Arial"/>
          <w:kern w:val="0"/>
          <w:szCs w:val="20"/>
        </w:rPr>
        <w:t>ISU</w:t>
      </w:r>
      <w:r w:rsidRPr="00D52F16">
        <w:rPr>
          <w:rFonts w:eastAsia="Calibri" w:cs="Arial"/>
          <w:kern w:val="0"/>
          <w:szCs w:val="20"/>
        </w:rPr>
        <w:t xml:space="preserve">-a. Ovaj odbor će uključivati predstavnike svih ključnih strana: Ministarstva finansija – NAO/Struktura za upravljanje, budućih programskih tijela, Ministarstva evropskih poslova – Kancelarija </w:t>
      </w:r>
      <w:r w:rsidR="0086543E" w:rsidRPr="0086543E">
        <w:rPr>
          <w:rFonts w:eastAsia="Calibri" w:cs="Arial"/>
          <w:kern w:val="0"/>
          <w:szCs w:val="20"/>
        </w:rPr>
        <w:t>NIPAK</w:t>
      </w:r>
      <w:r w:rsidRPr="00D52F16">
        <w:rPr>
          <w:rFonts w:eastAsia="Calibri" w:cs="Arial"/>
          <w:kern w:val="0"/>
          <w:szCs w:val="20"/>
        </w:rPr>
        <w:t>-a i predstavnika Tijela za koordinaciju implementacije Strategije digitalne transformacije Crne Gore ili njegovog pravnog i operativnog nasl</w:t>
      </w:r>
      <w:r>
        <w:rPr>
          <w:rFonts w:eastAsia="Calibri" w:cs="Arial"/>
          <w:kern w:val="0"/>
          <w:szCs w:val="20"/>
        </w:rPr>
        <w:t>j</w:t>
      </w:r>
      <w:r w:rsidRPr="00D52F16">
        <w:rPr>
          <w:rFonts w:eastAsia="Calibri" w:cs="Arial"/>
          <w:kern w:val="0"/>
          <w:szCs w:val="20"/>
        </w:rPr>
        <w:t>ednika</w:t>
      </w:r>
      <w:r w:rsidRPr="00B83578">
        <w:rPr>
          <w:rFonts w:ascii="Calibri" w:eastAsia="Calibri" w:hAnsi="Calibri" w:cs="Arial"/>
          <w:kern w:val="0"/>
          <w:sz w:val="22"/>
          <w:vertAlign w:val="superscript"/>
        </w:rPr>
        <w:footnoteReference w:id="78"/>
      </w:r>
      <w:r w:rsidRPr="00D52F16">
        <w:rPr>
          <w:rFonts w:eastAsia="Calibri" w:cs="Arial"/>
          <w:kern w:val="0"/>
          <w:szCs w:val="20"/>
        </w:rPr>
        <w:t>.</w:t>
      </w:r>
    </w:p>
    <w:p w14:paraId="6D960FE0" w14:textId="23624874" w:rsidR="00A5132F" w:rsidRPr="00B83578" w:rsidRDefault="00543023" w:rsidP="007B6C77">
      <w:pPr>
        <w:pStyle w:val="Heading3"/>
      </w:pPr>
      <w:bookmarkStart w:id="82" w:name="_Toc201700359"/>
      <w:r>
        <w:t>Akcija</w:t>
      </w:r>
      <w:r w:rsidR="00A5132F" w:rsidRPr="00B83578">
        <w:t xml:space="preserve"> </w:t>
      </w:r>
      <w:r w:rsidR="0032369C">
        <w:t>ZM</w:t>
      </w:r>
      <w:r w:rsidR="00A5132F" w:rsidRPr="00B83578">
        <w:t xml:space="preserve">6.3. </w:t>
      </w:r>
      <w:r w:rsidR="00A22920">
        <w:t xml:space="preserve">Detaljan plan i vremenski raspored koji se tiču uspostavljanja sistema za monitoring i evaluaciju, uključujući uspostavljanje </w:t>
      </w:r>
      <w:r w:rsidR="00A067C3">
        <w:t>I</w:t>
      </w:r>
      <w:r w:rsidR="00A80895">
        <w:t xml:space="preserve">nformacionog </w:t>
      </w:r>
      <w:r w:rsidR="00A067C3">
        <w:t>s</w:t>
      </w:r>
      <w:r w:rsidR="00A80895">
        <w:t>istema za upravljanje</w:t>
      </w:r>
      <w:r w:rsidR="00A22920">
        <w:t xml:space="preserve"> (</w:t>
      </w:r>
      <w:r w:rsidR="00A067C3">
        <w:t>ISU</w:t>
      </w:r>
      <w:r w:rsidR="00A22920">
        <w:t>)</w:t>
      </w:r>
      <w:bookmarkEnd w:id="82"/>
      <w:r w:rsidR="00A22920">
        <w:t xml:space="preserve"> </w:t>
      </w:r>
    </w:p>
    <w:p w14:paraId="2823839C" w14:textId="75C3C77C" w:rsidR="00D52F16" w:rsidRDefault="00D52F16" w:rsidP="00673B99">
      <w:r w:rsidRPr="00D52F16">
        <w:t>Ova ak</w:t>
      </w:r>
      <w:r>
        <w:t>cija</w:t>
      </w:r>
      <w:r w:rsidRPr="00D52F16">
        <w:t xml:space="preserve"> je usm</w:t>
      </w:r>
      <w:r>
        <w:t>j</w:t>
      </w:r>
      <w:r w:rsidRPr="00D52F16">
        <w:t>erena na izradu detaljnog plana implementacije i vremenskog okvira, uključujući proc</w:t>
      </w:r>
      <w:r>
        <w:t>ij</w:t>
      </w:r>
      <w:r w:rsidRPr="00D52F16">
        <w:t>enjeni budžet i predložene uloge po instituciji/t</w:t>
      </w:r>
      <w:r>
        <w:t>ij</w:t>
      </w:r>
      <w:r w:rsidRPr="00D52F16">
        <w:t xml:space="preserve">elu za uspostavljanje </w:t>
      </w:r>
      <w:r w:rsidR="00A067C3">
        <w:t>Informacionog sistema za upravljanje</w:t>
      </w:r>
      <w:r w:rsidRPr="00D52F16">
        <w:t xml:space="preserve"> (</w:t>
      </w:r>
      <w:r w:rsidR="00A067C3">
        <w:t>ISU</w:t>
      </w:r>
      <w:r w:rsidRPr="00D52F16">
        <w:t xml:space="preserve">), koji obuhvata sistem za </w:t>
      </w:r>
      <w:r w:rsidR="00A80895" w:rsidRPr="00A80895">
        <w:t>monitoring</w:t>
      </w:r>
      <w:r w:rsidRPr="00D52F16">
        <w:t xml:space="preserve"> i evaluaciju, kao i e-Kohezioni sistem. Izrada detaljnog plana integriše aktivnosti i zadatke različitih institucija/t</w:t>
      </w:r>
      <w:r>
        <w:t>ij</w:t>
      </w:r>
      <w:r w:rsidRPr="00D52F16">
        <w:t>ela u sistemu radi obezb</w:t>
      </w:r>
      <w:r>
        <w:t>j</w:t>
      </w:r>
      <w:r w:rsidRPr="00D52F16">
        <w:t xml:space="preserve">eđivanja bliske integracije budućeg </w:t>
      </w:r>
      <w:r w:rsidR="00A067C3">
        <w:t>ISU</w:t>
      </w:r>
      <w:r w:rsidRPr="00D52F16">
        <w:t>-a sa e-Kohezi</w:t>
      </w:r>
      <w:r>
        <w:t>j</w:t>
      </w:r>
      <w:r w:rsidRPr="00D52F16">
        <w:t>om, kao i radi obezb</w:t>
      </w:r>
      <w:r>
        <w:t>j</w:t>
      </w:r>
      <w:r w:rsidRPr="00D52F16">
        <w:t>eđivanja usklađenosti sa regulativ</w:t>
      </w:r>
      <w:r>
        <w:t>a</w:t>
      </w:r>
      <w:r w:rsidRPr="00D52F16">
        <w:t>m</w:t>
      </w:r>
      <w:r>
        <w:t>a</w:t>
      </w:r>
      <w:r w:rsidRPr="00D52F16">
        <w:t xml:space="preserve"> EU, omogućavajući korisnicima i upravljačkim t</w:t>
      </w:r>
      <w:r>
        <w:t>ij</w:t>
      </w:r>
      <w:r w:rsidRPr="00D52F16">
        <w:t xml:space="preserve">elima nesmetano elektronsko podnošenje i upravljanje dokumentima. Primarni cilj ovog detaljnog plana i vremenskog okvira je operacionalizacija svih narednih koraka u razvoju </w:t>
      </w:r>
      <w:r w:rsidR="00A067C3">
        <w:t>ISU</w:t>
      </w:r>
      <w:r w:rsidRPr="00D52F16">
        <w:t xml:space="preserve">-a kao interaktivne elektronske platforme koja omogućava </w:t>
      </w:r>
      <w:r w:rsidR="00A80895" w:rsidRPr="00A80895">
        <w:t>monitoring</w:t>
      </w:r>
      <w:r w:rsidRPr="00D52F16">
        <w:t xml:space="preserve"> projekata u realnom vremenu, efikasno praćenje rashoda i nesmetanu komunikaciju među zainteresovanim stranama. Plan će definisati ključne prekretnice i vremenske okvire potrebne za razvoj sistema, uključujući ključne faze. Takođe će obuhvatiti planiranje ublažavanja rizika i koordinaciju na nacionalnom nivou u vezi sa tehničkim izazovima interoperabilnosti sistema među različitim nacionalnim sistemima, kao što su državn</w:t>
      </w:r>
      <w:r>
        <w:t>i</w:t>
      </w:r>
      <w:r w:rsidRPr="00D52F16">
        <w:t xml:space="preserve"> </w:t>
      </w:r>
      <w:r>
        <w:t>trezor</w:t>
      </w:r>
      <w:r w:rsidRPr="00D52F16">
        <w:t xml:space="preserve"> i poreski registri, kako bi se obezb</w:t>
      </w:r>
      <w:r>
        <w:t>ij</w:t>
      </w:r>
      <w:r w:rsidRPr="00D52F16">
        <w:t>edio integritet podataka i usklađenost sa EU standardima.</w:t>
      </w:r>
    </w:p>
    <w:p w14:paraId="76503E0D" w14:textId="77777777" w:rsidR="0078451F" w:rsidRPr="00B83578" w:rsidRDefault="0078451F" w:rsidP="00673B99"/>
    <w:p w14:paraId="688CBE1D" w14:textId="32405E08" w:rsidR="00A5132F" w:rsidRPr="00B83578" w:rsidRDefault="001D692B" w:rsidP="00112AB0">
      <w:pPr>
        <w:keepNext/>
        <w:spacing w:before="200" w:after="0"/>
        <w:rPr>
          <w:rFonts w:cs="Arial"/>
          <w:i/>
          <w:iCs/>
          <w:color w:val="0E2841" w:themeColor="text2"/>
          <w:sz w:val="18"/>
          <w:szCs w:val="18"/>
        </w:rPr>
      </w:pPr>
      <w:bookmarkStart w:id="83" w:name="_Toc193895450"/>
      <w:r>
        <w:rPr>
          <w:rFonts w:cs="Arial"/>
          <w:i/>
          <w:iCs/>
          <w:color w:val="0E2841" w:themeColor="text2"/>
          <w:sz w:val="18"/>
          <w:szCs w:val="18"/>
        </w:rPr>
        <w:lastRenderedPageBreak/>
        <w:t>Tabela</w:t>
      </w:r>
      <w:r w:rsidR="00D35829" w:rsidRPr="00B83578">
        <w:rPr>
          <w:rFonts w:cs="Arial"/>
          <w:i/>
          <w:iCs/>
          <w:color w:val="0E2841" w:themeColor="text2"/>
          <w:sz w:val="18"/>
          <w:szCs w:val="18"/>
        </w:rPr>
        <w:t xml:space="preserve"> 6.</w:t>
      </w:r>
      <w:r w:rsidR="00116B99" w:rsidRPr="00B83578">
        <w:rPr>
          <w:rFonts w:cs="Arial"/>
          <w:i/>
          <w:iCs/>
          <w:color w:val="0E2841" w:themeColor="text2"/>
          <w:sz w:val="18"/>
          <w:szCs w:val="18"/>
        </w:rPr>
        <w:t xml:space="preserve"> </w:t>
      </w:r>
      <w:r w:rsidR="00C17022">
        <w:rPr>
          <w:rFonts w:cs="Arial"/>
          <w:i/>
          <w:iCs/>
          <w:color w:val="0E2841" w:themeColor="text2"/>
          <w:sz w:val="18"/>
          <w:szCs w:val="18"/>
        </w:rPr>
        <w:t>MP</w:t>
      </w:r>
      <w:r w:rsidR="00446023" w:rsidRPr="00B83578">
        <w:rPr>
          <w:rFonts w:cs="Arial"/>
          <w:i/>
          <w:iCs/>
          <w:color w:val="0E2841" w:themeColor="text2"/>
          <w:sz w:val="18"/>
          <w:szCs w:val="18"/>
        </w:rPr>
        <w:fldChar w:fldCharType="begin"/>
      </w:r>
      <w:r w:rsidR="00446023" w:rsidRPr="00B83578">
        <w:rPr>
          <w:rFonts w:cs="Arial"/>
          <w:i/>
          <w:iCs/>
          <w:color w:val="0E2841" w:themeColor="text2"/>
          <w:sz w:val="18"/>
          <w:szCs w:val="18"/>
        </w:rPr>
        <w:instrText xml:space="preserve"> SEQ Table \* ARABIC </w:instrText>
      </w:r>
      <w:r w:rsidR="00446023" w:rsidRPr="00B83578">
        <w:rPr>
          <w:rFonts w:cs="Arial"/>
          <w:i/>
          <w:iCs/>
          <w:color w:val="0E2841" w:themeColor="text2"/>
          <w:sz w:val="18"/>
          <w:szCs w:val="18"/>
        </w:rPr>
        <w:fldChar w:fldCharType="separate"/>
      </w:r>
      <w:r w:rsidR="003C2962">
        <w:rPr>
          <w:rFonts w:cs="Arial"/>
          <w:i/>
          <w:iCs/>
          <w:noProof/>
          <w:color w:val="0E2841" w:themeColor="text2"/>
          <w:sz w:val="18"/>
          <w:szCs w:val="18"/>
        </w:rPr>
        <w:t>6</w:t>
      </w:r>
      <w:r w:rsidR="00446023" w:rsidRPr="00B83578">
        <w:rPr>
          <w:rFonts w:cs="Arial"/>
          <w:i/>
          <w:iCs/>
          <w:color w:val="0E2841" w:themeColor="text2"/>
          <w:sz w:val="18"/>
          <w:szCs w:val="18"/>
        </w:rPr>
        <w:fldChar w:fldCharType="end"/>
      </w:r>
      <w:r w:rsidR="00A5132F" w:rsidRPr="00B83578">
        <w:rPr>
          <w:rFonts w:cs="Arial"/>
          <w:i/>
          <w:iCs/>
          <w:color w:val="0E2841" w:themeColor="text2"/>
          <w:sz w:val="18"/>
          <w:szCs w:val="18"/>
        </w:rPr>
        <w:t xml:space="preserve">: </w:t>
      </w:r>
      <w:r w:rsidR="00017758">
        <w:rPr>
          <w:rFonts w:cs="Arial"/>
          <w:i/>
          <w:iCs/>
          <w:color w:val="0E2841" w:themeColor="text2"/>
          <w:sz w:val="18"/>
          <w:szCs w:val="18"/>
        </w:rPr>
        <w:t>Planirane akcije za zatvaranje Završnog mjerila</w:t>
      </w:r>
      <w:r w:rsidR="00A5132F" w:rsidRPr="00B83578">
        <w:rPr>
          <w:rFonts w:cs="Arial"/>
          <w:i/>
          <w:iCs/>
          <w:color w:val="0E2841" w:themeColor="text2"/>
          <w:sz w:val="18"/>
          <w:szCs w:val="18"/>
        </w:rPr>
        <w:t xml:space="preserve"> 6</w:t>
      </w:r>
      <w:bookmarkEnd w:id="83"/>
    </w:p>
    <w:tbl>
      <w:tblPr>
        <w:tblStyle w:val="GridTable5Dark-Accent11"/>
        <w:tblW w:w="5000" w:type="pct"/>
        <w:tblInd w:w="0" w:type="dxa"/>
        <w:tblLook w:val="04A0" w:firstRow="1" w:lastRow="0" w:firstColumn="1" w:lastColumn="0" w:noHBand="0" w:noVBand="1"/>
      </w:tblPr>
      <w:tblGrid>
        <w:gridCol w:w="731"/>
        <w:gridCol w:w="1048"/>
        <w:gridCol w:w="1360"/>
        <w:gridCol w:w="862"/>
        <w:gridCol w:w="1468"/>
        <w:gridCol w:w="868"/>
        <w:gridCol w:w="755"/>
        <w:gridCol w:w="1567"/>
        <w:gridCol w:w="691"/>
      </w:tblGrid>
      <w:tr w:rsidR="0078451F" w:rsidRPr="0078451F" w14:paraId="1D4A4D33" w14:textId="77777777" w:rsidTr="0078451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6" w:type="pct"/>
            <w:hideMark/>
          </w:tcPr>
          <w:p w14:paraId="26029623" w14:textId="109A3079" w:rsidR="0078451F" w:rsidRPr="0078451F" w:rsidRDefault="00543023" w:rsidP="0078451F">
            <w:pPr>
              <w:spacing w:after="0"/>
              <w:jc w:val="left"/>
              <w:rPr>
                <w:rFonts w:eastAsia="Times New Roman"/>
                <w:kern w:val="0"/>
                <w:sz w:val="14"/>
                <w:szCs w:val="14"/>
                <w:lang w:eastAsia="en-GB"/>
                <w14:ligatures w14:val="none"/>
              </w:rPr>
            </w:pPr>
            <w:r>
              <w:rPr>
                <w:rFonts w:eastAsia="Times New Roman"/>
                <w:kern w:val="0"/>
                <w:sz w:val="14"/>
                <w:szCs w:val="14"/>
                <w:lang w:eastAsia="en-GB"/>
                <w14:ligatures w14:val="none"/>
              </w:rPr>
              <w:t>Kod akcije</w:t>
            </w:r>
          </w:p>
        </w:tc>
        <w:tc>
          <w:tcPr>
            <w:tcW w:w="638" w:type="pct"/>
            <w:hideMark/>
          </w:tcPr>
          <w:p w14:paraId="4C467D74" w14:textId="25B45E7B" w:rsidR="0078451F" w:rsidRPr="0078451F" w:rsidRDefault="00543023"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Naziv akcije</w:t>
            </w:r>
          </w:p>
        </w:tc>
        <w:tc>
          <w:tcPr>
            <w:tcW w:w="638" w:type="pct"/>
            <w:hideMark/>
          </w:tcPr>
          <w:p w14:paraId="4747A295" w14:textId="46AA1FC9"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Nadležnost</w:t>
            </w:r>
          </w:p>
        </w:tc>
        <w:tc>
          <w:tcPr>
            <w:tcW w:w="346" w:type="pct"/>
            <w:hideMark/>
          </w:tcPr>
          <w:p w14:paraId="223506FF" w14:textId="2E9DA9B1"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Raspored</w:t>
            </w:r>
          </w:p>
        </w:tc>
        <w:tc>
          <w:tcPr>
            <w:tcW w:w="936" w:type="pct"/>
            <w:hideMark/>
          </w:tcPr>
          <w:p w14:paraId="675A2872" w14:textId="29AA3D3F"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Indikator</w:t>
            </w:r>
            <w:r w:rsidR="0078451F" w:rsidRPr="0078451F">
              <w:rPr>
                <w:rFonts w:eastAsia="Times New Roman"/>
                <w:kern w:val="0"/>
                <w:sz w:val="14"/>
                <w:szCs w:val="14"/>
                <w:lang w:eastAsia="en-GB"/>
                <w14:ligatures w14:val="none"/>
              </w:rPr>
              <w:t xml:space="preserve"> </w:t>
            </w:r>
          </w:p>
        </w:tc>
        <w:tc>
          <w:tcPr>
            <w:tcW w:w="346" w:type="pct"/>
            <w:hideMark/>
          </w:tcPr>
          <w:p w14:paraId="08CE8605" w14:textId="5E0FB886"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Vrsta</w:t>
            </w:r>
          </w:p>
        </w:tc>
        <w:tc>
          <w:tcPr>
            <w:tcW w:w="346" w:type="pct"/>
            <w:hideMark/>
          </w:tcPr>
          <w:p w14:paraId="75F810CE" w14:textId="2F153F22"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Resursi</w:t>
            </w:r>
          </w:p>
        </w:tc>
        <w:tc>
          <w:tcPr>
            <w:tcW w:w="1058" w:type="pct"/>
            <w:hideMark/>
          </w:tcPr>
          <w:p w14:paraId="48A9A85F" w14:textId="77DA6EC2"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Napomene</w:t>
            </w:r>
          </w:p>
        </w:tc>
        <w:tc>
          <w:tcPr>
            <w:tcW w:w="346" w:type="pct"/>
            <w:hideMark/>
          </w:tcPr>
          <w:p w14:paraId="2FAD0FF7" w14:textId="57C6B7E7" w:rsidR="0078451F" w:rsidRPr="0078451F" w:rsidRDefault="00A067C3"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DAP</w:t>
            </w:r>
            <w:r w:rsidR="007029BB">
              <w:rPr>
                <w:rFonts w:eastAsia="Times New Roman"/>
                <w:kern w:val="0"/>
                <w:sz w:val="14"/>
                <w:szCs w:val="14"/>
                <w:lang w:eastAsia="en-GB"/>
                <w14:ligatures w14:val="none"/>
              </w:rPr>
              <w:t xml:space="preserve"> oznaka</w:t>
            </w:r>
          </w:p>
        </w:tc>
      </w:tr>
      <w:tr w:rsidR="0078451F" w:rsidRPr="0078451F" w14:paraId="2988B17C" w14:textId="77777777" w:rsidTr="0078451F">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346" w:type="pct"/>
            <w:hideMark/>
          </w:tcPr>
          <w:p w14:paraId="46806888" w14:textId="7F037FB8" w:rsidR="0078451F" w:rsidRPr="0078451F" w:rsidRDefault="0032369C" w:rsidP="0078451F">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.6.01.</w:t>
            </w:r>
          </w:p>
        </w:tc>
        <w:tc>
          <w:tcPr>
            <w:tcW w:w="638" w:type="pct"/>
            <w:hideMark/>
          </w:tcPr>
          <w:p w14:paraId="4736FC6D" w14:textId="51F90BFF" w:rsidR="0078451F" w:rsidRPr="0078451F" w:rsidRDefault="00130A44"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za uspostavljanje e-Kohezije i Informacionog sistema za monitoring.</w:t>
            </w:r>
          </w:p>
        </w:tc>
        <w:tc>
          <w:tcPr>
            <w:tcW w:w="638" w:type="pct"/>
            <w:hideMark/>
          </w:tcPr>
          <w:p w14:paraId="237EC554" w14:textId="49158B44"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
        </w:tc>
        <w:tc>
          <w:tcPr>
            <w:tcW w:w="346" w:type="pct"/>
            <w:hideMark/>
          </w:tcPr>
          <w:p w14:paraId="5164F84A" w14:textId="77D0EA1F" w:rsidR="0078451F" w:rsidRPr="0078451F" w:rsidRDefault="0078451F" w:rsidP="0078451F">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936" w:type="pct"/>
            <w:hideMark/>
          </w:tcPr>
          <w:p w14:paraId="29960161" w14:textId="1D222217" w:rsidR="0078451F" w:rsidRPr="0078451F" w:rsidRDefault="00130A44"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Studija za uspostavljanje e-Kohezije i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-a.</w:t>
            </w:r>
          </w:p>
        </w:tc>
        <w:tc>
          <w:tcPr>
            <w:tcW w:w="346" w:type="pct"/>
            <w:hideMark/>
          </w:tcPr>
          <w:p w14:paraId="7ABFBF8D" w14:textId="2780B44F"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46" w:type="pct"/>
            <w:hideMark/>
          </w:tcPr>
          <w:p w14:paraId="292471D8" w14:textId="6C53FF62"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1058" w:type="pct"/>
            <w:hideMark/>
          </w:tcPr>
          <w:p w14:paraId="76303B6A" w14:textId="2BCDD321" w:rsidR="0078451F" w:rsidRPr="0078451F" w:rsidRDefault="00130A44"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Studija će uzeti u obzir relevantna iskustva država članica EU, kao i pristup ovoj akciji od strane drugih zemalja u regionu. Jedan od preduslova je </w:t>
            </w:r>
            <w:proofErr w:type="gramStart"/>
            <w:r>
              <w:rPr>
                <w:rFonts w:ascii="Aptos" w:eastAsia="Times New Roman" w:hAnsi="Aptos"/>
                <w:kern w:val="0"/>
                <w:sz w:val="14"/>
                <w:szCs w:val="14"/>
                <w:lang w:eastAsia="en-GB"/>
                <w14:ligatures w14:val="none"/>
              </w:rPr>
              <w:t>objavljivanje  prijedloga</w:t>
            </w:r>
            <w:proofErr w:type="gramEnd"/>
            <w:r>
              <w:rPr>
                <w:rFonts w:ascii="Aptos" w:eastAsia="Times New Roman" w:hAnsi="Aptos"/>
                <w:kern w:val="0"/>
                <w:sz w:val="14"/>
                <w:szCs w:val="14"/>
                <w:lang w:eastAsia="en-GB"/>
                <w14:ligatures w14:val="none"/>
              </w:rPr>
              <w:t xml:space="preserve"> Regulativa  od strane Komisije za period nakon 2027. godine.</w:t>
            </w:r>
          </w:p>
        </w:tc>
        <w:tc>
          <w:tcPr>
            <w:tcW w:w="346" w:type="pct"/>
            <w:hideMark/>
          </w:tcPr>
          <w:p w14:paraId="33644A71"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5.01.</w:t>
            </w:r>
          </w:p>
        </w:tc>
      </w:tr>
      <w:tr w:rsidR="0078451F" w:rsidRPr="0078451F" w14:paraId="5E9EEB2F" w14:textId="77777777" w:rsidTr="0078451F">
        <w:trPr>
          <w:trHeight w:val="1680"/>
        </w:trPr>
        <w:tc>
          <w:tcPr>
            <w:cnfStyle w:val="001000000000" w:firstRow="0" w:lastRow="0" w:firstColumn="1" w:lastColumn="0" w:oddVBand="0" w:evenVBand="0" w:oddHBand="0" w:evenHBand="0" w:firstRowFirstColumn="0" w:firstRowLastColumn="0" w:lastRowFirstColumn="0" w:lastRowLastColumn="0"/>
            <w:tcW w:w="346" w:type="pct"/>
            <w:hideMark/>
          </w:tcPr>
          <w:p w14:paraId="7C0DB31E" w14:textId="0B179F07" w:rsidR="0078451F" w:rsidRPr="0078451F" w:rsidRDefault="0032369C" w:rsidP="0078451F">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.6.02.</w:t>
            </w:r>
          </w:p>
        </w:tc>
        <w:tc>
          <w:tcPr>
            <w:tcW w:w="638" w:type="pct"/>
            <w:hideMark/>
          </w:tcPr>
          <w:p w14:paraId="349D7445" w14:textId="46801F46" w:rsidR="0078451F" w:rsidRPr="0078451F" w:rsidRDefault="00A2292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Odluka o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 xml:space="preserve"> arhitekturi</w:t>
            </w:r>
            <w:r w:rsidR="0078451F" w:rsidRPr="0078451F">
              <w:rPr>
                <w:rFonts w:ascii="Aptos" w:eastAsia="Times New Roman" w:hAnsi="Aptos"/>
                <w:kern w:val="0"/>
                <w:sz w:val="14"/>
                <w:szCs w:val="14"/>
                <w:lang w:eastAsia="en-GB"/>
                <w14:ligatures w14:val="none"/>
              </w:rPr>
              <w:t xml:space="preserve">. </w:t>
            </w:r>
          </w:p>
        </w:tc>
        <w:tc>
          <w:tcPr>
            <w:tcW w:w="638" w:type="pct"/>
            <w:hideMark/>
          </w:tcPr>
          <w:p w14:paraId="178243F9" w14:textId="5DE41B64"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78451F" w:rsidRPr="0078451F">
              <w:rPr>
                <w:rFonts w:ascii="Aptos" w:eastAsia="Times New Roman" w:hAnsi="Aptos"/>
                <w:kern w:val="0"/>
                <w:sz w:val="14"/>
                <w:szCs w:val="14"/>
                <w:lang w:eastAsia="en-GB"/>
                <w14:ligatures w14:val="none"/>
              </w:rPr>
              <w:t>;</w:t>
            </w:r>
            <w:proofErr w:type="gramEnd"/>
            <w:r w:rsidR="0078451F" w:rsidRPr="0078451F">
              <w:rPr>
                <w:rFonts w:ascii="Aptos" w:eastAsia="Times New Roman" w:hAnsi="Aptos"/>
                <w:kern w:val="0"/>
                <w:sz w:val="14"/>
                <w:szCs w:val="14"/>
                <w:lang w:eastAsia="en-GB"/>
                <w14:ligatures w14:val="none"/>
              </w:rPr>
              <w:t xml:space="preserve"> </w:t>
            </w:r>
            <w:r w:rsidR="00130A44">
              <w:rPr>
                <w:rFonts w:ascii="Aptos" w:eastAsia="Times New Roman" w:hAnsi="Aptos"/>
                <w:kern w:val="0"/>
                <w:sz w:val="14"/>
                <w:szCs w:val="14"/>
                <w:lang w:eastAsia="en-GB"/>
                <w14:ligatures w14:val="none"/>
              </w:rPr>
              <w:t>Međuinstitucionalni Upravljački odbor</w:t>
            </w:r>
          </w:p>
        </w:tc>
        <w:tc>
          <w:tcPr>
            <w:tcW w:w="346" w:type="pct"/>
            <w:hideMark/>
          </w:tcPr>
          <w:p w14:paraId="7B76772D" w14:textId="71F812C5" w:rsidR="0078451F" w:rsidRPr="0078451F" w:rsidRDefault="0078451F" w:rsidP="0078451F">
            <w:pPr>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1</w:t>
            </w:r>
          </w:p>
        </w:tc>
        <w:tc>
          <w:tcPr>
            <w:tcW w:w="936" w:type="pct"/>
            <w:hideMark/>
          </w:tcPr>
          <w:p w14:paraId="0AC703BE" w14:textId="5FFB3EE1" w:rsidR="0078451F" w:rsidRPr="0078451F" w:rsidRDefault="00163D4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Odluka Ministarstva za evropske poslove; Ministarstva finansija/Kancelarije NAO zasnovana na preporukama uspostavljenog Međuinstitucionalnog Upravljačkog odbora.</w:t>
            </w:r>
          </w:p>
        </w:tc>
        <w:tc>
          <w:tcPr>
            <w:tcW w:w="346" w:type="pct"/>
            <w:hideMark/>
          </w:tcPr>
          <w:p w14:paraId="0FE75662" w14:textId="6E22E93C"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46" w:type="pct"/>
            <w:hideMark/>
          </w:tcPr>
          <w:p w14:paraId="38E9B695" w14:textId="5F14C111"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1058" w:type="pct"/>
            <w:hideMark/>
          </w:tcPr>
          <w:p w14:paraId="790E48D1"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346" w:type="pct"/>
            <w:hideMark/>
          </w:tcPr>
          <w:p w14:paraId="340C8033"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5.02.</w:t>
            </w:r>
          </w:p>
        </w:tc>
      </w:tr>
      <w:tr w:rsidR="0078451F" w:rsidRPr="0078451F" w14:paraId="12480612" w14:textId="77777777" w:rsidTr="0078451F">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346" w:type="pct"/>
            <w:hideMark/>
          </w:tcPr>
          <w:p w14:paraId="11B14EEE" w14:textId="417AFCFA" w:rsidR="0078451F" w:rsidRPr="0078451F" w:rsidRDefault="0032369C" w:rsidP="0078451F">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.6.03.</w:t>
            </w:r>
          </w:p>
        </w:tc>
        <w:tc>
          <w:tcPr>
            <w:tcW w:w="638" w:type="pct"/>
            <w:hideMark/>
          </w:tcPr>
          <w:p w14:paraId="5A2DC6AB" w14:textId="7DF103F9"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Detaljan plan i raspored za uspostavljanje elektronskog Informaciong sistema za upravljanje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w:t>
            </w:r>
          </w:p>
        </w:tc>
        <w:tc>
          <w:tcPr>
            <w:tcW w:w="638" w:type="pct"/>
            <w:hideMark/>
          </w:tcPr>
          <w:p w14:paraId="292B6F88" w14:textId="5A4FBC0D"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78451F" w:rsidRPr="0078451F">
              <w:rPr>
                <w:rFonts w:ascii="Aptos" w:eastAsia="Times New Roman" w:hAnsi="Aptos"/>
                <w:kern w:val="0"/>
                <w:sz w:val="14"/>
                <w:szCs w:val="14"/>
                <w:lang w:eastAsia="en-GB"/>
                <w14:ligatures w14:val="none"/>
              </w:rPr>
              <w:t>;</w:t>
            </w:r>
            <w:proofErr w:type="gramEnd"/>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46" w:type="pct"/>
            <w:hideMark/>
          </w:tcPr>
          <w:p w14:paraId="02626CFB" w14:textId="55B6098E" w:rsidR="0078451F" w:rsidRPr="0078451F" w:rsidRDefault="0078451F" w:rsidP="0078451F">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936" w:type="pct"/>
            <w:hideMark/>
          </w:tcPr>
          <w:p w14:paraId="14FB91FB" w14:textId="03384AB7"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Plan i raspored za uspostavljanje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w:t>
            </w:r>
          </w:p>
        </w:tc>
        <w:tc>
          <w:tcPr>
            <w:tcW w:w="346" w:type="pct"/>
            <w:hideMark/>
          </w:tcPr>
          <w:p w14:paraId="121C17E4" w14:textId="67E2ED14"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346" w:type="pct"/>
            <w:hideMark/>
          </w:tcPr>
          <w:p w14:paraId="5ACD37CE" w14:textId="330D710E"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1058" w:type="pct"/>
            <w:hideMark/>
          </w:tcPr>
          <w:p w14:paraId="0DE2B999" w14:textId="373BDC50"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Pretpostavlja se da je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 xml:space="preserve"> koji se uspostavlja sveobuhvatan i integrisan informacioni sistem upravljanja koji je povezan sa e-Kohezionim sistemom kao integrisani modul.</w:t>
            </w:r>
          </w:p>
        </w:tc>
        <w:tc>
          <w:tcPr>
            <w:tcW w:w="346" w:type="pct"/>
            <w:hideMark/>
          </w:tcPr>
          <w:p w14:paraId="4DF6DB4D"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5.03.</w:t>
            </w:r>
          </w:p>
        </w:tc>
      </w:tr>
    </w:tbl>
    <w:p w14:paraId="3FA1882E" w14:textId="77777777" w:rsidR="00A5132F" w:rsidRPr="00B83578" w:rsidRDefault="00A5132F" w:rsidP="00A5132F">
      <w:pPr>
        <w:spacing w:after="0"/>
        <w:jc w:val="left"/>
        <w:rPr>
          <w:rFonts w:eastAsia="Calibri" w:cs="Arial"/>
          <w:kern w:val="0"/>
          <w:sz w:val="16"/>
          <w:szCs w:val="16"/>
        </w:rPr>
      </w:pPr>
    </w:p>
    <w:p w14:paraId="32F22607" w14:textId="77777777" w:rsidR="00A5132F" w:rsidRPr="00B83578" w:rsidRDefault="00A5132F" w:rsidP="00A5132F">
      <w:pPr>
        <w:spacing w:after="0"/>
        <w:rPr>
          <w:rFonts w:eastAsia="Calibri" w:cs="Arial"/>
          <w:bCs/>
          <w:kern w:val="0"/>
          <w:sz w:val="24"/>
          <w:szCs w:val="24"/>
        </w:rPr>
      </w:pPr>
    </w:p>
    <w:p w14:paraId="1DAC8E63" w14:textId="5AB1ECAC" w:rsidR="006C37F9" w:rsidRPr="00B83578" w:rsidRDefault="006C37F9">
      <w:pPr>
        <w:spacing w:after="160" w:line="278" w:lineRule="auto"/>
        <w:jc w:val="left"/>
        <w:rPr>
          <w:rFonts w:eastAsia="Calibri" w:cs="Arial"/>
          <w:bCs/>
          <w:kern w:val="0"/>
          <w:sz w:val="24"/>
          <w:szCs w:val="24"/>
        </w:rPr>
      </w:pPr>
      <w:r w:rsidRPr="00B83578">
        <w:rPr>
          <w:rFonts w:eastAsia="Calibri" w:cs="Arial"/>
          <w:bCs/>
          <w:kern w:val="0"/>
          <w:sz w:val="24"/>
          <w:szCs w:val="24"/>
        </w:rPr>
        <w:br w:type="page"/>
      </w:r>
    </w:p>
    <w:p w14:paraId="72AD73E4" w14:textId="1C0A54A7" w:rsidR="0014333A" w:rsidRPr="00B83578" w:rsidRDefault="00B4524B" w:rsidP="007B6C77">
      <w:pPr>
        <w:pStyle w:val="Title"/>
      </w:pPr>
      <w:r>
        <w:lastRenderedPageBreak/>
        <w:t>Dugoročni plan</w:t>
      </w:r>
      <w:r w:rsidR="00F2765C">
        <w:t xml:space="preserve"> aktivnosti</w:t>
      </w:r>
      <w:r>
        <w:t xml:space="preserve"> za Poglavlje</w:t>
      </w:r>
      <w:r w:rsidR="0014333A" w:rsidRPr="00B83578">
        <w:t xml:space="preserve"> 22</w:t>
      </w:r>
    </w:p>
    <w:p w14:paraId="244EB8CC" w14:textId="2A364CEA" w:rsidR="001C0578" w:rsidRPr="00B83578" w:rsidRDefault="00A22920" w:rsidP="00D15218">
      <w:pPr>
        <w:pStyle w:val="Heading1"/>
        <w:numPr>
          <w:ilvl w:val="0"/>
          <w:numId w:val="9"/>
        </w:numPr>
      </w:pPr>
      <w:bookmarkStart w:id="84" w:name="_Toc201700360"/>
      <w:r>
        <w:t>Zakonodavni okvir</w:t>
      </w:r>
      <w:bookmarkEnd w:id="84"/>
      <w:r>
        <w:t xml:space="preserve"> </w:t>
      </w:r>
    </w:p>
    <w:p w14:paraId="7B142B5E" w14:textId="4AD56722" w:rsidR="001C0578" w:rsidRPr="00B83578" w:rsidRDefault="009E36FF" w:rsidP="000E7F10">
      <w:pPr>
        <w:pStyle w:val="ListParagraph"/>
        <w:keepNext/>
        <w:keepLines/>
        <w:numPr>
          <w:ilvl w:val="1"/>
          <w:numId w:val="6"/>
        </w:numPr>
        <w:spacing w:before="160" w:after="80"/>
        <w:ind w:left="1077"/>
        <w:outlineLvl w:val="1"/>
        <w:rPr>
          <w:rFonts w:eastAsia="Yu Gothic Light" w:cs="Arial"/>
          <w:color w:val="0F4761" w:themeColor="accent1" w:themeShade="BF"/>
          <w:sz w:val="32"/>
          <w:szCs w:val="32"/>
        </w:rPr>
      </w:pPr>
      <w:bookmarkStart w:id="85" w:name="_Toc201700361"/>
      <w:r>
        <w:rPr>
          <w:rFonts w:eastAsia="Yu Gothic Light" w:cs="Arial"/>
          <w:color w:val="0F4761" w:themeColor="accent1" w:themeShade="BF"/>
          <w:sz w:val="32"/>
          <w:szCs w:val="32"/>
        </w:rPr>
        <w:t>Relevantni zahtjevi Kohezione politike</w:t>
      </w:r>
      <w:bookmarkEnd w:id="85"/>
    </w:p>
    <w:p w14:paraId="36D466D7" w14:textId="2543C9A2" w:rsidR="005A5E21" w:rsidRDefault="00975088" w:rsidP="005A5E21">
      <w:r>
        <w:t>Regulativa</w:t>
      </w:r>
      <w:r w:rsidR="005A5E21">
        <w:t xml:space="preserve"> (EU) 2021/1060 (</w:t>
      </w:r>
      <w:r>
        <w:t>Regulativa</w:t>
      </w:r>
      <w:r w:rsidR="005A5E21">
        <w:t xml:space="preserve"> o zajedničkim odredbama, skraćeno </w:t>
      </w:r>
      <w:r w:rsidR="00CD0020">
        <w:t>RZO</w:t>
      </w:r>
      <w:r w:rsidR="005A5E21">
        <w:t>)</w:t>
      </w:r>
      <w:r w:rsidR="005A5E21" w:rsidRPr="00B83578">
        <w:rPr>
          <w:color w:val="000000" w:themeColor="text1"/>
          <w:kern w:val="0"/>
          <w:vertAlign w:val="superscript"/>
        </w:rPr>
        <w:footnoteReference w:id="79"/>
      </w:r>
      <w:r w:rsidR="005A5E21">
        <w:t xml:space="preserve"> utvrđuje </w:t>
      </w:r>
      <w:r w:rsidR="005A5E21" w:rsidRPr="005A5E21">
        <w:rPr>
          <w:u w:val="single"/>
        </w:rPr>
        <w:t>principe Kohezione politike</w:t>
      </w:r>
      <w:r w:rsidR="005A5E21">
        <w:t xml:space="preserve"> (članovi 8-9) koje je potrebno poštovati u pružanju podrške iz fondova, kao i </w:t>
      </w:r>
      <w:r w:rsidR="005A5E21" w:rsidRPr="005A5E21">
        <w:rPr>
          <w:u w:val="single"/>
        </w:rPr>
        <w:t>horizontalne i tematske omogućavajuće uslove</w:t>
      </w:r>
      <w:r w:rsidR="005A5E21">
        <w:t xml:space="preserve"> (član 15 stav 1 i Aneksi III i IV) koje treba ispuniti u skladu sa kriterijumima za ispunjavanje propisanim </w:t>
      </w:r>
      <w:r w:rsidR="00EA1B2F">
        <w:t>Regulativom</w:t>
      </w:r>
      <w:r w:rsidR="005A5E21">
        <w:t xml:space="preserve">. Iako principi Kohezijske politike ne </w:t>
      </w:r>
      <w:r w:rsidR="00CA6030">
        <w:t>zahtjev</w:t>
      </w:r>
      <w:r w:rsidR="005A5E21">
        <w:t>aju posebne zakonske propise sami po sebi, u većini slučajeva oni su ugrađeni u zakonodavstvo ili strategije koje su usvojene odlukama Vlade.</w:t>
      </w:r>
    </w:p>
    <w:p w14:paraId="2D9BFA6B" w14:textId="3D7E0B03" w:rsidR="005A5E21" w:rsidRDefault="005A5E21" w:rsidP="005A5E21">
      <w:r>
        <w:t xml:space="preserve">Član 8 </w:t>
      </w:r>
      <w:r w:rsidR="00CD0020">
        <w:t>RZO</w:t>
      </w:r>
      <w:r>
        <w:t xml:space="preserve"> zahtijeva od država članica da primjenjuju princip partnerstva i višeslojno upravljanje u skladu sa Evropskim kodeksom ponašanja za partnerstvo (</w:t>
      </w:r>
      <w:r w:rsidR="00CD0020">
        <w:t>EKPP</w:t>
      </w:r>
      <w:r>
        <w:t xml:space="preserve">), uspostavljenim Delegiranom </w:t>
      </w:r>
      <w:r w:rsidR="00765DC1">
        <w:t>Regulativom</w:t>
      </w:r>
      <w:r>
        <w:t xml:space="preserve"> Komisije 240/2014 o Evropskom kodeksu ponašanja za partnerstvo</w:t>
      </w:r>
      <w:r w:rsidRPr="00B83578">
        <w:rPr>
          <w:color w:val="000000" w:themeColor="text1"/>
          <w:kern w:val="0"/>
          <w:vertAlign w:val="superscript"/>
        </w:rPr>
        <w:footnoteReference w:id="80"/>
      </w:r>
      <w:r>
        <w:t>.</w:t>
      </w:r>
    </w:p>
    <w:p w14:paraId="367A3218" w14:textId="3E5A416D" w:rsidR="005A5E21" w:rsidRPr="005A5E21" w:rsidRDefault="00CD0020" w:rsidP="005A5E21">
      <w:pPr>
        <w:rPr>
          <w:rFonts w:eastAsia="Aptos" w:cs="Arial"/>
        </w:rPr>
      </w:pPr>
      <w:r>
        <w:rPr>
          <w:rFonts w:eastAsia="Aptos" w:cs="Arial"/>
        </w:rPr>
        <w:t>RZO</w:t>
      </w:r>
      <w:r w:rsidR="005A5E21" w:rsidRPr="005A5E21">
        <w:rPr>
          <w:rFonts w:eastAsia="Aptos" w:cs="Arial"/>
        </w:rPr>
        <w:t xml:space="preserve"> član 9 zaht</w:t>
      </w:r>
      <w:r w:rsidR="005A5E21">
        <w:rPr>
          <w:rFonts w:eastAsia="Aptos" w:cs="Arial"/>
        </w:rPr>
        <w:t>ij</w:t>
      </w:r>
      <w:r w:rsidR="005A5E21" w:rsidRPr="005A5E21">
        <w:rPr>
          <w:rFonts w:eastAsia="Aptos" w:cs="Arial"/>
        </w:rPr>
        <w:t>eva od država članica:</w:t>
      </w:r>
    </w:p>
    <w:p w14:paraId="08E0907F" w14:textId="04033011" w:rsidR="005A5E21" w:rsidRPr="005A5E21" w:rsidRDefault="005A5E21" w:rsidP="00D15218">
      <w:pPr>
        <w:pStyle w:val="ListParagraph"/>
        <w:numPr>
          <w:ilvl w:val="0"/>
          <w:numId w:val="10"/>
        </w:numPr>
        <w:rPr>
          <w:rFonts w:eastAsia="Aptos" w:cs="Arial"/>
        </w:rPr>
      </w:pPr>
      <w:r w:rsidRPr="005A5E21">
        <w:rPr>
          <w:rFonts w:eastAsia="Aptos" w:cs="Arial"/>
        </w:rPr>
        <w:t>Da obezb</w:t>
      </w:r>
      <w:r>
        <w:rPr>
          <w:rFonts w:eastAsia="Aptos" w:cs="Arial"/>
        </w:rPr>
        <w:t>ij</w:t>
      </w:r>
      <w:r w:rsidRPr="005A5E21">
        <w:rPr>
          <w:rFonts w:eastAsia="Aptos" w:cs="Arial"/>
        </w:rPr>
        <w:t>ede poštovanje osnovnih</w:t>
      </w:r>
      <w:r>
        <w:rPr>
          <w:rFonts w:eastAsia="Aptos" w:cs="Arial"/>
        </w:rPr>
        <w:t xml:space="preserve"> ljudskih</w:t>
      </w:r>
      <w:r w:rsidRPr="005A5E21">
        <w:rPr>
          <w:rFonts w:eastAsia="Aptos" w:cs="Arial"/>
        </w:rPr>
        <w:t xml:space="preserve"> prava i usklađenost sa Poveljom o osnovnim</w:t>
      </w:r>
      <w:r>
        <w:rPr>
          <w:rFonts w:eastAsia="Aptos" w:cs="Arial"/>
        </w:rPr>
        <w:t xml:space="preserve"> ljudskim</w:t>
      </w:r>
      <w:r w:rsidRPr="005A5E21">
        <w:rPr>
          <w:rFonts w:eastAsia="Aptos" w:cs="Arial"/>
        </w:rPr>
        <w:t xml:space="preserve"> pravima Evropske unije prilikom sprovođenja fondova;</w:t>
      </w:r>
    </w:p>
    <w:p w14:paraId="2A142072" w14:textId="2A2254CB" w:rsidR="005A5E21" w:rsidRPr="005A5E21" w:rsidRDefault="005A5E21" w:rsidP="00D15218">
      <w:pPr>
        <w:pStyle w:val="ListParagraph"/>
        <w:numPr>
          <w:ilvl w:val="0"/>
          <w:numId w:val="10"/>
        </w:numPr>
        <w:rPr>
          <w:rFonts w:eastAsia="Aptos" w:cs="Arial"/>
        </w:rPr>
      </w:pPr>
      <w:r w:rsidRPr="005A5E21">
        <w:rPr>
          <w:rFonts w:eastAsia="Aptos" w:cs="Arial"/>
        </w:rPr>
        <w:t>Da obezb</w:t>
      </w:r>
      <w:r>
        <w:rPr>
          <w:rFonts w:eastAsia="Aptos" w:cs="Arial"/>
        </w:rPr>
        <w:t>ij</w:t>
      </w:r>
      <w:r w:rsidRPr="005A5E21">
        <w:rPr>
          <w:rFonts w:eastAsia="Aptos" w:cs="Arial"/>
        </w:rPr>
        <w:t xml:space="preserve">ede ravnopravnost između žena i muškaraca, uključivanje rodne perspektive i integraciju rodne ravnopravnosti u pripremu, </w:t>
      </w:r>
      <w:r w:rsidR="00A80895">
        <w:rPr>
          <w:rFonts w:eastAsia="Aptos" w:cs="Arial"/>
        </w:rPr>
        <w:t>implementaciju</w:t>
      </w:r>
      <w:r w:rsidRPr="005A5E21">
        <w:rPr>
          <w:rFonts w:eastAsia="Aptos" w:cs="Arial"/>
        </w:rPr>
        <w:t xml:space="preserve">, </w:t>
      </w:r>
      <w:r w:rsidR="00A80895" w:rsidRPr="00A80895">
        <w:rPr>
          <w:rFonts w:eastAsia="Aptos" w:cs="Arial"/>
        </w:rPr>
        <w:t>monitoring</w:t>
      </w:r>
      <w:r w:rsidRPr="005A5E21">
        <w:rPr>
          <w:rFonts w:eastAsia="Aptos" w:cs="Arial"/>
        </w:rPr>
        <w:t>, izv</w:t>
      </w:r>
      <w:r>
        <w:rPr>
          <w:rFonts w:eastAsia="Aptos" w:cs="Arial"/>
        </w:rPr>
        <w:t>j</w:t>
      </w:r>
      <w:r w:rsidRPr="005A5E21">
        <w:rPr>
          <w:rFonts w:eastAsia="Aptos" w:cs="Arial"/>
        </w:rPr>
        <w:t>eštavanje i evaluaciju programa; i</w:t>
      </w:r>
    </w:p>
    <w:p w14:paraId="28806B34" w14:textId="7E6372EC" w:rsidR="005A5E21" w:rsidRDefault="005A5E21" w:rsidP="00D15218">
      <w:pPr>
        <w:pStyle w:val="ListParagraph"/>
        <w:numPr>
          <w:ilvl w:val="0"/>
          <w:numId w:val="10"/>
        </w:numPr>
        <w:rPr>
          <w:rFonts w:eastAsia="Aptos" w:cs="Arial"/>
        </w:rPr>
      </w:pPr>
      <w:r w:rsidRPr="005A5E21">
        <w:rPr>
          <w:rFonts w:eastAsia="Aptos" w:cs="Arial"/>
        </w:rPr>
        <w:t>Da preduzmu sve odgovarajuće m</w:t>
      </w:r>
      <w:r>
        <w:rPr>
          <w:rFonts w:eastAsia="Aptos" w:cs="Arial"/>
        </w:rPr>
        <w:t>j</w:t>
      </w:r>
      <w:r w:rsidRPr="005A5E21">
        <w:rPr>
          <w:rFonts w:eastAsia="Aptos" w:cs="Arial"/>
        </w:rPr>
        <w:t>ere kako bi spr</w:t>
      </w:r>
      <w:r>
        <w:rPr>
          <w:rFonts w:eastAsia="Aptos" w:cs="Arial"/>
        </w:rPr>
        <w:t>ij</w:t>
      </w:r>
      <w:r w:rsidRPr="005A5E21">
        <w:rPr>
          <w:rFonts w:eastAsia="Aptos" w:cs="Arial"/>
        </w:rPr>
        <w:t>ečile bilo kakvu diskriminaciju na osnovu pola, rasnog ili etničkog por</w:t>
      </w:r>
      <w:r>
        <w:rPr>
          <w:rFonts w:eastAsia="Aptos" w:cs="Arial"/>
        </w:rPr>
        <w:t>ij</w:t>
      </w:r>
      <w:r w:rsidRPr="005A5E21">
        <w:rPr>
          <w:rFonts w:eastAsia="Aptos" w:cs="Arial"/>
        </w:rPr>
        <w:t>ekla, v</w:t>
      </w:r>
      <w:r>
        <w:rPr>
          <w:rFonts w:eastAsia="Aptos" w:cs="Arial"/>
        </w:rPr>
        <w:t>j</w:t>
      </w:r>
      <w:r w:rsidRPr="005A5E21">
        <w:rPr>
          <w:rFonts w:eastAsia="Aptos" w:cs="Arial"/>
        </w:rPr>
        <w:t>ere ili uv</w:t>
      </w:r>
      <w:r>
        <w:rPr>
          <w:rFonts w:eastAsia="Aptos" w:cs="Arial"/>
        </w:rPr>
        <w:t>j</w:t>
      </w:r>
      <w:r w:rsidRPr="005A5E21">
        <w:rPr>
          <w:rFonts w:eastAsia="Aptos" w:cs="Arial"/>
        </w:rPr>
        <w:t>erenja, invaliditeta, starosti i seksualne orijentacije u pripremi, sprovođenju, praćenju, izv</w:t>
      </w:r>
      <w:r>
        <w:rPr>
          <w:rFonts w:eastAsia="Aptos" w:cs="Arial"/>
        </w:rPr>
        <w:t>j</w:t>
      </w:r>
      <w:r w:rsidRPr="005A5E21">
        <w:rPr>
          <w:rFonts w:eastAsia="Aptos" w:cs="Arial"/>
        </w:rPr>
        <w:t>eštavanju i evaluaciji programa, uz posebnu pažnju na pristupačnost za osobe sa invaliditetom</w:t>
      </w:r>
      <w:r w:rsidRPr="00B83578">
        <w:rPr>
          <w:rFonts w:cs="Arial"/>
          <w:color w:val="000000" w:themeColor="text1"/>
          <w:vertAlign w:val="superscript"/>
        </w:rPr>
        <w:footnoteReference w:id="81"/>
      </w:r>
      <w:r w:rsidRPr="00B83578">
        <w:rPr>
          <w:rFonts w:cs="Arial"/>
        </w:rPr>
        <w:t>.</w:t>
      </w:r>
    </w:p>
    <w:p w14:paraId="1E735BB3" w14:textId="18E93E95" w:rsidR="005A5E21" w:rsidRPr="005A5E21" w:rsidRDefault="005A5E21" w:rsidP="005A5E21">
      <w:pPr>
        <w:rPr>
          <w:rFonts w:eastAsia="Aptos" w:cs="Arial"/>
        </w:rPr>
      </w:pPr>
      <w:r w:rsidRPr="005A5E21">
        <w:rPr>
          <w:rFonts w:eastAsia="Aptos" w:cs="Arial"/>
        </w:rPr>
        <w:t xml:space="preserve">Naglašava se da se član 9 </w:t>
      </w:r>
      <w:r w:rsidR="00CD0020">
        <w:rPr>
          <w:rFonts w:eastAsia="Aptos" w:cs="Arial"/>
        </w:rPr>
        <w:t>RZO</w:t>
      </w:r>
      <w:r w:rsidRPr="005A5E21">
        <w:rPr>
          <w:rFonts w:eastAsia="Aptos" w:cs="Arial"/>
        </w:rPr>
        <w:t xml:space="preserve"> prepliće sa članom 15 (1) </w:t>
      </w:r>
      <w:r w:rsidR="00CD0020">
        <w:rPr>
          <w:rFonts w:eastAsia="Aptos" w:cs="Arial"/>
        </w:rPr>
        <w:t>RZO</w:t>
      </w:r>
      <w:r w:rsidRPr="005A5E21">
        <w:rPr>
          <w:rFonts w:eastAsia="Aptos" w:cs="Arial"/>
        </w:rPr>
        <w:t>-a i Aneksima III i IV, posebno sa sl</w:t>
      </w:r>
      <w:r>
        <w:rPr>
          <w:rFonts w:eastAsia="Aptos" w:cs="Arial"/>
        </w:rPr>
        <w:t>j</w:t>
      </w:r>
      <w:r w:rsidRPr="005A5E21">
        <w:rPr>
          <w:rFonts w:eastAsia="Aptos" w:cs="Arial"/>
        </w:rPr>
        <w:t>edeća dva horizontalna i tri tematsk</w:t>
      </w:r>
      <w:r>
        <w:rPr>
          <w:rFonts w:eastAsia="Aptos" w:cs="Arial"/>
        </w:rPr>
        <w:t>a omogućavajuća</w:t>
      </w:r>
      <w:r w:rsidRPr="005A5E21">
        <w:rPr>
          <w:rFonts w:eastAsia="Aptos" w:cs="Arial"/>
        </w:rPr>
        <w:t xml:space="preserve"> uslova</w:t>
      </w:r>
      <w:r w:rsidR="007A0669" w:rsidRPr="00B83578">
        <w:rPr>
          <w:color w:val="000000" w:themeColor="text1"/>
          <w:sz w:val="22"/>
          <w:vertAlign w:val="superscript"/>
        </w:rPr>
        <w:footnoteReference w:id="82"/>
      </w:r>
      <w:r w:rsidR="007A0669" w:rsidRPr="005A5E21">
        <w:rPr>
          <w:rFonts w:eastAsia="Aptos" w:cs="Arial"/>
        </w:rPr>
        <w:t>:</w:t>
      </w:r>
    </w:p>
    <w:p w14:paraId="4A91B100" w14:textId="7ED4F3E0" w:rsidR="005A5E21" w:rsidRPr="005A5E21" w:rsidRDefault="005A5E21" w:rsidP="00D15218">
      <w:pPr>
        <w:pStyle w:val="ListParagraph"/>
        <w:numPr>
          <w:ilvl w:val="0"/>
          <w:numId w:val="11"/>
        </w:numPr>
        <w:rPr>
          <w:rFonts w:eastAsia="Aptos" w:cs="Arial"/>
        </w:rPr>
      </w:pPr>
      <w:r w:rsidRPr="005A5E21">
        <w:rPr>
          <w:rFonts w:eastAsia="Aptos" w:cs="Arial"/>
        </w:rPr>
        <w:t xml:space="preserve">Horizontalni </w:t>
      </w:r>
      <w:r>
        <w:rPr>
          <w:rFonts w:eastAsia="Aptos" w:cs="Arial"/>
        </w:rPr>
        <w:t>omogućavajući uslov</w:t>
      </w:r>
      <w:r w:rsidRPr="005A5E21">
        <w:rPr>
          <w:rFonts w:eastAsia="Aptos" w:cs="Arial"/>
        </w:rPr>
        <w:t xml:space="preserve"> 3: Efikasna prim</w:t>
      </w:r>
      <w:r w:rsidR="007A0669">
        <w:rPr>
          <w:rFonts w:eastAsia="Aptos" w:cs="Arial"/>
        </w:rPr>
        <w:t>j</w:t>
      </w:r>
      <w:r w:rsidRPr="005A5E21">
        <w:rPr>
          <w:rFonts w:eastAsia="Aptos" w:cs="Arial"/>
        </w:rPr>
        <w:t xml:space="preserve">ena i </w:t>
      </w:r>
      <w:r w:rsidR="00A80895">
        <w:rPr>
          <w:rFonts w:eastAsia="Aptos" w:cs="Arial"/>
        </w:rPr>
        <w:t>implementacija</w:t>
      </w:r>
      <w:r w:rsidRPr="005A5E21">
        <w:rPr>
          <w:rFonts w:eastAsia="Aptos" w:cs="Arial"/>
        </w:rPr>
        <w:t xml:space="preserve"> Povelje o osnovnim</w:t>
      </w:r>
      <w:r w:rsidR="007A0669">
        <w:rPr>
          <w:rFonts w:eastAsia="Aptos" w:cs="Arial"/>
        </w:rPr>
        <w:t xml:space="preserve"> ljudskim</w:t>
      </w:r>
      <w:r w:rsidRPr="005A5E21">
        <w:rPr>
          <w:rFonts w:eastAsia="Aptos" w:cs="Arial"/>
        </w:rPr>
        <w:t xml:space="preserve"> pravima</w:t>
      </w:r>
    </w:p>
    <w:p w14:paraId="52403812" w14:textId="0C6EB857" w:rsidR="005A5E21" w:rsidRPr="005A5E21" w:rsidRDefault="005A5E21" w:rsidP="00D15218">
      <w:pPr>
        <w:pStyle w:val="ListParagraph"/>
        <w:numPr>
          <w:ilvl w:val="0"/>
          <w:numId w:val="11"/>
        </w:numPr>
        <w:rPr>
          <w:rFonts w:eastAsia="Aptos" w:cs="Arial"/>
        </w:rPr>
      </w:pPr>
      <w:r w:rsidRPr="005A5E21">
        <w:rPr>
          <w:rFonts w:eastAsia="Aptos" w:cs="Arial"/>
        </w:rPr>
        <w:t xml:space="preserve">Horizontalni </w:t>
      </w:r>
      <w:r>
        <w:rPr>
          <w:rFonts w:eastAsia="Aptos" w:cs="Arial"/>
        </w:rPr>
        <w:t xml:space="preserve">omogućavajući </w:t>
      </w:r>
      <w:r w:rsidRPr="005A5E21">
        <w:rPr>
          <w:rFonts w:eastAsia="Aptos" w:cs="Arial"/>
        </w:rPr>
        <w:t>uslov 4: Sprovođenje i prim</w:t>
      </w:r>
      <w:r w:rsidR="007A0669">
        <w:rPr>
          <w:rFonts w:eastAsia="Aptos" w:cs="Arial"/>
        </w:rPr>
        <w:t>j</w:t>
      </w:r>
      <w:r w:rsidRPr="005A5E21">
        <w:rPr>
          <w:rFonts w:eastAsia="Aptos" w:cs="Arial"/>
        </w:rPr>
        <w:t>ena Konvencije Ujedinjenih nacija o pravima osoba sa invaliditetom (UN CRPD) u skladu sa Odlukom Sav</w:t>
      </w:r>
      <w:r w:rsidR="007A0669">
        <w:rPr>
          <w:rFonts w:eastAsia="Aptos" w:cs="Arial"/>
        </w:rPr>
        <w:t>j</w:t>
      </w:r>
      <w:r w:rsidRPr="005A5E21">
        <w:rPr>
          <w:rFonts w:eastAsia="Aptos" w:cs="Arial"/>
        </w:rPr>
        <w:t>eta 2010/48/</w:t>
      </w:r>
      <w:r w:rsidR="00EA1B2F">
        <w:rPr>
          <w:rFonts w:eastAsia="Aptos" w:cs="Arial"/>
        </w:rPr>
        <w:t>EZ</w:t>
      </w:r>
      <w:r w:rsidRPr="005A5E21">
        <w:rPr>
          <w:rFonts w:eastAsia="Aptos" w:cs="Arial"/>
        </w:rPr>
        <w:t xml:space="preserve"> (1)</w:t>
      </w:r>
    </w:p>
    <w:p w14:paraId="755FC743" w14:textId="4E29988C" w:rsidR="005A5E21" w:rsidRDefault="005A5E21" w:rsidP="00D15218">
      <w:pPr>
        <w:pStyle w:val="ListParagraph"/>
        <w:numPr>
          <w:ilvl w:val="0"/>
          <w:numId w:val="11"/>
        </w:numPr>
        <w:rPr>
          <w:rFonts w:eastAsia="Aptos" w:cs="Arial"/>
        </w:rPr>
      </w:pPr>
      <w:r w:rsidRPr="005A5E21">
        <w:rPr>
          <w:rFonts w:eastAsia="Aptos" w:cs="Arial"/>
        </w:rPr>
        <w:t xml:space="preserve">Tematski </w:t>
      </w:r>
      <w:r>
        <w:rPr>
          <w:rFonts w:eastAsia="Aptos" w:cs="Arial"/>
        </w:rPr>
        <w:t xml:space="preserve">omogućavajući </w:t>
      </w:r>
      <w:r w:rsidRPr="005A5E21">
        <w:rPr>
          <w:rFonts w:eastAsia="Aptos" w:cs="Arial"/>
        </w:rPr>
        <w:t>uslov 12: Nacionalni strateški okvir za rodnu ravnopravnost</w:t>
      </w:r>
    </w:p>
    <w:p w14:paraId="0D2FDCA4" w14:textId="28BDCD66" w:rsidR="005A5E21" w:rsidRDefault="005A5E21" w:rsidP="00D15218">
      <w:pPr>
        <w:pStyle w:val="ListParagraph"/>
        <w:numPr>
          <w:ilvl w:val="0"/>
          <w:numId w:val="11"/>
        </w:numPr>
        <w:rPr>
          <w:rFonts w:eastAsia="Aptos" w:cs="Arial"/>
        </w:rPr>
      </w:pPr>
      <w:r w:rsidRPr="005A5E21">
        <w:rPr>
          <w:rFonts w:eastAsia="Aptos" w:cs="Arial"/>
        </w:rPr>
        <w:t>Tematski</w:t>
      </w:r>
      <w:r>
        <w:rPr>
          <w:rFonts w:eastAsia="Aptos" w:cs="Arial"/>
        </w:rPr>
        <w:t xml:space="preserve"> omogućavajući </w:t>
      </w:r>
      <w:r w:rsidRPr="005A5E21">
        <w:rPr>
          <w:rFonts w:eastAsia="Aptos" w:cs="Arial"/>
        </w:rPr>
        <w:t>uslov 14: Nacionalni strateški okvir politike za socijalnu inkluziju i smanjenje siromaštva</w:t>
      </w:r>
    </w:p>
    <w:p w14:paraId="54C46A84" w14:textId="4492741B" w:rsidR="005A5E21" w:rsidRDefault="005A5E21" w:rsidP="00D15218">
      <w:pPr>
        <w:pStyle w:val="ListParagraph"/>
        <w:numPr>
          <w:ilvl w:val="0"/>
          <w:numId w:val="11"/>
        </w:numPr>
        <w:rPr>
          <w:rFonts w:eastAsia="Aptos" w:cs="Arial"/>
        </w:rPr>
      </w:pPr>
      <w:r w:rsidRPr="005A5E21">
        <w:rPr>
          <w:rFonts w:eastAsia="Aptos" w:cs="Arial"/>
        </w:rPr>
        <w:t xml:space="preserve">Tematski </w:t>
      </w:r>
      <w:r w:rsidR="007A0669">
        <w:rPr>
          <w:rFonts w:eastAsia="Aptos" w:cs="Arial"/>
        </w:rPr>
        <w:t xml:space="preserve">omogućavajući </w:t>
      </w:r>
      <w:r w:rsidRPr="005A5E21">
        <w:rPr>
          <w:rFonts w:eastAsia="Aptos" w:cs="Arial"/>
        </w:rPr>
        <w:t>uslov 15: Nacionalni strateški okvir politike za inkluziju Roma</w:t>
      </w:r>
    </w:p>
    <w:p w14:paraId="764FCBDF" w14:textId="6D61EE89" w:rsidR="007A0669" w:rsidRDefault="007A0669" w:rsidP="001C0578">
      <w:pPr>
        <w:rPr>
          <w:rFonts w:eastAsia="Aptos" w:cs="Arial"/>
        </w:rPr>
      </w:pPr>
      <w:r w:rsidRPr="007A0669">
        <w:rPr>
          <w:rFonts w:eastAsia="Aptos" w:cs="Arial"/>
        </w:rPr>
        <w:lastRenderedPageBreak/>
        <w:t xml:space="preserve">Član 9 </w:t>
      </w:r>
      <w:r w:rsidR="00EA1B2F">
        <w:rPr>
          <w:rFonts w:eastAsia="Aptos" w:cs="Arial"/>
        </w:rPr>
        <w:t>Regulative</w:t>
      </w:r>
      <w:r w:rsidRPr="007A0669">
        <w:rPr>
          <w:rFonts w:eastAsia="Aptos" w:cs="Arial"/>
        </w:rPr>
        <w:t xml:space="preserve"> o zajedničkim odredbama (</w:t>
      </w:r>
      <w:r w:rsidR="00CD0020">
        <w:rPr>
          <w:rFonts w:eastAsia="Aptos" w:cs="Arial"/>
        </w:rPr>
        <w:t>RZO</w:t>
      </w:r>
      <w:r w:rsidRPr="007A0669">
        <w:rPr>
          <w:rFonts w:eastAsia="Aptos" w:cs="Arial"/>
        </w:rPr>
        <w:t>) takođe zaht</w:t>
      </w:r>
      <w:r>
        <w:rPr>
          <w:rFonts w:eastAsia="Aptos" w:cs="Arial"/>
        </w:rPr>
        <w:t>ij</w:t>
      </w:r>
      <w:r w:rsidRPr="007A0669">
        <w:rPr>
          <w:rFonts w:eastAsia="Aptos" w:cs="Arial"/>
        </w:rPr>
        <w:t>eva da se ciljevi Kohezi</w:t>
      </w:r>
      <w:r>
        <w:rPr>
          <w:rFonts w:eastAsia="Aptos" w:cs="Arial"/>
        </w:rPr>
        <w:t>onih</w:t>
      </w:r>
      <w:r w:rsidRPr="007A0669">
        <w:rPr>
          <w:rFonts w:eastAsia="Aptos" w:cs="Arial"/>
        </w:rPr>
        <w:t xml:space="preserve"> fondova ostvaruju u skladu sa ciljem promovisanja </w:t>
      </w:r>
      <w:r w:rsidRPr="007A0669">
        <w:rPr>
          <w:rFonts w:eastAsia="Aptos" w:cs="Arial"/>
          <w:u w:val="single"/>
        </w:rPr>
        <w:t>održivog razvoja</w:t>
      </w:r>
      <w:r w:rsidRPr="007A0669">
        <w:rPr>
          <w:rFonts w:eastAsia="Aptos" w:cs="Arial"/>
        </w:rPr>
        <w:t>, kako je utvrđeno u članu 11 Ugovora o funkcionisanju Evropske unije (TFEU), uzimajući u obzir Ciljeve održivog razvoja Ujedinjenih nacija, Pari</w:t>
      </w:r>
      <w:r>
        <w:rPr>
          <w:rFonts w:eastAsia="Aptos" w:cs="Arial"/>
        </w:rPr>
        <w:t>ški</w:t>
      </w:r>
      <w:r w:rsidRPr="007A0669">
        <w:rPr>
          <w:rFonts w:eastAsia="Aptos" w:cs="Arial"/>
        </w:rPr>
        <w:t xml:space="preserve"> sporazum i načelo </w:t>
      </w:r>
      <w:r w:rsidRPr="007A0669">
        <w:rPr>
          <w:rFonts w:eastAsia="Aptos" w:cs="Arial"/>
          <w:u w:val="single"/>
        </w:rPr>
        <w:t xml:space="preserve">„Ne nanositi značajnu </w:t>
      </w:r>
      <w:proofErr w:type="gramStart"/>
      <w:r w:rsidRPr="007A0669">
        <w:rPr>
          <w:rFonts w:eastAsia="Aptos" w:cs="Arial"/>
          <w:u w:val="single"/>
        </w:rPr>
        <w:t>štetu“ (</w:t>
      </w:r>
      <w:proofErr w:type="gramEnd"/>
      <w:r w:rsidR="00CD0020">
        <w:rPr>
          <w:rFonts w:eastAsia="Aptos" w:cs="Arial"/>
          <w:u w:val="single"/>
        </w:rPr>
        <w:t>NNZŠ</w:t>
      </w:r>
      <w:r w:rsidRPr="007A0669">
        <w:rPr>
          <w:rFonts w:eastAsia="Aptos" w:cs="Arial"/>
          <w:u w:val="single"/>
        </w:rPr>
        <w:t>)</w:t>
      </w:r>
      <w:r w:rsidRPr="007A0669">
        <w:rPr>
          <w:rFonts w:eastAsia="Aptos" w:cs="Arial"/>
        </w:rPr>
        <w:t>. Takođe, prilikom sprovođenja fondova moraju se poštovati i propisi Unije iz oblasti zaštite životne sredine.</w:t>
      </w:r>
    </w:p>
    <w:p w14:paraId="1F8F9F54" w14:textId="6BBE78E3" w:rsidR="007A0669" w:rsidRDefault="00975088" w:rsidP="007A0669">
      <w:r>
        <w:t>Regulativa</w:t>
      </w:r>
      <w:r w:rsidR="007A0669">
        <w:t xml:space="preserve"> (EU) 2019/2088 Evropskog parlamenta i Savjeta od 27. novembra 2019. o objavljivanju informacija u vezi sa održivošću u sektoru finansijskih usluga </w:t>
      </w:r>
      <w:r w:rsidR="007A0669" w:rsidRPr="007A0669">
        <w:rPr>
          <w:u w:val="single"/>
        </w:rPr>
        <w:t>smatra ulaganje održivim samo ukoliko ono ne nanosi značajnu štetu ni jednom ekološkom ili socijalnom cilju</w:t>
      </w:r>
      <w:r w:rsidR="007A0669">
        <w:t xml:space="preserve">, kako je utvrđeno tom </w:t>
      </w:r>
      <w:r w:rsidR="00EA1B2F">
        <w:t>Regulativom</w:t>
      </w:r>
      <w:r w:rsidR="007A0669">
        <w:t xml:space="preserve">. </w:t>
      </w:r>
      <w:r>
        <w:t>Regulativa</w:t>
      </w:r>
      <w:r w:rsidR="007A0669">
        <w:t xml:space="preserve"> (EU) 2020/852 Evropskog parlamenta i Savjeta od 18. juna 2020. o uspostavljanju okvira za olakšavanje održivih ulaganja i izmjeni </w:t>
      </w:r>
      <w:r w:rsidR="00EA1B2F">
        <w:t>Regulative</w:t>
      </w:r>
      <w:r w:rsidR="007A0669">
        <w:t xml:space="preserve"> (EU) 2019/2088</w:t>
      </w:r>
      <w:r w:rsidR="007A0669" w:rsidRPr="00B83578">
        <w:rPr>
          <w:color w:val="000000" w:themeColor="text1"/>
          <w:kern w:val="0"/>
          <w:vertAlign w:val="superscript"/>
        </w:rPr>
        <w:footnoteReference w:id="83"/>
      </w:r>
      <w:r w:rsidR="007A0669">
        <w:t xml:space="preserve"> utvrđuje kriterijume za određivanje da li se ekonomska aktivnost smatra ekološki održivom u svrhu utvrđivanja stepena do kojeg je ulaganje ekološki održivo. </w:t>
      </w:r>
    </w:p>
    <w:p w14:paraId="29CD3EB0" w14:textId="1967DF98" w:rsidR="007A0669" w:rsidRDefault="007A0669" w:rsidP="007A0669">
      <w:r>
        <w:t xml:space="preserve">Član 9 iste </w:t>
      </w:r>
      <w:r w:rsidR="00EA1B2F">
        <w:t>Regulative</w:t>
      </w:r>
      <w:r>
        <w:t xml:space="preserve"> postavlja sljedeće ekološke ciljeve:</w:t>
      </w:r>
    </w:p>
    <w:p w14:paraId="3102AB95" w14:textId="6453E1D1" w:rsidR="001C0578" w:rsidRPr="00B83578" w:rsidRDefault="001C0578" w:rsidP="007B6C77"/>
    <w:p w14:paraId="4E7D3E5B" w14:textId="5E91CA21" w:rsidR="001C0578" w:rsidRPr="00B83578" w:rsidRDefault="007A0669" w:rsidP="00D15218">
      <w:pPr>
        <w:pStyle w:val="ListParagraph"/>
        <w:numPr>
          <w:ilvl w:val="0"/>
          <w:numId w:val="8"/>
        </w:numPr>
      </w:pPr>
      <w:r>
        <w:t>ublažavanje klimatskih promjena</w:t>
      </w:r>
      <w:r w:rsidR="001C0578" w:rsidRPr="00B83578">
        <w:t xml:space="preserve">; </w:t>
      </w:r>
    </w:p>
    <w:p w14:paraId="35CE10FC" w14:textId="66F2DCC1" w:rsidR="001C0578" w:rsidRPr="00B83578" w:rsidRDefault="007A0669" w:rsidP="00D15218">
      <w:pPr>
        <w:pStyle w:val="ListParagraph"/>
        <w:numPr>
          <w:ilvl w:val="0"/>
          <w:numId w:val="8"/>
        </w:numPr>
      </w:pPr>
      <w:r>
        <w:t>prilagođavanje klimatskim promjenama</w:t>
      </w:r>
      <w:r w:rsidR="001C0578" w:rsidRPr="00B83578">
        <w:t xml:space="preserve">; </w:t>
      </w:r>
    </w:p>
    <w:p w14:paraId="3D6E6AEA" w14:textId="18B8AE0D" w:rsidR="001C0578" w:rsidRPr="00B83578" w:rsidRDefault="007A0669" w:rsidP="00D15218">
      <w:pPr>
        <w:pStyle w:val="ListParagraph"/>
        <w:numPr>
          <w:ilvl w:val="0"/>
          <w:numId w:val="8"/>
        </w:numPr>
      </w:pPr>
      <w:r>
        <w:t>održivo korišćenje i zaštita vodnih i morskih resursa</w:t>
      </w:r>
      <w:r w:rsidR="001C0578" w:rsidRPr="00B83578">
        <w:t xml:space="preserve">; </w:t>
      </w:r>
    </w:p>
    <w:p w14:paraId="500864E7" w14:textId="4EFE6EC5" w:rsidR="001C0578" w:rsidRPr="00B83578" w:rsidRDefault="007A0669" w:rsidP="00D15218">
      <w:pPr>
        <w:pStyle w:val="ListParagraph"/>
        <w:numPr>
          <w:ilvl w:val="0"/>
          <w:numId w:val="8"/>
        </w:numPr>
      </w:pPr>
      <w:r>
        <w:t>tranzicija u cirkularnu ekonomiju</w:t>
      </w:r>
      <w:r w:rsidR="001C0578" w:rsidRPr="00B83578">
        <w:t xml:space="preserve">; </w:t>
      </w:r>
    </w:p>
    <w:p w14:paraId="6D13E036" w14:textId="572D647E" w:rsidR="001C0578" w:rsidRPr="00B83578" w:rsidRDefault="007A0669" w:rsidP="00D15218">
      <w:pPr>
        <w:pStyle w:val="ListParagraph"/>
        <w:numPr>
          <w:ilvl w:val="0"/>
          <w:numId w:val="8"/>
        </w:numPr>
      </w:pPr>
      <w:r>
        <w:t>prevencija i kontrola zagađivanja</w:t>
      </w:r>
      <w:r w:rsidR="001C0578" w:rsidRPr="00B83578">
        <w:t xml:space="preserve">; </w:t>
      </w:r>
    </w:p>
    <w:p w14:paraId="2E8D5FD8" w14:textId="0D81D296" w:rsidR="001C0578" w:rsidRPr="00B83578" w:rsidRDefault="007A0669" w:rsidP="00D15218">
      <w:pPr>
        <w:pStyle w:val="ListParagraph"/>
        <w:numPr>
          <w:ilvl w:val="0"/>
          <w:numId w:val="8"/>
        </w:numPr>
      </w:pPr>
      <w:r>
        <w:t>zaštita i obnova biodiverziteta i ekosistema.</w:t>
      </w:r>
    </w:p>
    <w:p w14:paraId="29AD0A17" w14:textId="13A24A74" w:rsidR="002914F8" w:rsidRDefault="00975088" w:rsidP="002914F8">
      <w:r>
        <w:t>Regulativa</w:t>
      </w:r>
      <w:r w:rsidR="002914F8">
        <w:t xml:space="preserve"> (EU) 2021/1059 Evropskog parlamenta i Savjeta od 24. juna 2021. o posebnim odredbama za cilj evropske teritorijalne saradnje (Interreg) koji se podržava iz Evropskog fonda za regionalni razvoj i instrumenata za spoljno finansiranje</w:t>
      </w:r>
      <w:r w:rsidR="002914F8" w:rsidRPr="00B83578">
        <w:rPr>
          <w:color w:val="000000" w:themeColor="text1"/>
          <w:kern w:val="0"/>
          <w:vertAlign w:val="superscript"/>
        </w:rPr>
        <w:footnoteReference w:id="84"/>
      </w:r>
      <w:r w:rsidR="002914F8" w:rsidRPr="00B83578">
        <w:t xml:space="preserve"> </w:t>
      </w:r>
      <w:r w:rsidR="002914F8">
        <w:t xml:space="preserve"> (u daljem tekstu: </w:t>
      </w:r>
      <w:r>
        <w:t>Regulativa</w:t>
      </w:r>
      <w:r w:rsidR="002914F8">
        <w:t xml:space="preserve"> o </w:t>
      </w:r>
      <w:r w:rsidR="003D7057">
        <w:t>ETS</w:t>
      </w:r>
      <w:r w:rsidR="002914F8">
        <w:t xml:space="preserve">-u), podržava, u skladu sa članom 3. stav 3. o interregionalnoj saradnji za jačanje efikasnosti kohezione politike („Interreg </w:t>
      </w:r>
      <w:proofErr w:type="gramStart"/>
      <w:r w:rsidR="002914F8">
        <w:t>C“</w:t>
      </w:r>
      <w:proofErr w:type="gramEnd"/>
      <w:r w:rsidR="002914F8">
        <w:t xml:space="preserve">), između ostalog, uspostavljanje, funkcionisanje i korišćenje </w:t>
      </w:r>
      <w:r w:rsidR="002914F8" w:rsidRPr="002914F8">
        <w:rPr>
          <w:u w:val="single"/>
        </w:rPr>
        <w:t>Evrops</w:t>
      </w:r>
      <w:r w:rsidR="005B70F2">
        <w:rPr>
          <w:u w:val="single"/>
        </w:rPr>
        <w:t>kog grupisanja teritorijalne saradnje</w:t>
      </w:r>
      <w:r w:rsidR="002914F8" w:rsidRPr="002914F8">
        <w:rPr>
          <w:u w:val="single"/>
        </w:rPr>
        <w:t xml:space="preserve"> (</w:t>
      </w:r>
      <w:r w:rsidR="00603905">
        <w:rPr>
          <w:u w:val="single"/>
        </w:rPr>
        <w:t>EGTS</w:t>
      </w:r>
      <w:r w:rsidR="002914F8" w:rsidRPr="002914F8">
        <w:rPr>
          <w:u w:val="single"/>
        </w:rPr>
        <w:t>).</w:t>
      </w:r>
      <w:r w:rsidR="002914F8">
        <w:t xml:space="preserve"> Stoga, nacionalni pravni okvir treba da uzme u obzir zahtjeve </w:t>
      </w:r>
      <w:r w:rsidR="00EA1B2F">
        <w:t>Regulative</w:t>
      </w:r>
      <w:r w:rsidR="002914F8">
        <w:t xml:space="preserve"> (</w:t>
      </w:r>
      <w:r w:rsidR="00EA1B2F">
        <w:t>EZ</w:t>
      </w:r>
      <w:r w:rsidR="002914F8">
        <w:t>) br. 1082/2006 Evropskog parlamenta i Savjeta od 5. jula 2006. o Evropsko</w:t>
      </w:r>
      <w:r w:rsidR="005B70F2">
        <w:t>m grupisanju teritorijalne saradnje</w:t>
      </w:r>
      <w:r w:rsidR="002914F8">
        <w:t xml:space="preserve">, kako je izmijenjena </w:t>
      </w:r>
      <w:r w:rsidR="00EA1B2F">
        <w:t>Regulativom</w:t>
      </w:r>
      <w:r w:rsidR="002914F8">
        <w:t xml:space="preserve"> 1302/2013</w:t>
      </w:r>
      <w:r w:rsidR="002914F8" w:rsidRPr="00B83578">
        <w:rPr>
          <w:color w:val="000000" w:themeColor="text1"/>
          <w:kern w:val="0"/>
          <w:vertAlign w:val="superscript"/>
        </w:rPr>
        <w:footnoteReference w:id="85"/>
      </w:r>
      <w:r w:rsidR="002914F8">
        <w:t>. Evropsk</w:t>
      </w:r>
      <w:r w:rsidR="005B70F2">
        <w:t>o</w:t>
      </w:r>
      <w:r w:rsidR="002914F8">
        <w:t xml:space="preserve"> grup</w:t>
      </w:r>
      <w:r w:rsidR="005B70F2">
        <w:t>isanje</w:t>
      </w:r>
      <w:r w:rsidR="002914F8">
        <w:t xml:space="preserve"> teritorijaln</w:t>
      </w:r>
      <w:r w:rsidR="005B70F2">
        <w:t>e</w:t>
      </w:r>
      <w:r w:rsidR="002914F8">
        <w:t xml:space="preserve"> saradnj</w:t>
      </w:r>
      <w:r w:rsidR="005B70F2">
        <w:t>e</w:t>
      </w:r>
      <w:r w:rsidR="002914F8">
        <w:t xml:space="preserve"> može se osnovati na teritoriji Unije pod uslovima i u skladu sa aranžmanima predviđenim navedenom </w:t>
      </w:r>
      <w:r w:rsidR="00EA1B2F">
        <w:t>Regulativom</w:t>
      </w:r>
      <w:r w:rsidR="002914F8">
        <w:t>.</w:t>
      </w:r>
    </w:p>
    <w:p w14:paraId="5558F6D1" w14:textId="2797A587" w:rsidR="002914F8" w:rsidRDefault="002914F8" w:rsidP="002914F8">
      <w:r>
        <w:t xml:space="preserve">Cilj </w:t>
      </w:r>
      <w:r w:rsidR="00603905">
        <w:t>EGTS</w:t>
      </w:r>
      <w:r>
        <w:t xml:space="preserve">-a je da olakša i promoviše, posebno, teritorijalnu saradnju, uključujući jedan ili više prekograničnih, transnacionalnih i interregionalnih vidova saradnje, između svojih članova, kao što je navedeno u članu 3. stav 1, sa ciljem jačanja ekonomske, socijalne i teritorijalne kohezije Unije. </w:t>
      </w:r>
      <w:r w:rsidR="00603905">
        <w:t>EGTS</w:t>
      </w:r>
      <w:r>
        <w:t xml:space="preserve"> ima svojstvo pravnog lica.</w:t>
      </w:r>
    </w:p>
    <w:p w14:paraId="2D84CBB6" w14:textId="77777777" w:rsidR="001C0578" w:rsidRPr="00B83578" w:rsidRDefault="001C0578" w:rsidP="001C0578">
      <w:pPr>
        <w:rPr>
          <w:rFonts w:eastAsia="Aptos" w:cs="Arial"/>
          <w:color w:val="ED0000"/>
        </w:rPr>
      </w:pPr>
      <w:bookmarkStart w:id="86" w:name="_Hlk180062838"/>
      <w:r w:rsidRPr="00B83578">
        <w:rPr>
          <w:rFonts w:eastAsia="Aptos" w:cs="Arial"/>
          <w:color w:val="ED0000"/>
        </w:rPr>
        <w:t xml:space="preserve">. </w:t>
      </w:r>
    </w:p>
    <w:p w14:paraId="716FC1B2" w14:textId="7AF93A6E" w:rsidR="00BB132E" w:rsidRPr="00B83578" w:rsidRDefault="00017758" w:rsidP="00C71C45">
      <w:pPr>
        <w:pStyle w:val="Heading2"/>
      </w:pPr>
      <w:bookmarkStart w:id="87" w:name="_Toc181860693"/>
      <w:bookmarkStart w:id="88" w:name="_Toc190410453"/>
      <w:bookmarkStart w:id="89" w:name="_Toc201700362"/>
      <w:bookmarkEnd w:id="86"/>
      <w:r>
        <w:t>Procjena trenutne situacije</w:t>
      </w:r>
      <w:r w:rsidR="001C0578" w:rsidRPr="00B83578">
        <w:rPr>
          <w:color w:val="000000" w:themeColor="text1"/>
          <w:sz w:val="22"/>
          <w:vertAlign w:val="superscript"/>
        </w:rPr>
        <w:footnoteReference w:id="86"/>
      </w:r>
      <w:bookmarkStart w:id="90" w:name="_Toc181860694"/>
      <w:bookmarkStart w:id="91" w:name="_Toc190410454"/>
      <w:bookmarkEnd w:id="87"/>
      <w:bookmarkEnd w:id="88"/>
      <w:bookmarkEnd w:id="89"/>
    </w:p>
    <w:p w14:paraId="2598DBAF" w14:textId="2A17DA39" w:rsidR="001C0578" w:rsidRPr="00B83578" w:rsidRDefault="00BB132E" w:rsidP="00C71C45">
      <w:pPr>
        <w:pStyle w:val="Heading3"/>
        <w:rPr>
          <w:sz w:val="32"/>
          <w:szCs w:val="32"/>
        </w:rPr>
      </w:pPr>
      <w:r w:rsidRPr="00B83578">
        <w:rPr>
          <w:sz w:val="32"/>
          <w:szCs w:val="32"/>
        </w:rPr>
        <w:t xml:space="preserve"> </w:t>
      </w:r>
      <w:bookmarkStart w:id="92" w:name="_Toc201700363"/>
      <w:r w:rsidR="00A22920">
        <w:t>Principi Kohezione politike</w:t>
      </w:r>
      <w:bookmarkEnd w:id="90"/>
      <w:bookmarkEnd w:id="91"/>
      <w:bookmarkEnd w:id="92"/>
    </w:p>
    <w:p w14:paraId="74308A49" w14:textId="710EA6EE" w:rsidR="001C0578" w:rsidRPr="00B83578" w:rsidRDefault="00D56867" w:rsidP="00C71C45">
      <w:pPr>
        <w:pStyle w:val="Heading4"/>
      </w:pPr>
      <w:r w:rsidRPr="00D56867">
        <w:t>Princip partnerstva i višeslojnog upravljanja tokom pripreme, implementacije, monitoringa, izvještavanja i evaluacije programa finansiranih iz EU fondova</w:t>
      </w:r>
    </w:p>
    <w:p w14:paraId="6922311E" w14:textId="64492F2C" w:rsidR="002914F8" w:rsidRDefault="002914F8" w:rsidP="001C0578">
      <w:pPr>
        <w:rPr>
          <w:rFonts w:eastAsia="Aptos" w:cs="Arial"/>
        </w:rPr>
      </w:pPr>
      <w:r w:rsidRPr="002914F8">
        <w:rPr>
          <w:rFonts w:eastAsia="Aptos" w:cs="Arial"/>
        </w:rPr>
        <w:t>Princip partnerstva i višeslojnog upravljanja se prim</w:t>
      </w:r>
      <w:r>
        <w:rPr>
          <w:rFonts w:eastAsia="Aptos" w:cs="Arial"/>
        </w:rPr>
        <w:t>j</w:t>
      </w:r>
      <w:r w:rsidRPr="002914F8">
        <w:rPr>
          <w:rFonts w:eastAsia="Aptos" w:cs="Arial"/>
        </w:rPr>
        <w:t>enjuje u pripremi, implementaciji, praćenju, izv</w:t>
      </w:r>
      <w:r>
        <w:rPr>
          <w:rFonts w:eastAsia="Aptos" w:cs="Arial"/>
        </w:rPr>
        <w:t>j</w:t>
      </w:r>
      <w:r w:rsidRPr="002914F8">
        <w:rPr>
          <w:rFonts w:eastAsia="Aptos" w:cs="Arial"/>
        </w:rPr>
        <w:t>eštavanju i evaluaciji programa koje finansira EU u Crnoj Gori, kako bi se osigurala efikasnost, inkluzivnost i održivost ovih programa. Zainteresovane strane koje su aktivno uključene obuhvataju državne org</w:t>
      </w:r>
      <w:r w:rsidR="005F0E1C">
        <w:rPr>
          <w:rFonts w:eastAsia="Aptos" w:cs="Arial"/>
        </w:rPr>
        <w:t>ane</w:t>
      </w:r>
      <w:r w:rsidRPr="002914F8">
        <w:rPr>
          <w:rFonts w:eastAsia="Aptos" w:cs="Arial"/>
        </w:rPr>
        <w:t xml:space="preserve">, organizacije civilnog društva, predstavnike privatnog sektora, akademsku zajednicu i druge relevantne aktere. Konsultacije sa zainteresovanim stranama se sprovode radi identifikacije potreba, </w:t>
      </w:r>
      <w:r w:rsidRPr="002914F8">
        <w:rPr>
          <w:rFonts w:eastAsia="Aptos" w:cs="Arial"/>
        </w:rPr>
        <w:lastRenderedPageBreak/>
        <w:t>prioriteta i izazova, čime se obezb</w:t>
      </w:r>
      <w:r>
        <w:rPr>
          <w:rFonts w:eastAsia="Aptos" w:cs="Arial"/>
        </w:rPr>
        <w:t>j</w:t>
      </w:r>
      <w:r w:rsidRPr="002914F8">
        <w:rPr>
          <w:rFonts w:eastAsia="Aptos" w:cs="Arial"/>
        </w:rPr>
        <w:t>eđuje usklađenost dizajna programa sa razvojnim ciljevima zemlje i procesom pristupanja EU. Koordinacioni mehanizmi uključuju redovne sastanke, radne grupe za programiranje, sastanke sektorskih odbora</w:t>
      </w:r>
      <w:r w:rsidR="00D56867">
        <w:rPr>
          <w:rFonts w:eastAsia="Aptos" w:cs="Arial"/>
        </w:rPr>
        <w:t xml:space="preserve"> za monitoring</w:t>
      </w:r>
      <w:r w:rsidRPr="002914F8">
        <w:rPr>
          <w:rFonts w:eastAsia="Aptos" w:cs="Arial"/>
        </w:rPr>
        <w:t xml:space="preserve"> i sastanke odbora </w:t>
      </w:r>
      <w:r w:rsidR="00D56867">
        <w:rPr>
          <w:rFonts w:eastAsia="Aptos" w:cs="Arial"/>
        </w:rPr>
        <w:t xml:space="preserve">za monitoring </w:t>
      </w:r>
      <w:r w:rsidRPr="002914F8">
        <w:rPr>
          <w:rFonts w:eastAsia="Aptos" w:cs="Arial"/>
        </w:rPr>
        <w:t xml:space="preserve">u okviru Instrumenta za pretpristupnu </w:t>
      </w:r>
      <w:r w:rsidR="00477A44">
        <w:rPr>
          <w:rFonts w:eastAsia="Aptos" w:cs="Arial"/>
        </w:rPr>
        <w:t>podršku</w:t>
      </w:r>
      <w:r w:rsidRPr="002914F8">
        <w:rPr>
          <w:rFonts w:eastAsia="Aptos" w:cs="Arial"/>
        </w:rPr>
        <w:t xml:space="preserve"> (IPA), kao i sastanke</w:t>
      </w:r>
      <w:r w:rsidR="00D56867">
        <w:rPr>
          <w:rFonts w:eastAsia="Aptos" w:cs="Arial"/>
        </w:rPr>
        <w:t xml:space="preserve"> O</w:t>
      </w:r>
      <w:r w:rsidRPr="002914F8">
        <w:rPr>
          <w:rFonts w:eastAsia="Aptos" w:cs="Arial"/>
        </w:rPr>
        <w:t xml:space="preserve">dbora </w:t>
      </w:r>
      <w:r w:rsidR="00D56867">
        <w:rPr>
          <w:rFonts w:eastAsia="Aptos" w:cs="Arial"/>
        </w:rPr>
        <w:t xml:space="preserve">za monitoring </w:t>
      </w:r>
      <w:r w:rsidRPr="002914F8">
        <w:rPr>
          <w:rFonts w:eastAsia="Aptos" w:cs="Arial"/>
        </w:rPr>
        <w:t>za prekograničnu saradnju (</w:t>
      </w:r>
      <w:r w:rsidR="00D858E0">
        <w:rPr>
          <w:rFonts w:eastAsia="Aptos" w:cs="Arial"/>
        </w:rPr>
        <w:t>PGS</w:t>
      </w:r>
      <w:r w:rsidRPr="002914F8">
        <w:rPr>
          <w:rFonts w:eastAsia="Aptos" w:cs="Arial"/>
        </w:rPr>
        <w:t>) i Interreg programa, kao i sastanke Radne grupe za Poglavlje 22 u kojoj su zastupljene i organizacije civilnog društva.</w:t>
      </w:r>
    </w:p>
    <w:p w14:paraId="02712350" w14:textId="2AF49B46" w:rsidR="001C0578" w:rsidRPr="00A1475B" w:rsidRDefault="002914F8" w:rsidP="001C0578">
      <w:pPr>
        <w:rPr>
          <w:rFonts w:eastAsia="Aptos" w:cs="Arial"/>
        </w:rPr>
      </w:pPr>
      <w:r w:rsidRPr="002914F8">
        <w:rPr>
          <w:rFonts w:eastAsia="Aptos" w:cs="Arial"/>
        </w:rPr>
        <w:t>Crnogorske vlasti stekle su određeno iskustvo u prim</w:t>
      </w:r>
      <w:r w:rsidR="00A1475B">
        <w:rPr>
          <w:rFonts w:eastAsia="Aptos" w:cs="Arial"/>
        </w:rPr>
        <w:t>j</w:t>
      </w:r>
      <w:r w:rsidRPr="002914F8">
        <w:rPr>
          <w:rFonts w:eastAsia="Aptos" w:cs="Arial"/>
        </w:rPr>
        <w:t>eni principa partnerstva i više</w:t>
      </w:r>
      <w:r w:rsidR="00A1475B">
        <w:rPr>
          <w:rFonts w:eastAsia="Aptos" w:cs="Arial"/>
        </w:rPr>
        <w:t>slojnog</w:t>
      </w:r>
      <w:r w:rsidRPr="002914F8">
        <w:rPr>
          <w:rFonts w:eastAsia="Aptos" w:cs="Arial"/>
        </w:rPr>
        <w:t xml:space="preserve"> upravljanja kroz pripremu i </w:t>
      </w:r>
      <w:r w:rsidR="00A80895">
        <w:rPr>
          <w:rFonts w:eastAsia="Aptos" w:cs="Arial"/>
        </w:rPr>
        <w:t>implementaciju</w:t>
      </w:r>
      <w:r w:rsidRPr="002914F8">
        <w:rPr>
          <w:rFonts w:eastAsia="Aptos" w:cs="Arial"/>
        </w:rPr>
        <w:t xml:space="preserve"> </w:t>
      </w:r>
      <w:r w:rsidR="00D858E0">
        <w:rPr>
          <w:rFonts w:eastAsia="Aptos" w:cs="Arial"/>
        </w:rPr>
        <w:t>PGS</w:t>
      </w:r>
      <w:r w:rsidRPr="002914F8">
        <w:rPr>
          <w:rFonts w:eastAsia="Aptos" w:cs="Arial"/>
        </w:rPr>
        <w:t>/Interreg i IPARD programa, dok su u okviru godišnjih IPA programa zainteresovane strane učestvovale u programiranju putem sektorskih radnih grupa, uključujući organizacije civilnog društva koje su pozvane putem javnih poziva za iskazivanje interesa. Ovaj proces unapr</w:t>
      </w:r>
      <w:r w:rsidR="00A1475B">
        <w:rPr>
          <w:rFonts w:eastAsia="Aptos" w:cs="Arial"/>
        </w:rPr>
        <w:t>ij</w:t>
      </w:r>
      <w:r w:rsidRPr="002914F8">
        <w:rPr>
          <w:rFonts w:eastAsia="Aptos" w:cs="Arial"/>
        </w:rPr>
        <w:t>eđen je u okviru IPA III izradom višegodišnjeg Operativnog programa za zapošljavanje i socijalnu politiku (IPA 2024-2027) prim</w:t>
      </w:r>
      <w:r w:rsidR="00A1475B">
        <w:rPr>
          <w:rFonts w:eastAsia="Aptos" w:cs="Arial"/>
        </w:rPr>
        <w:t>j</w:t>
      </w:r>
      <w:r w:rsidRPr="002914F8">
        <w:rPr>
          <w:rFonts w:eastAsia="Aptos" w:cs="Arial"/>
        </w:rPr>
        <w:t xml:space="preserve">enom participativnog pristupa: formirana je radna grupa sa preko 40 relevantnih predstavnika/zainteresovanih strana iz državne uprave, organizacija civilnog društva, socijalnih partnera i drugih aktera iz oblasti zapošljavanja i socijalne politike, radi razmatranja i </w:t>
      </w:r>
      <w:r w:rsidRPr="00D56867">
        <w:rPr>
          <w:rFonts w:eastAsia="Aptos" w:cs="Arial"/>
        </w:rPr>
        <w:t>komentarisanja uzastopnih nacrta operativnog programa i predlaganja dopuna i izm</w:t>
      </w:r>
      <w:r w:rsidR="00A1475B" w:rsidRPr="00D56867">
        <w:rPr>
          <w:rFonts w:eastAsia="Aptos" w:cs="Arial"/>
        </w:rPr>
        <w:t>j</w:t>
      </w:r>
      <w:r w:rsidRPr="00D56867">
        <w:rPr>
          <w:rFonts w:eastAsia="Aptos" w:cs="Arial"/>
        </w:rPr>
        <w:t>ena. U pogledu Operativnog programa za životnu sredinu i klimatske prom</w:t>
      </w:r>
      <w:r w:rsidR="00A1475B" w:rsidRPr="00D56867">
        <w:rPr>
          <w:rFonts w:eastAsia="Aptos" w:cs="Arial"/>
        </w:rPr>
        <w:t>j</w:t>
      </w:r>
      <w:r w:rsidRPr="00D56867">
        <w:rPr>
          <w:rFonts w:eastAsia="Aptos" w:cs="Arial"/>
        </w:rPr>
        <w:t>ene (IPA 2024-2027), tokom prve polovine 2023. godine, Ministarstvo turizma, ekologije, održivog razvoja i razvoja sjevernog regiona (</w:t>
      </w:r>
      <w:bookmarkStart w:id="93" w:name="_Hlk201850602"/>
      <w:r w:rsidRPr="00D56867">
        <w:rPr>
          <w:rFonts w:eastAsia="Aptos" w:cs="Arial"/>
        </w:rPr>
        <w:t>MTE</w:t>
      </w:r>
      <w:r w:rsidR="00243189">
        <w:rPr>
          <w:rFonts w:eastAsia="Aptos" w:cs="Arial"/>
        </w:rPr>
        <w:t>OR</w:t>
      </w:r>
      <w:r w:rsidRPr="00D56867">
        <w:rPr>
          <w:rFonts w:eastAsia="Aptos" w:cs="Arial"/>
        </w:rPr>
        <w:t>R</w:t>
      </w:r>
      <w:r w:rsidR="00243189">
        <w:rPr>
          <w:rFonts w:eastAsia="Aptos" w:cs="Arial"/>
        </w:rPr>
        <w:t>SR</w:t>
      </w:r>
      <w:bookmarkEnd w:id="93"/>
      <w:r w:rsidRPr="00D56867">
        <w:rPr>
          <w:rFonts w:eastAsia="Aptos" w:cs="Arial"/>
        </w:rPr>
        <w:t xml:space="preserve">), odnosno Direktorat za projekte, održalo je niz sastanaka i radnih sesija sa ključnim akterima za Operativni program, uključujući Delegaciju EU, </w:t>
      </w:r>
      <w:r w:rsidR="0086543E" w:rsidRPr="0086543E">
        <w:rPr>
          <w:rFonts w:eastAsia="Aptos" w:cs="Arial"/>
        </w:rPr>
        <w:t>NIPAK</w:t>
      </w:r>
      <w:r w:rsidRPr="00D56867">
        <w:rPr>
          <w:rFonts w:eastAsia="Aptos" w:cs="Arial"/>
        </w:rPr>
        <w:t>, Ministarstvo finansija – NAO/Struktura za upravljanje, Agenciju za zaštitu životne</w:t>
      </w:r>
      <w:r w:rsidRPr="002914F8">
        <w:rPr>
          <w:rFonts w:eastAsia="Aptos" w:cs="Arial"/>
        </w:rPr>
        <w:t xml:space="preserve"> sredine i glavne direktorate unutar </w:t>
      </w:r>
      <w:r w:rsidR="00243189" w:rsidRPr="00243189">
        <w:rPr>
          <w:rFonts w:eastAsia="Aptos" w:cs="Arial"/>
        </w:rPr>
        <w:t xml:space="preserve">MTEORRSR </w:t>
      </w:r>
      <w:r w:rsidRPr="002914F8">
        <w:rPr>
          <w:rFonts w:eastAsia="Aptos" w:cs="Arial"/>
        </w:rPr>
        <w:t>koji imaju ulogu u izradi/implementaciji OP-a (naime: Direktorat za ekologiju i klimatske promene, Direktorat za zaštitu prirode, Direktorat za evropske integracije i međunarodnu saradnju).</w:t>
      </w:r>
      <w:r w:rsidR="00A1475B" w:rsidRPr="00A1475B">
        <w:t xml:space="preserve"> </w:t>
      </w:r>
      <w:r w:rsidR="00A1475B" w:rsidRPr="00A1475B">
        <w:rPr>
          <w:rFonts w:eastAsia="Aptos" w:cs="Arial"/>
        </w:rPr>
        <w:t>Pored toga, obavljene su konsultacije sa opštinama u cilju identifikacije projekata: Ministarstvo turizma i zaštite životne sredine pozvalo je opštine da iskažu interesovanje i predlože intervencije u oblasti životne sredine i klimatskih prom</w:t>
      </w:r>
      <w:r w:rsidR="00A1475B">
        <w:rPr>
          <w:rFonts w:eastAsia="Aptos" w:cs="Arial"/>
        </w:rPr>
        <w:t>j</w:t>
      </w:r>
      <w:r w:rsidR="00A1475B" w:rsidRPr="00A1475B">
        <w:rPr>
          <w:rFonts w:eastAsia="Aptos" w:cs="Arial"/>
        </w:rPr>
        <w:t>ena koje bi se finansirale iz Operativnog programa. Ovi pr</w:t>
      </w:r>
      <w:r w:rsidR="00A1475B">
        <w:rPr>
          <w:rFonts w:eastAsia="Aptos" w:cs="Arial"/>
        </w:rPr>
        <w:t>ij</w:t>
      </w:r>
      <w:r w:rsidR="00A1475B" w:rsidRPr="00A1475B">
        <w:rPr>
          <w:rFonts w:eastAsia="Aptos" w:cs="Arial"/>
        </w:rPr>
        <w:t>edlozi su zab</w:t>
      </w:r>
      <w:r w:rsidR="00A1475B">
        <w:rPr>
          <w:rFonts w:eastAsia="Aptos" w:cs="Arial"/>
        </w:rPr>
        <w:t>ilj</w:t>
      </w:r>
      <w:r w:rsidR="00A1475B" w:rsidRPr="00A1475B">
        <w:rPr>
          <w:rFonts w:eastAsia="Aptos" w:cs="Arial"/>
        </w:rPr>
        <w:t>eženi kao d</w:t>
      </w:r>
      <w:r w:rsidR="00A1475B">
        <w:rPr>
          <w:rFonts w:eastAsia="Aptos" w:cs="Arial"/>
        </w:rPr>
        <w:t>i</w:t>
      </w:r>
      <w:r w:rsidR="00A1475B" w:rsidRPr="00A1475B">
        <w:rPr>
          <w:rFonts w:eastAsia="Aptos" w:cs="Arial"/>
        </w:rPr>
        <w:t>o duge liste potencijalnih projekata. Za dva Operativna programa IPA III u okviru IPA 2024-2027, Sektorski odbori za</w:t>
      </w:r>
      <w:r w:rsidR="00D56867">
        <w:rPr>
          <w:rFonts w:eastAsia="Aptos" w:cs="Arial"/>
        </w:rPr>
        <w:t xml:space="preserve"> monitoring</w:t>
      </w:r>
      <w:r w:rsidR="00A1475B" w:rsidRPr="00A1475B">
        <w:rPr>
          <w:rFonts w:eastAsia="Aptos" w:cs="Arial"/>
        </w:rPr>
        <w:t xml:space="preserve"> biće uspostavljeni</w:t>
      </w:r>
      <w:r w:rsidR="007C03E2">
        <w:rPr>
          <w:rStyle w:val="FootnoteReference"/>
          <w:rFonts w:eastAsia="Aptos" w:cs="Arial"/>
        </w:rPr>
        <w:footnoteReference w:id="87"/>
      </w:r>
      <w:r w:rsidR="00A1475B" w:rsidRPr="00A1475B">
        <w:rPr>
          <w:rFonts w:eastAsia="Aptos" w:cs="Arial"/>
        </w:rPr>
        <w:t xml:space="preserve"> u skladu sa principom </w:t>
      </w:r>
      <w:r w:rsidR="00A1475B">
        <w:rPr>
          <w:rFonts w:eastAsia="Aptos" w:cs="Arial"/>
        </w:rPr>
        <w:t>partnerstva, u skladu</w:t>
      </w:r>
      <w:r w:rsidR="00A1475B" w:rsidRPr="00A1475B">
        <w:rPr>
          <w:rFonts w:eastAsia="Aptos" w:cs="Arial"/>
        </w:rPr>
        <w:t xml:space="preserve"> </w:t>
      </w:r>
      <w:r w:rsidR="00A1475B">
        <w:rPr>
          <w:rFonts w:eastAsia="Aptos" w:cs="Arial"/>
        </w:rPr>
        <w:t>sa</w:t>
      </w:r>
      <w:r w:rsidR="00A1475B" w:rsidRPr="00A1475B">
        <w:rPr>
          <w:rFonts w:eastAsia="Aptos" w:cs="Arial"/>
        </w:rPr>
        <w:t xml:space="preserve"> Evropskim kodeksom ponašanja </w:t>
      </w:r>
      <w:r w:rsidR="004B7ADD">
        <w:rPr>
          <w:rFonts w:eastAsia="Aptos" w:cs="Arial"/>
        </w:rPr>
        <w:t>za</w:t>
      </w:r>
      <w:r w:rsidR="00A1475B" w:rsidRPr="00A1475B">
        <w:rPr>
          <w:rFonts w:eastAsia="Aptos" w:cs="Arial"/>
        </w:rPr>
        <w:t xml:space="preserve"> </w:t>
      </w:r>
      <w:r w:rsidR="00A1475B">
        <w:rPr>
          <w:rFonts w:eastAsia="Aptos" w:cs="Arial"/>
        </w:rPr>
        <w:t>partnerstv</w:t>
      </w:r>
      <w:r w:rsidR="004B7ADD">
        <w:rPr>
          <w:rFonts w:eastAsia="Aptos" w:cs="Arial"/>
        </w:rPr>
        <w:t>o</w:t>
      </w:r>
      <w:r w:rsidR="00A1475B" w:rsidRPr="00A1475B">
        <w:rPr>
          <w:rFonts w:eastAsia="Aptos" w:cs="Arial"/>
        </w:rPr>
        <w:t xml:space="preserve"> (</w:t>
      </w:r>
      <w:r w:rsidR="00CD0020">
        <w:rPr>
          <w:rFonts w:eastAsia="Aptos" w:cs="Arial"/>
        </w:rPr>
        <w:t>EKPP</w:t>
      </w:r>
      <w:r w:rsidR="00A1475B" w:rsidRPr="00A1475B">
        <w:rPr>
          <w:rFonts w:eastAsia="Aptos" w:cs="Arial"/>
        </w:rPr>
        <w:t>)</w:t>
      </w:r>
      <w:r w:rsidR="00A1475B" w:rsidRPr="00A1475B">
        <w:rPr>
          <w:rFonts w:eastAsia="Aptos" w:cs="Arial"/>
          <w:color w:val="000000" w:themeColor="text1"/>
          <w:vertAlign w:val="superscript"/>
        </w:rPr>
        <w:t xml:space="preserve"> </w:t>
      </w:r>
      <w:r w:rsidR="00A1475B" w:rsidRPr="00B83578">
        <w:rPr>
          <w:rFonts w:eastAsia="Aptos" w:cs="Arial"/>
          <w:color w:val="000000" w:themeColor="text1"/>
          <w:vertAlign w:val="superscript"/>
        </w:rPr>
        <w:footnoteReference w:id="88"/>
      </w:r>
      <w:r w:rsidR="00A1475B" w:rsidRPr="00A1475B">
        <w:rPr>
          <w:rFonts w:eastAsia="Aptos" w:cs="Arial"/>
        </w:rPr>
        <w:t>, što utire put zaht</w:t>
      </w:r>
      <w:r w:rsidR="00A1475B">
        <w:rPr>
          <w:rFonts w:eastAsia="Aptos" w:cs="Arial"/>
        </w:rPr>
        <w:t>j</w:t>
      </w:r>
      <w:r w:rsidR="00A1475B" w:rsidRPr="00A1475B">
        <w:rPr>
          <w:rFonts w:eastAsia="Aptos" w:cs="Arial"/>
        </w:rPr>
        <w:t>evima Kohezione politike.</w:t>
      </w:r>
    </w:p>
    <w:p w14:paraId="3838E0A5" w14:textId="0F67A650" w:rsidR="00A1475B" w:rsidRDefault="00A1475B" w:rsidP="001C0578">
      <w:pPr>
        <w:rPr>
          <w:rFonts w:eastAsia="Aptos" w:cs="Arial"/>
          <w:color w:val="000000" w:themeColor="text1"/>
        </w:rPr>
      </w:pPr>
      <w:r w:rsidRPr="00A1475B">
        <w:rPr>
          <w:rFonts w:eastAsia="Aptos" w:cs="Arial"/>
          <w:color w:val="000000" w:themeColor="text1"/>
        </w:rPr>
        <w:t>Međutim, neophodne su dodatne m</w:t>
      </w:r>
      <w:r>
        <w:rPr>
          <w:rFonts w:eastAsia="Aptos" w:cs="Arial"/>
          <w:color w:val="000000" w:themeColor="text1"/>
        </w:rPr>
        <w:t>j</w:t>
      </w:r>
      <w:r w:rsidRPr="00A1475B">
        <w:rPr>
          <w:rFonts w:eastAsia="Aptos" w:cs="Arial"/>
          <w:color w:val="000000" w:themeColor="text1"/>
        </w:rPr>
        <w:t>ere da bi se princip partnerstva i više</w:t>
      </w:r>
      <w:r>
        <w:rPr>
          <w:rFonts w:eastAsia="Aptos" w:cs="Arial"/>
          <w:color w:val="000000" w:themeColor="text1"/>
        </w:rPr>
        <w:t>slojnog</w:t>
      </w:r>
      <w:r w:rsidRPr="00A1475B">
        <w:rPr>
          <w:rFonts w:eastAsia="Aptos" w:cs="Arial"/>
          <w:color w:val="000000" w:themeColor="text1"/>
        </w:rPr>
        <w:t xml:space="preserve"> upravljanja u potpunosti ugradio u sve procedure koje se odnose na pripremu, </w:t>
      </w:r>
      <w:r w:rsidR="00A80895">
        <w:rPr>
          <w:rFonts w:eastAsia="Aptos" w:cs="Arial"/>
          <w:color w:val="000000" w:themeColor="text1"/>
        </w:rPr>
        <w:t>implementaciju</w:t>
      </w:r>
      <w:r w:rsidRPr="00A1475B">
        <w:rPr>
          <w:rFonts w:eastAsia="Aptos" w:cs="Arial"/>
          <w:color w:val="000000" w:themeColor="text1"/>
        </w:rPr>
        <w:t xml:space="preserve">, </w:t>
      </w:r>
      <w:r w:rsidR="00A80895" w:rsidRPr="00A80895">
        <w:rPr>
          <w:rFonts w:eastAsia="Aptos" w:cs="Arial"/>
          <w:color w:val="000000" w:themeColor="text1"/>
        </w:rPr>
        <w:t>monitoring</w:t>
      </w:r>
      <w:r w:rsidRPr="00A1475B">
        <w:rPr>
          <w:rFonts w:eastAsia="Aptos" w:cs="Arial"/>
          <w:color w:val="000000" w:themeColor="text1"/>
        </w:rPr>
        <w:t>, izv</w:t>
      </w:r>
      <w:r>
        <w:rPr>
          <w:rFonts w:eastAsia="Aptos" w:cs="Arial"/>
          <w:color w:val="000000" w:themeColor="text1"/>
        </w:rPr>
        <w:t>j</w:t>
      </w:r>
      <w:r w:rsidRPr="00A1475B">
        <w:rPr>
          <w:rFonts w:eastAsia="Aptos" w:cs="Arial"/>
          <w:color w:val="000000" w:themeColor="text1"/>
        </w:rPr>
        <w:t>eštavanje i evaluaciju svih programa koji se finansiraju iz fondova EU. U tom smislu, Evropska komisija u svom Godišnjem izv</w:t>
      </w:r>
      <w:r>
        <w:rPr>
          <w:rFonts w:eastAsia="Aptos" w:cs="Arial"/>
          <w:color w:val="000000" w:themeColor="text1"/>
        </w:rPr>
        <w:t>j</w:t>
      </w:r>
      <w:r w:rsidRPr="00A1475B">
        <w:rPr>
          <w:rFonts w:eastAsia="Aptos" w:cs="Arial"/>
          <w:color w:val="000000" w:themeColor="text1"/>
        </w:rPr>
        <w:t>eštaju za Crnu Goru za 2024. godinu, koji je d</w:t>
      </w:r>
      <w:r>
        <w:rPr>
          <w:rFonts w:eastAsia="Aptos" w:cs="Arial"/>
          <w:color w:val="000000" w:themeColor="text1"/>
        </w:rPr>
        <w:t>i</w:t>
      </w:r>
      <w:r w:rsidRPr="00A1475B">
        <w:rPr>
          <w:rFonts w:eastAsia="Aptos" w:cs="Arial"/>
          <w:color w:val="000000" w:themeColor="text1"/>
        </w:rPr>
        <w:t>o Paketa proširenja za 2024. godinu (u daljem tekstu: Godišnji izv</w:t>
      </w:r>
      <w:r>
        <w:rPr>
          <w:rFonts w:eastAsia="Aptos" w:cs="Arial"/>
          <w:color w:val="000000" w:themeColor="text1"/>
        </w:rPr>
        <w:t>j</w:t>
      </w:r>
      <w:r w:rsidRPr="00A1475B">
        <w:rPr>
          <w:rFonts w:eastAsia="Aptos" w:cs="Arial"/>
          <w:color w:val="000000" w:themeColor="text1"/>
        </w:rPr>
        <w:t>eštaj EK za 2024)</w:t>
      </w:r>
      <w:r w:rsidRPr="00A1475B">
        <w:rPr>
          <w:rFonts w:eastAsia="Aptos" w:cs="Arial"/>
          <w:color w:val="000000" w:themeColor="text1"/>
          <w:sz w:val="22"/>
          <w:vertAlign w:val="superscript"/>
        </w:rPr>
        <w:t xml:space="preserve"> </w:t>
      </w:r>
      <w:r w:rsidRPr="00B83578">
        <w:rPr>
          <w:rFonts w:eastAsia="Aptos" w:cs="Arial"/>
          <w:color w:val="000000" w:themeColor="text1"/>
          <w:sz w:val="22"/>
          <w:vertAlign w:val="superscript"/>
        </w:rPr>
        <w:footnoteReference w:id="89"/>
      </w:r>
      <w:r w:rsidRPr="00A1475B">
        <w:rPr>
          <w:rFonts w:eastAsia="Aptos" w:cs="Arial"/>
          <w:color w:val="000000" w:themeColor="text1"/>
        </w:rPr>
        <w:t xml:space="preserve">, preporučuje u okviru Poglavlja 22 da Crna Gora „ojača administrativne kapacitete kako u kreiranju tako i u </w:t>
      </w:r>
      <w:r w:rsidR="003A5C72">
        <w:rPr>
          <w:rFonts w:eastAsia="Aptos" w:cs="Arial"/>
          <w:color w:val="000000" w:themeColor="text1"/>
        </w:rPr>
        <w:t>implementaciji</w:t>
      </w:r>
      <w:r w:rsidRPr="00A1475B">
        <w:rPr>
          <w:rFonts w:eastAsia="Aptos" w:cs="Arial"/>
          <w:color w:val="000000" w:themeColor="text1"/>
        </w:rPr>
        <w:t xml:space="preserve"> politika relevantnih za ekonomsku i socijalnu koheziju zemlje i njenu regionalnu konkurentnost, uključujući unapr</w:t>
      </w:r>
      <w:r>
        <w:rPr>
          <w:rFonts w:eastAsia="Aptos" w:cs="Arial"/>
          <w:color w:val="000000" w:themeColor="text1"/>
        </w:rPr>
        <w:t>ij</w:t>
      </w:r>
      <w:r w:rsidRPr="00A1475B">
        <w:rPr>
          <w:rFonts w:eastAsia="Aptos" w:cs="Arial"/>
          <w:color w:val="000000" w:themeColor="text1"/>
        </w:rPr>
        <w:t xml:space="preserve">eđenu međuinstitucionalnu koordinaciju i strukturisani dijalog sa socijalnim partnerima (udruženjima poslodavaca i sindikatima) i civilnim društvom, koji treba da budu uključeni u izradu, </w:t>
      </w:r>
      <w:r w:rsidR="003A5C72">
        <w:rPr>
          <w:rFonts w:eastAsia="Aptos" w:cs="Arial"/>
          <w:color w:val="000000" w:themeColor="text1"/>
        </w:rPr>
        <w:t>implementaciju</w:t>
      </w:r>
      <w:r w:rsidRPr="00A1475B">
        <w:rPr>
          <w:rFonts w:eastAsia="Aptos" w:cs="Arial"/>
          <w:color w:val="000000" w:themeColor="text1"/>
        </w:rPr>
        <w:t xml:space="preserve">, </w:t>
      </w:r>
      <w:r w:rsidR="003A5C72">
        <w:rPr>
          <w:rFonts w:eastAsia="Aptos" w:cs="Arial"/>
          <w:color w:val="000000" w:themeColor="text1"/>
        </w:rPr>
        <w:t>monitoring</w:t>
      </w:r>
      <w:r w:rsidRPr="00A1475B">
        <w:rPr>
          <w:rFonts w:eastAsia="Aptos" w:cs="Arial"/>
          <w:color w:val="000000" w:themeColor="text1"/>
        </w:rPr>
        <w:t xml:space="preserve"> i evaluaciju politika“.</w:t>
      </w:r>
    </w:p>
    <w:p w14:paraId="4DEE699C" w14:textId="16DC52E8" w:rsidR="00A1475B" w:rsidRDefault="00A1475B" w:rsidP="001C0578">
      <w:pPr>
        <w:rPr>
          <w:rFonts w:eastAsia="Aptos" w:cs="Arial"/>
          <w:color w:val="000000" w:themeColor="text1"/>
        </w:rPr>
      </w:pPr>
      <w:r w:rsidRPr="00A1475B">
        <w:rPr>
          <w:rFonts w:eastAsia="Aptos" w:cs="Arial"/>
          <w:color w:val="000000" w:themeColor="text1"/>
        </w:rPr>
        <w:t>Metodologija za uspostavljanje partnerstva za Kohezionu politiku je u fazi izrade i biće pilotirana kroz IPA III operativne programe za uspostavljanje odgovarajućih odbora</w:t>
      </w:r>
      <w:r w:rsidR="003A5C72">
        <w:rPr>
          <w:rFonts w:eastAsia="Aptos" w:cs="Arial"/>
          <w:color w:val="000000" w:themeColor="text1"/>
        </w:rPr>
        <w:t xml:space="preserve"> za monitoring</w:t>
      </w:r>
      <w:r w:rsidRPr="00A1475B">
        <w:rPr>
          <w:rFonts w:eastAsia="Aptos" w:cs="Arial"/>
          <w:color w:val="000000" w:themeColor="text1"/>
        </w:rPr>
        <w:t xml:space="preserve">. Shodno tome, </w:t>
      </w:r>
      <w:r w:rsidR="00D56867">
        <w:rPr>
          <w:rFonts w:eastAsia="Aptos" w:cs="Arial"/>
          <w:color w:val="000000" w:themeColor="text1"/>
        </w:rPr>
        <w:t>Odbor za monitoring</w:t>
      </w:r>
      <w:r w:rsidRPr="00A1475B">
        <w:rPr>
          <w:rFonts w:eastAsia="Aptos" w:cs="Arial"/>
          <w:color w:val="000000" w:themeColor="text1"/>
        </w:rPr>
        <w:t xml:space="preserve"> za svaki operativni program biće uspostavljen u skladu sa </w:t>
      </w:r>
      <w:r w:rsidR="00CD0020">
        <w:rPr>
          <w:rFonts w:eastAsia="Aptos" w:cs="Arial"/>
          <w:color w:val="000000" w:themeColor="text1"/>
        </w:rPr>
        <w:t>EKPP</w:t>
      </w:r>
      <w:r w:rsidRPr="00A1475B">
        <w:rPr>
          <w:rFonts w:eastAsia="Aptos" w:cs="Arial"/>
          <w:color w:val="000000" w:themeColor="text1"/>
        </w:rPr>
        <w:t xml:space="preserve">-om, čime će se osigurati da se partneri biraju na transparentan način i da partnerstvo bude sveobuhvatno, inkluzivno i uravnoteženo u svim fazama </w:t>
      </w:r>
      <w:r w:rsidR="00D56867">
        <w:rPr>
          <w:rFonts w:eastAsia="Aptos" w:cs="Arial"/>
          <w:color w:val="000000" w:themeColor="text1"/>
        </w:rPr>
        <w:t>implementacije</w:t>
      </w:r>
      <w:r w:rsidRPr="00A1475B">
        <w:rPr>
          <w:rFonts w:eastAsia="Aptos" w:cs="Arial"/>
          <w:color w:val="000000" w:themeColor="text1"/>
        </w:rPr>
        <w:t xml:space="preserve"> programa. Aktivno učešće u </w:t>
      </w:r>
      <w:r w:rsidR="00D56867">
        <w:rPr>
          <w:rFonts w:eastAsia="Aptos" w:cs="Arial"/>
          <w:color w:val="000000" w:themeColor="text1"/>
        </w:rPr>
        <w:t>sektorskim odborima za monitoring</w:t>
      </w:r>
      <w:r w:rsidRPr="00A1475B">
        <w:rPr>
          <w:rFonts w:eastAsia="Aptos" w:cs="Arial"/>
          <w:color w:val="000000" w:themeColor="text1"/>
        </w:rPr>
        <w:t xml:space="preserve"> biće podstaknuto kroz ciljane aktivnosti </w:t>
      </w:r>
      <w:r w:rsidR="00C30F51" w:rsidRPr="00C30F51">
        <w:rPr>
          <w:rFonts w:eastAsia="Aptos" w:cs="Arial"/>
          <w:color w:val="000000" w:themeColor="text1"/>
        </w:rPr>
        <w:t>jačanja kapaciteta</w:t>
      </w:r>
      <w:r w:rsidRPr="00A1475B">
        <w:rPr>
          <w:rFonts w:eastAsia="Aptos" w:cs="Arial"/>
          <w:color w:val="000000" w:themeColor="text1"/>
        </w:rPr>
        <w:t xml:space="preserve"> i blagovremeno obezb</w:t>
      </w:r>
      <w:r>
        <w:rPr>
          <w:rFonts w:eastAsia="Aptos" w:cs="Arial"/>
          <w:color w:val="000000" w:themeColor="text1"/>
        </w:rPr>
        <w:t>j</w:t>
      </w:r>
      <w:r w:rsidRPr="00A1475B">
        <w:rPr>
          <w:rFonts w:eastAsia="Aptos" w:cs="Arial"/>
          <w:color w:val="000000" w:themeColor="text1"/>
        </w:rPr>
        <w:t>eđivanje informacija članovima.</w:t>
      </w:r>
    </w:p>
    <w:p w14:paraId="63141844" w14:textId="7C61BEFF" w:rsidR="001C0578" w:rsidRPr="00B83578" w:rsidRDefault="003A5C72" w:rsidP="00C71C45">
      <w:pPr>
        <w:pStyle w:val="Heading4"/>
      </w:pPr>
      <w:r w:rsidRPr="003A5C72">
        <w:lastRenderedPageBreak/>
        <w:t>Poštovanje osnovnih prava: usklađenost sa Poveljom o osnovnim pravima Evropske unije</w:t>
      </w:r>
    </w:p>
    <w:p w14:paraId="004D4B68" w14:textId="1833C2C3" w:rsidR="00A1475B" w:rsidRDefault="00A1475B" w:rsidP="001C0578">
      <w:pPr>
        <w:rPr>
          <w:rFonts w:eastAsia="Aptos" w:cs="Arial"/>
        </w:rPr>
      </w:pPr>
      <w:r w:rsidRPr="00A1475B">
        <w:rPr>
          <w:rFonts w:eastAsia="Aptos" w:cs="Arial"/>
        </w:rPr>
        <w:t>Crna Gora je uspostavila Ministarstvo za ljudska i manjinska prava i kreirala strateški i zakonodavni okvir u okviru svoje nadležnosti koji je usklađen sa međunarodnim standardima, odnosno propisima EU, direktivama, poveljama i konvencijama Ujedinjenih nacija, uključujući Povelj</w:t>
      </w:r>
      <w:r>
        <w:rPr>
          <w:rFonts w:eastAsia="Aptos" w:cs="Arial"/>
        </w:rPr>
        <w:t>u</w:t>
      </w:r>
      <w:r w:rsidRPr="00A1475B">
        <w:rPr>
          <w:rFonts w:eastAsia="Aptos" w:cs="Arial"/>
        </w:rPr>
        <w:t xml:space="preserve"> Evropske unije о osnovnim </w:t>
      </w:r>
      <w:r>
        <w:rPr>
          <w:rFonts w:eastAsia="Aptos" w:cs="Arial"/>
        </w:rPr>
        <w:t xml:space="preserve">ljudskim </w:t>
      </w:r>
      <w:r w:rsidRPr="00A1475B">
        <w:rPr>
          <w:rFonts w:eastAsia="Aptos" w:cs="Arial"/>
        </w:rPr>
        <w:t>pravima</w:t>
      </w:r>
      <w:r w:rsidR="00684D2A" w:rsidRPr="00B83578">
        <w:rPr>
          <w:rFonts w:eastAsia="Aptos" w:cs="Arial"/>
          <w:color w:val="000000" w:themeColor="text1"/>
          <w:sz w:val="22"/>
          <w:vertAlign w:val="superscript"/>
        </w:rPr>
        <w:footnoteReference w:id="90"/>
      </w:r>
      <w:r w:rsidRPr="00A1475B">
        <w:rPr>
          <w:rFonts w:eastAsia="Aptos" w:cs="Arial"/>
        </w:rPr>
        <w:t>. Prema Godišnjem izv</w:t>
      </w:r>
      <w:r>
        <w:rPr>
          <w:rFonts w:eastAsia="Aptos" w:cs="Arial"/>
        </w:rPr>
        <w:t>j</w:t>
      </w:r>
      <w:r w:rsidRPr="00A1475B">
        <w:rPr>
          <w:rFonts w:eastAsia="Aptos" w:cs="Arial"/>
        </w:rPr>
        <w:t xml:space="preserve">eštaju EK za 2024. godinu (str. 6): „Zakonodavni i institucionalni okvir za osnovna </w:t>
      </w:r>
      <w:r>
        <w:rPr>
          <w:rFonts w:eastAsia="Aptos" w:cs="Arial"/>
        </w:rPr>
        <w:t xml:space="preserve">ljudska </w:t>
      </w:r>
      <w:r w:rsidRPr="00A1475B">
        <w:rPr>
          <w:rFonts w:eastAsia="Aptos" w:cs="Arial"/>
        </w:rPr>
        <w:t>prava je uglavnom uspostavljen i Crna Gora nastavlja da u velikoj m</w:t>
      </w:r>
      <w:r>
        <w:rPr>
          <w:rFonts w:eastAsia="Aptos" w:cs="Arial"/>
        </w:rPr>
        <w:t>j</w:t>
      </w:r>
      <w:r w:rsidRPr="00A1475B">
        <w:rPr>
          <w:rFonts w:eastAsia="Aptos" w:cs="Arial"/>
        </w:rPr>
        <w:t>eri ispunjava svoje međunarodne obaveze u oblasti ljudskih prava. Međutim, potrebno je uložiti dodatne napore kako bi se ovaj okvir u potpunosti prim</w:t>
      </w:r>
      <w:r>
        <w:rPr>
          <w:rFonts w:eastAsia="Aptos" w:cs="Arial"/>
        </w:rPr>
        <w:t>ij</w:t>
      </w:r>
      <w:r w:rsidRPr="00A1475B">
        <w:rPr>
          <w:rFonts w:eastAsia="Aptos" w:cs="Arial"/>
        </w:rPr>
        <w:t>enio i obezb</w:t>
      </w:r>
      <w:r>
        <w:rPr>
          <w:rFonts w:eastAsia="Aptos" w:cs="Arial"/>
        </w:rPr>
        <w:t>ij</w:t>
      </w:r>
      <w:r w:rsidRPr="00A1475B">
        <w:rPr>
          <w:rFonts w:eastAsia="Aptos" w:cs="Arial"/>
        </w:rPr>
        <w:t xml:space="preserve">edio pristup pravdi i </w:t>
      </w:r>
      <w:r w:rsidR="00A80895">
        <w:rPr>
          <w:rFonts w:eastAsia="Aptos" w:cs="Arial"/>
        </w:rPr>
        <w:t>implementacija</w:t>
      </w:r>
      <w:r w:rsidRPr="00A1475B">
        <w:rPr>
          <w:rFonts w:eastAsia="Aptos" w:cs="Arial"/>
        </w:rPr>
        <w:t xml:space="preserve"> prava u upravnim i sudskim postupcima, posebno za ranjive grupe. Najugroženije grupe u društvu (uključujući Rome i Egipćane, osobe sa invaliditetom, LGBTIQ osobe) i dalje su izložene diskriminaciji, govoru mržnje i zločinima iz mržnje. Potrebno je dodatno raditi na efektivnom sprovođenju svih preporuka Evropskog komiteta za prevenciju mučenja i nečov</w:t>
      </w:r>
      <w:r>
        <w:rPr>
          <w:rFonts w:eastAsia="Aptos" w:cs="Arial"/>
        </w:rPr>
        <w:t>j</w:t>
      </w:r>
      <w:r w:rsidRPr="00A1475B">
        <w:rPr>
          <w:rFonts w:eastAsia="Aptos" w:cs="Arial"/>
        </w:rPr>
        <w:t>ečnog ili ponižavajućeg postupanja (CPT).” M</w:t>
      </w:r>
      <w:r>
        <w:rPr>
          <w:rFonts w:eastAsia="Aptos" w:cs="Arial"/>
        </w:rPr>
        <w:t>j</w:t>
      </w:r>
      <w:r w:rsidRPr="00A1475B">
        <w:rPr>
          <w:rFonts w:eastAsia="Aptos" w:cs="Arial"/>
        </w:rPr>
        <w:t>ere za r</w:t>
      </w:r>
      <w:r>
        <w:rPr>
          <w:rFonts w:eastAsia="Aptos" w:cs="Arial"/>
        </w:rPr>
        <w:t>j</w:t>
      </w:r>
      <w:r w:rsidRPr="00A1475B">
        <w:rPr>
          <w:rFonts w:eastAsia="Aptos" w:cs="Arial"/>
        </w:rPr>
        <w:t xml:space="preserve">ešavanje navedenog su planirane u okviru drugih relevantnih poglavlja </w:t>
      </w:r>
      <w:r w:rsidRPr="00684D2A">
        <w:rPr>
          <w:rFonts w:eastAsia="Aptos" w:cs="Arial"/>
          <w:i/>
        </w:rPr>
        <w:t>acquis-a</w:t>
      </w:r>
      <w:r w:rsidRPr="00A1475B">
        <w:rPr>
          <w:rFonts w:eastAsia="Aptos" w:cs="Arial"/>
        </w:rPr>
        <w:t xml:space="preserve"> (Poglavlje 23 / Osnovn</w:t>
      </w:r>
      <w:r w:rsidR="00684D2A">
        <w:rPr>
          <w:rFonts w:eastAsia="Aptos" w:cs="Arial"/>
        </w:rPr>
        <w:t>e</w:t>
      </w:r>
      <w:r w:rsidRPr="00A1475B">
        <w:rPr>
          <w:rFonts w:eastAsia="Aptos" w:cs="Arial"/>
        </w:rPr>
        <w:t>).</w:t>
      </w:r>
    </w:p>
    <w:p w14:paraId="5EBD48D8" w14:textId="1BBA7C49" w:rsidR="00684D2A" w:rsidRPr="00684D2A" w:rsidRDefault="00684D2A" w:rsidP="00684D2A">
      <w:pPr>
        <w:rPr>
          <w:rFonts w:eastAsia="Aptos" w:cs="Arial"/>
        </w:rPr>
      </w:pPr>
      <w:r w:rsidRPr="00684D2A">
        <w:rPr>
          <w:rFonts w:eastAsia="Aptos" w:cs="Arial"/>
        </w:rPr>
        <w:t>Zaštitnik ljudskih prava i sloboda u Crnoj Gori (</w:t>
      </w:r>
      <w:r w:rsidR="00645072">
        <w:rPr>
          <w:rFonts w:eastAsia="Aptos" w:cs="Arial"/>
        </w:rPr>
        <w:t>NILJP</w:t>
      </w:r>
      <w:r w:rsidRPr="00684D2A">
        <w:rPr>
          <w:rFonts w:eastAsia="Aptos" w:cs="Arial"/>
        </w:rPr>
        <w:t xml:space="preserve">, odnosno Nacionalna institucija za ljudska prava, Ombudsman) osnovan je Zakonom koji je donijela Skupština Crne Gore 10. jula 2003. godine. Radna grupa za pripremu novog Zakona o Ombudsmanu formirana je u septembru 2024. godine i izrada nacrta je u toku. Glavni cilj novog Zakona je obezbjeđivanje statusa </w:t>
      </w:r>
      <w:proofErr w:type="gramStart"/>
      <w:r w:rsidRPr="00684D2A">
        <w:rPr>
          <w:rFonts w:eastAsia="Aptos" w:cs="Arial"/>
        </w:rPr>
        <w:t>A</w:t>
      </w:r>
      <w:proofErr w:type="gramEnd"/>
      <w:r w:rsidRPr="00684D2A">
        <w:rPr>
          <w:rFonts w:eastAsia="Aptos" w:cs="Arial"/>
        </w:rPr>
        <w:t xml:space="preserve"> Ombudsmanu u skladu sa Pari</w:t>
      </w:r>
      <w:r>
        <w:rPr>
          <w:rFonts w:eastAsia="Aptos" w:cs="Arial"/>
        </w:rPr>
        <w:t>š</w:t>
      </w:r>
      <w:r w:rsidRPr="00684D2A">
        <w:rPr>
          <w:rFonts w:eastAsia="Aptos" w:cs="Arial"/>
        </w:rPr>
        <w:t xml:space="preserve">kim principima. </w:t>
      </w:r>
      <w:r w:rsidR="00645072">
        <w:rPr>
          <w:rFonts w:eastAsia="Aptos" w:cs="Arial"/>
        </w:rPr>
        <w:t>NILJP</w:t>
      </w:r>
      <w:r w:rsidRPr="00684D2A">
        <w:rPr>
          <w:rFonts w:eastAsia="Aptos" w:cs="Arial"/>
        </w:rPr>
        <w:t xml:space="preserve"> svoje nadležnosti obavlja na osnovu Ustava i zakona i u svom radu se pridržava principa pravičnosti i pravičnog postupanja.</w:t>
      </w:r>
      <w:r w:rsidRPr="00684D2A">
        <w:t xml:space="preserve"> </w:t>
      </w:r>
      <w:r w:rsidRPr="00684D2A">
        <w:rPr>
          <w:rFonts w:eastAsia="Aptos" w:cs="Arial"/>
        </w:rPr>
        <w:t xml:space="preserve">U skladu sa </w:t>
      </w:r>
      <w:r w:rsidRPr="00684D2A">
        <w:rPr>
          <w:rFonts w:eastAsia="Aptos" w:cs="Arial"/>
          <w:i/>
        </w:rPr>
        <w:t>Zakonom o Zaštitniku ljudskih prava i sloboda Crne Gore</w:t>
      </w:r>
      <w:r w:rsidRPr="00684D2A">
        <w:rPr>
          <w:rFonts w:eastAsia="Aptos" w:cs="Arial"/>
        </w:rPr>
        <w:t xml:space="preserve"> (koji je stupio na snagu 23. avgusta 2011. godine), Nacionalnoj instituciji za ljudska prava (</w:t>
      </w:r>
      <w:r w:rsidR="00645072">
        <w:rPr>
          <w:rFonts w:eastAsia="Aptos" w:cs="Arial"/>
        </w:rPr>
        <w:t>NILJP</w:t>
      </w:r>
      <w:r w:rsidRPr="00684D2A">
        <w:rPr>
          <w:rFonts w:eastAsia="Aptos" w:cs="Arial"/>
        </w:rPr>
        <w:t>) su dodijeljene dvije nove nadležnosti te je postala institucionalni mehanizam za zaštitu od svih oblika diskriminacije kao i Nacionalni preventivni mehanizam za zaštitu i prevenciju osoba lišenih slobode od mučenja i drugih oblika surovog, nečovječnog ili ponižavajućeg postupanja ili kažnjavanja. Nadležnosti Zaštitnika ljudskih prava i sloboda Crne Gore zasnovane su na članu 27. Zakona o Zaštitniku ljudskih prava i sloboda Crne Gore</w:t>
      </w:r>
      <w:r w:rsidRPr="00B83578">
        <w:rPr>
          <w:rFonts w:eastAsia="Aptos" w:cs="Arial"/>
          <w:color w:val="000000" w:themeColor="text1"/>
          <w:vertAlign w:val="superscript"/>
        </w:rPr>
        <w:footnoteReference w:id="91"/>
      </w:r>
      <w:r w:rsidRPr="00684D2A">
        <w:rPr>
          <w:rFonts w:eastAsia="Aptos" w:cs="Arial"/>
        </w:rPr>
        <w:t>, članu 21. Zakona o zabrani diskriminacije</w:t>
      </w:r>
      <w:r w:rsidRPr="00B83578">
        <w:rPr>
          <w:rFonts w:eastAsia="Aptos" w:cs="Arial"/>
          <w:color w:val="000000" w:themeColor="text1"/>
          <w:vertAlign w:val="superscript"/>
        </w:rPr>
        <w:footnoteReference w:id="92"/>
      </w:r>
      <w:r w:rsidRPr="00684D2A">
        <w:rPr>
          <w:rFonts w:eastAsia="Aptos" w:cs="Arial"/>
        </w:rPr>
        <w:t xml:space="preserve"> i članu 1. </w:t>
      </w:r>
      <w:r w:rsidRPr="00684D2A">
        <w:rPr>
          <w:rFonts w:eastAsia="Aptos" w:cs="Arial"/>
          <w:i/>
        </w:rPr>
        <w:t>Zakona o zabrani diskriminacije lica sa invaliditetom</w:t>
      </w:r>
      <w:r w:rsidRPr="00B83578">
        <w:rPr>
          <w:rFonts w:eastAsia="Aptos" w:cs="Arial"/>
          <w:color w:val="000000" w:themeColor="text1"/>
          <w:vertAlign w:val="superscript"/>
        </w:rPr>
        <w:footnoteReference w:id="93"/>
      </w:r>
      <w:r w:rsidRPr="00684D2A">
        <w:rPr>
          <w:rFonts w:eastAsia="Aptos" w:cs="Arial"/>
        </w:rPr>
        <w:t xml:space="preserve">. Pored toga, najnovije izmjene </w:t>
      </w:r>
      <w:r w:rsidRPr="00684D2A">
        <w:rPr>
          <w:rFonts w:eastAsia="Aptos" w:cs="Arial"/>
          <w:i/>
        </w:rPr>
        <w:t>Zakona o ravnopravnosti polova</w:t>
      </w:r>
      <w:r w:rsidRPr="00B83578">
        <w:rPr>
          <w:rFonts w:eastAsia="Aptos" w:cs="Arial"/>
          <w:color w:val="000000" w:themeColor="text1"/>
          <w:vertAlign w:val="superscript"/>
        </w:rPr>
        <w:footnoteReference w:id="94"/>
      </w:r>
      <w:r w:rsidRPr="00B83578">
        <w:rPr>
          <w:rFonts w:eastAsia="Aptos" w:cs="Arial"/>
        </w:rPr>
        <w:t xml:space="preserve"> </w:t>
      </w:r>
      <w:r w:rsidRPr="00684D2A">
        <w:rPr>
          <w:rFonts w:eastAsia="Aptos" w:cs="Arial"/>
        </w:rPr>
        <w:t>omogućile su punu nadležnost Zaštitnika za postupanje po pritužbama zbog povrede principa ravnopravnosti polova</w:t>
      </w:r>
      <w:r w:rsidRPr="00B83578">
        <w:rPr>
          <w:rFonts w:eastAsia="Aptos" w:cs="Arial"/>
          <w:color w:val="000000" w:themeColor="text1"/>
          <w:vertAlign w:val="superscript"/>
        </w:rPr>
        <w:footnoteReference w:id="95"/>
      </w:r>
      <w:r w:rsidRPr="00684D2A">
        <w:rPr>
          <w:rFonts w:eastAsia="Aptos" w:cs="Arial"/>
        </w:rPr>
        <w:t xml:space="preserve">. </w:t>
      </w:r>
      <w:r w:rsidR="00645072">
        <w:rPr>
          <w:rFonts w:eastAsia="Aptos" w:cs="Arial"/>
        </w:rPr>
        <w:t>NILJP</w:t>
      </w:r>
      <w:r w:rsidRPr="00684D2A">
        <w:rPr>
          <w:rFonts w:eastAsia="Aptos" w:cs="Arial"/>
        </w:rPr>
        <w:t xml:space="preserve"> Crne Gore član je sl</w:t>
      </w:r>
      <w:r>
        <w:rPr>
          <w:rFonts w:eastAsia="Aptos" w:cs="Arial"/>
        </w:rPr>
        <w:t>j</w:t>
      </w:r>
      <w:r w:rsidRPr="00684D2A">
        <w:rPr>
          <w:rFonts w:eastAsia="Aptos" w:cs="Arial"/>
        </w:rPr>
        <w:t xml:space="preserve">edećih međunarodnih tijela i mreža: </w:t>
      </w:r>
      <w:r w:rsidR="00603905">
        <w:rPr>
          <w:rFonts w:eastAsia="Aptos" w:cs="Arial"/>
        </w:rPr>
        <w:t>EMNILJP</w:t>
      </w:r>
      <w:r w:rsidRPr="00684D2A">
        <w:rPr>
          <w:rFonts w:eastAsia="Aptos" w:cs="Arial"/>
        </w:rPr>
        <w:t xml:space="preserve"> Evropska mreža nacionalnih institucija za ljudska prava; </w:t>
      </w:r>
      <w:r w:rsidR="003D7057">
        <w:rPr>
          <w:rFonts w:eastAsia="Aptos" w:cs="Arial"/>
        </w:rPr>
        <w:t>EMTJ</w:t>
      </w:r>
      <w:r w:rsidRPr="00684D2A">
        <w:rPr>
          <w:rFonts w:eastAsia="Aptos" w:cs="Arial"/>
        </w:rPr>
        <w:t xml:space="preserve"> Evropska mreža tijela za jednakost; </w:t>
      </w:r>
      <w:r w:rsidR="00CD0020">
        <w:rPr>
          <w:rFonts w:eastAsia="Aptos" w:cs="Arial"/>
        </w:rPr>
        <w:t>EKPRN</w:t>
      </w:r>
      <w:r w:rsidRPr="00684D2A">
        <w:rPr>
          <w:rFonts w:eastAsia="Aptos" w:cs="Arial"/>
        </w:rPr>
        <w:t xml:space="preserve"> Evropska komisija protiv rasizma i netolerancije; Nacionalni preventivni mehanizam za prevenciju torture (NPM) Mreža jugoistočne Evrope; Regionalna mreža ombudsmana Zapadnog Balkana; i </w:t>
      </w:r>
      <w:r w:rsidR="003D7057">
        <w:rPr>
          <w:rFonts w:eastAsia="Aptos" w:cs="Arial"/>
        </w:rPr>
        <w:t>GANILJP</w:t>
      </w:r>
      <w:r w:rsidRPr="00684D2A">
        <w:rPr>
          <w:rFonts w:eastAsia="Aptos" w:cs="Arial"/>
        </w:rPr>
        <w:t xml:space="preserve"> Globaln</w:t>
      </w:r>
      <w:r w:rsidR="002F51DA">
        <w:rPr>
          <w:rFonts w:eastAsia="Aptos" w:cs="Arial"/>
        </w:rPr>
        <w:t>a alijansa</w:t>
      </w:r>
      <w:r w:rsidRPr="00684D2A">
        <w:rPr>
          <w:rFonts w:eastAsia="Aptos" w:cs="Arial"/>
        </w:rPr>
        <w:t xml:space="preserve"> nacionalnih institucija za ljudska prava. Redovno objavljuje Godišnji izvještaj Zaštitnika ljudskih prava i sloboda Crne Gore i Godišnji izvještaj Nacionalnog mehanizma za prevenciju torture Nacionalnog preventivnog mehanizma (NPM)</w:t>
      </w:r>
      <w:r w:rsidRPr="00684D2A">
        <w:rPr>
          <w:rFonts w:eastAsia="Aptos" w:cs="Arial"/>
          <w:color w:val="000000" w:themeColor="text1"/>
          <w:vertAlign w:val="superscript"/>
        </w:rPr>
        <w:t xml:space="preserve"> </w:t>
      </w:r>
      <w:r w:rsidRPr="00B83578">
        <w:rPr>
          <w:rFonts w:eastAsia="Aptos" w:cs="Arial"/>
          <w:color w:val="000000" w:themeColor="text1"/>
          <w:vertAlign w:val="superscript"/>
        </w:rPr>
        <w:footnoteReference w:id="96"/>
      </w:r>
      <w:r w:rsidRPr="00684D2A">
        <w:rPr>
          <w:rFonts w:eastAsia="Aptos" w:cs="Arial"/>
        </w:rPr>
        <w:t>.</w:t>
      </w:r>
    </w:p>
    <w:p w14:paraId="262F7C70" w14:textId="61888115" w:rsidR="001C0578" w:rsidRPr="00B83578" w:rsidRDefault="003A5C72" w:rsidP="00C71C45">
      <w:pPr>
        <w:pStyle w:val="Heading4"/>
      </w:pPr>
      <w:r w:rsidRPr="003A5C72">
        <w:t xml:space="preserve">Ravnopravnost muškaraca i žena, uvođenje principa rodne ravnopravnosti i </w:t>
      </w:r>
      <w:r>
        <w:t>integracija</w:t>
      </w:r>
      <w:r w:rsidRPr="003A5C72">
        <w:t xml:space="preserve"> rodne perspektive</w:t>
      </w:r>
    </w:p>
    <w:p w14:paraId="355B3D40" w14:textId="6DFC30E9" w:rsidR="00F3124D" w:rsidRDefault="00F3124D" w:rsidP="001C0578">
      <w:pPr>
        <w:rPr>
          <w:rFonts w:eastAsia="Aptos" w:cs="Arial"/>
        </w:rPr>
      </w:pPr>
      <w:r w:rsidRPr="00F3124D">
        <w:rPr>
          <w:rFonts w:eastAsia="Aptos" w:cs="Arial"/>
        </w:rPr>
        <w:t>Najnovije izm</w:t>
      </w:r>
      <w:r>
        <w:rPr>
          <w:rFonts w:eastAsia="Aptos" w:cs="Arial"/>
        </w:rPr>
        <w:t>j</w:t>
      </w:r>
      <w:r w:rsidRPr="00F3124D">
        <w:rPr>
          <w:rFonts w:eastAsia="Aptos" w:cs="Arial"/>
        </w:rPr>
        <w:t xml:space="preserve">ene </w:t>
      </w:r>
      <w:r w:rsidRPr="00F3124D">
        <w:rPr>
          <w:rFonts w:eastAsia="Aptos" w:cs="Arial"/>
          <w:i/>
        </w:rPr>
        <w:t>Zakona o rodnoj ravnopravnosti</w:t>
      </w:r>
      <w:r w:rsidRPr="00F3124D">
        <w:rPr>
          <w:rFonts w:eastAsia="Aptos" w:cs="Arial"/>
        </w:rPr>
        <w:t xml:space="preserve"> iz 2015. godine uskladile su ga sa ratifikovanim međunarodnim ugovorima i drugim dokumentima usvojenim pod okriljem Ujedinjenih nacija, Evropske unije i Sav</w:t>
      </w:r>
      <w:r>
        <w:rPr>
          <w:rFonts w:eastAsia="Aptos" w:cs="Arial"/>
        </w:rPr>
        <w:t>j</w:t>
      </w:r>
      <w:r w:rsidRPr="00F3124D">
        <w:rPr>
          <w:rFonts w:eastAsia="Aptos" w:cs="Arial"/>
        </w:rPr>
        <w:t>eta Evrope, uključujući i direktive Evropske unije o rodnoj ravnopravnosti i jednakom tretmanu žena i muškaraca: Direktivu Sav</w:t>
      </w:r>
      <w:r>
        <w:rPr>
          <w:rFonts w:eastAsia="Aptos" w:cs="Arial"/>
        </w:rPr>
        <w:t>j</w:t>
      </w:r>
      <w:r w:rsidRPr="00F3124D">
        <w:rPr>
          <w:rFonts w:eastAsia="Aptos" w:cs="Arial"/>
        </w:rPr>
        <w:t>eta 79/7/E</w:t>
      </w:r>
      <w:r w:rsidR="00EA1B2F">
        <w:rPr>
          <w:rFonts w:eastAsia="Aptos" w:cs="Arial"/>
        </w:rPr>
        <w:t>EZ</w:t>
      </w:r>
      <w:r w:rsidRPr="00F3124D">
        <w:rPr>
          <w:rFonts w:eastAsia="Aptos" w:cs="Arial"/>
        </w:rPr>
        <w:t xml:space="preserve"> o postepenoj prim</w:t>
      </w:r>
      <w:r>
        <w:rPr>
          <w:rFonts w:eastAsia="Aptos" w:cs="Arial"/>
        </w:rPr>
        <w:t>j</w:t>
      </w:r>
      <w:r w:rsidRPr="00F3124D">
        <w:rPr>
          <w:rFonts w:eastAsia="Aptos" w:cs="Arial"/>
        </w:rPr>
        <w:t xml:space="preserve">eni načela jednakog tretmana muškaraca i žena </w:t>
      </w:r>
      <w:r w:rsidRPr="00F3124D">
        <w:rPr>
          <w:rFonts w:eastAsia="Aptos" w:cs="Arial"/>
        </w:rPr>
        <w:lastRenderedPageBreak/>
        <w:t>u pitanjima socijalne zaštite; Direktivu Sav</w:t>
      </w:r>
      <w:r>
        <w:rPr>
          <w:rFonts w:eastAsia="Aptos" w:cs="Arial"/>
        </w:rPr>
        <w:t>j</w:t>
      </w:r>
      <w:r w:rsidRPr="00F3124D">
        <w:rPr>
          <w:rFonts w:eastAsia="Aptos" w:cs="Arial"/>
        </w:rPr>
        <w:t>eta 2000/78/</w:t>
      </w:r>
      <w:r w:rsidR="00EA1B2F">
        <w:rPr>
          <w:rFonts w:eastAsia="Aptos" w:cs="Arial"/>
        </w:rPr>
        <w:t>EZ</w:t>
      </w:r>
      <w:r w:rsidRPr="00F3124D">
        <w:rPr>
          <w:rFonts w:eastAsia="Aptos" w:cs="Arial"/>
        </w:rPr>
        <w:t xml:space="preserve"> o uspostavljanju opšteg okvira za ravnopravno postupanje u oblasti zapošljavanja i zanimanja; Direktivu Sav</w:t>
      </w:r>
      <w:r>
        <w:rPr>
          <w:rFonts w:eastAsia="Aptos" w:cs="Arial"/>
        </w:rPr>
        <w:t>j</w:t>
      </w:r>
      <w:r w:rsidRPr="00F3124D">
        <w:rPr>
          <w:rFonts w:eastAsia="Aptos" w:cs="Arial"/>
        </w:rPr>
        <w:t>eta 2004/113/</w:t>
      </w:r>
      <w:r w:rsidR="00EA1B2F">
        <w:rPr>
          <w:rFonts w:eastAsia="Aptos" w:cs="Arial"/>
        </w:rPr>
        <w:t>EZ</w:t>
      </w:r>
      <w:r w:rsidRPr="00F3124D">
        <w:rPr>
          <w:rFonts w:eastAsia="Aptos" w:cs="Arial"/>
        </w:rPr>
        <w:t xml:space="preserve"> o sprovođenju načela jednakog tretmana muškaraca i žena u pogledu pristupa robama i uslugama i njihovog snabd</w:t>
      </w:r>
      <w:r>
        <w:rPr>
          <w:rFonts w:eastAsia="Aptos" w:cs="Arial"/>
        </w:rPr>
        <w:t>ij</w:t>
      </w:r>
      <w:r w:rsidRPr="00F3124D">
        <w:rPr>
          <w:rFonts w:eastAsia="Aptos" w:cs="Arial"/>
        </w:rPr>
        <w:t>evanja; Direktivu 2006/54/</w:t>
      </w:r>
      <w:r w:rsidR="00EA1B2F">
        <w:rPr>
          <w:rFonts w:eastAsia="Aptos" w:cs="Arial"/>
        </w:rPr>
        <w:t>EZ</w:t>
      </w:r>
      <w:r w:rsidRPr="00F3124D">
        <w:rPr>
          <w:rFonts w:eastAsia="Aptos" w:cs="Arial"/>
        </w:rPr>
        <w:t xml:space="preserve"> Evropskog parlamenta i Sav</w:t>
      </w:r>
      <w:r>
        <w:rPr>
          <w:rFonts w:eastAsia="Aptos" w:cs="Arial"/>
        </w:rPr>
        <w:t>j</w:t>
      </w:r>
      <w:r w:rsidRPr="00F3124D">
        <w:rPr>
          <w:rFonts w:eastAsia="Aptos" w:cs="Arial"/>
        </w:rPr>
        <w:t>eta o prim</w:t>
      </w:r>
      <w:r>
        <w:rPr>
          <w:rFonts w:eastAsia="Aptos" w:cs="Arial"/>
        </w:rPr>
        <w:t>j</w:t>
      </w:r>
      <w:r w:rsidRPr="00F3124D">
        <w:rPr>
          <w:rFonts w:eastAsia="Aptos" w:cs="Arial"/>
        </w:rPr>
        <w:t>eni načela jednakih mogućnosti i jednakog tretmana muškaraca i žena u pitanjima zapošljavanja i zanimanja; i Direktivu 2010/41/EU Evropskog parlamenta i Sav</w:t>
      </w:r>
      <w:r>
        <w:rPr>
          <w:rFonts w:eastAsia="Aptos" w:cs="Arial"/>
        </w:rPr>
        <w:t>j</w:t>
      </w:r>
      <w:r w:rsidRPr="00F3124D">
        <w:rPr>
          <w:rFonts w:eastAsia="Aptos" w:cs="Arial"/>
        </w:rPr>
        <w:t>eta o prim</w:t>
      </w:r>
      <w:r>
        <w:rPr>
          <w:rFonts w:eastAsia="Aptos" w:cs="Arial"/>
        </w:rPr>
        <w:t>j</w:t>
      </w:r>
      <w:r w:rsidRPr="00F3124D">
        <w:rPr>
          <w:rFonts w:eastAsia="Aptos" w:cs="Arial"/>
        </w:rPr>
        <w:t>eni načela jednakog tretmana između muškaraca i žena koji su angažovani u samostalnim d</w:t>
      </w:r>
      <w:r>
        <w:rPr>
          <w:rFonts w:eastAsia="Aptos" w:cs="Arial"/>
        </w:rPr>
        <w:t>j</w:t>
      </w:r>
      <w:r w:rsidRPr="00F3124D">
        <w:rPr>
          <w:rFonts w:eastAsia="Aptos" w:cs="Arial"/>
        </w:rPr>
        <w:t>elatnostima i o stavljanju van snage Direktive Saveta 86/613/E</w:t>
      </w:r>
      <w:r w:rsidR="00EA1B2F">
        <w:rPr>
          <w:rFonts w:eastAsia="Aptos" w:cs="Arial"/>
        </w:rPr>
        <w:t>EZ</w:t>
      </w:r>
      <w:r w:rsidRPr="00F3124D">
        <w:rPr>
          <w:rFonts w:eastAsia="Aptos" w:cs="Arial"/>
        </w:rPr>
        <w:t>.</w:t>
      </w:r>
    </w:p>
    <w:p w14:paraId="36E0100E" w14:textId="4CD4A8D9" w:rsidR="00441C14" w:rsidRDefault="00441C14" w:rsidP="001C0578">
      <w:pPr>
        <w:rPr>
          <w:rFonts w:eastAsia="Aptos" w:cs="Arial"/>
        </w:rPr>
      </w:pPr>
      <w:r w:rsidRPr="00441C14">
        <w:rPr>
          <w:rFonts w:eastAsia="Aptos" w:cs="Arial"/>
        </w:rPr>
        <w:t xml:space="preserve">Nakon usvajanja </w:t>
      </w:r>
      <w:r w:rsidRPr="00441C14">
        <w:rPr>
          <w:rFonts w:eastAsia="Aptos" w:cs="Arial"/>
          <w:i/>
        </w:rPr>
        <w:t>Zakona o zaštiti jednakosti i zabrani diskriminacije</w:t>
      </w:r>
      <w:r w:rsidRPr="00441C14">
        <w:rPr>
          <w:rFonts w:eastAsia="Aptos" w:cs="Arial"/>
        </w:rPr>
        <w:t>, neophodno je izvršiti izm</w:t>
      </w:r>
      <w:r>
        <w:rPr>
          <w:rFonts w:eastAsia="Aptos" w:cs="Arial"/>
        </w:rPr>
        <w:t>j</w:t>
      </w:r>
      <w:r w:rsidRPr="00441C14">
        <w:rPr>
          <w:rFonts w:eastAsia="Aptos" w:cs="Arial"/>
        </w:rPr>
        <w:t xml:space="preserve">enu postojećeg </w:t>
      </w:r>
      <w:r w:rsidRPr="00441C14">
        <w:rPr>
          <w:rFonts w:eastAsia="Aptos" w:cs="Arial"/>
          <w:i/>
        </w:rPr>
        <w:t>Zakona o ravnopravnosti polova iz 2015. godine</w:t>
      </w:r>
      <w:r w:rsidRPr="00441C14">
        <w:rPr>
          <w:rFonts w:eastAsia="Aptos" w:cs="Arial"/>
        </w:rPr>
        <w:t>, kako bi se u potpunosti uskladio sa Evropskim zakonodavstvom i standardima iz Konvencije o uklanjanju svih oblika diskriminacije prema ženama, kao i drugih ratifikovanih međunarodnih konvencija.</w:t>
      </w:r>
    </w:p>
    <w:p w14:paraId="5E61CAC3" w14:textId="68AC7C65" w:rsidR="00441C14" w:rsidRDefault="00441C14" w:rsidP="001C0578">
      <w:pPr>
        <w:rPr>
          <w:rFonts w:eastAsia="Aptos" w:cs="Arial"/>
        </w:rPr>
      </w:pPr>
      <w:r w:rsidRPr="00441C14">
        <w:rPr>
          <w:rFonts w:eastAsia="Aptos" w:cs="Arial"/>
        </w:rPr>
        <w:t>Kao zemlja kandidat za članstvo u Evropskoj uniji, Crna Gora je posvećena ostvarivanju ciljeva smanjenja rodne diskriminacije, kako je navedeno u zakonodavnim i strateškim dokumentima koje su usvojile Evropska komisija i Sav</w:t>
      </w:r>
      <w:r>
        <w:rPr>
          <w:rFonts w:eastAsia="Aptos" w:cs="Arial"/>
        </w:rPr>
        <w:t>j</w:t>
      </w:r>
      <w:r w:rsidRPr="00441C14">
        <w:rPr>
          <w:rFonts w:eastAsia="Aptos" w:cs="Arial"/>
        </w:rPr>
        <w:t xml:space="preserve">et Evrope. </w:t>
      </w:r>
      <w:r w:rsidRPr="00441C14">
        <w:rPr>
          <w:rFonts w:eastAsia="Aptos" w:cs="Arial"/>
          <w:i/>
        </w:rPr>
        <w:t>Nacionalna strategija za rodnu ravnopravnost u Crnoj Gori za period 2021-2025</w:t>
      </w:r>
      <w:r w:rsidRPr="00441C14">
        <w:rPr>
          <w:rFonts w:eastAsia="Aptos" w:cs="Arial"/>
        </w:rPr>
        <w:t>. usklađena je sa politikama EU u ovoj oblasti, od kojih je najvažnija Strategija Evropske unije za rodnu ravnopravnost 2020-2025. Nova Strategija za rodnu ravnopravnost za period 2025-2029. je trenutno u fazi izrade.</w:t>
      </w:r>
    </w:p>
    <w:p w14:paraId="663B4995" w14:textId="1AF64EAB" w:rsidR="001C0578" w:rsidRPr="00B83578" w:rsidRDefault="00441C14" w:rsidP="000B0955">
      <w:pPr>
        <w:pStyle w:val="Heading4"/>
      </w:pPr>
      <w:r w:rsidRPr="00441C14">
        <w:t>Spr</w:t>
      </w:r>
      <w:r>
        <w:t>ij</w:t>
      </w:r>
      <w:r w:rsidRPr="00441C14">
        <w:t>ečiti svaku diskriminaciju zasnovanu na polu, rasnom ili etničkom por</w:t>
      </w:r>
      <w:r>
        <w:t>ij</w:t>
      </w:r>
      <w:r w:rsidRPr="00441C14">
        <w:t>eklu, v</w:t>
      </w:r>
      <w:r>
        <w:t>j</w:t>
      </w:r>
      <w:r w:rsidRPr="00441C14">
        <w:t>eroispovesti ili uv</w:t>
      </w:r>
      <w:r>
        <w:t>j</w:t>
      </w:r>
      <w:r w:rsidRPr="00441C14">
        <w:t>erenju, invaliditetu, starosnoj dobi ili seksualnoj orijentaciji. Posebno, obezb</w:t>
      </w:r>
      <w:r>
        <w:t>ij</w:t>
      </w:r>
      <w:r w:rsidRPr="00441C14">
        <w:t>editi pristupačnost za osobe sa invaliditetom</w:t>
      </w:r>
    </w:p>
    <w:p w14:paraId="2D33697F" w14:textId="187ACA92" w:rsidR="00F3124D" w:rsidRPr="00F3124D" w:rsidRDefault="00F3124D" w:rsidP="00F3124D">
      <w:pPr>
        <w:rPr>
          <w:rFonts w:eastAsia="Aptos" w:cs="Arial"/>
        </w:rPr>
      </w:pPr>
      <w:r w:rsidRPr="00F3124D">
        <w:rPr>
          <w:rFonts w:eastAsia="Aptos" w:cs="Arial"/>
        </w:rPr>
        <w:t>Ratifikacijom Konvencije Ujedinjenih nacija o pravima osoba sa invaliditetom (UNCRPD) 2009. godine, Crna Gora je postala strana Konvencije i obavezala se da dosl</w:t>
      </w:r>
      <w:r>
        <w:rPr>
          <w:rFonts w:eastAsia="Aptos" w:cs="Arial"/>
        </w:rPr>
        <w:t>j</w:t>
      </w:r>
      <w:r w:rsidRPr="00F3124D">
        <w:rPr>
          <w:rFonts w:eastAsia="Aptos" w:cs="Arial"/>
        </w:rPr>
        <w:t>edno prim</w:t>
      </w:r>
      <w:r>
        <w:rPr>
          <w:rFonts w:eastAsia="Aptos" w:cs="Arial"/>
        </w:rPr>
        <w:t>j</w:t>
      </w:r>
      <w:r w:rsidRPr="00F3124D">
        <w:rPr>
          <w:rFonts w:eastAsia="Aptos" w:cs="Arial"/>
        </w:rPr>
        <w:t xml:space="preserve">enjuje sve odredbe ovog međunarodnog ugovora. Vlada Crne Gore je usvojila </w:t>
      </w:r>
      <w:r w:rsidRPr="00F3124D">
        <w:rPr>
          <w:rFonts w:eastAsia="Aptos" w:cs="Arial"/>
          <w:i/>
        </w:rPr>
        <w:t>Strategiju zaštite osoba sa invaliditetom od diskriminacije i promocije ravnopravnosti za period 2022–2027. godine</w:t>
      </w:r>
      <w:r w:rsidRPr="00F3124D">
        <w:rPr>
          <w:rFonts w:eastAsia="Aptos" w:cs="Arial"/>
        </w:rPr>
        <w:t>, u cilju dosl</w:t>
      </w:r>
      <w:r>
        <w:rPr>
          <w:rFonts w:eastAsia="Aptos" w:cs="Arial"/>
        </w:rPr>
        <w:t>j</w:t>
      </w:r>
      <w:r w:rsidRPr="00F3124D">
        <w:rPr>
          <w:rFonts w:eastAsia="Aptos" w:cs="Arial"/>
        </w:rPr>
        <w:t>edne prim</w:t>
      </w:r>
      <w:r>
        <w:rPr>
          <w:rFonts w:eastAsia="Aptos" w:cs="Arial"/>
        </w:rPr>
        <w:t>j</w:t>
      </w:r>
      <w:r w:rsidRPr="00F3124D">
        <w:rPr>
          <w:rFonts w:eastAsia="Aptos" w:cs="Arial"/>
        </w:rPr>
        <w:t>ene Konvencije. U okviru praćenja sprovođenja Konvencije, kontinuirano se analizira usklađenost nacrta i pr</w:t>
      </w:r>
      <w:r>
        <w:rPr>
          <w:rFonts w:eastAsia="Aptos" w:cs="Arial"/>
        </w:rPr>
        <w:t>ij</w:t>
      </w:r>
      <w:r w:rsidRPr="00F3124D">
        <w:rPr>
          <w:rFonts w:eastAsia="Aptos" w:cs="Arial"/>
        </w:rPr>
        <w:t>edloga novih propisa koji se neposredno tiču prava osoba sa invaliditetom sa odredbama Konvencije.</w:t>
      </w:r>
    </w:p>
    <w:p w14:paraId="26CC9B05" w14:textId="36BC5F70" w:rsidR="00F3124D" w:rsidRDefault="00F3124D" w:rsidP="00F3124D">
      <w:pPr>
        <w:rPr>
          <w:rFonts w:eastAsia="Aptos" w:cs="Arial"/>
        </w:rPr>
      </w:pPr>
      <w:r w:rsidRPr="00F3124D">
        <w:rPr>
          <w:rFonts w:eastAsia="Aptos" w:cs="Arial"/>
        </w:rPr>
        <w:t>U oblasti političkog i javnog života, postojeći pravni okvir koji reguliše pitanja političkog učešća građana je d</w:t>
      </w:r>
      <w:r>
        <w:rPr>
          <w:rFonts w:eastAsia="Aptos" w:cs="Arial"/>
        </w:rPr>
        <w:t>j</w:t>
      </w:r>
      <w:r w:rsidRPr="00F3124D">
        <w:rPr>
          <w:rFonts w:eastAsia="Aptos" w:cs="Arial"/>
        </w:rPr>
        <w:t xml:space="preserve">elimično usklađen sa Konvencijom o pravima osoba sa invaliditetom Ujedinjenih nacija. Zbog toga se planira usklađivanje </w:t>
      </w:r>
      <w:r w:rsidRPr="00F3124D">
        <w:rPr>
          <w:rFonts w:eastAsia="Aptos" w:cs="Arial"/>
          <w:i/>
        </w:rPr>
        <w:t>Zakona o izboru odbornika i poslanika</w:t>
      </w:r>
      <w:r w:rsidRPr="00F3124D">
        <w:rPr>
          <w:rFonts w:eastAsia="Aptos" w:cs="Arial"/>
        </w:rPr>
        <w:t xml:space="preserve"> radi unapr</w:t>
      </w:r>
      <w:r>
        <w:rPr>
          <w:rFonts w:eastAsia="Aptos" w:cs="Arial"/>
        </w:rPr>
        <w:t>j</w:t>
      </w:r>
      <w:r w:rsidRPr="00F3124D">
        <w:rPr>
          <w:rFonts w:eastAsia="Aptos" w:cs="Arial"/>
        </w:rPr>
        <w:t xml:space="preserve">eđenja stepena političkog učešća osoba sa invaliditetom, kao i </w:t>
      </w:r>
      <w:r w:rsidRPr="00F3124D">
        <w:rPr>
          <w:rFonts w:eastAsia="Aptos" w:cs="Arial"/>
          <w:i/>
        </w:rPr>
        <w:t>Zakona o političkim partijama</w:t>
      </w:r>
      <w:r w:rsidRPr="00F3124D">
        <w:rPr>
          <w:rFonts w:eastAsia="Aptos" w:cs="Arial"/>
        </w:rPr>
        <w:t>, u d</w:t>
      </w:r>
      <w:r>
        <w:rPr>
          <w:rFonts w:eastAsia="Aptos" w:cs="Arial"/>
        </w:rPr>
        <w:t>ij</w:t>
      </w:r>
      <w:r w:rsidRPr="00F3124D">
        <w:rPr>
          <w:rFonts w:eastAsia="Aptos" w:cs="Arial"/>
        </w:rPr>
        <w:t>elu koji se odnosi na unapr</w:t>
      </w:r>
      <w:r>
        <w:rPr>
          <w:rFonts w:eastAsia="Aptos" w:cs="Arial"/>
        </w:rPr>
        <w:t>j</w:t>
      </w:r>
      <w:r w:rsidRPr="00F3124D">
        <w:rPr>
          <w:rFonts w:eastAsia="Aptos" w:cs="Arial"/>
        </w:rPr>
        <w:t>eđenje stepena političkog učešća osoba sa invaliditetom, u periodu 2024–2025. godine.</w:t>
      </w:r>
    </w:p>
    <w:p w14:paraId="26E206DC" w14:textId="111D8CC8" w:rsidR="00F3124D" w:rsidRPr="00F3124D" w:rsidRDefault="00F3124D" w:rsidP="00F3124D">
      <w:pPr>
        <w:rPr>
          <w:rFonts w:eastAsia="Aptos" w:cs="Arial"/>
        </w:rPr>
      </w:pPr>
      <w:r w:rsidRPr="00F3124D">
        <w:rPr>
          <w:rFonts w:eastAsia="Aptos" w:cs="Arial"/>
        </w:rPr>
        <w:t>Izm</w:t>
      </w:r>
      <w:r>
        <w:rPr>
          <w:rFonts w:eastAsia="Aptos" w:cs="Arial"/>
        </w:rPr>
        <w:t>j</w:t>
      </w:r>
      <w:r w:rsidRPr="00F3124D">
        <w:rPr>
          <w:rFonts w:eastAsia="Aptos" w:cs="Arial"/>
        </w:rPr>
        <w:t>ene i dopune Zakona o zaštiti ravnopravnosti i zabrani diskriminacije, planirane za 2024. godinu, doprin</w:t>
      </w:r>
      <w:r>
        <w:rPr>
          <w:rFonts w:eastAsia="Aptos" w:cs="Arial"/>
        </w:rPr>
        <w:t>ij</w:t>
      </w:r>
      <w:r w:rsidRPr="00F3124D">
        <w:rPr>
          <w:rFonts w:eastAsia="Aptos" w:cs="Arial"/>
        </w:rPr>
        <w:t>eće usklađivanju sa Konvencijom, u d</w:t>
      </w:r>
      <w:r>
        <w:rPr>
          <w:rFonts w:eastAsia="Aptos" w:cs="Arial"/>
        </w:rPr>
        <w:t>ij</w:t>
      </w:r>
      <w:r w:rsidRPr="00F3124D">
        <w:rPr>
          <w:rFonts w:eastAsia="Aptos" w:cs="Arial"/>
        </w:rPr>
        <w:t xml:space="preserve">elu koji se odnosi na zabranu svih oblika diskriminacije definisanih Konvencijom UN-a, a koji nedostaju u postojećem Zakonu. Usvajanje </w:t>
      </w:r>
      <w:r w:rsidRPr="00F9387A">
        <w:rPr>
          <w:rFonts w:eastAsia="Aptos" w:cs="Arial"/>
          <w:i/>
        </w:rPr>
        <w:t>Zakona o socijalnoj i dječjoj zaštiti</w:t>
      </w:r>
      <w:r w:rsidRPr="00F3124D">
        <w:rPr>
          <w:rFonts w:eastAsia="Aptos" w:cs="Arial"/>
        </w:rPr>
        <w:t>, planirano za 2025. godinu, baviće se pitanjem materijalnih davanja i usluga i njihovim usklađivanjem sa odredbama UNCRPD (Konvencija Ujedinjenih nacija o pravima osoba sa invaliditetom). Navedeni zakon će unaprijediti materijalna davanja i usluge iz socijalne i dječje zaštite i uskladiti ih sa odredbama Konvencije.</w:t>
      </w:r>
    </w:p>
    <w:p w14:paraId="58CB5660" w14:textId="6F007821" w:rsidR="00F3124D" w:rsidRDefault="00F3124D" w:rsidP="00F3124D">
      <w:pPr>
        <w:rPr>
          <w:rFonts w:eastAsia="Aptos" w:cs="Arial"/>
        </w:rPr>
      </w:pPr>
      <w:r w:rsidRPr="00F3124D">
        <w:rPr>
          <w:rFonts w:eastAsia="Aptos" w:cs="Arial"/>
        </w:rPr>
        <w:t>Zaštitnik ljudskih prava i sloboda Crne Gore (</w:t>
      </w:r>
      <w:r w:rsidR="00645072">
        <w:rPr>
          <w:rFonts w:eastAsia="Aptos" w:cs="Arial"/>
        </w:rPr>
        <w:t>NILJP</w:t>
      </w:r>
      <w:r w:rsidRPr="00F3124D">
        <w:rPr>
          <w:rFonts w:eastAsia="Aptos" w:cs="Arial"/>
        </w:rPr>
        <w:t xml:space="preserve">) uspostavio je nezavisni mehanizam za </w:t>
      </w:r>
      <w:r w:rsidR="00A80895" w:rsidRPr="00A80895">
        <w:rPr>
          <w:rFonts w:eastAsia="Aptos" w:cs="Arial"/>
        </w:rPr>
        <w:t>monitoring</w:t>
      </w:r>
      <w:r w:rsidRPr="00F3124D">
        <w:rPr>
          <w:rFonts w:eastAsia="Aptos" w:cs="Arial"/>
        </w:rPr>
        <w:t xml:space="preserve"> promocije, zaštite i praćenja sprovođenja UNCRPD u Crnoj Gori. Mehanizam se sastoji od predstavnika deset organizacija osoba sa invaliditetom i udruženja roditelja djece sa smetnjama u razvoju, kao i predstavnika Zaštitnika.</w:t>
      </w:r>
    </w:p>
    <w:p w14:paraId="77CEE0FB" w14:textId="7C6A9CB7" w:rsidR="00F9387A" w:rsidRDefault="00F9387A" w:rsidP="001C0578">
      <w:pPr>
        <w:rPr>
          <w:rFonts w:eastAsia="Aptos" w:cs="Arial"/>
        </w:rPr>
      </w:pPr>
      <w:r>
        <w:rPr>
          <w:rFonts w:eastAsia="Aptos" w:cs="Arial"/>
        </w:rPr>
        <w:t xml:space="preserve">U cilju </w:t>
      </w:r>
      <w:r w:rsidRPr="00F9387A">
        <w:rPr>
          <w:rFonts w:eastAsia="Aptos" w:cs="Arial"/>
        </w:rPr>
        <w:t>unapr</w:t>
      </w:r>
      <w:r>
        <w:rPr>
          <w:rFonts w:eastAsia="Aptos" w:cs="Arial"/>
        </w:rPr>
        <w:t>j</w:t>
      </w:r>
      <w:r w:rsidRPr="00F9387A">
        <w:rPr>
          <w:rFonts w:eastAsia="Aptos" w:cs="Arial"/>
        </w:rPr>
        <w:t>eđenja trenutnog stanja i položaja romske i egipćanske zajednice u Crnoj Gori i obezb</w:t>
      </w:r>
      <w:r>
        <w:rPr>
          <w:rFonts w:eastAsia="Aptos" w:cs="Arial"/>
        </w:rPr>
        <w:t>j</w:t>
      </w:r>
      <w:r w:rsidRPr="00F9387A">
        <w:rPr>
          <w:rFonts w:eastAsia="Aptos" w:cs="Arial"/>
        </w:rPr>
        <w:t xml:space="preserve">eđivanja prava garantovanih Ustavom i drugim pravnim aktima, kao i borbe protiv svih oblika diskriminacije i segregacije, na snazi je </w:t>
      </w:r>
      <w:r w:rsidRPr="00F9387A">
        <w:rPr>
          <w:rFonts w:eastAsia="Aptos" w:cs="Arial"/>
          <w:i/>
        </w:rPr>
        <w:t>Strategija za socijalnu inkluziju Roma i Egipćana za period 2021–2025</w:t>
      </w:r>
      <w:r w:rsidRPr="00F9387A">
        <w:rPr>
          <w:rFonts w:eastAsia="Aptos" w:cs="Arial"/>
        </w:rPr>
        <w:t>, zajedno sa pratećim akcionim planovima. Ključni cilj Strategije je unapr</w:t>
      </w:r>
      <w:r>
        <w:rPr>
          <w:rFonts w:eastAsia="Aptos" w:cs="Arial"/>
        </w:rPr>
        <w:t>j</w:t>
      </w:r>
      <w:r w:rsidRPr="00F9387A">
        <w:rPr>
          <w:rFonts w:eastAsia="Aptos" w:cs="Arial"/>
        </w:rPr>
        <w:t>eđenje socio-ekonomskog i pravnog statusa Roma i Egipćana u Crnoj Gori izgradnjom inkluzivnog i otvorenog društva koje se zasniva na suzbijanju i eliminaciji svih oblika diskriminacije, antiromizma i siromaštva. Nova petogodišnja Strategija za socijalnu inkluziju Roma i Egipćana biće pripremljena 2025. godine i usvojena tokom 2026. godine.</w:t>
      </w:r>
    </w:p>
    <w:p w14:paraId="6D5438DB" w14:textId="174336A0" w:rsidR="001C0578" w:rsidRPr="00B83578" w:rsidRDefault="00441C14" w:rsidP="000B0955">
      <w:pPr>
        <w:pStyle w:val="Heading4"/>
      </w:pPr>
      <w:r w:rsidRPr="00441C14">
        <w:lastRenderedPageBreak/>
        <w:t xml:space="preserve">Promovisanje održivog razvoja, kako je navedeno u članu 11 </w:t>
      </w:r>
      <w:r>
        <w:t>TFEU</w:t>
      </w:r>
      <w:r w:rsidRPr="00441C14">
        <w:t>, uzimajući u obzir Ciljeve održivog razvoja UN (</w:t>
      </w:r>
      <w:r>
        <w:t>SDG</w:t>
      </w:r>
      <w:r w:rsidRPr="00441C14">
        <w:t>) i Pariski sporazum; poštovanje</w:t>
      </w:r>
      <w:r>
        <w:t xml:space="preserve"> pravne tekovine Unije u oblasti životne sredine i principa “Ne nanosi značajnu štetu” (</w:t>
      </w:r>
      <w:r w:rsidR="00CD0020">
        <w:t>NNZŠ</w:t>
      </w:r>
      <w:r>
        <w:t>)</w:t>
      </w:r>
      <w:r w:rsidRPr="00441C14">
        <w:t xml:space="preserve"> </w:t>
      </w:r>
    </w:p>
    <w:p w14:paraId="7C709458" w14:textId="715CCBD8" w:rsidR="00F9387A" w:rsidRPr="00F9387A" w:rsidRDefault="00F9387A" w:rsidP="00F9387A">
      <w:pPr>
        <w:rPr>
          <w:rFonts w:eastAsia="Aptos" w:cs="Arial"/>
          <w:iCs/>
        </w:rPr>
      </w:pPr>
      <w:r w:rsidRPr="00F9387A">
        <w:rPr>
          <w:rFonts w:eastAsia="Aptos" w:cs="Arial"/>
          <w:i/>
          <w:iCs/>
        </w:rPr>
        <w:t xml:space="preserve">Nacionalna strategija održivog razvoja Crne Gore do 2030. (NSOR) </w:t>
      </w:r>
      <w:r w:rsidRPr="00F9387A">
        <w:rPr>
          <w:rFonts w:eastAsia="Aptos" w:cs="Arial"/>
          <w:iCs/>
        </w:rPr>
        <w:t>usvojena je 2016. godine s ciljem integracije UN Ciljeva održivog razvoja (SDG) u razvojne ciljeve Crne Gore. Ova strategija predstavlja nasl</w:t>
      </w:r>
      <w:r>
        <w:rPr>
          <w:rFonts w:eastAsia="Aptos" w:cs="Arial"/>
          <w:iCs/>
        </w:rPr>
        <w:t>j</w:t>
      </w:r>
      <w:r w:rsidRPr="00F9387A">
        <w:rPr>
          <w:rFonts w:eastAsia="Aptos" w:cs="Arial"/>
          <w:iCs/>
        </w:rPr>
        <w:t>ednika prethodne Nacionalne strategije održivog razvoja usvojene 2007. godine. Crna Gora je 2016. godine potpisala Pari</w:t>
      </w:r>
      <w:r>
        <w:rPr>
          <w:rFonts w:eastAsia="Aptos" w:cs="Arial"/>
          <w:iCs/>
        </w:rPr>
        <w:t>š</w:t>
      </w:r>
      <w:r w:rsidRPr="00F9387A">
        <w:rPr>
          <w:rFonts w:eastAsia="Aptos" w:cs="Arial"/>
          <w:iCs/>
        </w:rPr>
        <w:t xml:space="preserve">ku povelju. U 2021. godini, Crna Gora je povećala svoj „Nacionalno utvrđen </w:t>
      </w:r>
      <w:proofErr w:type="gramStart"/>
      <w:r w:rsidRPr="00F9387A">
        <w:rPr>
          <w:rFonts w:eastAsia="Aptos" w:cs="Arial"/>
          <w:iCs/>
        </w:rPr>
        <w:t>doprinos“ (</w:t>
      </w:r>
      <w:proofErr w:type="gramEnd"/>
      <w:r w:rsidRPr="00F9387A">
        <w:rPr>
          <w:rFonts w:eastAsia="Aptos" w:cs="Arial"/>
          <w:iCs/>
        </w:rPr>
        <w:t>NDC) obavezavši se da će do 2030. smanjiti emisije gasova sa efektom staklene bašte za 35% u odnosu na nivo iz 1990. godine.</w:t>
      </w:r>
    </w:p>
    <w:p w14:paraId="165EB6B7" w14:textId="4816F6FF" w:rsidR="00F9387A" w:rsidRPr="00F9387A" w:rsidRDefault="00F9387A" w:rsidP="00F9387A">
      <w:pPr>
        <w:rPr>
          <w:rFonts w:eastAsia="Aptos" w:cs="Arial"/>
          <w:iCs/>
        </w:rPr>
      </w:pPr>
      <w:r w:rsidRPr="00F9387A">
        <w:rPr>
          <w:rFonts w:eastAsia="Aptos" w:cs="Arial"/>
          <w:iCs/>
        </w:rPr>
        <w:t>Izv</w:t>
      </w:r>
      <w:r>
        <w:rPr>
          <w:rFonts w:eastAsia="Aptos" w:cs="Arial"/>
          <w:iCs/>
        </w:rPr>
        <w:t>j</w:t>
      </w:r>
      <w:r w:rsidRPr="00F9387A">
        <w:rPr>
          <w:rFonts w:eastAsia="Aptos" w:cs="Arial"/>
          <w:iCs/>
        </w:rPr>
        <w:t>eštaj o održivom razvoju (https://dashboards.sdgindex.org/) predstavlja globalnu proc</w:t>
      </w:r>
      <w:r>
        <w:rPr>
          <w:rFonts w:eastAsia="Aptos" w:cs="Arial"/>
          <w:iCs/>
        </w:rPr>
        <w:t>j</w:t>
      </w:r>
      <w:r w:rsidRPr="00F9387A">
        <w:rPr>
          <w:rFonts w:eastAsia="Aptos" w:cs="Arial"/>
          <w:iCs/>
        </w:rPr>
        <w:t xml:space="preserve">enu napretka zemalja ka ostvarivanju Ciljeva održivog razvoja. On dopunjuje zvanične SDG indikatore i dobrovoljne nacionalne </w:t>
      </w:r>
      <w:r w:rsidR="00671D09">
        <w:rPr>
          <w:rFonts w:eastAsia="Aptos" w:cs="Arial"/>
          <w:iCs/>
        </w:rPr>
        <w:t>izvještaj</w:t>
      </w:r>
      <w:r w:rsidRPr="00F9387A">
        <w:rPr>
          <w:rFonts w:eastAsia="Aptos" w:cs="Arial"/>
          <w:iCs/>
        </w:rPr>
        <w:t xml:space="preserve">e. </w:t>
      </w:r>
      <w:r>
        <w:rPr>
          <w:rFonts w:eastAsia="Aptos" w:cs="Arial"/>
          <w:iCs/>
        </w:rPr>
        <w:t>Sveobuhvatna</w:t>
      </w:r>
      <w:r w:rsidRPr="00F9387A">
        <w:rPr>
          <w:rFonts w:eastAsia="Aptos" w:cs="Arial"/>
          <w:iCs/>
        </w:rPr>
        <w:t xml:space="preserve"> proc</w:t>
      </w:r>
      <w:r>
        <w:rPr>
          <w:rFonts w:eastAsia="Aptos" w:cs="Arial"/>
          <w:iCs/>
        </w:rPr>
        <w:t>j</w:t>
      </w:r>
      <w:r w:rsidRPr="00F9387A">
        <w:rPr>
          <w:rFonts w:eastAsia="Aptos" w:cs="Arial"/>
          <w:iCs/>
        </w:rPr>
        <w:t>ena m</w:t>
      </w:r>
      <w:r>
        <w:rPr>
          <w:rFonts w:eastAsia="Aptos" w:cs="Arial"/>
          <w:iCs/>
        </w:rPr>
        <w:t>j</w:t>
      </w:r>
      <w:r w:rsidRPr="00F9387A">
        <w:rPr>
          <w:rFonts w:eastAsia="Aptos" w:cs="Arial"/>
          <w:iCs/>
        </w:rPr>
        <w:t>eri napredak ka ostvarivanju svih 17 Ciljeva održivog razvoja. Rezultat se može tumačiti kao procenat ostvarenosti SDG. Rezultat od 100 znači da su svi SDG ostvareni. Prema ovom izvoru, procenat ostvarenih SDG za Crnu Goru u 2023. godini iznosi 48,3%, dok je ograničen napredak postignut kod 31,7% ciljeva. Pogoršanje u ispunjavanju SDG zabeleženo je kod 20% ciljeva. Ipak, u 2023. godini Crna Gora je napredovala za 19 mesta, sa 86. (2021) na 67. mesto od ukupno 166 zemalja.</w:t>
      </w:r>
    </w:p>
    <w:p w14:paraId="74C2C2CA" w14:textId="34E1F55B" w:rsidR="00F9387A" w:rsidRPr="00F9387A" w:rsidRDefault="00F9387A" w:rsidP="00F9387A">
      <w:pPr>
        <w:rPr>
          <w:rFonts w:eastAsia="Aptos" w:cs="Arial"/>
        </w:rPr>
      </w:pPr>
      <w:r w:rsidRPr="00F9387A">
        <w:rPr>
          <w:rFonts w:eastAsia="Aptos" w:cs="Arial"/>
        </w:rPr>
        <w:t>Precizni i jasni podaci su neophodni kako bi se bolje m</w:t>
      </w:r>
      <w:r>
        <w:rPr>
          <w:rFonts w:eastAsia="Aptos" w:cs="Arial"/>
        </w:rPr>
        <w:t>j</w:t>
      </w:r>
      <w:r w:rsidRPr="00F9387A">
        <w:rPr>
          <w:rFonts w:eastAsia="Aptos" w:cs="Arial"/>
        </w:rPr>
        <w:t>erio napredak u ostvarivanju SDG</w:t>
      </w:r>
      <w:r>
        <w:rPr>
          <w:rFonts w:eastAsia="Aptos" w:cs="Arial"/>
        </w:rPr>
        <w:t>-ova</w:t>
      </w:r>
      <w:r w:rsidRPr="00F9387A">
        <w:rPr>
          <w:rFonts w:eastAsia="Aptos" w:cs="Arial"/>
        </w:rPr>
        <w:t xml:space="preserve">. Shodno tome, na inicijativu Kancelarije za održivi razvoj Crne Gore, u saradnji sa Zavodom za statistiku Crne Gore (MONSTAT) i uz podršku Kancelarije rezidentnog koordinatora UN i Ekonomske komisije Ujedinjenih nacija za Evropu (UNECE), krajem 2022. godine razvijena je platforma za </w:t>
      </w:r>
      <w:r w:rsidR="00A80895" w:rsidRPr="00A80895">
        <w:rPr>
          <w:rFonts w:eastAsia="Aptos" w:cs="Arial"/>
        </w:rPr>
        <w:t>monitoring</w:t>
      </w:r>
      <w:r w:rsidRPr="00F9387A">
        <w:rPr>
          <w:rFonts w:eastAsia="Aptos" w:cs="Arial"/>
        </w:rPr>
        <w:t xml:space="preserve"> indikatora održivog razvoja (www.sdgmontenegro.me), prilagođena nacionalnim potrebama. Od tada se podaci na ovoj platformi unose po indikatorima. U Crnoj Gori je prijavljen 131 indikator (63 indikatora prate nacionalne institucije, dok podatke za 68 indikatora o Crnoj Gori prate međunarodne institucije). Uz podršku Kancelarije rezidentnog koordinatora UN, angažovan je konsultant koji trenutno radi na ažuriranju podataka, definisanju statusa indikatora i određivanju prioriteta za njihov budući razvoj.</w:t>
      </w:r>
    </w:p>
    <w:p w14:paraId="63134FDE" w14:textId="1C63EFF5" w:rsidR="00F9387A" w:rsidRDefault="00F9387A" w:rsidP="00F9387A">
      <w:pPr>
        <w:rPr>
          <w:rFonts w:eastAsia="Aptos" w:cs="Arial"/>
        </w:rPr>
      </w:pPr>
      <w:r w:rsidRPr="00F9387A">
        <w:rPr>
          <w:rFonts w:eastAsia="Aptos" w:cs="Arial"/>
        </w:rPr>
        <w:t>Crna Gora ima jasno definisan pravni okvir za proc</w:t>
      </w:r>
      <w:r>
        <w:rPr>
          <w:rFonts w:eastAsia="Aptos" w:cs="Arial"/>
        </w:rPr>
        <w:t>j</w:t>
      </w:r>
      <w:r w:rsidRPr="00F9387A">
        <w:rPr>
          <w:rFonts w:eastAsia="Aptos" w:cs="Arial"/>
        </w:rPr>
        <w:t>ene uticaja na životnu sredinu, uključujući Stratešku proc</w:t>
      </w:r>
      <w:r>
        <w:rPr>
          <w:rFonts w:eastAsia="Aptos" w:cs="Arial"/>
        </w:rPr>
        <w:t>j</w:t>
      </w:r>
      <w:r w:rsidRPr="00F9387A">
        <w:rPr>
          <w:rFonts w:eastAsia="Aptos" w:cs="Arial"/>
        </w:rPr>
        <w:t>enu uticaja na životnu sredinu (</w:t>
      </w:r>
      <w:r w:rsidR="00C17022">
        <w:rPr>
          <w:rFonts w:eastAsia="Aptos" w:cs="Arial"/>
        </w:rPr>
        <w:t>SPUŽS</w:t>
      </w:r>
      <w:r w:rsidRPr="00F9387A">
        <w:rPr>
          <w:rFonts w:eastAsia="Aptos" w:cs="Arial"/>
        </w:rPr>
        <w:t>) i Proc</w:t>
      </w:r>
      <w:r>
        <w:rPr>
          <w:rFonts w:eastAsia="Aptos" w:cs="Arial"/>
        </w:rPr>
        <w:t>j</w:t>
      </w:r>
      <w:r w:rsidRPr="00F9387A">
        <w:rPr>
          <w:rFonts w:eastAsia="Aptos" w:cs="Arial"/>
        </w:rPr>
        <w:t>enu uticaja na životnu sredinu (</w:t>
      </w:r>
      <w:r w:rsidR="00603905">
        <w:rPr>
          <w:rFonts w:eastAsia="Aptos" w:cs="Arial"/>
        </w:rPr>
        <w:t>PUŽS</w:t>
      </w:r>
      <w:r w:rsidRPr="00F9387A">
        <w:rPr>
          <w:rFonts w:eastAsia="Aptos" w:cs="Arial"/>
        </w:rPr>
        <w:t>). Zakon o strateškoj proc</w:t>
      </w:r>
      <w:r>
        <w:rPr>
          <w:rFonts w:eastAsia="Aptos" w:cs="Arial"/>
        </w:rPr>
        <w:t>j</w:t>
      </w:r>
      <w:r w:rsidRPr="00F9387A">
        <w:rPr>
          <w:rFonts w:eastAsia="Aptos" w:cs="Arial"/>
        </w:rPr>
        <w:t>eni uticaja na životnu sredinu</w:t>
      </w:r>
      <w:r w:rsidRPr="00B83578">
        <w:rPr>
          <w:rFonts w:eastAsia="Aptos" w:cs="Arial"/>
          <w:color w:val="000000" w:themeColor="text1"/>
          <w:sz w:val="22"/>
          <w:vertAlign w:val="superscript"/>
        </w:rPr>
        <w:footnoteReference w:id="97"/>
      </w:r>
      <w:r w:rsidRPr="00F9387A">
        <w:rPr>
          <w:rFonts w:eastAsia="Aptos" w:cs="Arial"/>
        </w:rPr>
        <w:t xml:space="preserve"> obezb</w:t>
      </w:r>
      <w:r>
        <w:rPr>
          <w:rFonts w:eastAsia="Aptos" w:cs="Arial"/>
        </w:rPr>
        <w:t>j</w:t>
      </w:r>
      <w:r w:rsidRPr="00F9387A">
        <w:rPr>
          <w:rFonts w:eastAsia="Aptos" w:cs="Arial"/>
        </w:rPr>
        <w:t>eđuje da se razmatranje zaštite životne sredine u potpunosti uključi u proces donošenja politika, dok Zakon o proc</w:t>
      </w:r>
      <w:r>
        <w:rPr>
          <w:rFonts w:eastAsia="Aptos" w:cs="Arial"/>
        </w:rPr>
        <w:t>j</w:t>
      </w:r>
      <w:r w:rsidRPr="00F9387A">
        <w:rPr>
          <w:rFonts w:eastAsia="Aptos" w:cs="Arial"/>
        </w:rPr>
        <w:t>eni uticaja na životnu sredinu</w:t>
      </w:r>
      <w:r w:rsidR="00DF2737" w:rsidRPr="00B83578">
        <w:rPr>
          <w:rFonts w:eastAsia="Aptos" w:cs="Arial"/>
          <w:color w:val="000000" w:themeColor="text1"/>
          <w:sz w:val="22"/>
          <w:vertAlign w:val="superscript"/>
        </w:rPr>
        <w:footnoteReference w:id="98"/>
      </w:r>
      <w:r w:rsidRPr="00F9387A">
        <w:rPr>
          <w:rFonts w:eastAsia="Aptos" w:cs="Arial"/>
        </w:rPr>
        <w:t xml:space="preserve"> nalaže proc</w:t>
      </w:r>
      <w:r>
        <w:rPr>
          <w:rFonts w:eastAsia="Aptos" w:cs="Arial"/>
        </w:rPr>
        <w:t>j</w:t>
      </w:r>
      <w:r w:rsidRPr="00F9387A">
        <w:rPr>
          <w:rFonts w:eastAsia="Aptos" w:cs="Arial"/>
        </w:rPr>
        <w:t>enu potencijalnih uticaja na životnu sredinu predloženih projekata. Oba zakona, koja se sprovode na nacionalnom i lokalnom nivou, u potpunosti su usklađena sa relevantnim zakonodavstvom Evropske unije i od ključnog su značaja za očuvanje održivosti životne sredine i usklađenost sa EU standardima.</w:t>
      </w:r>
    </w:p>
    <w:p w14:paraId="22445F73" w14:textId="34484E66" w:rsidR="00DF2737" w:rsidRPr="00DF2737" w:rsidRDefault="00DF2737" w:rsidP="00DF2737">
      <w:pPr>
        <w:rPr>
          <w:rFonts w:eastAsia="Aptos" w:cs="Arial"/>
        </w:rPr>
      </w:pPr>
      <w:r w:rsidRPr="00DF2737">
        <w:rPr>
          <w:rFonts w:eastAsia="Aptos" w:cs="Arial"/>
        </w:rPr>
        <w:t>Nadležna institucija za proc</w:t>
      </w:r>
      <w:r>
        <w:rPr>
          <w:rFonts w:eastAsia="Aptos" w:cs="Arial"/>
        </w:rPr>
        <w:t>j</w:t>
      </w:r>
      <w:r w:rsidRPr="00DF2737">
        <w:rPr>
          <w:rFonts w:eastAsia="Aptos" w:cs="Arial"/>
        </w:rPr>
        <w:t>enu uticaja na životnu sredinu na nacionalnom i lokalnom nivou je Agencija za zaštitu životne sredine Crne Gore (</w:t>
      </w:r>
      <w:r w:rsidR="00603905">
        <w:rPr>
          <w:rFonts w:eastAsia="Aptos" w:cs="Arial"/>
        </w:rPr>
        <w:t>AZŽS</w:t>
      </w:r>
      <w:r w:rsidRPr="00DF2737">
        <w:rPr>
          <w:rFonts w:eastAsia="Aptos" w:cs="Arial"/>
        </w:rPr>
        <w:t>), dok su za strateške dokumente na nacionalnom i lokalnom nivou nadležne odgovarajuće institucije za sprovodjenje strateške proc</w:t>
      </w:r>
      <w:r>
        <w:rPr>
          <w:rFonts w:eastAsia="Aptos" w:cs="Arial"/>
        </w:rPr>
        <w:t>j</w:t>
      </w:r>
      <w:r w:rsidRPr="00DF2737">
        <w:rPr>
          <w:rFonts w:eastAsia="Aptos" w:cs="Arial"/>
        </w:rPr>
        <w:t xml:space="preserve">ene uticaja na životnu sredinu. </w:t>
      </w:r>
      <w:r w:rsidR="00603905">
        <w:rPr>
          <w:rFonts w:eastAsia="Aptos" w:cs="Arial"/>
        </w:rPr>
        <w:t>AZŽS</w:t>
      </w:r>
      <w:r w:rsidRPr="00DF2737">
        <w:rPr>
          <w:rFonts w:eastAsia="Aptos" w:cs="Arial"/>
        </w:rPr>
        <w:t xml:space="preserve"> je odgovorna za davanje ili odbijanje saglasnosti za </w:t>
      </w:r>
      <w:r w:rsidR="00C17022">
        <w:rPr>
          <w:rFonts w:eastAsia="Aptos" w:cs="Arial"/>
        </w:rPr>
        <w:t>SPUŽS</w:t>
      </w:r>
      <w:r w:rsidRPr="00DF2737">
        <w:rPr>
          <w:rFonts w:eastAsia="Aptos" w:cs="Arial"/>
        </w:rPr>
        <w:t xml:space="preserve"> na nacionalnom nivou. Transparentnost i učešće javnosti su zagarantovani u oba zakona.</w:t>
      </w:r>
    </w:p>
    <w:p w14:paraId="5071DD0D" w14:textId="05BA0422" w:rsidR="00DF2737" w:rsidRDefault="00DF2737" w:rsidP="00DF2737">
      <w:pPr>
        <w:rPr>
          <w:rFonts w:eastAsia="Aptos" w:cs="Arial"/>
        </w:rPr>
      </w:pPr>
      <w:r w:rsidRPr="00DF2737">
        <w:rPr>
          <w:rFonts w:eastAsia="Aptos" w:cs="Arial"/>
        </w:rPr>
        <w:t xml:space="preserve">EU Taksonomija i princip „Ne nanosi značajnu </w:t>
      </w:r>
      <w:proofErr w:type="gramStart"/>
      <w:r w:rsidRPr="00DF2737">
        <w:rPr>
          <w:rFonts w:eastAsia="Aptos" w:cs="Arial"/>
        </w:rPr>
        <w:t>štetu“ u</w:t>
      </w:r>
      <w:proofErr w:type="gramEnd"/>
      <w:r w:rsidRPr="00DF2737">
        <w:rPr>
          <w:rFonts w:eastAsia="Aptos" w:cs="Arial"/>
        </w:rPr>
        <w:t xml:space="preserve"> vezi sa planiranim investicijama u javnu infrastrukturu naglašavaju održivi razvoj i zaštitu životne sredine. Međutim, uprkos sveobuhvatnom pravnom okviru, Crna Gora se suočava sa brojnim izazovima u sprovođenju ovih odredbi, uključujući ograničene administrativne kapacitete, što otežava efikasnu realizaciju i </w:t>
      </w:r>
      <w:r w:rsidR="00A80895" w:rsidRPr="00A80895">
        <w:rPr>
          <w:rFonts w:eastAsia="Aptos" w:cs="Arial"/>
        </w:rPr>
        <w:t>monitoring</w:t>
      </w:r>
      <w:r w:rsidRPr="00DF2737">
        <w:rPr>
          <w:rFonts w:eastAsia="Aptos" w:cs="Arial"/>
        </w:rPr>
        <w:t xml:space="preserve"> politika. Dodatno, usklađivanje javnih investicija sa propisima EU o održivom finansiranju, posebno sa EU Taksonomijom, kao i obezb</w:t>
      </w:r>
      <w:r>
        <w:rPr>
          <w:rFonts w:eastAsia="Aptos" w:cs="Arial"/>
        </w:rPr>
        <w:t>j</w:t>
      </w:r>
      <w:r w:rsidRPr="00DF2737">
        <w:rPr>
          <w:rFonts w:eastAsia="Aptos" w:cs="Arial"/>
        </w:rPr>
        <w:t xml:space="preserve">eđivanje poštovanja principa „Ne nanosi značajnu </w:t>
      </w:r>
      <w:proofErr w:type="gramStart"/>
      <w:r w:rsidRPr="00DF2737">
        <w:rPr>
          <w:rFonts w:eastAsia="Aptos" w:cs="Arial"/>
        </w:rPr>
        <w:t>štetu“ zaht</w:t>
      </w:r>
      <w:r>
        <w:rPr>
          <w:rFonts w:eastAsia="Aptos" w:cs="Arial"/>
        </w:rPr>
        <w:t>ij</w:t>
      </w:r>
      <w:r w:rsidRPr="00DF2737">
        <w:rPr>
          <w:rFonts w:eastAsia="Aptos" w:cs="Arial"/>
        </w:rPr>
        <w:t>evaće</w:t>
      </w:r>
      <w:proofErr w:type="gramEnd"/>
      <w:r w:rsidRPr="00DF2737">
        <w:rPr>
          <w:rFonts w:eastAsia="Aptos" w:cs="Arial"/>
        </w:rPr>
        <w:t xml:space="preserve"> značajnu tehničku ekspertizu i resurse</w:t>
      </w:r>
      <w:r w:rsidRPr="00B83578">
        <w:rPr>
          <w:rFonts w:eastAsia="Aptos" w:cs="Arial"/>
          <w:color w:val="000000" w:themeColor="text1"/>
          <w:sz w:val="22"/>
          <w:vertAlign w:val="superscript"/>
        </w:rPr>
        <w:footnoteReference w:id="99"/>
      </w:r>
      <w:r w:rsidRPr="00DF2737">
        <w:rPr>
          <w:rFonts w:eastAsia="Aptos" w:cs="Arial"/>
        </w:rPr>
        <w:t>.</w:t>
      </w:r>
    </w:p>
    <w:p w14:paraId="2986471D" w14:textId="77CCED74" w:rsidR="001C0578" w:rsidRPr="00B83578" w:rsidRDefault="00A22920" w:rsidP="000B0955">
      <w:pPr>
        <w:pStyle w:val="Heading3"/>
      </w:pPr>
      <w:bookmarkStart w:id="94" w:name="_Toc201700364"/>
      <w:r>
        <w:lastRenderedPageBreak/>
        <w:t>Omogućavajući uslovi</w:t>
      </w:r>
      <w:bookmarkEnd w:id="94"/>
      <w:r w:rsidR="001C0578" w:rsidRPr="00B83578">
        <w:t xml:space="preserve"> </w:t>
      </w:r>
    </w:p>
    <w:p w14:paraId="0D7B0D1D" w14:textId="15B2450D" w:rsidR="00541DB2" w:rsidRDefault="00541DB2" w:rsidP="001C0578">
      <w:pPr>
        <w:rPr>
          <w:rFonts w:eastAsia="Aptos" w:cs="Arial"/>
          <w:color w:val="000000" w:themeColor="text1"/>
        </w:rPr>
      </w:pPr>
      <w:r w:rsidRPr="00541DB2">
        <w:rPr>
          <w:rFonts w:eastAsia="Aptos" w:cs="Arial"/>
          <w:color w:val="000000" w:themeColor="text1"/>
        </w:rPr>
        <w:t xml:space="preserve">Metodologija za samoprocjenu napretka crnogorskih institucija u ispunjavanju omogućavajućih uslova odobrena je od strane Ministarstva evropskih poslova – Kancelarije </w:t>
      </w:r>
      <w:r w:rsidR="0086543E" w:rsidRPr="0086543E">
        <w:rPr>
          <w:rFonts w:eastAsia="Aptos" w:cs="Arial"/>
          <w:color w:val="000000" w:themeColor="text1"/>
        </w:rPr>
        <w:t>NIPAK</w:t>
      </w:r>
      <w:r w:rsidRPr="00541DB2">
        <w:rPr>
          <w:rFonts w:eastAsia="Aptos" w:cs="Arial"/>
          <w:color w:val="000000" w:themeColor="text1"/>
        </w:rPr>
        <w:t xml:space="preserve">-a 26. jula 2024. Shodno tome, izvještaj o samoprocjeni, koji se odnosi na sve omogućavajuće uslove, biće </w:t>
      </w:r>
      <w:r>
        <w:rPr>
          <w:rFonts w:eastAsia="Aptos" w:cs="Arial"/>
          <w:color w:val="000000" w:themeColor="text1"/>
        </w:rPr>
        <w:t>publikovan</w:t>
      </w:r>
      <w:r w:rsidRPr="00541DB2">
        <w:rPr>
          <w:rFonts w:eastAsia="Aptos" w:cs="Arial"/>
          <w:color w:val="000000" w:themeColor="text1"/>
        </w:rPr>
        <w:t xml:space="preserve"> svakih šest mjeseci, uključujući prikaz planiranih aktivnosti za ispunjavanje omogućavajućih uslova koji još nijesu ispunjeni. Prvi izvještaj o samoprocjeni, finalizovan u februaru 2025. godine, pokazuje potpuno razumijevanje crnogorskih </w:t>
      </w:r>
      <w:r w:rsidR="005F0E1C">
        <w:rPr>
          <w:rFonts w:eastAsia="Aptos" w:cs="Arial"/>
          <w:color w:val="000000" w:themeColor="text1"/>
        </w:rPr>
        <w:t>tijela</w:t>
      </w:r>
      <w:r w:rsidRPr="00541DB2">
        <w:rPr>
          <w:rFonts w:eastAsia="Aptos" w:cs="Arial"/>
          <w:color w:val="000000" w:themeColor="text1"/>
        </w:rPr>
        <w:t xml:space="preserve"> u pogledu kriterijuma koje je potrebno ispuniti i prikazuje napredak ostvaren u ispunjavanju zahtjeva </w:t>
      </w:r>
      <w:r w:rsidR="00CD0020">
        <w:rPr>
          <w:rFonts w:eastAsia="Aptos" w:cs="Arial"/>
          <w:color w:val="000000" w:themeColor="text1"/>
        </w:rPr>
        <w:t>RZO</w:t>
      </w:r>
      <w:r w:rsidRPr="00541DB2">
        <w:rPr>
          <w:rFonts w:eastAsia="Aptos" w:cs="Arial"/>
          <w:color w:val="000000" w:themeColor="text1"/>
        </w:rPr>
        <w:t xml:space="preserve">-a. Za svaki od omogućavajućih uslova koordinacija sprovođenja i izvještavanja povjerena je jednoj instituciji koja će biti odgovorna za obezbjeđivanje angažmana ostalih relevantnih institucija, prema potrebi. Za dva od četiri horizontalna omogućavajuća uslova - Efikasni mehanizmi praćenja tržišta javnih nabavki i Instrumenti i kapaciteti za efikasnu primjenu pravila o državnoj pomoći – svi kriterijumi su u samoprocjeni ocijenjeni kao ispunjeni. Što se tiče preostala dva horizontalna omogućavajuća uslova koja se odnose na Efikasnu primjenu i </w:t>
      </w:r>
      <w:r w:rsidR="00A80895">
        <w:rPr>
          <w:rFonts w:eastAsia="Aptos" w:cs="Arial"/>
          <w:color w:val="000000" w:themeColor="text1"/>
        </w:rPr>
        <w:t>implementaciju</w:t>
      </w:r>
      <w:r w:rsidRPr="00541DB2">
        <w:rPr>
          <w:rFonts w:eastAsia="Aptos" w:cs="Arial"/>
          <w:color w:val="000000" w:themeColor="text1"/>
        </w:rPr>
        <w:t xml:space="preserve"> Povelje o osnovnim pravima i Sprovođenje i primjenu Konvencije Ujedinjenih nacija o pravima osoba s invaliditetom (UNCRPD), većina kriterijuma se u ovoj fazi ne može ispuniti</w:t>
      </w:r>
      <w:r w:rsidRPr="00B83578">
        <w:rPr>
          <w:rFonts w:eastAsia="Aptos" w:cs="Arial"/>
          <w:color w:val="000000" w:themeColor="text1"/>
          <w:vertAlign w:val="superscript"/>
        </w:rPr>
        <w:footnoteReference w:id="100"/>
      </w:r>
      <w:r w:rsidRPr="00541DB2">
        <w:rPr>
          <w:rFonts w:eastAsia="Aptos" w:cs="Arial"/>
          <w:color w:val="000000" w:themeColor="text1"/>
        </w:rPr>
        <w:t>, jer se čeka imenovanje programskih tijela za Kohezi</w:t>
      </w:r>
      <w:r>
        <w:rPr>
          <w:rFonts w:eastAsia="Aptos" w:cs="Arial"/>
          <w:color w:val="000000" w:themeColor="text1"/>
        </w:rPr>
        <w:t>onu</w:t>
      </w:r>
      <w:r w:rsidRPr="00541DB2">
        <w:rPr>
          <w:rFonts w:eastAsia="Aptos" w:cs="Arial"/>
          <w:color w:val="000000" w:themeColor="text1"/>
        </w:rPr>
        <w:t xml:space="preserve"> politiku, izrada odgovarajućih procedura i uspostavljanje odbora za </w:t>
      </w:r>
      <w:r w:rsidR="00A80895" w:rsidRPr="00A80895">
        <w:rPr>
          <w:rFonts w:eastAsia="Aptos" w:cs="Arial"/>
          <w:color w:val="000000" w:themeColor="text1"/>
        </w:rPr>
        <w:t>monitoring</w:t>
      </w:r>
      <w:r w:rsidRPr="00541DB2">
        <w:rPr>
          <w:rFonts w:eastAsia="Aptos" w:cs="Arial"/>
          <w:color w:val="000000" w:themeColor="text1"/>
        </w:rPr>
        <w:t>; ipak, utvrđeni su jasni koraci za njihovo ispunjavanje, pod koordinacijom ministarstva nadležnog za ljudska i manjinska prava. Napredak u pogledu svih tematskih omogućavajućih uslova prikazan je u prvom izvještaju o samoprocjeni.</w:t>
      </w:r>
    </w:p>
    <w:p w14:paraId="3012C66A" w14:textId="00F0701C" w:rsidR="001C0578" w:rsidRPr="00B83578" w:rsidRDefault="00A22920" w:rsidP="000B0955">
      <w:pPr>
        <w:pStyle w:val="Heading3"/>
      </w:pPr>
      <w:bookmarkStart w:id="95" w:name="_Toc201700365"/>
      <w:r>
        <w:t>Pravni okvir za implementaciju Kohezione politike i uspostavljanje Evropskog grupisanja teritorijalne saradnje (</w:t>
      </w:r>
      <w:r w:rsidR="00603905">
        <w:t>EGTS</w:t>
      </w:r>
      <w:r>
        <w:t>)</w:t>
      </w:r>
      <w:bookmarkEnd w:id="95"/>
    </w:p>
    <w:p w14:paraId="5B52A7CC" w14:textId="61E76C7D" w:rsidR="001C0578" w:rsidRPr="00B83578" w:rsidRDefault="009E36FF" w:rsidP="000B0955">
      <w:pPr>
        <w:pStyle w:val="Heading4"/>
      </w:pPr>
      <w:r>
        <w:t>Pravni okvir za implementaciju Kohezione politike</w:t>
      </w:r>
    </w:p>
    <w:p w14:paraId="0771748D" w14:textId="786BCB0F" w:rsidR="00541DB2" w:rsidRPr="00541DB2" w:rsidRDefault="00541DB2" w:rsidP="00541DB2">
      <w:pPr>
        <w:rPr>
          <w:rFonts w:eastAsia="Aptos" w:cs="Arial"/>
        </w:rPr>
      </w:pPr>
      <w:r w:rsidRPr="00541DB2">
        <w:rPr>
          <w:rFonts w:eastAsia="Aptos" w:cs="Arial"/>
        </w:rPr>
        <w:t xml:space="preserve">Predviđeno je da imenovanje programskih tijela koja sprovode Kohezionu politiku bude odobreno </w:t>
      </w:r>
      <w:r>
        <w:rPr>
          <w:rFonts w:eastAsia="Aptos" w:cs="Arial"/>
        </w:rPr>
        <w:t>usvajanjem</w:t>
      </w:r>
      <w:r w:rsidRPr="00541DB2">
        <w:rPr>
          <w:rFonts w:eastAsia="Aptos" w:cs="Arial"/>
        </w:rPr>
        <w:t xml:space="preserve"> akata i propisa, kao što su uredba ili pravilnik. Nadležna aktivnost planirana je u Poglavlju 2 ovog </w:t>
      </w:r>
      <w:r w:rsidR="00B66006">
        <w:rPr>
          <w:rFonts w:eastAsia="Aptos" w:cs="Arial"/>
        </w:rPr>
        <w:t>Plana aktivnosti</w:t>
      </w:r>
      <w:r w:rsidRPr="00541DB2">
        <w:rPr>
          <w:rFonts w:eastAsia="Aptos" w:cs="Arial"/>
        </w:rPr>
        <w:t xml:space="preserve"> o institucionalnom okviru. Ostali aspekti sprovođenja Kohezione politike mogu zahtijevati donošenje drugih akata i propisa</w:t>
      </w:r>
      <w:r>
        <w:rPr>
          <w:rFonts w:eastAsia="Aptos" w:cs="Arial"/>
        </w:rPr>
        <w:t xml:space="preserve"> za njihovu implementaciju</w:t>
      </w:r>
      <w:r w:rsidRPr="00541DB2">
        <w:rPr>
          <w:rFonts w:eastAsia="Aptos" w:cs="Arial"/>
        </w:rPr>
        <w:t>. Međutim, u pravnom sistemu Crne Gore, donošenje uredbi i pravilnika mora biti povezano s određenim zakonom. Stoga će biti pripremljen i usvojen krovni zakon o sistemu sprovođenja Kohezione politike, koji će obezbijediti pravni okvir za sve naknadno usvojene uredbe i/ili pravilnike.</w:t>
      </w:r>
    </w:p>
    <w:p w14:paraId="186511A3" w14:textId="796CA1AA" w:rsidR="00541DB2" w:rsidRDefault="00541DB2" w:rsidP="00541DB2">
      <w:pPr>
        <w:rPr>
          <w:rFonts w:eastAsia="Aptos" w:cs="Arial"/>
        </w:rPr>
      </w:pPr>
      <w:r w:rsidRPr="00541DB2">
        <w:rPr>
          <w:rFonts w:eastAsia="Aptos" w:cs="Arial"/>
        </w:rPr>
        <w:t>Navedeni zakon može biti izrađen i usvojen prije stvarnog datuma pristupanja Crne Gore Evropskoj uniji, okvirno nakon što Crna Gora ratifikuje Ugovor o pristupanju, dok će relevantni akti i propisi biti izrađeni prije pristupanja, a usvojeni nakon toga.</w:t>
      </w:r>
    </w:p>
    <w:p w14:paraId="57187071" w14:textId="437F3ECE" w:rsidR="001C0578" w:rsidRPr="004473B7" w:rsidRDefault="001C0578" w:rsidP="000B0955">
      <w:pPr>
        <w:pStyle w:val="Heading4"/>
      </w:pPr>
      <w:r w:rsidRPr="00B83578">
        <w:t>E</w:t>
      </w:r>
      <w:r w:rsidR="009F5BA9">
        <w:t>vropsko grupisanje teritorijalne saradnje</w:t>
      </w:r>
      <w:r w:rsidRPr="004473B7">
        <w:t xml:space="preserve"> (</w:t>
      </w:r>
      <w:r w:rsidR="00603905">
        <w:t>EGTS</w:t>
      </w:r>
      <w:r w:rsidRPr="004473B7">
        <w:t>)</w:t>
      </w:r>
    </w:p>
    <w:p w14:paraId="69102FF6" w14:textId="421697DA" w:rsidR="00A3485E" w:rsidRDefault="00A3485E" w:rsidP="001C0578">
      <w:pPr>
        <w:rPr>
          <w:rFonts w:eastAsia="Aptos" w:cs="Arial"/>
        </w:rPr>
      </w:pPr>
      <w:r w:rsidRPr="004473B7">
        <w:rPr>
          <w:rFonts w:eastAsia="Aptos" w:cs="Arial"/>
        </w:rPr>
        <w:t xml:space="preserve">Evropsko </w:t>
      </w:r>
      <w:r w:rsidR="005B70F2" w:rsidRPr="004473B7">
        <w:rPr>
          <w:rFonts w:eastAsia="Aptos" w:cs="Arial"/>
        </w:rPr>
        <w:t>grupisanje teritorijalne</w:t>
      </w:r>
      <w:r w:rsidRPr="004473B7">
        <w:rPr>
          <w:rFonts w:eastAsia="Aptos" w:cs="Arial"/>
        </w:rPr>
        <w:t xml:space="preserve"> saradnj</w:t>
      </w:r>
      <w:r w:rsidR="005B70F2" w:rsidRPr="004473B7">
        <w:rPr>
          <w:rFonts w:eastAsia="Aptos" w:cs="Arial"/>
        </w:rPr>
        <w:t>e</w:t>
      </w:r>
      <w:r w:rsidRPr="004473B7">
        <w:rPr>
          <w:rFonts w:eastAsia="Aptos" w:cs="Arial"/>
        </w:rPr>
        <w:t xml:space="preserve"> (</w:t>
      </w:r>
      <w:r w:rsidR="00603905">
        <w:rPr>
          <w:rFonts w:eastAsia="Aptos" w:cs="Arial"/>
        </w:rPr>
        <w:t>EGTS</w:t>
      </w:r>
      <w:r w:rsidRPr="004473B7">
        <w:rPr>
          <w:rFonts w:eastAsia="Aptos" w:cs="Arial"/>
        </w:rPr>
        <w:t>) je</w:t>
      </w:r>
      <w:r w:rsidRPr="00A3485E">
        <w:rPr>
          <w:rFonts w:eastAsia="Aptos" w:cs="Arial"/>
        </w:rPr>
        <w:t xml:space="preserve"> inicijativa EU osmišljena da olakša i promoviše prekograničnu, transnacionalnu i interregionalnu saradnju. S obzirom na status Crne Gore kao države koja nije članica EU, ali teži dubljoj integraciji s Unijom, uspostavljanje </w:t>
      </w:r>
      <w:r w:rsidR="00603905">
        <w:rPr>
          <w:rFonts w:eastAsia="Aptos" w:cs="Arial"/>
        </w:rPr>
        <w:t>EGTS</w:t>
      </w:r>
      <w:r w:rsidRPr="00A3485E">
        <w:rPr>
          <w:rFonts w:eastAsia="Aptos" w:cs="Arial"/>
        </w:rPr>
        <w:t xml:space="preserve">-a u Crnoj Gori podrazumijeva niz ključnih koraka i višedimenzionalan pristup koji uključuje usklađivanje zakonodavstva, jačanje kapaciteta, strateško planiranje, angažovanje zainteresovanih strana, kao i snažnu finansijsku i administrativnu podršku. Prateći ove korake i pristup, Crna Gora može djelotvorno iskoristiti okvir </w:t>
      </w:r>
      <w:r w:rsidR="00603905">
        <w:rPr>
          <w:rFonts w:eastAsia="Aptos" w:cs="Arial"/>
        </w:rPr>
        <w:t>EGTS</w:t>
      </w:r>
      <w:r w:rsidRPr="00A3485E">
        <w:rPr>
          <w:rFonts w:eastAsia="Aptos" w:cs="Arial"/>
        </w:rPr>
        <w:t>-a da unaprijedi prekograničnu saradnju i regionalni razvoj, usklađujući se još više sa standardima i praksama EU.</w:t>
      </w:r>
    </w:p>
    <w:p w14:paraId="61E62294" w14:textId="3A8AB139" w:rsidR="001C0578" w:rsidRPr="00B83578" w:rsidRDefault="00017758" w:rsidP="000B0955">
      <w:pPr>
        <w:pStyle w:val="Heading2"/>
      </w:pPr>
      <w:bookmarkStart w:id="96" w:name="_Toc201700366"/>
      <w:r>
        <w:t>Planirane akcije</w:t>
      </w:r>
      <w:bookmarkEnd w:id="96"/>
      <w:r w:rsidR="001C0578" w:rsidRPr="00B83578">
        <w:t xml:space="preserve"> </w:t>
      </w:r>
    </w:p>
    <w:p w14:paraId="54C975AF" w14:textId="68263C25" w:rsidR="001C0578" w:rsidRPr="00B83578" w:rsidRDefault="00543023" w:rsidP="000B0955">
      <w:pPr>
        <w:pStyle w:val="Heading3"/>
      </w:pPr>
      <w:bookmarkStart w:id="97" w:name="_Toc201700367"/>
      <w:r>
        <w:t>Akcija</w:t>
      </w:r>
      <w:r w:rsidR="001C0578" w:rsidRPr="00B83578">
        <w:t xml:space="preserve"> 1.1. </w:t>
      </w:r>
      <w:r w:rsidR="00A22920">
        <w:t>Uspostavljanje Partnerstva za Kohezionu politiku</w:t>
      </w:r>
      <w:bookmarkEnd w:id="97"/>
    </w:p>
    <w:p w14:paraId="44C7AE6C" w14:textId="238D90A6" w:rsidR="00A3485E" w:rsidRPr="00A3485E" w:rsidRDefault="00A3485E" w:rsidP="00A3485E">
      <w:pPr>
        <w:rPr>
          <w:rFonts w:eastAsia="Aptos" w:cs="Arial"/>
        </w:rPr>
      </w:pPr>
      <w:r w:rsidRPr="00A3485E">
        <w:rPr>
          <w:rFonts w:eastAsia="Aptos" w:cs="Arial"/>
        </w:rPr>
        <w:t xml:space="preserve">Uz podršku namjenskog projekta </w:t>
      </w:r>
      <w:r w:rsidR="00F6773D">
        <w:rPr>
          <w:rFonts w:eastAsia="Aptos" w:cs="Arial"/>
        </w:rPr>
        <w:t>tehničke pomoći</w:t>
      </w:r>
      <w:r w:rsidRPr="00A3485E">
        <w:rPr>
          <w:rFonts w:eastAsia="Aptos" w:cs="Arial"/>
        </w:rPr>
        <w:t xml:space="preserve"> finansiranog od strane EU, biće pripremljena metodologija za uspostavljanje partnerstva, zasnovana na principu više</w:t>
      </w:r>
      <w:r w:rsidR="00735D99">
        <w:rPr>
          <w:rFonts w:eastAsia="Aptos" w:cs="Arial"/>
        </w:rPr>
        <w:t>slojnog</w:t>
      </w:r>
      <w:r w:rsidRPr="00A3485E">
        <w:rPr>
          <w:rFonts w:eastAsia="Aptos" w:cs="Arial"/>
        </w:rPr>
        <w:t xml:space="preserve"> upravljanja, u skladu sa </w:t>
      </w:r>
      <w:r w:rsidR="00CD0020">
        <w:rPr>
          <w:rFonts w:eastAsia="Aptos" w:cs="Arial"/>
        </w:rPr>
        <w:t>EKPP</w:t>
      </w:r>
      <w:r w:rsidRPr="00A3485E">
        <w:rPr>
          <w:rFonts w:eastAsia="Aptos" w:cs="Arial"/>
        </w:rPr>
        <w:t xml:space="preserve">-om (Delegirana </w:t>
      </w:r>
      <w:r w:rsidR="00765DC1">
        <w:rPr>
          <w:rFonts w:eastAsia="Aptos" w:cs="Arial"/>
        </w:rPr>
        <w:t>Regulativa</w:t>
      </w:r>
      <w:r w:rsidRPr="00A3485E">
        <w:rPr>
          <w:rFonts w:eastAsia="Aptos" w:cs="Arial"/>
        </w:rPr>
        <w:t xml:space="preserve"> Komisije 240/2014) i </w:t>
      </w:r>
      <w:r w:rsidR="00CD0020">
        <w:rPr>
          <w:rFonts w:eastAsia="Aptos" w:cs="Arial"/>
        </w:rPr>
        <w:t>RZO</w:t>
      </w:r>
      <w:r w:rsidRPr="00A3485E">
        <w:rPr>
          <w:rFonts w:eastAsia="Aptos" w:cs="Arial"/>
        </w:rPr>
        <w:t>-om (</w:t>
      </w:r>
      <w:r w:rsidR="00975088">
        <w:rPr>
          <w:rFonts w:eastAsia="Aptos" w:cs="Arial"/>
        </w:rPr>
        <w:t>Regulativa</w:t>
      </w:r>
      <w:r w:rsidRPr="00A3485E">
        <w:rPr>
          <w:rFonts w:eastAsia="Aptos" w:cs="Arial"/>
        </w:rPr>
        <w:t xml:space="preserve"> EU 2021/1060, član 8). Konkretne aktivnosti koje se odnose na izbor partnera za Sporazum o partnerstvu i programe, analizu potreba za </w:t>
      </w:r>
      <w:r w:rsidR="00671D09">
        <w:rPr>
          <w:rFonts w:eastAsia="Aptos" w:cs="Arial"/>
        </w:rPr>
        <w:t>obukama</w:t>
      </w:r>
      <w:r w:rsidRPr="00A3485E">
        <w:rPr>
          <w:rFonts w:eastAsia="Aptos" w:cs="Arial"/>
        </w:rPr>
        <w:t xml:space="preserve"> i dizajn programa </w:t>
      </w:r>
      <w:r w:rsidR="00C30F51" w:rsidRPr="00C30F51">
        <w:rPr>
          <w:rFonts w:eastAsia="Aptos" w:cs="Arial"/>
        </w:rPr>
        <w:t>jačanja kapaciteta</w:t>
      </w:r>
      <w:r w:rsidRPr="00A3485E">
        <w:rPr>
          <w:rFonts w:eastAsia="Aptos" w:cs="Arial"/>
        </w:rPr>
        <w:t xml:space="preserve"> za partnere Kohezi</w:t>
      </w:r>
      <w:r w:rsidR="00735D99">
        <w:rPr>
          <w:rFonts w:eastAsia="Aptos" w:cs="Arial"/>
        </w:rPr>
        <w:t>one</w:t>
      </w:r>
      <w:r w:rsidRPr="00A3485E">
        <w:rPr>
          <w:rFonts w:eastAsia="Aptos" w:cs="Arial"/>
        </w:rPr>
        <w:t xml:space="preserve"> politike date su u okviru </w:t>
      </w:r>
      <w:r w:rsidRPr="00A3485E">
        <w:rPr>
          <w:rFonts w:eastAsia="Aptos" w:cs="Arial"/>
        </w:rPr>
        <w:lastRenderedPageBreak/>
        <w:t>Planiranih aktivnosti predviđenih za Završn</w:t>
      </w:r>
      <w:r w:rsidR="00735D99">
        <w:rPr>
          <w:rFonts w:eastAsia="Aptos" w:cs="Arial"/>
        </w:rPr>
        <w:t>o mjerilo</w:t>
      </w:r>
      <w:r w:rsidRPr="00A3485E">
        <w:rPr>
          <w:rFonts w:eastAsia="Aptos" w:cs="Arial"/>
        </w:rPr>
        <w:t xml:space="preserve"> 2, uz prikaz ključnih aktivnosti i odgovarajućih rokova. Nakon analize potreba za </w:t>
      </w:r>
      <w:r w:rsidR="00671D09">
        <w:rPr>
          <w:rFonts w:eastAsia="Aptos" w:cs="Arial"/>
        </w:rPr>
        <w:t>obukama</w:t>
      </w:r>
      <w:r w:rsidRPr="00A3485E">
        <w:rPr>
          <w:rFonts w:eastAsia="Aptos" w:cs="Arial"/>
        </w:rPr>
        <w:t xml:space="preserve"> odabranih partnera, prilagođeni Program </w:t>
      </w:r>
      <w:r w:rsidR="00C30F51" w:rsidRPr="00C30F51">
        <w:rPr>
          <w:rFonts w:eastAsia="Aptos" w:cs="Arial"/>
        </w:rPr>
        <w:t>jačanja kapaciteta</w:t>
      </w:r>
      <w:r w:rsidRPr="00A3485E">
        <w:rPr>
          <w:rFonts w:eastAsia="Aptos" w:cs="Arial"/>
        </w:rPr>
        <w:t xml:space="preserve"> za partnere biće pokrenut od prvog kvartala 2026. godine (vidi Aktivnost 3.3 ispod). Program uvođenja u Kohezi</w:t>
      </w:r>
      <w:r w:rsidR="00735D99">
        <w:rPr>
          <w:rFonts w:eastAsia="Aptos" w:cs="Arial"/>
        </w:rPr>
        <w:t>onu</w:t>
      </w:r>
      <w:r w:rsidRPr="00A3485E">
        <w:rPr>
          <w:rFonts w:eastAsia="Aptos" w:cs="Arial"/>
        </w:rPr>
        <w:t xml:space="preserve"> politiku, namijenjen svim članovima Radne grupe za Poglavlje 22, uključujući predstavnike Zajednice opština i</w:t>
      </w:r>
      <w:r w:rsidR="005B70F2">
        <w:rPr>
          <w:rFonts w:eastAsia="Aptos" w:cs="Arial"/>
        </w:rPr>
        <w:t xml:space="preserve"> </w:t>
      </w:r>
      <w:r w:rsidR="00CD0020">
        <w:rPr>
          <w:rFonts w:eastAsia="Aptos" w:cs="Arial"/>
        </w:rPr>
        <w:t>OCD</w:t>
      </w:r>
      <w:r w:rsidRPr="00A3485E">
        <w:rPr>
          <w:rFonts w:eastAsia="Aptos" w:cs="Arial"/>
        </w:rPr>
        <w:t>-a, planira se započeti u martu 2025. godine.</w:t>
      </w:r>
    </w:p>
    <w:p w14:paraId="03603FDF" w14:textId="1EF95DC3" w:rsidR="00A3485E" w:rsidRPr="00A3485E" w:rsidRDefault="00A3485E" w:rsidP="00A3485E">
      <w:pPr>
        <w:rPr>
          <w:rFonts w:eastAsia="Aptos" w:cs="Arial"/>
        </w:rPr>
      </w:pPr>
      <w:r w:rsidRPr="00A3485E">
        <w:rPr>
          <w:rFonts w:eastAsia="Aptos" w:cs="Arial"/>
        </w:rPr>
        <w:t>Metodologija će uzeti u obzir veličinu, administrativnu strukturu i nivo decentralizacije u Crnoj Gori. Takođe će se osloniti na najbolje prakse i naučene lekcije pri uspostavljanju partnerstva u državama članicama, preporuke Evropske zajednice prakse o partnerstvu i aktuelne prakse partnerstva</w:t>
      </w:r>
      <w:r w:rsidR="00735D99" w:rsidRPr="00B83578">
        <w:rPr>
          <w:rFonts w:eastAsia="Aptos" w:cs="Arial"/>
          <w:color w:val="000000" w:themeColor="text1"/>
          <w:vertAlign w:val="superscript"/>
        </w:rPr>
        <w:footnoteReference w:id="101"/>
      </w:r>
      <w:r w:rsidRPr="00A3485E">
        <w:rPr>
          <w:rFonts w:eastAsia="Aptos" w:cs="Arial"/>
        </w:rPr>
        <w:t xml:space="preserve"> za Evropsku teritorijalnu saradnju (</w:t>
      </w:r>
      <w:r w:rsidR="003D7057">
        <w:rPr>
          <w:rFonts w:eastAsia="Aptos" w:cs="Arial"/>
        </w:rPr>
        <w:t>ETS</w:t>
      </w:r>
      <w:r w:rsidRPr="00A3485E">
        <w:rPr>
          <w:rFonts w:eastAsia="Aptos" w:cs="Arial"/>
        </w:rPr>
        <w:t>)/IPA/IPARD u Crnoj Gori. Na osnovu odobrene Metodologije biće izabrani partneri Kohezi</w:t>
      </w:r>
      <w:r w:rsidR="00735D99">
        <w:rPr>
          <w:rFonts w:eastAsia="Aptos" w:cs="Arial"/>
        </w:rPr>
        <w:t>one</w:t>
      </w:r>
      <w:r w:rsidRPr="00A3485E">
        <w:rPr>
          <w:rFonts w:eastAsia="Aptos" w:cs="Arial"/>
        </w:rPr>
        <w:t xml:space="preserve"> politike.</w:t>
      </w:r>
    </w:p>
    <w:p w14:paraId="24D79E18" w14:textId="6E27540D" w:rsidR="00A3485E" w:rsidRDefault="00A3485E" w:rsidP="00A3485E">
      <w:pPr>
        <w:rPr>
          <w:rFonts w:eastAsia="Aptos" w:cs="Arial"/>
        </w:rPr>
      </w:pPr>
      <w:r w:rsidRPr="00A3485E">
        <w:rPr>
          <w:rFonts w:eastAsia="Aptos" w:cs="Arial"/>
        </w:rPr>
        <w:t xml:space="preserve">Raspored za ovu aktivnost zasnovan je na očekivanju da će prijedlozi Komisije za </w:t>
      </w:r>
      <w:r w:rsidR="00765DC1">
        <w:rPr>
          <w:rFonts w:eastAsia="Aptos" w:cs="Arial"/>
        </w:rPr>
        <w:t>Regulative</w:t>
      </w:r>
      <w:r w:rsidRPr="00A3485E">
        <w:rPr>
          <w:rFonts w:eastAsia="Aptos" w:cs="Arial"/>
        </w:rPr>
        <w:t xml:space="preserve"> o kohezionim fondovima za period 2028-2034. biti objavljeni u drugom semestru 2025. Osim toga, početak 2026. trebalo bi da označi i start programiranja, u skladu sa predviđenim vremenskim okvirom za izbor partnera, imajući u vidu prioritetne ciljeve odabrane u okviru programa.</w:t>
      </w:r>
    </w:p>
    <w:p w14:paraId="3CE13081" w14:textId="74AA20AA" w:rsidR="001C0578" w:rsidRPr="000B0955" w:rsidRDefault="00543023" w:rsidP="000B0955">
      <w:pPr>
        <w:pStyle w:val="Heading3"/>
      </w:pPr>
      <w:bookmarkStart w:id="98" w:name="_Toc201700368"/>
      <w:r>
        <w:t>Akcija</w:t>
      </w:r>
      <w:r w:rsidR="001C0578" w:rsidRPr="000B0955">
        <w:t xml:space="preserve"> 1.2. </w:t>
      </w:r>
      <w:r w:rsidR="00A22920">
        <w:t>Pravni okvir i procedure za Evropsko grupisanje teritorijalne saradnje (</w:t>
      </w:r>
      <w:r w:rsidR="00603905">
        <w:t>EGTS</w:t>
      </w:r>
      <w:r w:rsidR="00A22920">
        <w:t>)</w:t>
      </w:r>
      <w:bookmarkEnd w:id="98"/>
      <w:r w:rsidR="001C0578" w:rsidRPr="000B0955">
        <w:t xml:space="preserve"> </w:t>
      </w:r>
    </w:p>
    <w:p w14:paraId="169C8612" w14:textId="6B880055" w:rsidR="00735D99" w:rsidRDefault="00735D99" w:rsidP="00735D99">
      <w:pPr>
        <w:rPr>
          <w:rFonts w:eastAsia="Aptos" w:cs="Arial"/>
          <w:color w:val="000000" w:themeColor="text1"/>
        </w:rPr>
      </w:pPr>
      <w:r w:rsidRPr="00735D99">
        <w:rPr>
          <w:rFonts w:eastAsia="Aptos" w:cs="Arial"/>
          <w:color w:val="000000" w:themeColor="text1"/>
        </w:rPr>
        <w:t xml:space="preserve">U pogledu </w:t>
      </w:r>
      <w:r w:rsidR="00603905">
        <w:rPr>
          <w:rFonts w:eastAsia="Aptos" w:cs="Arial"/>
          <w:color w:val="000000" w:themeColor="text1"/>
        </w:rPr>
        <w:t>EGTS</w:t>
      </w:r>
      <w:r w:rsidRPr="00735D99">
        <w:rPr>
          <w:rFonts w:eastAsia="Aptos" w:cs="Arial"/>
          <w:color w:val="000000" w:themeColor="text1"/>
        </w:rPr>
        <w:t>-a, Crna Gora treba da uskladi svoje nacionalno zakonodavstvo sa propisima EU, posebno s</w:t>
      </w:r>
      <w:r w:rsidR="00EA1B2F">
        <w:rPr>
          <w:rFonts w:eastAsia="Aptos" w:cs="Arial"/>
          <w:color w:val="000000" w:themeColor="text1"/>
        </w:rPr>
        <w:t>a Regulativom</w:t>
      </w:r>
      <w:r w:rsidRPr="00735D99">
        <w:rPr>
          <w:rFonts w:eastAsia="Aptos" w:cs="Arial"/>
          <w:color w:val="000000" w:themeColor="text1"/>
        </w:rPr>
        <w:t xml:space="preserve"> (</w:t>
      </w:r>
      <w:r w:rsidR="00EA1B2F">
        <w:rPr>
          <w:rFonts w:eastAsia="Aptos" w:cs="Arial"/>
          <w:color w:val="000000" w:themeColor="text1"/>
        </w:rPr>
        <w:t>EZ</w:t>
      </w:r>
      <w:r w:rsidRPr="00735D99">
        <w:rPr>
          <w:rFonts w:eastAsia="Aptos" w:cs="Arial"/>
          <w:color w:val="000000" w:themeColor="text1"/>
        </w:rPr>
        <w:t xml:space="preserve">) br. 1082/2006 o </w:t>
      </w:r>
      <w:r w:rsidR="00603905">
        <w:rPr>
          <w:rFonts w:eastAsia="Aptos" w:cs="Arial"/>
          <w:color w:val="000000" w:themeColor="text1"/>
        </w:rPr>
        <w:t>EGTS</w:t>
      </w:r>
      <w:r w:rsidRPr="00735D99">
        <w:rPr>
          <w:rFonts w:eastAsia="Aptos" w:cs="Arial"/>
          <w:color w:val="000000" w:themeColor="text1"/>
        </w:rPr>
        <w:t xml:space="preserve">-ima, kao i da razjasni pravni status, prava i obaveze crnogorskih subjekata koji učestvuju u </w:t>
      </w:r>
      <w:r w:rsidR="00603905">
        <w:rPr>
          <w:rFonts w:eastAsia="Aptos" w:cs="Arial"/>
          <w:color w:val="000000" w:themeColor="text1"/>
        </w:rPr>
        <w:t>EGTS</w:t>
      </w:r>
      <w:r w:rsidRPr="00735D99">
        <w:rPr>
          <w:rFonts w:eastAsia="Aptos" w:cs="Arial"/>
          <w:color w:val="000000" w:themeColor="text1"/>
        </w:rPr>
        <w:t>-ima. Pored toga, neophodno je odrediti nadležno ministarstvo ili državn</w:t>
      </w:r>
      <w:r w:rsidR="005F0E1C">
        <w:rPr>
          <w:rFonts w:eastAsia="Aptos" w:cs="Arial"/>
          <w:color w:val="000000" w:themeColor="text1"/>
        </w:rPr>
        <w:t>o tijelo</w:t>
      </w:r>
      <w:r w:rsidRPr="00735D99">
        <w:rPr>
          <w:rFonts w:eastAsia="Aptos" w:cs="Arial"/>
          <w:color w:val="000000" w:themeColor="text1"/>
        </w:rPr>
        <w:t xml:space="preserve"> (npr. Ministarstvo evropskih poslova – </w:t>
      </w:r>
      <w:r w:rsidR="0086543E" w:rsidRPr="0086543E">
        <w:rPr>
          <w:rFonts w:eastAsia="Aptos" w:cs="Arial"/>
          <w:color w:val="000000" w:themeColor="text1"/>
        </w:rPr>
        <w:t>NIPAK</w:t>
      </w:r>
      <w:r w:rsidRPr="00735D99">
        <w:rPr>
          <w:rFonts w:eastAsia="Aptos" w:cs="Arial"/>
          <w:color w:val="000000" w:themeColor="text1"/>
        </w:rPr>
        <w:t xml:space="preserve"> kancelarija) koji će djelovati kao nacionaln</w:t>
      </w:r>
      <w:r w:rsidR="005F0E1C">
        <w:rPr>
          <w:rFonts w:eastAsia="Aptos" w:cs="Arial"/>
          <w:color w:val="000000" w:themeColor="text1"/>
        </w:rPr>
        <w:t>o tijelo</w:t>
      </w:r>
      <w:r w:rsidRPr="00735D99">
        <w:rPr>
          <w:rFonts w:eastAsia="Aptos" w:cs="Arial"/>
          <w:color w:val="000000" w:themeColor="text1"/>
        </w:rPr>
        <w:t xml:space="preserve"> i precizno odrediti njegove uloge i nadležnosti u donošenju odluka, pružanju podrške i nadzoru nad </w:t>
      </w:r>
      <w:r w:rsidR="00603905">
        <w:rPr>
          <w:rFonts w:eastAsia="Aptos" w:cs="Arial"/>
          <w:color w:val="000000" w:themeColor="text1"/>
        </w:rPr>
        <w:t>EGTS</w:t>
      </w:r>
      <w:r w:rsidRPr="00735D99">
        <w:rPr>
          <w:rFonts w:eastAsia="Aptos" w:cs="Arial"/>
          <w:color w:val="000000" w:themeColor="text1"/>
        </w:rPr>
        <w:t>-ima. Shodno tome, pripremiće se i usvojiti odgovarajući zakon.</w:t>
      </w:r>
      <w:r>
        <w:rPr>
          <w:rFonts w:eastAsia="Aptos" w:cs="Arial"/>
          <w:color w:val="000000" w:themeColor="text1"/>
        </w:rPr>
        <w:t xml:space="preserve"> </w:t>
      </w:r>
      <w:r w:rsidRPr="00735D99">
        <w:rPr>
          <w:rFonts w:eastAsia="Aptos" w:cs="Arial"/>
          <w:color w:val="000000" w:themeColor="text1"/>
        </w:rPr>
        <w:t xml:space="preserve">Takođe je potrebno izgraditi kapacitete nacionalnih i lokalnih aktera kako bi efikasno učestvovali u </w:t>
      </w:r>
      <w:r w:rsidR="00603905">
        <w:rPr>
          <w:rFonts w:eastAsia="Aptos" w:cs="Arial"/>
          <w:color w:val="000000" w:themeColor="text1"/>
        </w:rPr>
        <w:t>EGTS</w:t>
      </w:r>
      <w:r w:rsidRPr="00735D99">
        <w:rPr>
          <w:rFonts w:eastAsia="Aptos" w:cs="Arial"/>
          <w:color w:val="000000" w:themeColor="text1"/>
        </w:rPr>
        <w:t xml:space="preserve">-ima i njima upravljali. To podrazumijeva organizovanje programa obuka za državne službenike, lokalne vlasti i potencijalne učesnike </w:t>
      </w:r>
      <w:r w:rsidR="00603905">
        <w:rPr>
          <w:rFonts w:eastAsia="Aptos" w:cs="Arial"/>
          <w:color w:val="000000" w:themeColor="text1"/>
        </w:rPr>
        <w:t>EGTS</w:t>
      </w:r>
      <w:r w:rsidRPr="00735D99">
        <w:rPr>
          <w:rFonts w:eastAsia="Aptos" w:cs="Arial"/>
          <w:color w:val="000000" w:themeColor="text1"/>
        </w:rPr>
        <w:t xml:space="preserve">-a o pravnim, finansijskim i administrativnim aspektima </w:t>
      </w:r>
      <w:r w:rsidR="00603905">
        <w:rPr>
          <w:rFonts w:eastAsia="Aptos" w:cs="Arial"/>
          <w:color w:val="000000" w:themeColor="text1"/>
        </w:rPr>
        <w:t>EGTS</w:t>
      </w:r>
      <w:r w:rsidRPr="00735D99">
        <w:rPr>
          <w:rFonts w:eastAsia="Aptos" w:cs="Arial"/>
          <w:color w:val="000000" w:themeColor="text1"/>
        </w:rPr>
        <w:t xml:space="preserve">-a, te, po potrebi, izradu smjernica i priručnika najboljih praksi za </w:t>
      </w:r>
      <w:r w:rsidR="00A80895">
        <w:rPr>
          <w:rFonts w:eastAsia="Aptos" w:cs="Arial"/>
          <w:color w:val="000000" w:themeColor="text1"/>
        </w:rPr>
        <w:t>implementaciju</w:t>
      </w:r>
      <w:r w:rsidRPr="00735D99">
        <w:rPr>
          <w:rFonts w:eastAsia="Aptos" w:cs="Arial"/>
          <w:color w:val="000000" w:themeColor="text1"/>
        </w:rPr>
        <w:t xml:space="preserve"> </w:t>
      </w:r>
      <w:r w:rsidR="00603905">
        <w:rPr>
          <w:rFonts w:eastAsia="Aptos" w:cs="Arial"/>
          <w:color w:val="000000" w:themeColor="text1"/>
        </w:rPr>
        <w:t>EGTS</w:t>
      </w:r>
      <w:r w:rsidRPr="00735D99">
        <w:rPr>
          <w:rFonts w:eastAsia="Aptos" w:cs="Arial"/>
          <w:color w:val="000000" w:themeColor="text1"/>
        </w:rPr>
        <w:t>-a.</w:t>
      </w:r>
      <w:r>
        <w:rPr>
          <w:rFonts w:eastAsia="Aptos" w:cs="Arial"/>
          <w:color w:val="000000" w:themeColor="text1"/>
        </w:rPr>
        <w:t xml:space="preserve"> </w:t>
      </w:r>
      <w:r w:rsidRPr="00735D99">
        <w:rPr>
          <w:rFonts w:eastAsia="Aptos" w:cs="Arial"/>
          <w:color w:val="000000" w:themeColor="text1"/>
        </w:rPr>
        <w:t xml:space="preserve">Radi efikasnog upravljanja </w:t>
      </w:r>
      <w:r w:rsidR="00603905">
        <w:rPr>
          <w:rFonts w:eastAsia="Aptos" w:cs="Arial"/>
          <w:color w:val="000000" w:themeColor="text1"/>
        </w:rPr>
        <w:t>EGTS</w:t>
      </w:r>
      <w:r w:rsidRPr="00735D99">
        <w:rPr>
          <w:rFonts w:eastAsia="Aptos" w:cs="Arial"/>
          <w:color w:val="000000" w:themeColor="text1"/>
        </w:rPr>
        <w:t xml:space="preserve">-ima, Crna Gora treba uspostaviti djelotvorne administrativne procedure za upravljanje i rad </w:t>
      </w:r>
      <w:r w:rsidR="00603905">
        <w:rPr>
          <w:rFonts w:eastAsia="Aptos" w:cs="Arial"/>
          <w:color w:val="000000" w:themeColor="text1"/>
        </w:rPr>
        <w:t>EGTS</w:t>
      </w:r>
      <w:r w:rsidRPr="00735D99">
        <w:rPr>
          <w:rFonts w:eastAsia="Aptos" w:cs="Arial"/>
          <w:color w:val="000000" w:themeColor="text1"/>
        </w:rPr>
        <w:t xml:space="preserve">-a, ali i razviti okvire za </w:t>
      </w:r>
      <w:r w:rsidR="00A80895" w:rsidRPr="00A80895">
        <w:rPr>
          <w:rFonts w:eastAsia="Aptos" w:cs="Arial"/>
          <w:color w:val="000000" w:themeColor="text1"/>
        </w:rPr>
        <w:t>monitoring</w:t>
      </w:r>
      <w:r w:rsidRPr="00735D99">
        <w:rPr>
          <w:rFonts w:eastAsia="Aptos" w:cs="Arial"/>
          <w:color w:val="000000" w:themeColor="text1"/>
        </w:rPr>
        <w:t xml:space="preserve"> i evaluaciju kako bi pratila njihov napredak. Ti okviri treba da uključe snažan sistem monitoringa i evaluacije radi procjene učinkovitosti </w:t>
      </w:r>
      <w:r w:rsidR="00603905">
        <w:rPr>
          <w:rFonts w:eastAsia="Aptos" w:cs="Arial"/>
          <w:color w:val="000000" w:themeColor="text1"/>
        </w:rPr>
        <w:t>EGTS</w:t>
      </w:r>
      <w:r w:rsidRPr="00735D99">
        <w:rPr>
          <w:rFonts w:eastAsia="Aptos" w:cs="Arial"/>
          <w:color w:val="000000" w:themeColor="text1"/>
        </w:rPr>
        <w:t>-a, kao i redovno preispitivanje i ažuriranje pravnog, institucionalnog i operativnog okvira na osnovu povratnih informacija i promjenljivih potreba. Akcije 2.5 i 2.6 u nastavku adresiraju navedene potrebe.</w:t>
      </w:r>
    </w:p>
    <w:p w14:paraId="16C37568" w14:textId="04E93207" w:rsidR="001C0578" w:rsidRPr="00B83578" w:rsidRDefault="00543023" w:rsidP="000B0955">
      <w:pPr>
        <w:pStyle w:val="Heading3"/>
      </w:pPr>
      <w:bookmarkStart w:id="99" w:name="_Toc201700369"/>
      <w:r>
        <w:t>Akcija</w:t>
      </w:r>
      <w:r w:rsidR="001C0578" w:rsidRPr="00B83578">
        <w:t xml:space="preserve"> 1.3. </w:t>
      </w:r>
      <w:r w:rsidR="009E36FF">
        <w:t>Pravni okvir za implementaciju Kohezione politike</w:t>
      </w:r>
      <w:bookmarkEnd w:id="99"/>
      <w:r w:rsidR="001C0578" w:rsidRPr="00B83578">
        <w:t xml:space="preserve"> </w:t>
      </w:r>
    </w:p>
    <w:p w14:paraId="6C17523F" w14:textId="65E3A744" w:rsidR="00735D99" w:rsidRPr="00735D99" w:rsidRDefault="00735D99" w:rsidP="00735D99">
      <w:pPr>
        <w:rPr>
          <w:rFonts w:eastAsia="Aptos" w:cs="Arial"/>
          <w:color w:val="000000" w:themeColor="text1"/>
        </w:rPr>
      </w:pPr>
      <w:r w:rsidRPr="00735D99">
        <w:rPr>
          <w:rFonts w:eastAsia="Aptos" w:cs="Arial"/>
          <w:color w:val="000000" w:themeColor="text1"/>
        </w:rPr>
        <w:t>Prema pravnom sistemu Crne Gore, usvajanje zakona o sprovođenju kohezi</w:t>
      </w:r>
      <w:r>
        <w:rPr>
          <w:rFonts w:eastAsia="Aptos" w:cs="Arial"/>
          <w:color w:val="000000" w:themeColor="text1"/>
        </w:rPr>
        <w:t>one</w:t>
      </w:r>
      <w:r w:rsidRPr="00735D99">
        <w:rPr>
          <w:rFonts w:eastAsia="Aptos" w:cs="Arial"/>
          <w:color w:val="000000" w:themeColor="text1"/>
        </w:rPr>
        <w:t xml:space="preserve"> politike EU biće moguće tek nakon potpisivanja Ugovora o pristupanju Crne Gore Evropskoj uniji i usvajanja propisa za period nakon 2027. godine od strane Komisije, koji će pružiti pravnu sigurnost odgovarajućim odredbama. Taj zakon, zauzvrat, predstavljaće pravni osnov za uredbu (dekret) o imenovanju programskih tijela za kohezi</w:t>
      </w:r>
      <w:r>
        <w:rPr>
          <w:rFonts w:eastAsia="Aptos" w:cs="Arial"/>
          <w:color w:val="000000" w:themeColor="text1"/>
        </w:rPr>
        <w:t>one</w:t>
      </w:r>
      <w:r w:rsidRPr="00735D99">
        <w:rPr>
          <w:rFonts w:eastAsia="Aptos" w:cs="Arial"/>
          <w:color w:val="000000" w:themeColor="text1"/>
        </w:rPr>
        <w:t xml:space="preserve"> programe. Stoga se planira da se pravni okvir za kohezi</w:t>
      </w:r>
      <w:r>
        <w:rPr>
          <w:rFonts w:eastAsia="Aptos" w:cs="Arial"/>
          <w:color w:val="000000" w:themeColor="text1"/>
        </w:rPr>
        <w:t>onu</w:t>
      </w:r>
      <w:r w:rsidRPr="00735D99">
        <w:rPr>
          <w:rFonts w:eastAsia="Aptos" w:cs="Arial"/>
          <w:color w:val="000000" w:themeColor="text1"/>
        </w:rPr>
        <w:t xml:space="preserve"> politiku pripremi na vrijeme kako bi brzo stupio na snagu nakon potpisivanja Ugovora o pristupanju i usvajanja propisa za period nakon 2027. godine od strane Komisije.</w:t>
      </w:r>
    </w:p>
    <w:p w14:paraId="0CDA8F98" w14:textId="2062FFB4" w:rsidR="00735D99" w:rsidRDefault="00735D99" w:rsidP="00735D99">
      <w:pPr>
        <w:rPr>
          <w:rFonts w:eastAsia="Aptos" w:cs="Arial"/>
          <w:color w:val="000000" w:themeColor="text1"/>
        </w:rPr>
      </w:pPr>
      <w:r w:rsidRPr="00735D99">
        <w:rPr>
          <w:rFonts w:eastAsia="Aptos" w:cs="Arial"/>
          <w:color w:val="000000" w:themeColor="text1"/>
        </w:rPr>
        <w:t xml:space="preserve">Međutim, kako bi privremeno identifikovana </w:t>
      </w:r>
      <w:r w:rsidR="005B55A5">
        <w:rPr>
          <w:rFonts w:eastAsia="Aptos" w:cs="Arial"/>
          <w:color w:val="000000" w:themeColor="text1"/>
        </w:rPr>
        <w:t>tijela programa</w:t>
      </w:r>
      <w:r w:rsidRPr="00735D99">
        <w:rPr>
          <w:rFonts w:eastAsia="Aptos" w:cs="Arial"/>
          <w:color w:val="000000" w:themeColor="text1"/>
        </w:rPr>
        <w:t xml:space="preserve"> blagovremeno započela potrebne pripreme, planirano je donošenje Zaključka Vlade o planiranim imenovanjima u posljednjem kvartalu 2025. godine, na osnovu prethodne rasprave o planiranom institucionalnom okviru koju vodi Radna grupa za Poglavlje 22 i u skladu s prijedlozima Komisije za regulatorni okvir nakon 2027. godine. Zaključak Vlade će takođe obuhvatiti imenovanje Budućeg koordinacionog tijela </w:t>
      </w:r>
      <w:r w:rsidRPr="00C83EA6">
        <w:rPr>
          <w:rFonts w:eastAsia="Aptos" w:cs="Arial"/>
          <w:b/>
          <w:color w:val="000000" w:themeColor="text1"/>
        </w:rPr>
        <w:t>koje nije</w:t>
      </w:r>
      <w:r w:rsidRPr="00735D99">
        <w:rPr>
          <w:rFonts w:eastAsia="Aptos" w:cs="Arial"/>
          <w:color w:val="000000" w:themeColor="text1"/>
        </w:rPr>
        <w:t xml:space="preserve"> obavezno prema propisima, ali je postalo praksa u mnogim državama članicama EU. Uspostavljanje Budućeg koordinacionog tijela obezbijediće da se nakon pristupanja obaveze države članice koje nijesu povjerene upravljačkim tijelima izvršavaju u skladu s propisima. Zaključak će definisati obim nadležnosti Budućeg koordinacionog tijela kako bi se osigurala racionalizacija aktivnosti, maksimalna efikasnost i smanjenje troškova.</w:t>
      </w:r>
    </w:p>
    <w:p w14:paraId="51F73F29" w14:textId="41A1B342" w:rsidR="00C83EA6" w:rsidRDefault="00C83EA6" w:rsidP="00C83EA6">
      <w:r>
        <w:lastRenderedPageBreak/>
        <w:t>U skladu s navedenim, ova Akcija će sekvencijalno podržati pripremu:</w:t>
      </w:r>
    </w:p>
    <w:p w14:paraId="153EF525" w14:textId="468CCB6D" w:rsidR="00C83EA6" w:rsidRDefault="00C83EA6" w:rsidP="00D15218">
      <w:pPr>
        <w:pStyle w:val="ListParagraph"/>
        <w:numPr>
          <w:ilvl w:val="0"/>
          <w:numId w:val="12"/>
        </w:numPr>
      </w:pPr>
      <w:r>
        <w:t>Zaključka Vlade o imenovanju programskih tijela i Budućeg koordinacionog tijela.</w:t>
      </w:r>
    </w:p>
    <w:p w14:paraId="2B4F397A" w14:textId="55B5EA04" w:rsidR="00C83EA6" w:rsidRDefault="00C83EA6" w:rsidP="00D15218">
      <w:pPr>
        <w:pStyle w:val="ListParagraph"/>
        <w:numPr>
          <w:ilvl w:val="0"/>
          <w:numId w:val="12"/>
        </w:numPr>
      </w:pPr>
      <w:r>
        <w:t>Zakona o implementaciji kohezione politike.</w:t>
      </w:r>
    </w:p>
    <w:p w14:paraId="2FB721C1" w14:textId="4CEFD209" w:rsidR="00C83EA6" w:rsidRDefault="00C83EA6" w:rsidP="00D15218">
      <w:pPr>
        <w:pStyle w:val="ListParagraph"/>
        <w:numPr>
          <w:ilvl w:val="0"/>
          <w:numId w:val="12"/>
        </w:numPr>
      </w:pPr>
      <w:r>
        <w:t>Uredbe o imenovanju tijela i struktura za implementaciju kohezione politike EU.</w:t>
      </w:r>
    </w:p>
    <w:p w14:paraId="6DC0366F" w14:textId="77777777" w:rsidR="001C0578" w:rsidRPr="00B83578" w:rsidRDefault="001C0578" w:rsidP="001C0578">
      <w:pPr>
        <w:rPr>
          <w:rFonts w:eastAsia="Aptos" w:cs="Arial"/>
          <w:b/>
          <w:bCs/>
        </w:rPr>
      </w:pPr>
    </w:p>
    <w:p w14:paraId="01F540FB" w14:textId="4EBF1A45" w:rsidR="001C0578" w:rsidRPr="00B83578" w:rsidRDefault="00543023" w:rsidP="000B0955">
      <w:pPr>
        <w:pStyle w:val="Heading3"/>
      </w:pPr>
      <w:bookmarkStart w:id="100" w:name="_Toc201700370"/>
      <w:r>
        <w:t>Akcija</w:t>
      </w:r>
      <w:r w:rsidR="001C0578" w:rsidRPr="00B83578">
        <w:t xml:space="preserve"> 1.4. </w:t>
      </w:r>
      <w:r w:rsidR="003F4FA3">
        <w:t>Monitoring napretka i konačno usklađivanje sa omogućavajućim uslovima</w:t>
      </w:r>
      <w:bookmarkEnd w:id="100"/>
    </w:p>
    <w:p w14:paraId="7C85DD00" w14:textId="18601478" w:rsidR="00C83EA6" w:rsidRDefault="00C83EA6" w:rsidP="001C0578">
      <w:pPr>
        <w:rPr>
          <w:rFonts w:eastAsia="Aptos" w:cs="Arial"/>
        </w:rPr>
      </w:pPr>
      <w:r w:rsidRPr="00C83EA6">
        <w:rPr>
          <w:rFonts w:eastAsia="Aptos" w:cs="Arial"/>
        </w:rPr>
        <w:t xml:space="preserve">Puna usklađenost s ispunjavanjem omogućavajućih uslova zahtijeva i preduzimanje mjera u okviru drugih poglavlja </w:t>
      </w:r>
      <w:r w:rsidRPr="00C83EA6">
        <w:rPr>
          <w:rFonts w:eastAsia="Aptos" w:cs="Arial"/>
          <w:i/>
        </w:rPr>
        <w:t>acquis-a</w:t>
      </w:r>
      <w:r w:rsidRPr="00C83EA6">
        <w:rPr>
          <w:rFonts w:eastAsia="Aptos" w:cs="Arial"/>
        </w:rPr>
        <w:t xml:space="preserve">. U okviru Poglavlja 22 napredak u ispunjavanju omogućavajućih uslova prati se u vezi s programiranjem i </w:t>
      </w:r>
      <w:r>
        <w:rPr>
          <w:rFonts w:eastAsia="Aptos" w:cs="Arial"/>
        </w:rPr>
        <w:t>implementacijom</w:t>
      </w:r>
      <w:r w:rsidRPr="00C83EA6">
        <w:rPr>
          <w:rFonts w:eastAsia="Aptos" w:cs="Arial"/>
        </w:rPr>
        <w:t xml:space="preserve"> sredstava iz Kohezi</w:t>
      </w:r>
      <w:r>
        <w:rPr>
          <w:rFonts w:eastAsia="Aptos" w:cs="Arial"/>
        </w:rPr>
        <w:t>one</w:t>
      </w:r>
      <w:r w:rsidRPr="00C83EA6">
        <w:rPr>
          <w:rFonts w:eastAsia="Aptos" w:cs="Arial"/>
        </w:rPr>
        <w:t xml:space="preserve"> politike nakon pristupanja.</w:t>
      </w:r>
    </w:p>
    <w:p w14:paraId="4D6A3D16" w14:textId="3D3795FC" w:rsidR="001C0578" w:rsidRPr="00B83578" w:rsidRDefault="001D692B" w:rsidP="001C0578">
      <w:pPr>
        <w:keepNext/>
        <w:spacing w:before="200" w:after="0"/>
        <w:rPr>
          <w:rFonts w:eastAsia="Aptos" w:cs="Arial"/>
          <w:i/>
          <w:iCs/>
          <w:color w:val="0E2841" w:themeColor="text2"/>
          <w:sz w:val="18"/>
          <w:szCs w:val="18"/>
        </w:rPr>
      </w:pPr>
      <w:bookmarkStart w:id="101" w:name="_Toc181860465"/>
      <w:bookmarkStart w:id="102" w:name="_Toc193895451"/>
      <w:r>
        <w:rPr>
          <w:rFonts w:eastAsia="Aptos" w:cs="Arial"/>
          <w:i/>
          <w:iCs/>
          <w:color w:val="0E2841" w:themeColor="text2"/>
          <w:sz w:val="18"/>
          <w:szCs w:val="18"/>
        </w:rPr>
        <w:t>Tabela</w:t>
      </w:r>
      <w:r w:rsidR="001C0578" w:rsidRPr="00B83578">
        <w:rPr>
          <w:rFonts w:eastAsia="Aptos" w:cs="Arial"/>
          <w:i/>
          <w:iCs/>
          <w:color w:val="0E2841" w:themeColor="text2"/>
          <w:sz w:val="18"/>
          <w:szCs w:val="18"/>
        </w:rPr>
        <w:t xml:space="preserve"> </w:t>
      </w:r>
      <w:r w:rsidR="001C0578" w:rsidRPr="00B83578">
        <w:rPr>
          <w:rFonts w:eastAsia="Aptos" w:cs="Arial"/>
          <w:i/>
          <w:iCs/>
          <w:color w:val="0E2841" w:themeColor="text2"/>
          <w:sz w:val="18"/>
          <w:szCs w:val="18"/>
        </w:rPr>
        <w:fldChar w:fldCharType="begin"/>
      </w:r>
      <w:r w:rsidR="001C0578" w:rsidRPr="00B83578">
        <w:rPr>
          <w:rFonts w:eastAsia="Aptos" w:cs="Arial"/>
          <w:i/>
          <w:iCs/>
          <w:color w:val="0E2841" w:themeColor="text2"/>
          <w:sz w:val="18"/>
          <w:szCs w:val="18"/>
        </w:rPr>
        <w:instrText xml:space="preserve"> SEQ Table \* ARABIC </w:instrText>
      </w:r>
      <w:r w:rsidR="001C0578" w:rsidRPr="00B83578">
        <w:rPr>
          <w:rFonts w:eastAsia="Aptos" w:cs="Arial"/>
          <w:i/>
          <w:iCs/>
          <w:color w:val="0E2841" w:themeColor="text2"/>
          <w:sz w:val="18"/>
          <w:szCs w:val="18"/>
        </w:rPr>
        <w:fldChar w:fldCharType="separate"/>
      </w:r>
      <w:r w:rsidR="003C2962">
        <w:rPr>
          <w:rFonts w:eastAsia="Aptos" w:cs="Arial"/>
          <w:i/>
          <w:iCs/>
          <w:noProof/>
          <w:color w:val="0E2841" w:themeColor="text2"/>
          <w:sz w:val="18"/>
          <w:szCs w:val="18"/>
        </w:rPr>
        <w:t>7</w:t>
      </w:r>
      <w:r w:rsidR="001C0578" w:rsidRPr="00B83578">
        <w:rPr>
          <w:rFonts w:eastAsia="Aptos" w:cs="Arial"/>
          <w:i/>
          <w:iCs/>
          <w:color w:val="0E2841" w:themeColor="text2"/>
          <w:sz w:val="18"/>
          <w:szCs w:val="18"/>
        </w:rPr>
        <w:fldChar w:fldCharType="end"/>
      </w:r>
      <w:r w:rsidR="001C0578" w:rsidRPr="00B83578">
        <w:rPr>
          <w:rFonts w:eastAsia="Aptos" w:cs="Arial"/>
          <w:i/>
          <w:iCs/>
          <w:color w:val="0E2841" w:themeColor="text2"/>
          <w:sz w:val="18"/>
          <w:szCs w:val="18"/>
        </w:rPr>
        <w:t xml:space="preserve">: </w:t>
      </w:r>
      <w:r w:rsidRPr="001D692B">
        <w:rPr>
          <w:rFonts w:eastAsia="Aptos" w:cs="Arial"/>
          <w:i/>
          <w:iCs/>
          <w:color w:val="0E2841" w:themeColor="text2"/>
          <w:sz w:val="18"/>
          <w:szCs w:val="18"/>
        </w:rPr>
        <w:t>Planirane akcije u okviru Poglavlja Zakonodavni okvir</w:t>
      </w:r>
      <w:bookmarkEnd w:id="101"/>
      <w:bookmarkEnd w:id="102"/>
    </w:p>
    <w:tbl>
      <w:tblPr>
        <w:tblStyle w:val="GridTable5Dark-Accent11"/>
        <w:tblW w:w="5000" w:type="pct"/>
        <w:tblInd w:w="0" w:type="dxa"/>
        <w:tblLook w:val="04A0" w:firstRow="1" w:lastRow="0" w:firstColumn="1" w:lastColumn="0" w:noHBand="0" w:noVBand="1"/>
      </w:tblPr>
      <w:tblGrid>
        <w:gridCol w:w="910"/>
        <w:gridCol w:w="1147"/>
        <w:gridCol w:w="1147"/>
        <w:gridCol w:w="862"/>
        <w:gridCol w:w="1349"/>
        <w:gridCol w:w="868"/>
        <w:gridCol w:w="859"/>
        <w:gridCol w:w="1349"/>
        <w:gridCol w:w="859"/>
      </w:tblGrid>
      <w:tr w:rsidR="0078451F" w:rsidRPr="0078451F" w14:paraId="6CAE411E" w14:textId="77777777" w:rsidTr="0078451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7" w:type="pct"/>
            <w:hideMark/>
          </w:tcPr>
          <w:p w14:paraId="77DB7B6B" w14:textId="3A9360C9" w:rsidR="0078451F" w:rsidRPr="0078451F" w:rsidRDefault="00543023" w:rsidP="0078451F">
            <w:pPr>
              <w:spacing w:after="0"/>
              <w:jc w:val="left"/>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Kod akcije</w:t>
            </w:r>
          </w:p>
        </w:tc>
        <w:tc>
          <w:tcPr>
            <w:tcW w:w="614" w:type="pct"/>
            <w:hideMark/>
          </w:tcPr>
          <w:p w14:paraId="3A1AA544" w14:textId="7D7FFB63" w:rsidR="0078451F" w:rsidRPr="0078451F" w:rsidRDefault="00543023"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Naziv akcije</w:t>
            </w:r>
          </w:p>
        </w:tc>
        <w:tc>
          <w:tcPr>
            <w:tcW w:w="614" w:type="pct"/>
            <w:hideMark/>
          </w:tcPr>
          <w:p w14:paraId="2B430309" w14:textId="6F98D72B"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Nadležnost</w:t>
            </w:r>
          </w:p>
        </w:tc>
        <w:tc>
          <w:tcPr>
            <w:tcW w:w="460" w:type="pct"/>
            <w:hideMark/>
          </w:tcPr>
          <w:p w14:paraId="44D8483C" w14:textId="63ADF019"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Raspored</w:t>
            </w:r>
          </w:p>
        </w:tc>
        <w:tc>
          <w:tcPr>
            <w:tcW w:w="722" w:type="pct"/>
            <w:hideMark/>
          </w:tcPr>
          <w:p w14:paraId="38580914" w14:textId="483DF603"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Indikator</w:t>
            </w:r>
          </w:p>
        </w:tc>
        <w:tc>
          <w:tcPr>
            <w:tcW w:w="460" w:type="pct"/>
            <w:hideMark/>
          </w:tcPr>
          <w:p w14:paraId="24611198" w14:textId="18835801"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Vrsta</w:t>
            </w:r>
          </w:p>
        </w:tc>
        <w:tc>
          <w:tcPr>
            <w:tcW w:w="460" w:type="pct"/>
            <w:hideMark/>
          </w:tcPr>
          <w:p w14:paraId="3AECB914" w14:textId="1FC3CFBA"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Resurs</w:t>
            </w:r>
          </w:p>
        </w:tc>
        <w:tc>
          <w:tcPr>
            <w:tcW w:w="722" w:type="pct"/>
            <w:hideMark/>
          </w:tcPr>
          <w:p w14:paraId="26850B56" w14:textId="35EF995D"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Napomena</w:t>
            </w:r>
          </w:p>
        </w:tc>
        <w:tc>
          <w:tcPr>
            <w:tcW w:w="460" w:type="pct"/>
            <w:hideMark/>
          </w:tcPr>
          <w:p w14:paraId="59109844" w14:textId="305E94BF" w:rsidR="0078451F" w:rsidRPr="0078451F" w:rsidRDefault="00163D4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 xml:space="preserve">Oznaka </w:t>
            </w:r>
            <w:r w:rsidR="0032369C">
              <w:rPr>
                <w:rFonts w:eastAsia="Times New Roman"/>
                <w:color w:val="FFFFFF"/>
                <w:kern w:val="0"/>
                <w:sz w:val="14"/>
                <w:szCs w:val="14"/>
                <w:lang w:eastAsia="en-GB"/>
                <w14:ligatures w14:val="none"/>
              </w:rPr>
              <w:t>ZM</w:t>
            </w:r>
          </w:p>
        </w:tc>
      </w:tr>
      <w:tr w:rsidR="0078451F" w:rsidRPr="0078451F" w14:paraId="2E803E9C" w14:textId="77777777" w:rsidTr="0078451F">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487" w:type="pct"/>
            <w:hideMark/>
          </w:tcPr>
          <w:p w14:paraId="7405029F"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1.01.</w:t>
            </w:r>
          </w:p>
        </w:tc>
        <w:tc>
          <w:tcPr>
            <w:tcW w:w="614" w:type="pct"/>
            <w:hideMark/>
          </w:tcPr>
          <w:p w14:paraId="7F428F29" w14:textId="77D300C6"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Partnerstva za Kohezionu politiku</w:t>
            </w:r>
          </w:p>
        </w:tc>
        <w:tc>
          <w:tcPr>
            <w:tcW w:w="614" w:type="pct"/>
            <w:hideMark/>
          </w:tcPr>
          <w:p w14:paraId="377B0C69" w14:textId="6FEB0009"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60" w:type="pct"/>
            <w:hideMark/>
          </w:tcPr>
          <w:p w14:paraId="0697DD02" w14:textId="705CC55C"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0B06466F" w14:textId="626AE1F1" w:rsidR="0078451F" w:rsidRPr="0078451F" w:rsidRDefault="007029B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Metodologija za uspostavljanje partnerstva u okviru Kohezione politike, razmatrana i usvojena od strane Radne grupe za Poglavlje 22.</w:t>
            </w:r>
          </w:p>
        </w:tc>
        <w:tc>
          <w:tcPr>
            <w:tcW w:w="460" w:type="pct"/>
            <w:hideMark/>
          </w:tcPr>
          <w:p w14:paraId="0AC8C65A" w14:textId="683B2D85"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536E1CBF" w14:textId="776B4571"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4251B21D"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532ADD7F" w14:textId="578C2F4E" w:rsidR="0078451F" w:rsidRPr="0078451F" w:rsidRDefault="0032369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.2.03.</w:t>
            </w:r>
          </w:p>
        </w:tc>
      </w:tr>
      <w:tr w:rsidR="0078451F" w:rsidRPr="0078451F" w14:paraId="70FD50FB" w14:textId="77777777" w:rsidTr="0078451F">
        <w:trPr>
          <w:trHeight w:val="570"/>
        </w:trPr>
        <w:tc>
          <w:tcPr>
            <w:cnfStyle w:val="001000000000" w:firstRow="0" w:lastRow="0" w:firstColumn="1" w:lastColumn="0" w:oddVBand="0" w:evenVBand="0" w:oddHBand="0" w:evenHBand="0" w:firstRowFirstColumn="0" w:firstRowLastColumn="0" w:lastRowFirstColumn="0" w:lastRowLastColumn="0"/>
            <w:tcW w:w="487" w:type="pct"/>
            <w:hideMark/>
          </w:tcPr>
          <w:p w14:paraId="08EEA89D"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1.01.</w:t>
            </w:r>
          </w:p>
        </w:tc>
        <w:tc>
          <w:tcPr>
            <w:tcW w:w="614" w:type="pct"/>
            <w:hideMark/>
          </w:tcPr>
          <w:p w14:paraId="46C73C84" w14:textId="2960F623"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Partnerstva za Kohezionu politiku</w:t>
            </w:r>
          </w:p>
        </w:tc>
        <w:tc>
          <w:tcPr>
            <w:tcW w:w="614" w:type="pct"/>
            <w:hideMark/>
          </w:tcPr>
          <w:p w14:paraId="6469779B" w14:textId="6D61FC0C"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60" w:type="pct"/>
            <w:hideMark/>
          </w:tcPr>
          <w:p w14:paraId="3D1E657A" w14:textId="1DB2ECAC"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722" w:type="pct"/>
            <w:hideMark/>
          </w:tcPr>
          <w:p w14:paraId="5227CFF0" w14:textId="2EC496DC" w:rsidR="0078451F" w:rsidRPr="0078451F" w:rsidRDefault="007029B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Partneri za Kohezionu politiku su izabrani.</w:t>
            </w:r>
          </w:p>
        </w:tc>
        <w:tc>
          <w:tcPr>
            <w:tcW w:w="460" w:type="pct"/>
            <w:hideMark/>
          </w:tcPr>
          <w:p w14:paraId="5C610320" w14:textId="39333034"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60" w:type="pct"/>
            <w:hideMark/>
          </w:tcPr>
          <w:p w14:paraId="10C1D3C5" w14:textId="53D1AF6F"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76E5EAAE"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6D69054D" w14:textId="674895F8" w:rsidR="0078451F" w:rsidRPr="0078451F" w:rsidRDefault="0032369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.2.05.</w:t>
            </w:r>
          </w:p>
        </w:tc>
      </w:tr>
      <w:tr w:rsidR="0078451F" w:rsidRPr="0078451F" w14:paraId="6DCEF955" w14:textId="77777777" w:rsidTr="0078451F">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487" w:type="pct"/>
            <w:hideMark/>
          </w:tcPr>
          <w:p w14:paraId="4118B0AF"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1.02.</w:t>
            </w:r>
          </w:p>
        </w:tc>
        <w:tc>
          <w:tcPr>
            <w:tcW w:w="614" w:type="pct"/>
            <w:hideMark/>
          </w:tcPr>
          <w:p w14:paraId="6B3EFB05" w14:textId="4E3E5E87"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Pravni okvir i procedure za uspostavljanje Evropskog grupisanja teritorijalne saradnje (</w:t>
            </w:r>
            <w:r w:rsidR="00603905">
              <w:rPr>
                <w:rFonts w:ascii="Aptos" w:eastAsia="Times New Roman" w:hAnsi="Aptos"/>
                <w:kern w:val="0"/>
                <w:sz w:val="14"/>
                <w:szCs w:val="14"/>
                <w:lang w:eastAsia="en-GB"/>
                <w14:ligatures w14:val="none"/>
              </w:rPr>
              <w:t>EGTS</w:t>
            </w:r>
            <w:r>
              <w:rPr>
                <w:rFonts w:ascii="Aptos" w:eastAsia="Times New Roman" w:hAnsi="Aptos"/>
                <w:kern w:val="0"/>
                <w:sz w:val="14"/>
                <w:szCs w:val="14"/>
                <w:lang w:eastAsia="en-GB"/>
                <w14:ligatures w14:val="none"/>
              </w:rPr>
              <w:t>)</w:t>
            </w:r>
          </w:p>
        </w:tc>
        <w:tc>
          <w:tcPr>
            <w:tcW w:w="614" w:type="pct"/>
            <w:hideMark/>
          </w:tcPr>
          <w:p w14:paraId="6A30D9A9" w14:textId="5B13A8AE"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60" w:type="pct"/>
            <w:hideMark/>
          </w:tcPr>
          <w:p w14:paraId="6F1B297E" w14:textId="2DCFF969"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0013C5B5" w14:textId="7D436DDB"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Zakon o </w:t>
            </w:r>
            <w:r w:rsidR="00603905">
              <w:rPr>
                <w:rFonts w:ascii="Aptos" w:eastAsia="Times New Roman" w:hAnsi="Aptos"/>
                <w:kern w:val="0"/>
                <w:sz w:val="14"/>
                <w:szCs w:val="14"/>
                <w:lang w:eastAsia="en-GB"/>
                <w14:ligatures w14:val="none"/>
              </w:rPr>
              <w:t>EGTS</w:t>
            </w:r>
            <w:r>
              <w:rPr>
                <w:rFonts w:ascii="Aptos" w:eastAsia="Times New Roman" w:hAnsi="Aptos"/>
                <w:kern w:val="0"/>
                <w:sz w:val="14"/>
                <w:szCs w:val="14"/>
                <w:lang w:eastAsia="en-GB"/>
                <w14:ligatures w14:val="none"/>
              </w:rPr>
              <w:t xml:space="preserve"> je usvojen.</w:t>
            </w:r>
          </w:p>
        </w:tc>
        <w:tc>
          <w:tcPr>
            <w:tcW w:w="460" w:type="pct"/>
            <w:hideMark/>
          </w:tcPr>
          <w:p w14:paraId="119458D8" w14:textId="71CA3A1E"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032110C5" w14:textId="02EFBC7A"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268CFC7A"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09BE8A5E"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GB"/>
                <w14:ligatures w14:val="none"/>
              </w:rPr>
            </w:pPr>
          </w:p>
        </w:tc>
      </w:tr>
      <w:tr w:rsidR="0078451F" w:rsidRPr="0078451F" w14:paraId="1F0AD7E8" w14:textId="77777777" w:rsidTr="0078451F">
        <w:trPr>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38403322"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1.03.</w:t>
            </w:r>
          </w:p>
        </w:tc>
        <w:tc>
          <w:tcPr>
            <w:tcW w:w="614" w:type="pct"/>
            <w:hideMark/>
          </w:tcPr>
          <w:p w14:paraId="11F65F91" w14:textId="5345BD97" w:rsidR="0078451F" w:rsidRPr="0078451F" w:rsidRDefault="009E36F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Pravni okvir za implementaciju Kohezione politike</w:t>
            </w:r>
            <w:r w:rsidR="0078451F" w:rsidRPr="0078451F">
              <w:rPr>
                <w:rFonts w:ascii="Aptos" w:eastAsia="Times New Roman" w:hAnsi="Aptos"/>
                <w:kern w:val="0"/>
                <w:sz w:val="14"/>
                <w:szCs w:val="14"/>
                <w:lang w:eastAsia="en-GB"/>
                <w14:ligatures w14:val="none"/>
              </w:rPr>
              <w:t>.</w:t>
            </w:r>
          </w:p>
        </w:tc>
        <w:tc>
          <w:tcPr>
            <w:tcW w:w="614" w:type="pct"/>
            <w:hideMark/>
          </w:tcPr>
          <w:p w14:paraId="33BD0AB4" w14:textId="20D4377C"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60" w:type="pct"/>
            <w:hideMark/>
          </w:tcPr>
          <w:p w14:paraId="76506ABD" w14:textId="782C2CC2"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1</w:t>
            </w:r>
          </w:p>
        </w:tc>
        <w:tc>
          <w:tcPr>
            <w:tcW w:w="722" w:type="pct"/>
            <w:hideMark/>
          </w:tcPr>
          <w:p w14:paraId="061BBC37" w14:textId="7438F789" w:rsidR="0078451F" w:rsidRPr="0078451F" w:rsidRDefault="00163D4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Zaključak vlade je objavljen na sajtu vlade.</w:t>
            </w:r>
          </w:p>
        </w:tc>
        <w:tc>
          <w:tcPr>
            <w:tcW w:w="460" w:type="pct"/>
            <w:hideMark/>
          </w:tcPr>
          <w:p w14:paraId="71103EA7" w14:textId="03A172A1"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60" w:type="pct"/>
            <w:hideMark/>
          </w:tcPr>
          <w:p w14:paraId="1740811C" w14:textId="210DF3C2"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20A5CD24" w14:textId="00A5D2A7" w:rsidR="0078451F" w:rsidRPr="0078451F" w:rsidRDefault="007029B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Vremenski okvir zavisi od objavljivanja prijedloga Komisije za Kohezionu politiku nakon 2027. godine.</w:t>
            </w:r>
          </w:p>
        </w:tc>
        <w:tc>
          <w:tcPr>
            <w:tcW w:w="460" w:type="pct"/>
            <w:hideMark/>
          </w:tcPr>
          <w:p w14:paraId="13BB99E0" w14:textId="46D65C6E" w:rsidR="0078451F" w:rsidRPr="0078451F" w:rsidRDefault="0032369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.4.02.</w:t>
            </w:r>
          </w:p>
        </w:tc>
      </w:tr>
      <w:tr w:rsidR="0078451F" w:rsidRPr="0078451F" w14:paraId="52727FC6" w14:textId="77777777" w:rsidTr="0078451F">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7E09953A"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1.03.</w:t>
            </w:r>
          </w:p>
        </w:tc>
        <w:tc>
          <w:tcPr>
            <w:tcW w:w="614" w:type="pct"/>
            <w:hideMark/>
          </w:tcPr>
          <w:p w14:paraId="50AEC9E1" w14:textId="1FAA3039" w:rsidR="0078451F" w:rsidRPr="0078451F" w:rsidRDefault="009E36F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Pravni okvir za implementaciju Kohezione politike</w:t>
            </w:r>
            <w:r w:rsidR="0078451F" w:rsidRPr="0078451F">
              <w:rPr>
                <w:rFonts w:ascii="Aptos" w:eastAsia="Times New Roman" w:hAnsi="Aptos"/>
                <w:kern w:val="0"/>
                <w:sz w:val="14"/>
                <w:szCs w:val="14"/>
                <w:lang w:eastAsia="en-GB"/>
                <w14:ligatures w14:val="none"/>
              </w:rPr>
              <w:t>.</w:t>
            </w:r>
          </w:p>
        </w:tc>
        <w:tc>
          <w:tcPr>
            <w:tcW w:w="614" w:type="pct"/>
            <w:hideMark/>
          </w:tcPr>
          <w:p w14:paraId="5C83A7A9" w14:textId="1B5064D7"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60" w:type="pct"/>
            <w:hideMark/>
          </w:tcPr>
          <w:p w14:paraId="41C3DFF4" w14:textId="002C9EA8"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1</w:t>
            </w:r>
          </w:p>
        </w:tc>
        <w:tc>
          <w:tcPr>
            <w:tcW w:w="722" w:type="pct"/>
            <w:hideMark/>
          </w:tcPr>
          <w:p w14:paraId="12735A27" w14:textId="6EB675CA"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Zakon o implementaciji Kohezione politike je usvojen.</w:t>
            </w:r>
          </w:p>
        </w:tc>
        <w:tc>
          <w:tcPr>
            <w:tcW w:w="460" w:type="pct"/>
            <w:hideMark/>
          </w:tcPr>
          <w:p w14:paraId="6E563AB8" w14:textId="7152E179"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7D1799A7" w14:textId="3ABFF543"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0D6EA2C4" w14:textId="2FE936BC" w:rsidR="0078451F" w:rsidRPr="0078451F" w:rsidRDefault="007029B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Vremenski okvir zavisi od objavljivanja prijedloga Komisije za Kohezionu politiku nakon 2027. godine.</w:t>
            </w:r>
          </w:p>
        </w:tc>
        <w:tc>
          <w:tcPr>
            <w:tcW w:w="460" w:type="pct"/>
            <w:hideMark/>
          </w:tcPr>
          <w:p w14:paraId="6866FFDC"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78451F" w:rsidRPr="0078451F" w14:paraId="7BF4CD9B" w14:textId="77777777" w:rsidTr="0078451F">
        <w:trPr>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0D9CBB81"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1.03.</w:t>
            </w:r>
          </w:p>
        </w:tc>
        <w:tc>
          <w:tcPr>
            <w:tcW w:w="614" w:type="pct"/>
            <w:hideMark/>
          </w:tcPr>
          <w:p w14:paraId="50D1FEE8" w14:textId="6BF7E845" w:rsidR="0078451F" w:rsidRPr="0078451F" w:rsidRDefault="009E36F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Pravni okvir za implementaciju Kohezione politike</w:t>
            </w:r>
            <w:r w:rsidR="0078451F" w:rsidRPr="0078451F">
              <w:rPr>
                <w:rFonts w:ascii="Aptos" w:eastAsia="Times New Roman" w:hAnsi="Aptos"/>
                <w:kern w:val="0"/>
                <w:sz w:val="14"/>
                <w:szCs w:val="14"/>
                <w:lang w:eastAsia="en-GB"/>
                <w14:ligatures w14:val="none"/>
              </w:rPr>
              <w:t>.</w:t>
            </w:r>
          </w:p>
        </w:tc>
        <w:tc>
          <w:tcPr>
            <w:tcW w:w="614" w:type="pct"/>
            <w:hideMark/>
          </w:tcPr>
          <w:p w14:paraId="232CE938" w14:textId="0D8B25D4"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60" w:type="pct"/>
            <w:hideMark/>
          </w:tcPr>
          <w:p w14:paraId="0CFBC225" w14:textId="0BC566EE"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3153ACC8" w14:textId="432731BF" w:rsidR="0078451F" w:rsidRPr="0078451F" w:rsidRDefault="00163D4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Uredba o određivanju tijela i struktura za implementaciju Kohezione politike EU.</w:t>
            </w:r>
          </w:p>
        </w:tc>
        <w:tc>
          <w:tcPr>
            <w:tcW w:w="460" w:type="pct"/>
            <w:hideMark/>
          </w:tcPr>
          <w:p w14:paraId="721835FE" w14:textId="1A062307"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25DC3A1A" w14:textId="78C70A8E"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0CADAF6C" w14:textId="213ECDC6" w:rsidR="0078451F" w:rsidRPr="0078451F" w:rsidRDefault="007029B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Vremenski okvir zavisi od objavljivanja prijedloga Komisije za Kohezionu politiku nakon 2027. godine.</w:t>
            </w:r>
          </w:p>
        </w:tc>
        <w:tc>
          <w:tcPr>
            <w:tcW w:w="460" w:type="pct"/>
            <w:hideMark/>
          </w:tcPr>
          <w:p w14:paraId="7E2F69A5"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78451F" w:rsidRPr="0078451F" w14:paraId="357A5DAA" w14:textId="77777777" w:rsidTr="0078451F">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7980BE72"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1.04.</w:t>
            </w:r>
          </w:p>
        </w:tc>
        <w:tc>
          <w:tcPr>
            <w:tcW w:w="614" w:type="pct"/>
            <w:hideMark/>
          </w:tcPr>
          <w:p w14:paraId="5B172774" w14:textId="0CAC4E8F"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14" w:type="pct"/>
            <w:hideMark/>
          </w:tcPr>
          <w:p w14:paraId="225179B7" w14:textId="0EA4F60C"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60" w:type="pct"/>
            <w:hideMark/>
          </w:tcPr>
          <w:p w14:paraId="2AB71C87" w14:textId="3FE3F074"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4DCE1F9D" w14:textId="2DD34978"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78451F" w:rsidRPr="0078451F">
              <w:rPr>
                <w:rFonts w:ascii="Aptos" w:eastAsia="Times New Roman" w:hAnsi="Aptos"/>
                <w:kern w:val="0"/>
                <w:sz w:val="14"/>
                <w:szCs w:val="14"/>
                <w:lang w:eastAsia="en-GB"/>
                <w14:ligatures w14:val="none"/>
              </w:rPr>
              <w:t>.</w:t>
            </w:r>
          </w:p>
        </w:tc>
        <w:tc>
          <w:tcPr>
            <w:tcW w:w="460" w:type="pct"/>
            <w:hideMark/>
          </w:tcPr>
          <w:p w14:paraId="779FA931" w14:textId="1056C869"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432AB0DD" w14:textId="4B082E29"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57CFF60F"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601F8D3E" w14:textId="5244574F" w:rsidR="0078451F" w:rsidRPr="0078451F" w:rsidRDefault="0032369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.2.02.</w:t>
            </w:r>
          </w:p>
        </w:tc>
      </w:tr>
      <w:tr w:rsidR="0078451F" w:rsidRPr="0078451F" w14:paraId="7CC49134" w14:textId="77777777" w:rsidTr="0078451F">
        <w:trPr>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326809F1"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lastRenderedPageBreak/>
              <w:t>1.04.</w:t>
            </w:r>
          </w:p>
        </w:tc>
        <w:tc>
          <w:tcPr>
            <w:tcW w:w="614" w:type="pct"/>
            <w:hideMark/>
          </w:tcPr>
          <w:p w14:paraId="5C522B74" w14:textId="6100B103"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14" w:type="pct"/>
            <w:hideMark/>
          </w:tcPr>
          <w:p w14:paraId="5759F73A" w14:textId="6BCF90FF"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60" w:type="pct"/>
            <w:hideMark/>
          </w:tcPr>
          <w:p w14:paraId="316E501A" w14:textId="71798BFC"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722" w:type="pct"/>
            <w:hideMark/>
          </w:tcPr>
          <w:p w14:paraId="7003BBBA" w14:textId="768A5393"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78451F" w:rsidRPr="0078451F">
              <w:rPr>
                <w:rFonts w:ascii="Aptos" w:eastAsia="Times New Roman" w:hAnsi="Aptos"/>
                <w:kern w:val="0"/>
                <w:sz w:val="14"/>
                <w:szCs w:val="14"/>
                <w:lang w:eastAsia="en-GB"/>
                <w14:ligatures w14:val="none"/>
              </w:rPr>
              <w:t>.</w:t>
            </w:r>
          </w:p>
        </w:tc>
        <w:tc>
          <w:tcPr>
            <w:tcW w:w="460" w:type="pct"/>
            <w:hideMark/>
          </w:tcPr>
          <w:p w14:paraId="5A45B6F2" w14:textId="4ADABF24"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3F883CCD" w14:textId="0B69DC57"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68916AF9"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2DC1BEE1" w14:textId="14810343" w:rsidR="0078451F" w:rsidRPr="0078451F" w:rsidRDefault="0032369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.2.02.</w:t>
            </w:r>
          </w:p>
        </w:tc>
      </w:tr>
      <w:tr w:rsidR="0078451F" w:rsidRPr="0078451F" w14:paraId="6F25CD55" w14:textId="77777777" w:rsidTr="0078451F">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1C03856F"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1.04.</w:t>
            </w:r>
          </w:p>
        </w:tc>
        <w:tc>
          <w:tcPr>
            <w:tcW w:w="614" w:type="pct"/>
            <w:hideMark/>
          </w:tcPr>
          <w:p w14:paraId="4E22AB72" w14:textId="24DE019E"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14" w:type="pct"/>
            <w:hideMark/>
          </w:tcPr>
          <w:p w14:paraId="23181021" w14:textId="65902BD7"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60" w:type="pct"/>
            <w:hideMark/>
          </w:tcPr>
          <w:p w14:paraId="6D2F820D" w14:textId="0EB37043"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529D122D" w14:textId="4493D27A"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78451F" w:rsidRPr="0078451F">
              <w:rPr>
                <w:rFonts w:ascii="Aptos" w:eastAsia="Times New Roman" w:hAnsi="Aptos"/>
                <w:kern w:val="0"/>
                <w:sz w:val="14"/>
                <w:szCs w:val="14"/>
                <w:lang w:eastAsia="en-GB"/>
                <w14:ligatures w14:val="none"/>
              </w:rPr>
              <w:t>.</w:t>
            </w:r>
          </w:p>
        </w:tc>
        <w:tc>
          <w:tcPr>
            <w:tcW w:w="460" w:type="pct"/>
            <w:hideMark/>
          </w:tcPr>
          <w:p w14:paraId="6ECF2016" w14:textId="6B490BBB"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1B0EE0BC" w14:textId="0571CE48"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24D03FC6"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642B609A" w14:textId="689D407C" w:rsidR="0078451F" w:rsidRPr="0078451F" w:rsidRDefault="0032369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.2.02.</w:t>
            </w:r>
          </w:p>
        </w:tc>
      </w:tr>
      <w:tr w:rsidR="0078451F" w:rsidRPr="0078451F" w14:paraId="7F4B1409" w14:textId="77777777" w:rsidTr="0078451F">
        <w:trPr>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18432A78"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1.04.</w:t>
            </w:r>
          </w:p>
        </w:tc>
        <w:tc>
          <w:tcPr>
            <w:tcW w:w="614" w:type="pct"/>
            <w:hideMark/>
          </w:tcPr>
          <w:p w14:paraId="63C10958" w14:textId="76468552"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14" w:type="pct"/>
            <w:hideMark/>
          </w:tcPr>
          <w:p w14:paraId="7F90674E" w14:textId="700F4E2D"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60" w:type="pct"/>
            <w:hideMark/>
          </w:tcPr>
          <w:p w14:paraId="61D82294" w14:textId="672F5B2C"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722" w:type="pct"/>
            <w:hideMark/>
          </w:tcPr>
          <w:p w14:paraId="3BB382B9" w14:textId="3E17C097"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78451F" w:rsidRPr="0078451F">
              <w:rPr>
                <w:rFonts w:ascii="Aptos" w:eastAsia="Times New Roman" w:hAnsi="Aptos"/>
                <w:kern w:val="0"/>
                <w:sz w:val="14"/>
                <w:szCs w:val="14"/>
                <w:lang w:eastAsia="en-GB"/>
                <w14:ligatures w14:val="none"/>
              </w:rPr>
              <w:t>.</w:t>
            </w:r>
          </w:p>
        </w:tc>
        <w:tc>
          <w:tcPr>
            <w:tcW w:w="460" w:type="pct"/>
            <w:hideMark/>
          </w:tcPr>
          <w:p w14:paraId="70AACFD1" w14:textId="6CB23457"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63F3723F" w14:textId="6C3944B2"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0D72B554"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04A31436"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GB"/>
                <w14:ligatures w14:val="none"/>
              </w:rPr>
            </w:pPr>
          </w:p>
        </w:tc>
      </w:tr>
      <w:tr w:rsidR="0078451F" w:rsidRPr="0078451F" w14:paraId="564CE302" w14:textId="77777777" w:rsidTr="0078451F">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7E4C94DA"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1.04.</w:t>
            </w:r>
          </w:p>
        </w:tc>
        <w:tc>
          <w:tcPr>
            <w:tcW w:w="614" w:type="pct"/>
            <w:hideMark/>
          </w:tcPr>
          <w:p w14:paraId="5AF76B80" w14:textId="595DFB56"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14" w:type="pct"/>
            <w:hideMark/>
          </w:tcPr>
          <w:p w14:paraId="60E3F486" w14:textId="577E752D"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60" w:type="pct"/>
            <w:hideMark/>
          </w:tcPr>
          <w:p w14:paraId="2428AF85" w14:textId="38031AEA"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47E237F0" w14:textId="44E2CC75"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78451F" w:rsidRPr="0078451F">
              <w:rPr>
                <w:rFonts w:ascii="Aptos" w:eastAsia="Times New Roman" w:hAnsi="Aptos"/>
                <w:kern w:val="0"/>
                <w:sz w:val="14"/>
                <w:szCs w:val="14"/>
                <w:lang w:eastAsia="en-GB"/>
                <w14:ligatures w14:val="none"/>
              </w:rPr>
              <w:t>.</w:t>
            </w:r>
          </w:p>
        </w:tc>
        <w:tc>
          <w:tcPr>
            <w:tcW w:w="460" w:type="pct"/>
            <w:hideMark/>
          </w:tcPr>
          <w:p w14:paraId="4C88DBFC" w14:textId="04713985"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396C3EAB" w14:textId="5433A578"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08AD0416"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70826AEC"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GB"/>
                <w14:ligatures w14:val="none"/>
              </w:rPr>
            </w:pPr>
          </w:p>
        </w:tc>
      </w:tr>
      <w:tr w:rsidR="0078451F" w:rsidRPr="0078451F" w14:paraId="0F0DD5EF" w14:textId="77777777" w:rsidTr="0078451F">
        <w:trPr>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5EADA68E"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1.04.</w:t>
            </w:r>
          </w:p>
        </w:tc>
        <w:tc>
          <w:tcPr>
            <w:tcW w:w="614" w:type="pct"/>
            <w:hideMark/>
          </w:tcPr>
          <w:p w14:paraId="46DB85D4" w14:textId="1690DED0"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14" w:type="pct"/>
            <w:hideMark/>
          </w:tcPr>
          <w:p w14:paraId="6EA9F399" w14:textId="359D9EE4"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60" w:type="pct"/>
            <w:hideMark/>
          </w:tcPr>
          <w:p w14:paraId="08F32FC5" w14:textId="40C7FB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722" w:type="pct"/>
            <w:hideMark/>
          </w:tcPr>
          <w:p w14:paraId="747C3D5A" w14:textId="3104D729"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78451F" w:rsidRPr="0078451F">
              <w:rPr>
                <w:rFonts w:ascii="Aptos" w:eastAsia="Times New Roman" w:hAnsi="Aptos"/>
                <w:kern w:val="0"/>
                <w:sz w:val="14"/>
                <w:szCs w:val="14"/>
                <w:lang w:eastAsia="en-GB"/>
                <w14:ligatures w14:val="none"/>
              </w:rPr>
              <w:t>.</w:t>
            </w:r>
          </w:p>
        </w:tc>
        <w:tc>
          <w:tcPr>
            <w:tcW w:w="460" w:type="pct"/>
            <w:hideMark/>
          </w:tcPr>
          <w:p w14:paraId="5D4AAD04" w14:textId="6995D387"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14DC4E18" w14:textId="62DECFE3"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62ACA7D0"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14AEC024"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GB"/>
                <w14:ligatures w14:val="none"/>
              </w:rPr>
            </w:pPr>
          </w:p>
        </w:tc>
      </w:tr>
      <w:tr w:rsidR="0078451F" w:rsidRPr="0078451F" w14:paraId="682ABBDD" w14:textId="77777777" w:rsidTr="0078451F">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20D4F5C9"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1.04.</w:t>
            </w:r>
          </w:p>
        </w:tc>
        <w:tc>
          <w:tcPr>
            <w:tcW w:w="614" w:type="pct"/>
            <w:hideMark/>
          </w:tcPr>
          <w:p w14:paraId="24E5F032" w14:textId="4DE45DF7"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14" w:type="pct"/>
            <w:hideMark/>
          </w:tcPr>
          <w:p w14:paraId="243C6F47" w14:textId="4E765114"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60" w:type="pct"/>
            <w:hideMark/>
          </w:tcPr>
          <w:p w14:paraId="3D85CAB7" w14:textId="47E71CB4"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50BE92BD" w14:textId="3A98DAFD"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78451F" w:rsidRPr="0078451F">
              <w:rPr>
                <w:rFonts w:ascii="Aptos" w:eastAsia="Times New Roman" w:hAnsi="Aptos"/>
                <w:kern w:val="0"/>
                <w:sz w:val="14"/>
                <w:szCs w:val="14"/>
                <w:lang w:eastAsia="en-GB"/>
                <w14:ligatures w14:val="none"/>
              </w:rPr>
              <w:t>.</w:t>
            </w:r>
          </w:p>
        </w:tc>
        <w:tc>
          <w:tcPr>
            <w:tcW w:w="460" w:type="pct"/>
            <w:hideMark/>
          </w:tcPr>
          <w:p w14:paraId="3A1048B5" w14:textId="5215A1EF"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1DC21EC0" w14:textId="064BB029"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3B225ACE"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30026D60"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GB"/>
                <w14:ligatures w14:val="none"/>
              </w:rPr>
            </w:pPr>
          </w:p>
        </w:tc>
      </w:tr>
      <w:tr w:rsidR="0078451F" w:rsidRPr="0078451F" w14:paraId="2086B4C7" w14:textId="77777777" w:rsidTr="0078451F">
        <w:trPr>
          <w:trHeight w:val="945"/>
        </w:trPr>
        <w:tc>
          <w:tcPr>
            <w:cnfStyle w:val="001000000000" w:firstRow="0" w:lastRow="0" w:firstColumn="1" w:lastColumn="0" w:oddVBand="0" w:evenVBand="0" w:oddHBand="0" w:evenHBand="0" w:firstRowFirstColumn="0" w:firstRowLastColumn="0" w:lastRowFirstColumn="0" w:lastRowLastColumn="0"/>
            <w:tcW w:w="487" w:type="pct"/>
            <w:hideMark/>
          </w:tcPr>
          <w:p w14:paraId="4A75EBC5"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1.04.</w:t>
            </w:r>
          </w:p>
        </w:tc>
        <w:tc>
          <w:tcPr>
            <w:tcW w:w="614" w:type="pct"/>
            <w:hideMark/>
          </w:tcPr>
          <w:p w14:paraId="28E2C048" w14:textId="05E1ADC7"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Praćenje napretka i konačnog usklađivanja sa ispunjenjem omogućavajućih uslova.</w:t>
            </w:r>
          </w:p>
        </w:tc>
        <w:tc>
          <w:tcPr>
            <w:tcW w:w="614" w:type="pct"/>
            <w:hideMark/>
          </w:tcPr>
          <w:p w14:paraId="1DF74A39" w14:textId="2C345D12"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60" w:type="pct"/>
            <w:hideMark/>
          </w:tcPr>
          <w:p w14:paraId="32E72BCC" w14:textId="5C02D4F4"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722" w:type="pct"/>
            <w:hideMark/>
          </w:tcPr>
          <w:p w14:paraId="698808B3" w14:textId="047C2FB4"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Sveobuhvatni izvještaji o napretku u ispunjavanju omogućavajućih uslova</w:t>
            </w:r>
            <w:r w:rsidR="0078451F" w:rsidRPr="0078451F">
              <w:rPr>
                <w:rFonts w:ascii="Aptos" w:eastAsia="Times New Roman" w:hAnsi="Aptos"/>
                <w:kern w:val="0"/>
                <w:sz w:val="14"/>
                <w:szCs w:val="14"/>
                <w:lang w:eastAsia="en-GB"/>
                <w14:ligatures w14:val="none"/>
              </w:rPr>
              <w:t>.</w:t>
            </w:r>
          </w:p>
        </w:tc>
        <w:tc>
          <w:tcPr>
            <w:tcW w:w="460" w:type="pct"/>
            <w:hideMark/>
          </w:tcPr>
          <w:p w14:paraId="22C2A1D5" w14:textId="3F19543B"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1FC723F3" w14:textId="5E1EC4AB"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35BAE444"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5DD3C703"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GB"/>
                <w14:ligatures w14:val="none"/>
              </w:rPr>
            </w:pPr>
          </w:p>
        </w:tc>
      </w:tr>
    </w:tbl>
    <w:p w14:paraId="507B2212" w14:textId="77777777" w:rsidR="001C0578" w:rsidRPr="00B83578" w:rsidRDefault="001C0578" w:rsidP="001C0578">
      <w:pPr>
        <w:spacing w:after="0"/>
        <w:rPr>
          <w:rFonts w:eastAsia="Aptos" w:cs="Arial"/>
          <w:szCs w:val="20"/>
        </w:rPr>
      </w:pPr>
      <w:r w:rsidRPr="00B83578">
        <w:rPr>
          <w:rFonts w:eastAsia="Aptos" w:cs="Arial"/>
          <w:color w:val="000000" w:themeColor="text1"/>
        </w:rPr>
        <w:t xml:space="preserve"> </w:t>
      </w:r>
    </w:p>
    <w:p w14:paraId="1ED6E0C3" w14:textId="77777777" w:rsidR="001C0578" w:rsidRPr="00B83578" w:rsidRDefault="001C0578" w:rsidP="001C0578">
      <w:pPr>
        <w:spacing w:after="0"/>
        <w:rPr>
          <w:rFonts w:eastAsia="Aptos" w:cs="Arial"/>
          <w:szCs w:val="20"/>
        </w:rPr>
      </w:pPr>
    </w:p>
    <w:p w14:paraId="2D21093C" w14:textId="48505171" w:rsidR="008C321F" w:rsidRPr="00B83578" w:rsidRDefault="003F4FA3" w:rsidP="000B0955">
      <w:pPr>
        <w:pStyle w:val="Heading1"/>
      </w:pPr>
      <w:bookmarkStart w:id="103" w:name="_Toc201700371"/>
      <w:r>
        <w:lastRenderedPageBreak/>
        <w:t>Institucionalni okvir</w:t>
      </w:r>
      <w:bookmarkEnd w:id="103"/>
      <w:r w:rsidR="008C321F" w:rsidRPr="00B83578">
        <w:t xml:space="preserve">  </w:t>
      </w:r>
    </w:p>
    <w:p w14:paraId="676C016F" w14:textId="4556ED5B" w:rsidR="008C321F" w:rsidRDefault="009E36FF" w:rsidP="000B0955">
      <w:pPr>
        <w:pStyle w:val="Heading2"/>
      </w:pPr>
      <w:bookmarkStart w:id="104" w:name="_Toc201700372"/>
      <w:r>
        <w:t>Relevantni zahtjevi Kohezione politike</w:t>
      </w:r>
      <w:bookmarkEnd w:id="104"/>
    </w:p>
    <w:p w14:paraId="384B27D1" w14:textId="5599DD0C" w:rsidR="00C83EA6" w:rsidRDefault="00CD0020" w:rsidP="00D15218">
      <w:pPr>
        <w:pStyle w:val="ListParagraph"/>
        <w:numPr>
          <w:ilvl w:val="0"/>
          <w:numId w:val="13"/>
        </w:numPr>
      </w:pPr>
      <w:r>
        <w:t>RZO</w:t>
      </w:r>
      <w:r w:rsidR="00C83EA6">
        <w:t xml:space="preserve"> član 71 – Tijela programa</w:t>
      </w:r>
    </w:p>
    <w:p w14:paraId="459316D7" w14:textId="4E94B718" w:rsidR="00C83EA6" w:rsidRDefault="00CD0020" w:rsidP="00D15218">
      <w:pPr>
        <w:pStyle w:val="ListParagraph"/>
        <w:numPr>
          <w:ilvl w:val="0"/>
          <w:numId w:val="13"/>
        </w:numPr>
      </w:pPr>
      <w:r>
        <w:t>RZO</w:t>
      </w:r>
      <w:r w:rsidR="00C83EA6">
        <w:t xml:space="preserve"> član 72 – Funkcije Upravljačkog tijela</w:t>
      </w:r>
    </w:p>
    <w:p w14:paraId="3D65162B" w14:textId="1404B622" w:rsidR="00C83EA6" w:rsidRDefault="00975088" w:rsidP="00D15218">
      <w:pPr>
        <w:pStyle w:val="ListParagraph"/>
        <w:numPr>
          <w:ilvl w:val="0"/>
          <w:numId w:val="13"/>
        </w:numPr>
      </w:pPr>
      <w:r>
        <w:t>Regulativa</w:t>
      </w:r>
      <w:r w:rsidR="00C83EA6">
        <w:t xml:space="preserve"> (EU) 2021/1059</w:t>
      </w:r>
      <w:r w:rsidR="00C83EA6" w:rsidRPr="00B83578">
        <w:rPr>
          <w:rFonts w:cs="Arial"/>
          <w:b/>
          <w:bCs/>
          <w:color w:val="000000" w:themeColor="text1"/>
          <w:vertAlign w:val="superscript"/>
        </w:rPr>
        <w:footnoteReference w:id="102"/>
      </w:r>
      <w:r w:rsidR="00C83EA6" w:rsidRPr="00B83578">
        <w:t xml:space="preserve"> </w:t>
      </w:r>
      <w:r w:rsidR="00C83EA6">
        <w:t>za cilj evropske teritorijalne saradnje, čl. 45–48 o tijelima programa i funkcijama Upravljačkog tijela</w:t>
      </w:r>
    </w:p>
    <w:p w14:paraId="6A103EBE" w14:textId="77777777" w:rsidR="00C83EA6" w:rsidRDefault="00C83EA6" w:rsidP="00C83EA6"/>
    <w:p w14:paraId="0D30D959" w14:textId="5E26721F" w:rsidR="00C83EA6" w:rsidRPr="00C83EA6" w:rsidRDefault="00CD0020" w:rsidP="00C83EA6">
      <w:r>
        <w:t>RZO</w:t>
      </w:r>
      <w:r w:rsidR="00C83EA6">
        <w:t xml:space="preserve"> zahtijeva da država članica za svaki program odredi </w:t>
      </w:r>
      <w:r w:rsidR="00C83EA6" w:rsidRPr="005A25B0">
        <w:rPr>
          <w:b/>
        </w:rPr>
        <w:t>Upravljačko tijelo i Revizorsko tijelo</w:t>
      </w:r>
      <w:r w:rsidR="00C83EA6">
        <w:t xml:space="preserve">. Ako država članica, u skladu sa članom 72(2) </w:t>
      </w:r>
      <w:r>
        <w:t>RZO</w:t>
      </w:r>
      <w:r w:rsidR="00C83EA6">
        <w:t xml:space="preserve">-a, povjeri </w:t>
      </w:r>
      <w:r w:rsidR="00C83EA6" w:rsidRPr="005A25B0">
        <w:rPr>
          <w:b/>
        </w:rPr>
        <w:t>računovodstvenu funkciju tijelu različitom od Upravljačkog tijela</w:t>
      </w:r>
      <w:r w:rsidR="00C83EA6">
        <w:t>, to tijelo takođe mora biti identifikovano kao tijelo programa. Ta ista tijela mogu biti odgovorna za više od jednog programa.</w:t>
      </w:r>
    </w:p>
    <w:p w14:paraId="2C942C3A" w14:textId="3C2B3D06" w:rsidR="005A25B0" w:rsidRDefault="005A25B0" w:rsidP="005A25B0">
      <w:r>
        <w:t>Član 71.3. Upravljačko tijelo može imenovati jedno ili više Posredničkih tijela za obavljanje određenih zadataka u svojoj nadležnosti. Dogovori između Upravljačkog tijela i Posredničkih tijela moraju biti zabilježeni u pisanom obliku.</w:t>
      </w:r>
    </w:p>
    <w:p w14:paraId="33047FB7" w14:textId="4B81C76E" w:rsidR="005A25B0" w:rsidRDefault="005A25B0" w:rsidP="005A25B0">
      <w:r>
        <w:t xml:space="preserve">Član 71.6. Država članica, na sopstvenu inicijativu, može formirati </w:t>
      </w:r>
      <w:r w:rsidRPr="005A25B0">
        <w:rPr>
          <w:b/>
        </w:rPr>
        <w:t>Koordinaciono tijelo</w:t>
      </w:r>
      <w:r>
        <w:t xml:space="preserve"> za saradnju sa Komisijom i pružanje informacija, kao i za koordinaciju aktivnosti programskih tijela u toj državi članici.</w:t>
      </w:r>
    </w:p>
    <w:p w14:paraId="7242C34E" w14:textId="77777777" w:rsidR="005A25B0" w:rsidRDefault="005A25B0" w:rsidP="005A25B0">
      <w:r>
        <w:t xml:space="preserve">Član 72.2. Država članica može povjeriti </w:t>
      </w:r>
      <w:r w:rsidRPr="005A25B0">
        <w:rPr>
          <w:b/>
        </w:rPr>
        <w:t>računovodstvenu funkciju</w:t>
      </w:r>
      <w:r>
        <w:t xml:space="preserve"> iz člana 76 Upravljačkom tijelu ili nekom drugom tijelu.</w:t>
      </w:r>
    </w:p>
    <w:p w14:paraId="322CDD83" w14:textId="02C89F57" w:rsidR="005A25B0" w:rsidRDefault="003D7057" w:rsidP="005A25B0">
      <w:r>
        <w:rPr>
          <w:b/>
        </w:rPr>
        <w:t>ETS</w:t>
      </w:r>
      <w:r w:rsidR="005A25B0" w:rsidRPr="005A25B0">
        <w:rPr>
          <w:b/>
        </w:rPr>
        <w:t xml:space="preserve"> </w:t>
      </w:r>
      <w:r w:rsidR="00422E3B">
        <w:rPr>
          <w:b/>
        </w:rPr>
        <w:t>Regulativa</w:t>
      </w:r>
      <w:r w:rsidR="005A25B0">
        <w:t xml:space="preserve"> zahtijeva identifikaciju jednog Upravljačkog tijela i jednog Revizorskog tijela. Odredbe o posredničkim tijelima i računovodstvenoj funkciji odražavaju odredbe iz </w:t>
      </w:r>
      <w:r w:rsidR="00CD0020">
        <w:t>RZO</w:t>
      </w:r>
      <w:r w:rsidR="005A25B0">
        <w:t>-a.</w:t>
      </w:r>
    </w:p>
    <w:p w14:paraId="7E3AC985" w14:textId="77777777" w:rsidR="005A25B0" w:rsidRDefault="005A25B0" w:rsidP="005A25B0">
      <w:r>
        <w:t>Čl. 46 zahtijeva da Upravljačko tijelo uspostavi zajednički sekretarijat.</w:t>
      </w:r>
    </w:p>
    <w:p w14:paraId="3051F8D7" w14:textId="77777777" w:rsidR="005A25B0" w:rsidRDefault="005A25B0" w:rsidP="005A25B0">
      <w:r>
        <w:t>Čl. 48 predviđa da, u slučajevima kada Revizorsko tijelo nema ovlašćenje na cijeloj teritoriji obuhvaćenoj programom saradnje, pomaže mu grupa revizora.</w:t>
      </w:r>
    </w:p>
    <w:p w14:paraId="148AFCE3" w14:textId="1B471845" w:rsidR="005A25B0" w:rsidRDefault="005A25B0" w:rsidP="005A25B0">
      <w:r>
        <w:t xml:space="preserve">Shodno tome, prema gore navedenim odredbama, Upravljačko tijelo i Revizorsko tijelo su u </w:t>
      </w:r>
      <w:r w:rsidR="00EA1B2F">
        <w:t>Regulativi</w:t>
      </w:r>
      <w:r>
        <w:t xml:space="preserve"> definisani kao </w:t>
      </w:r>
      <w:r w:rsidR="005B55A5">
        <w:t>tijela programa</w:t>
      </w:r>
      <w:r>
        <w:t xml:space="preserve">, pa je njihovo uspostavljanje </w:t>
      </w:r>
      <w:r w:rsidRPr="005A25B0">
        <w:rPr>
          <w:i/>
        </w:rPr>
        <w:t>obavezno</w:t>
      </w:r>
      <w:r>
        <w:t xml:space="preserve">. Dodatna </w:t>
      </w:r>
      <w:r w:rsidR="005B55A5">
        <w:t>tijela programa</w:t>
      </w:r>
      <w:r>
        <w:t xml:space="preserve"> mogu biti </w:t>
      </w:r>
      <w:r w:rsidR="000270DD">
        <w:t>Tijelo za računovodstvo</w:t>
      </w:r>
      <w:r>
        <w:t xml:space="preserve"> (ako se imenuje) i posrednička tijela (ako se imenuju), pa je njihovo uspostavljanje </w:t>
      </w:r>
      <w:r w:rsidRPr="005A25B0">
        <w:rPr>
          <w:i/>
        </w:rPr>
        <w:t>opciono</w:t>
      </w:r>
      <w:r>
        <w:t>. Takođe, uspostavljanje Koordinacionog tijela je opciono.</w:t>
      </w:r>
    </w:p>
    <w:p w14:paraId="1F1032C1" w14:textId="397B3B23" w:rsidR="008C321F" w:rsidRPr="00B83578" w:rsidRDefault="00CD0020" w:rsidP="000B0955">
      <w:pPr>
        <w:pStyle w:val="Heading3"/>
      </w:pPr>
      <w:bookmarkStart w:id="105" w:name="_Toc181860700"/>
      <w:bookmarkStart w:id="106" w:name="_Toc201700373"/>
      <w:r>
        <w:t>RZO</w:t>
      </w:r>
      <w:r w:rsidR="008C321F" w:rsidRPr="00B83578">
        <w:t xml:space="preserve"> </w:t>
      </w:r>
      <w:r w:rsidR="00975088">
        <w:t>Čl.</w:t>
      </w:r>
      <w:r w:rsidR="008C321F" w:rsidRPr="00B83578">
        <w:t xml:space="preserve"> 69 </w:t>
      </w:r>
      <w:r w:rsidR="003F4FA3">
        <w:t>Odgovornosti država članica</w:t>
      </w:r>
      <w:bookmarkEnd w:id="105"/>
      <w:bookmarkEnd w:id="106"/>
    </w:p>
    <w:p w14:paraId="3B80991C" w14:textId="77777777" w:rsidR="00E078AE" w:rsidRDefault="00E078AE" w:rsidP="00E078AE">
      <w:r>
        <w:t xml:space="preserve">Član 69.6. Države članice moraju imati </w:t>
      </w:r>
      <w:r w:rsidRPr="00E078AE">
        <w:rPr>
          <w:b/>
        </w:rPr>
        <w:t>sisteme i procedure</w:t>
      </w:r>
      <w:r>
        <w:t xml:space="preserve"> kojima se obezbjeđuje da se sva dokumenta potrebna za </w:t>
      </w:r>
      <w:r w:rsidRPr="00E078AE">
        <w:rPr>
          <w:b/>
        </w:rPr>
        <w:t>revizorski trag</w:t>
      </w:r>
      <w:r>
        <w:t>, kako je propisano u Aneksu XIII, čuvaju u skladu sa zahtjevima utvrđenim u članu 82.</w:t>
      </w:r>
    </w:p>
    <w:p w14:paraId="309F7EFA" w14:textId="77777777" w:rsidR="00E078AE" w:rsidRDefault="00E078AE" w:rsidP="00E078AE">
      <w:r>
        <w:t xml:space="preserve">Član 69.7. Države članice moraju preduzeti mjere kako bi obezbijedile djelotvorno </w:t>
      </w:r>
      <w:r w:rsidRPr="00E078AE">
        <w:rPr>
          <w:b/>
        </w:rPr>
        <w:t>razmatranje pritužbi koje se odnose na Fondove</w:t>
      </w:r>
      <w:r>
        <w:t>. Obim, pravila i procedure tih mjera biće u nadležnosti država članica, u skladu s njihovim institucionalnim i pravnim okvirom. Ovo ne dovodi u pitanje opštu mogućnost građana i zainteresovanih strana da podnesu pritužbe Komisiji. Države članice će, na zahtjev Komisije, razmotriti pritužbe podnesene Komisiji koje spadaju u djelokrug njihovih programa i obavijestiti Komisiju o rezultatima tih razmatranja.</w:t>
      </w:r>
    </w:p>
    <w:p w14:paraId="23E5323B" w14:textId="6048B2E3" w:rsidR="00E2037A" w:rsidRDefault="00E2037A" w:rsidP="00E2037A">
      <w:r>
        <w:t xml:space="preserve">Za potrebe ovog člana, žalbe obuhvataju svaki spor između potencijalnih i odabranih korisnika u vezi sa predloženom ili odabranom </w:t>
      </w:r>
      <w:r w:rsidR="003C3478">
        <w:t>operacijom</w:t>
      </w:r>
      <w:r>
        <w:t xml:space="preserve">, kao i svaki spor sa trećim stranama u vezi sa </w:t>
      </w:r>
      <w:r w:rsidR="00A80895">
        <w:t>implementacijo</w:t>
      </w:r>
      <w:r>
        <w:t xml:space="preserve">m programa ili </w:t>
      </w:r>
      <w:r w:rsidR="003C3478">
        <w:t>operacijom</w:t>
      </w:r>
      <w:r>
        <w:t xml:space="preserve"> u njegovom okviru, bez obzira na pravni lijek predviđen nacionalnim zakonom.  </w:t>
      </w:r>
    </w:p>
    <w:p w14:paraId="58229351" w14:textId="386A3344" w:rsidR="00E2037A" w:rsidRDefault="00E2037A" w:rsidP="00E2037A">
      <w:r>
        <w:t xml:space="preserve">Član 69.11. Svaka država članica mora imati uspostavljen </w:t>
      </w:r>
      <w:r w:rsidRPr="00E2037A">
        <w:rPr>
          <w:b/>
        </w:rPr>
        <w:t>opis sistema upravljanja i kontrole</w:t>
      </w:r>
      <w:r>
        <w:t xml:space="preserve"> najkasnije do podnošenja zahtjeva za konačnu uplatu za prvu godinu obračuna, a najkasnije do 30. juna 2023. godine, </w:t>
      </w:r>
      <w:r>
        <w:lastRenderedPageBreak/>
        <w:t>u skladu sa obrascem iz Aneksa XVI. Taj opis treba redovno ažurirati kako bi odražavao sve naknadne izmjene.</w:t>
      </w:r>
    </w:p>
    <w:p w14:paraId="159BA3FA" w14:textId="255ED949" w:rsidR="008C321F" w:rsidRPr="00B83578" w:rsidRDefault="00017758" w:rsidP="000B0955">
      <w:pPr>
        <w:pStyle w:val="Heading2"/>
      </w:pPr>
      <w:bookmarkStart w:id="107" w:name="_Toc201700374"/>
      <w:r>
        <w:t>Procjena trenutne situacije</w:t>
      </w:r>
      <w:bookmarkEnd w:id="107"/>
      <w:r w:rsidR="008C321F" w:rsidRPr="00B83578">
        <w:t xml:space="preserve"> </w:t>
      </w:r>
    </w:p>
    <w:p w14:paraId="0EEE79CD" w14:textId="0ABA3C7C" w:rsidR="008C321F" w:rsidRPr="00B83578" w:rsidRDefault="003F4FA3" w:rsidP="000B0955">
      <w:pPr>
        <w:pStyle w:val="Heading3"/>
      </w:pPr>
      <w:bookmarkStart w:id="108" w:name="_Toc201700375"/>
      <w:r>
        <w:t>TIjela programa za implementaciju pretpristupnih sredstava</w:t>
      </w:r>
      <w:bookmarkEnd w:id="108"/>
      <w:r w:rsidR="008C321F" w:rsidRPr="00B83578">
        <w:t xml:space="preserve"> </w:t>
      </w:r>
    </w:p>
    <w:p w14:paraId="5CDC1B56" w14:textId="77777777" w:rsidR="00E2037A" w:rsidRPr="00E2037A" w:rsidRDefault="00E2037A" w:rsidP="00E2037A">
      <w:pPr>
        <w:rPr>
          <w:bCs/>
        </w:rPr>
      </w:pPr>
      <w:bookmarkStart w:id="109" w:name="_Hlk166556149"/>
      <w:r w:rsidRPr="00E2037A">
        <w:rPr>
          <w:b/>
          <w:bCs/>
        </w:rPr>
        <w:t xml:space="preserve">IPA II i IPA III </w:t>
      </w:r>
      <w:r w:rsidRPr="00E2037A">
        <w:rPr>
          <w:bCs/>
        </w:rPr>
        <w:t xml:space="preserve">se trenutno sprovode paralelno, iako prema različitim sistemima.  </w:t>
      </w:r>
    </w:p>
    <w:p w14:paraId="0311899D" w14:textId="63DC24CC" w:rsidR="00E2037A" w:rsidRPr="00E2037A" w:rsidRDefault="00E2037A" w:rsidP="00E2037A">
      <w:pPr>
        <w:rPr>
          <w:bCs/>
        </w:rPr>
      </w:pPr>
      <w:r w:rsidRPr="00D1523F">
        <w:rPr>
          <w:b/>
          <w:bCs/>
        </w:rPr>
        <w:t>U okviru programa IPA II</w:t>
      </w:r>
      <w:r w:rsidRPr="00E2037A">
        <w:rPr>
          <w:bCs/>
        </w:rPr>
        <w:t xml:space="preserve">, pored </w:t>
      </w:r>
      <w:r>
        <w:rPr>
          <w:bCs/>
        </w:rPr>
        <w:t>Revizorskog tijela</w:t>
      </w:r>
      <w:r w:rsidRPr="00E2037A">
        <w:rPr>
          <w:bCs/>
        </w:rPr>
        <w:t xml:space="preserve">, u svaki Program kojim se upravlja indirektno sa Crnom Gorom uključeni su i </w:t>
      </w:r>
      <w:r w:rsidR="0086543E" w:rsidRPr="0086543E">
        <w:rPr>
          <w:bCs/>
        </w:rPr>
        <w:t>NIPAK</w:t>
      </w:r>
      <w:r w:rsidRPr="00E2037A">
        <w:rPr>
          <w:bCs/>
        </w:rPr>
        <w:t xml:space="preserve">/Kancelarija </w:t>
      </w:r>
      <w:r w:rsidR="0086543E" w:rsidRPr="0086543E">
        <w:rPr>
          <w:bCs/>
        </w:rPr>
        <w:t>NIPAK</w:t>
      </w:r>
      <w:r w:rsidRPr="00E2037A">
        <w:rPr>
          <w:bCs/>
        </w:rPr>
        <w:t xml:space="preserve">-a, NAO/Struktura za upravljanje i Interna revizija za EU programe (nadležna za sve programe osim IPARD, za koji </w:t>
      </w:r>
      <w:r>
        <w:rPr>
          <w:bCs/>
        </w:rPr>
        <w:t>Revizorsko tijelo</w:t>
      </w:r>
      <w:r w:rsidRPr="00E2037A">
        <w:rPr>
          <w:bCs/>
        </w:rPr>
        <w:t xml:space="preserve"> revidira samo NAO Strukturu za upravljanje).  </w:t>
      </w:r>
    </w:p>
    <w:p w14:paraId="52D8F791" w14:textId="77777777" w:rsidR="00E2037A" w:rsidRPr="00E2037A" w:rsidRDefault="00E2037A" w:rsidP="00E2037A">
      <w:pPr>
        <w:rPr>
          <w:bCs/>
        </w:rPr>
      </w:pPr>
      <w:r w:rsidRPr="00E2037A">
        <w:rPr>
          <w:bCs/>
        </w:rPr>
        <w:t xml:space="preserve">U sljedeće akcione programe (godišnji akcioni programi – AAP-ovi i višegodišnji </w:t>
      </w:r>
      <w:r w:rsidRPr="00D1523F">
        <w:rPr>
          <w:b/>
          <w:bCs/>
        </w:rPr>
        <w:t>Sektorski operativni</w:t>
      </w:r>
      <w:r w:rsidRPr="00E2037A">
        <w:rPr>
          <w:bCs/>
        </w:rPr>
        <w:t xml:space="preserve"> program za </w:t>
      </w:r>
      <w:r w:rsidRPr="00D1523F">
        <w:rPr>
          <w:b/>
          <w:bCs/>
        </w:rPr>
        <w:t>Crnu Goru</w:t>
      </w:r>
      <w:r w:rsidRPr="00E2037A">
        <w:rPr>
          <w:bCs/>
        </w:rPr>
        <w:t xml:space="preserve"> za zapošljavanje, obrazovanje i socijalnu politiku 2015-2017 (SOPEES)) uključena su sljedeća tijela:  </w:t>
      </w:r>
    </w:p>
    <w:p w14:paraId="61FFA095" w14:textId="706C9E35" w:rsidR="00D1523F" w:rsidRPr="00422E3B" w:rsidRDefault="00477A44" w:rsidP="00D15218">
      <w:pPr>
        <w:pStyle w:val="ListParagraph"/>
        <w:numPr>
          <w:ilvl w:val="0"/>
          <w:numId w:val="14"/>
        </w:numPr>
        <w:rPr>
          <w:bCs/>
        </w:rPr>
      </w:pPr>
      <w:r>
        <w:rPr>
          <w:bCs/>
        </w:rPr>
        <w:t>Ugovorna tijela</w:t>
      </w:r>
      <w:r w:rsidR="00E2037A" w:rsidRPr="00422E3B">
        <w:rPr>
          <w:bCs/>
        </w:rPr>
        <w:t xml:space="preserve">: </w:t>
      </w:r>
      <w:r w:rsidR="00D1523F" w:rsidRPr="00422E3B">
        <w:rPr>
          <w:bCs/>
        </w:rPr>
        <w:t>C</w:t>
      </w:r>
      <w:r w:rsidR="00E2037A" w:rsidRPr="00422E3B">
        <w:rPr>
          <w:bCs/>
        </w:rPr>
        <w:t xml:space="preserve">FCU i Uprava za kapitalne projekte.  </w:t>
      </w:r>
    </w:p>
    <w:p w14:paraId="31F821F3" w14:textId="032F02E6" w:rsidR="00E2037A" w:rsidRPr="00422E3B" w:rsidRDefault="00E2037A" w:rsidP="00D15218">
      <w:pPr>
        <w:pStyle w:val="ListParagraph"/>
        <w:numPr>
          <w:ilvl w:val="0"/>
          <w:numId w:val="14"/>
        </w:numPr>
        <w:rPr>
          <w:bCs/>
        </w:rPr>
      </w:pPr>
      <w:r w:rsidRPr="00422E3B">
        <w:rPr>
          <w:bCs/>
        </w:rPr>
        <w:t xml:space="preserve">Jedinice za </w:t>
      </w:r>
      <w:r w:rsidR="00A80895">
        <w:rPr>
          <w:bCs/>
        </w:rPr>
        <w:t>implementaciju</w:t>
      </w:r>
      <w:r w:rsidRPr="00422E3B">
        <w:rPr>
          <w:bCs/>
        </w:rPr>
        <w:t xml:space="preserve"> projekata, uspostavljene unutar relevantnih resornih ministarstava: Ministarstvo finansija; Ministarstvo ekologije, održivog razvoja i razvoja sjevernog regiona; Ministarstvo rada, zapošljavanja i socijalnog dijaloga; Ministarstvo socijalnog staranja, brige o porodici i demografije; Ministarstvo saobraćaja; Ministarstvo pomorstva; Ministarstvo ekonomskog razvoja; Ministarstvo pravde; Ministarstvo unutrašnjih poslova; Ministarstvo ljudskih i manjinskih prava; Ministarstvo prosvjete, nauke i inovacija; Ministarstvo zdravlja.</w:t>
      </w:r>
    </w:p>
    <w:p w14:paraId="5E2A3C60" w14:textId="5BEA99EA" w:rsidR="00D1523F" w:rsidRPr="00422E3B" w:rsidRDefault="00D1523F" w:rsidP="00D1523F">
      <w:pPr>
        <w:rPr>
          <w:bdr w:val="none" w:sz="0" w:space="0" w:color="auto" w:frame="1"/>
        </w:rPr>
      </w:pPr>
      <w:r w:rsidRPr="00422E3B">
        <w:rPr>
          <w:bdr w:val="none" w:sz="0" w:space="0" w:color="auto" w:frame="1"/>
        </w:rPr>
        <w:t>Sljedeća tijela su zadužena za bilateralne programe prekogranične saradnje (</w:t>
      </w:r>
      <w:r w:rsidR="00D858E0">
        <w:rPr>
          <w:bdr w:val="none" w:sz="0" w:space="0" w:color="auto" w:frame="1"/>
        </w:rPr>
        <w:t>PGS</w:t>
      </w:r>
      <w:r w:rsidRPr="00422E3B">
        <w:rPr>
          <w:bdr w:val="none" w:sz="0" w:space="0" w:color="auto" w:frame="1"/>
        </w:rPr>
        <w:t xml:space="preserve">) u okviru IPA II:  </w:t>
      </w:r>
    </w:p>
    <w:p w14:paraId="6C30A875" w14:textId="3A6FCEF8" w:rsidR="00D1523F" w:rsidRPr="00422E3B" w:rsidRDefault="00D1523F" w:rsidP="00D15218">
      <w:pPr>
        <w:pStyle w:val="ListParagraph"/>
        <w:numPr>
          <w:ilvl w:val="0"/>
          <w:numId w:val="15"/>
        </w:numPr>
        <w:rPr>
          <w:bdr w:val="none" w:sz="0" w:space="0" w:color="auto" w:frame="1"/>
        </w:rPr>
      </w:pPr>
      <w:r w:rsidRPr="00422E3B">
        <w:rPr>
          <w:bdr w:val="none" w:sz="0" w:space="0" w:color="auto" w:frame="1"/>
        </w:rPr>
        <w:t xml:space="preserve">Rukovodilac operativne strukture (HoS) u Ministarstvu evropskih poslova – Kancelarija </w:t>
      </w:r>
      <w:r w:rsidR="0086543E" w:rsidRPr="0086543E">
        <w:rPr>
          <w:bdr w:val="none" w:sz="0" w:space="0" w:color="auto" w:frame="1"/>
        </w:rPr>
        <w:t>NIPAK</w:t>
      </w:r>
      <w:r w:rsidRPr="00422E3B">
        <w:rPr>
          <w:bdr w:val="none" w:sz="0" w:space="0" w:color="auto" w:frame="1"/>
        </w:rPr>
        <w:t xml:space="preserve">-a, uz podršku kancelarije HoS-a;  </w:t>
      </w:r>
    </w:p>
    <w:p w14:paraId="13771119" w14:textId="0872CE94" w:rsidR="00D1523F" w:rsidRPr="00422E3B" w:rsidRDefault="00D1523F" w:rsidP="00D15218">
      <w:pPr>
        <w:pStyle w:val="ListParagraph"/>
        <w:numPr>
          <w:ilvl w:val="0"/>
          <w:numId w:val="15"/>
        </w:numPr>
        <w:rPr>
          <w:bdr w:val="none" w:sz="0" w:space="0" w:color="auto" w:frame="1"/>
        </w:rPr>
      </w:pPr>
      <w:r w:rsidRPr="00422E3B">
        <w:rPr>
          <w:bdr w:val="none" w:sz="0" w:space="0" w:color="auto" w:frame="1"/>
        </w:rPr>
        <w:t xml:space="preserve">Tijelo za prekograničnu saradnju u Ministarstvu evropskih poslova – Kancelarija </w:t>
      </w:r>
      <w:r w:rsidR="0086543E" w:rsidRPr="0086543E">
        <w:rPr>
          <w:bdr w:val="none" w:sz="0" w:space="0" w:color="auto" w:frame="1"/>
        </w:rPr>
        <w:t>NIPAK</w:t>
      </w:r>
      <w:r w:rsidRPr="00422E3B">
        <w:rPr>
          <w:bdr w:val="none" w:sz="0" w:space="0" w:color="auto" w:frame="1"/>
        </w:rPr>
        <w:t xml:space="preserve">-a;  </w:t>
      </w:r>
    </w:p>
    <w:p w14:paraId="111473DE" w14:textId="0A364F48" w:rsidR="00D1523F" w:rsidRPr="00422E3B" w:rsidRDefault="00D1523F" w:rsidP="00D15218">
      <w:pPr>
        <w:pStyle w:val="ListParagraph"/>
        <w:numPr>
          <w:ilvl w:val="0"/>
          <w:numId w:val="15"/>
        </w:numPr>
        <w:rPr>
          <w:bdr w:val="none" w:sz="0" w:space="0" w:color="auto" w:frame="1"/>
        </w:rPr>
      </w:pPr>
      <w:r w:rsidRPr="00422E3B">
        <w:rPr>
          <w:bdr w:val="none" w:sz="0" w:space="0" w:color="auto" w:frame="1"/>
        </w:rPr>
        <w:t>Ugovorn</w:t>
      </w:r>
      <w:r w:rsidR="00477A44">
        <w:rPr>
          <w:bdr w:val="none" w:sz="0" w:space="0" w:color="auto" w:frame="1"/>
        </w:rPr>
        <w:t>o</w:t>
      </w:r>
      <w:r w:rsidR="00362CDE" w:rsidRPr="00422E3B">
        <w:rPr>
          <w:bdr w:val="none" w:sz="0" w:space="0" w:color="auto" w:frame="1"/>
        </w:rPr>
        <w:t xml:space="preserve"> </w:t>
      </w:r>
      <w:r w:rsidR="00477A44">
        <w:rPr>
          <w:bdr w:val="none" w:sz="0" w:space="0" w:color="auto" w:frame="1"/>
        </w:rPr>
        <w:t>tijelo</w:t>
      </w:r>
      <w:r w:rsidRPr="00422E3B">
        <w:rPr>
          <w:bdr w:val="none" w:sz="0" w:space="0" w:color="auto" w:frame="1"/>
        </w:rPr>
        <w:t xml:space="preserve"> / Prvostepena kontrola: u slučaju prekogranične saradnje između zemalja korisnica IPA-e pod indirektnim upravljanjem, CFCU obavlja ulogu Ugovornog </w:t>
      </w:r>
      <w:r w:rsidR="00477A44">
        <w:rPr>
          <w:bdr w:val="none" w:sz="0" w:space="0" w:color="auto" w:frame="1"/>
        </w:rPr>
        <w:t>tijela</w:t>
      </w:r>
      <w:r w:rsidRPr="00422E3B">
        <w:rPr>
          <w:bdr w:val="none" w:sz="0" w:space="0" w:color="auto" w:frame="1"/>
        </w:rPr>
        <w:t>, dok u slučaju programa saradnje u podijeljenom upravljanju s državama članicama, CFCU obavlja ulogu Prvostepene kontrole.</w:t>
      </w:r>
    </w:p>
    <w:p w14:paraId="5DD90640" w14:textId="77777777" w:rsidR="00A35E9A" w:rsidRPr="00422E3B" w:rsidRDefault="00A35E9A" w:rsidP="00A35E9A">
      <w:pPr>
        <w:spacing w:after="0"/>
      </w:pPr>
    </w:p>
    <w:p w14:paraId="7FC1419E" w14:textId="77777777" w:rsidR="00D1523F" w:rsidRDefault="00D1523F" w:rsidP="00D1523F">
      <w:pPr>
        <w:spacing w:after="0"/>
      </w:pPr>
      <w:r w:rsidRPr="00422E3B">
        <w:t>U IPARD programu su uključena sljedeća tijela (sva tri tijela su podređena Ministarstvu poljoprivrede, šumarstva i vodoprivrede):</w:t>
      </w:r>
      <w:r>
        <w:t xml:space="preserve">  </w:t>
      </w:r>
    </w:p>
    <w:p w14:paraId="5724FFDA" w14:textId="77777777" w:rsidR="00D1523F" w:rsidRDefault="00D1523F" w:rsidP="00D15218">
      <w:pPr>
        <w:pStyle w:val="ListParagraph"/>
        <w:numPr>
          <w:ilvl w:val="0"/>
          <w:numId w:val="16"/>
        </w:numPr>
        <w:spacing w:after="0"/>
      </w:pPr>
      <w:r>
        <w:t xml:space="preserve">Upravljačko tijelo;  </w:t>
      </w:r>
    </w:p>
    <w:p w14:paraId="1F4ACD28" w14:textId="77777777" w:rsidR="00D1523F" w:rsidRDefault="00D1523F" w:rsidP="00D15218">
      <w:pPr>
        <w:pStyle w:val="ListParagraph"/>
        <w:numPr>
          <w:ilvl w:val="0"/>
          <w:numId w:val="16"/>
        </w:numPr>
        <w:spacing w:after="0"/>
      </w:pPr>
      <w:r>
        <w:t xml:space="preserve">IPARD agencija;  </w:t>
      </w:r>
    </w:p>
    <w:p w14:paraId="26FA3072" w14:textId="1CAFCCA6" w:rsidR="00D1523F" w:rsidRDefault="00D1523F" w:rsidP="00D15218">
      <w:pPr>
        <w:pStyle w:val="ListParagraph"/>
        <w:numPr>
          <w:ilvl w:val="0"/>
          <w:numId w:val="16"/>
        </w:numPr>
        <w:spacing w:after="0"/>
      </w:pPr>
      <w:r>
        <w:t>Interna revizija u okviru IA.</w:t>
      </w:r>
    </w:p>
    <w:p w14:paraId="0195E8BC" w14:textId="77777777" w:rsidR="00D1523F" w:rsidRDefault="00D1523F" w:rsidP="00D1523F">
      <w:pPr>
        <w:spacing w:after="0"/>
      </w:pPr>
    </w:p>
    <w:p w14:paraId="61B60479" w14:textId="37F4B321" w:rsidR="00D1523F" w:rsidRPr="00422E3B" w:rsidRDefault="00D1523F" w:rsidP="00D1523F">
      <w:pPr>
        <w:spacing w:after="0"/>
        <w:rPr>
          <w:bCs/>
        </w:rPr>
      </w:pPr>
      <w:r w:rsidRPr="00D1523F">
        <w:rPr>
          <w:b/>
          <w:bCs/>
        </w:rPr>
        <w:t xml:space="preserve">U okviru programa IPA III, </w:t>
      </w:r>
      <w:r w:rsidRPr="00D1523F">
        <w:rPr>
          <w:bCs/>
        </w:rPr>
        <w:t xml:space="preserve">pored </w:t>
      </w:r>
      <w:r>
        <w:rPr>
          <w:bCs/>
        </w:rPr>
        <w:t>Revizorskog tijela</w:t>
      </w:r>
      <w:r w:rsidRPr="00D1523F">
        <w:rPr>
          <w:bCs/>
        </w:rPr>
        <w:t xml:space="preserve">, u svaki program kojim se upravlja indirektno sa Crnom Gorom </w:t>
      </w:r>
      <w:r w:rsidRPr="00422E3B">
        <w:rPr>
          <w:bCs/>
        </w:rPr>
        <w:t xml:space="preserve">uključeni su i </w:t>
      </w:r>
      <w:r w:rsidR="0086543E" w:rsidRPr="0086543E">
        <w:rPr>
          <w:bCs/>
        </w:rPr>
        <w:t>NIPAK</w:t>
      </w:r>
      <w:r w:rsidRPr="00422E3B">
        <w:rPr>
          <w:bCs/>
        </w:rPr>
        <w:t xml:space="preserve">, NAO/Struktura za upravljanje i Interna revizija za EU programe (nadležna za sve programe osim IPARD-a, za koji revidira samo Strukturu za upravljanje).  </w:t>
      </w:r>
    </w:p>
    <w:p w14:paraId="1ED688F9" w14:textId="77777777" w:rsidR="00D1523F" w:rsidRPr="00422E3B" w:rsidRDefault="00D1523F" w:rsidP="00D1523F">
      <w:pPr>
        <w:spacing w:after="0"/>
        <w:rPr>
          <w:bCs/>
        </w:rPr>
      </w:pPr>
      <w:r w:rsidRPr="00422E3B">
        <w:rPr>
          <w:bCs/>
        </w:rPr>
        <w:t xml:space="preserve">Sljedeća tijela su uključena u AAP 2021:  </w:t>
      </w:r>
    </w:p>
    <w:p w14:paraId="238D1720" w14:textId="77777777" w:rsidR="00D1523F" w:rsidRPr="00422E3B" w:rsidRDefault="00D1523F" w:rsidP="00D1523F">
      <w:pPr>
        <w:spacing w:after="0"/>
        <w:rPr>
          <w:bCs/>
        </w:rPr>
      </w:pPr>
    </w:p>
    <w:p w14:paraId="0865C6EA" w14:textId="3A269404" w:rsidR="00D1523F" w:rsidRPr="00422E3B" w:rsidRDefault="00D1523F" w:rsidP="00D15218">
      <w:pPr>
        <w:pStyle w:val="ListParagraph"/>
        <w:numPr>
          <w:ilvl w:val="0"/>
          <w:numId w:val="17"/>
        </w:numPr>
        <w:spacing w:after="0"/>
        <w:rPr>
          <w:bCs/>
        </w:rPr>
      </w:pPr>
      <w:r w:rsidRPr="00422E3B">
        <w:rPr>
          <w:bCs/>
        </w:rPr>
        <w:t xml:space="preserve">Upravljačko tijelo – Ministarstvo evropskih poslova - Kancelarija </w:t>
      </w:r>
      <w:r w:rsidR="0086543E" w:rsidRPr="0086543E">
        <w:rPr>
          <w:bCs/>
        </w:rPr>
        <w:t>NIPAK</w:t>
      </w:r>
      <w:r w:rsidRPr="00422E3B">
        <w:rPr>
          <w:bCs/>
        </w:rPr>
        <w:t xml:space="preserve">-a;  </w:t>
      </w:r>
    </w:p>
    <w:p w14:paraId="5AC9AC78" w14:textId="77777777" w:rsidR="00D1523F" w:rsidRPr="00422E3B" w:rsidRDefault="00D1523F" w:rsidP="00D15218">
      <w:pPr>
        <w:pStyle w:val="ListParagraph"/>
        <w:numPr>
          <w:ilvl w:val="0"/>
          <w:numId w:val="17"/>
        </w:numPr>
        <w:spacing w:after="0"/>
        <w:rPr>
          <w:bCs/>
        </w:rPr>
      </w:pPr>
      <w:r w:rsidRPr="00422E3B">
        <w:rPr>
          <w:bCs/>
        </w:rPr>
        <w:t xml:space="preserve">Posrednička tijela za finansijsko upravljanje: CFCU i Uprava za kapitalne projekte;  </w:t>
      </w:r>
    </w:p>
    <w:p w14:paraId="32DB156E" w14:textId="21552719" w:rsidR="00D1523F" w:rsidRPr="00422E3B" w:rsidRDefault="00D1523F" w:rsidP="00D15218">
      <w:pPr>
        <w:pStyle w:val="ListParagraph"/>
        <w:numPr>
          <w:ilvl w:val="0"/>
          <w:numId w:val="17"/>
        </w:numPr>
        <w:spacing w:after="0"/>
        <w:rPr>
          <w:bCs/>
        </w:rPr>
      </w:pPr>
      <w:r w:rsidRPr="00422E3B">
        <w:rPr>
          <w:bCs/>
        </w:rPr>
        <w:t>Posrednička tijela za upravljanje politikama, uspostavljena unutar relevantnih resornih ministarstava: Ministarstvo ekologije, održivog razvoja i razvoja sjevernog regiona; Ministarstvo poljoprivrede, šumarstva i vodoprivrede.</w:t>
      </w:r>
    </w:p>
    <w:p w14:paraId="26520F85" w14:textId="77777777" w:rsidR="00D1523F" w:rsidRDefault="00D1523F" w:rsidP="00D1523F">
      <w:pPr>
        <w:spacing w:after="0"/>
        <w:rPr>
          <w:b/>
          <w:bCs/>
        </w:rPr>
      </w:pPr>
    </w:p>
    <w:p w14:paraId="0F574182" w14:textId="1EA92BCC" w:rsidR="00394542" w:rsidRDefault="00394542" w:rsidP="00394542">
      <w:pPr>
        <w:spacing w:after="0"/>
      </w:pPr>
      <w:r>
        <w:t>U bilateralnim programima prekogranične saradnje (</w:t>
      </w:r>
      <w:r w:rsidR="00D858E0">
        <w:t>PGS</w:t>
      </w:r>
      <w:r>
        <w:t xml:space="preserve">) pod indirektnim upravljanjem Crne Gore uključena su sljedeća tijela:  </w:t>
      </w:r>
    </w:p>
    <w:p w14:paraId="44A9F8B9" w14:textId="76207854" w:rsidR="00394542" w:rsidRDefault="00394542" w:rsidP="00D15218">
      <w:pPr>
        <w:pStyle w:val="ListParagraph"/>
        <w:numPr>
          <w:ilvl w:val="0"/>
          <w:numId w:val="18"/>
        </w:numPr>
        <w:spacing w:after="0"/>
      </w:pPr>
      <w:r>
        <w:t xml:space="preserve">Upravljačko tijelo – Ministarstvo evropskih poslova - Kancelarija </w:t>
      </w:r>
      <w:r w:rsidR="0086543E" w:rsidRPr="0086543E">
        <w:t>NIPAK</w:t>
      </w:r>
      <w:r>
        <w:t xml:space="preserve">-a (Kancelarija HOS-a i </w:t>
      </w:r>
      <w:r w:rsidR="00D858E0">
        <w:t>PGS</w:t>
      </w:r>
      <w:r>
        <w:t xml:space="preserve"> tijelo);  </w:t>
      </w:r>
    </w:p>
    <w:p w14:paraId="31EF2CC8" w14:textId="0BB1F252" w:rsidR="00394542" w:rsidRDefault="00394542" w:rsidP="00D15218">
      <w:pPr>
        <w:pStyle w:val="ListParagraph"/>
        <w:numPr>
          <w:ilvl w:val="0"/>
          <w:numId w:val="18"/>
        </w:numPr>
        <w:spacing w:after="0"/>
      </w:pPr>
      <w:r>
        <w:lastRenderedPageBreak/>
        <w:t xml:space="preserve">Posredničko tijelo za finansijsko upravljanje: CFCU  </w:t>
      </w:r>
    </w:p>
    <w:p w14:paraId="3F95B180" w14:textId="77777777" w:rsidR="00394542" w:rsidRDefault="00394542" w:rsidP="00394542">
      <w:pPr>
        <w:spacing w:after="0"/>
      </w:pPr>
    </w:p>
    <w:p w14:paraId="6CC741DB" w14:textId="3F2CDB5D" w:rsidR="00394542" w:rsidRDefault="00394542" w:rsidP="00394542">
      <w:pPr>
        <w:spacing w:after="0"/>
      </w:pPr>
      <w:r>
        <w:t xml:space="preserve">U slučaju prekogranične saradnje između zemalja korisnica IPA-e pod indirektnim upravljanjem, CFCU obavlja ulogu Ugovornog </w:t>
      </w:r>
      <w:r w:rsidR="00477A44">
        <w:t>tijela</w:t>
      </w:r>
      <w:r>
        <w:t xml:space="preserve"> ako je Crna Gora vodeća zemlja Programa. Za programe sa Srbijom i Bosnom i Hercegovinom, Crna Gora je Kontrolno tijelo.  </w:t>
      </w:r>
    </w:p>
    <w:p w14:paraId="41F72952" w14:textId="77777777" w:rsidR="00394542" w:rsidRDefault="00394542" w:rsidP="00394542">
      <w:pPr>
        <w:spacing w:after="0"/>
      </w:pPr>
      <w:r>
        <w:t>U slučaju programa saradnje u podijeljenom upravljanju s državama članicama, CFCU obavlja ulogu Prvostepene kontrole.</w:t>
      </w:r>
    </w:p>
    <w:p w14:paraId="2EB20A49" w14:textId="77777777" w:rsidR="00A35E9A" w:rsidRPr="00B83578" w:rsidRDefault="00A35E9A" w:rsidP="00A35E9A">
      <w:pPr>
        <w:spacing w:after="0"/>
      </w:pPr>
    </w:p>
    <w:p w14:paraId="32BE2E7A" w14:textId="77777777" w:rsidR="00394542" w:rsidRPr="00422E3B" w:rsidRDefault="00394542" w:rsidP="00394542">
      <w:pPr>
        <w:spacing w:after="0"/>
      </w:pPr>
      <w:r w:rsidRPr="00422E3B">
        <w:t xml:space="preserve">Sljedeća tijela sprovode višegodišnje akcione programe (Operativne programe u okviru IPA III):  </w:t>
      </w:r>
    </w:p>
    <w:p w14:paraId="5434DC93" w14:textId="77777777" w:rsidR="00394542" w:rsidRPr="00422E3B" w:rsidRDefault="00394542" w:rsidP="00D15218">
      <w:pPr>
        <w:pStyle w:val="ListParagraph"/>
        <w:numPr>
          <w:ilvl w:val="0"/>
          <w:numId w:val="19"/>
        </w:numPr>
        <w:spacing w:after="0"/>
      </w:pPr>
      <w:r w:rsidRPr="00422E3B">
        <w:t xml:space="preserve">Upravljačka tijela – Ministarstvo rada, zapošljavanja i socijalnog dijaloga; Ministarstvo ekologije, održivog razvoja i razvoja sjevernog regiona;  </w:t>
      </w:r>
    </w:p>
    <w:p w14:paraId="0EFEDFA6" w14:textId="77777777" w:rsidR="00394542" w:rsidRPr="00422E3B" w:rsidRDefault="00394542" w:rsidP="00D15218">
      <w:pPr>
        <w:pStyle w:val="ListParagraph"/>
        <w:numPr>
          <w:ilvl w:val="0"/>
          <w:numId w:val="19"/>
        </w:numPr>
        <w:spacing w:after="0"/>
      </w:pPr>
      <w:r w:rsidRPr="00422E3B">
        <w:t xml:space="preserve">Posredničko tijelo za upravljanje politikama za OP EMPL – Ministarstvo socijalnog staranja, brige o porodici i demografije  </w:t>
      </w:r>
    </w:p>
    <w:p w14:paraId="2C8D2607" w14:textId="373F35C7" w:rsidR="00394542" w:rsidRPr="00422E3B" w:rsidRDefault="00394542" w:rsidP="00D15218">
      <w:pPr>
        <w:pStyle w:val="ListParagraph"/>
        <w:numPr>
          <w:ilvl w:val="0"/>
          <w:numId w:val="19"/>
        </w:numPr>
        <w:spacing w:after="0"/>
      </w:pPr>
      <w:r w:rsidRPr="00422E3B">
        <w:t>Posrednička tijela za finansijsko upravljanje: CFCU, Uprava za kapitalne projekte i Zavod za zapošljavanje.</w:t>
      </w:r>
    </w:p>
    <w:p w14:paraId="27B611E5" w14:textId="77777777" w:rsidR="00A35E9A" w:rsidRPr="00B83578" w:rsidRDefault="00A35E9A" w:rsidP="00A35E9A">
      <w:pPr>
        <w:spacing w:after="0"/>
      </w:pPr>
    </w:p>
    <w:p w14:paraId="6BC2A2CE" w14:textId="7C9ABB47" w:rsidR="001257EF" w:rsidRPr="00422E3B" w:rsidRDefault="001257EF" w:rsidP="001257EF">
      <w:pPr>
        <w:spacing w:after="0"/>
      </w:pPr>
      <w:r>
        <w:t xml:space="preserve">Uspostavljeni sistem za upravljanje IPA fondovima čine različita tijela/nadležni organi, od kojih je svakom dodijeljena specifična uloga, uzimajući u obzir odgovornosti i hijerarhiju. S tim u vezi, u Priručniku </w:t>
      </w:r>
      <w:r w:rsidR="00374EDF">
        <w:t>o</w:t>
      </w:r>
      <w:r>
        <w:t xml:space="preserve"> </w:t>
      </w:r>
      <w:r w:rsidRPr="00422E3B">
        <w:t>procedur</w:t>
      </w:r>
      <w:r w:rsidR="00374EDF" w:rsidRPr="00422E3B">
        <w:t>ama</w:t>
      </w:r>
      <w:r w:rsidRPr="00422E3B">
        <w:t xml:space="preserve"> propisan je mehanizam koordinacije, a brojni pravni akti i druga dokumenta detaljno definišu uloge i odgovornosti svakog tijela u sistemu.  </w:t>
      </w:r>
    </w:p>
    <w:p w14:paraId="24ECA40F" w14:textId="0492F663" w:rsidR="001257EF" w:rsidRPr="00422E3B" w:rsidRDefault="001257EF" w:rsidP="001257EF">
      <w:pPr>
        <w:spacing w:after="0"/>
      </w:pPr>
      <w:r w:rsidRPr="00422E3B">
        <w:t>Za sistem indirektnog upravljanja IPA III sredstvima usvojeni/potpisani su sljedeći pravni akti (kojima se uspostavljaju gore pomenut</w:t>
      </w:r>
      <w:r w:rsidR="005F0E1C">
        <w:t>a tijela</w:t>
      </w:r>
      <w:r w:rsidRPr="00422E3B">
        <w:t xml:space="preserve"> i strukture, te njihove uloge i odgovornosti):  </w:t>
      </w:r>
    </w:p>
    <w:p w14:paraId="2E5821C1" w14:textId="77777777" w:rsidR="001257EF" w:rsidRPr="00422E3B" w:rsidRDefault="001257EF" w:rsidP="00D15218">
      <w:pPr>
        <w:pStyle w:val="ListParagraph"/>
        <w:numPr>
          <w:ilvl w:val="0"/>
          <w:numId w:val="20"/>
        </w:numPr>
        <w:spacing w:after="0"/>
      </w:pPr>
      <w:r w:rsidRPr="00422E3B">
        <w:t xml:space="preserve">Zakon o budžetu i fiskalnoj odgovornosti (Službeni list Crne Gore br. 27/23 od 08/03/2023);  </w:t>
      </w:r>
    </w:p>
    <w:p w14:paraId="3AC87011" w14:textId="2F4A924A" w:rsidR="001257EF" w:rsidRPr="00422E3B" w:rsidRDefault="001257EF" w:rsidP="00D15218">
      <w:pPr>
        <w:pStyle w:val="ListParagraph"/>
        <w:numPr>
          <w:ilvl w:val="0"/>
          <w:numId w:val="20"/>
        </w:numPr>
        <w:spacing w:after="0"/>
      </w:pPr>
      <w:r w:rsidRPr="00422E3B">
        <w:t xml:space="preserve">Uredba o detaljnijem postupku organizacije indirektnog upravljanja za </w:t>
      </w:r>
      <w:r w:rsidR="00A80895">
        <w:t>implementaciju</w:t>
      </w:r>
      <w:r w:rsidRPr="00422E3B">
        <w:t xml:space="preserve"> finansijske </w:t>
      </w:r>
      <w:r w:rsidR="00477A44">
        <w:t>podrške</w:t>
      </w:r>
      <w:r w:rsidRPr="00422E3B">
        <w:t xml:space="preserve"> Unije u okviru Instrumenta za pretpristupnu </w:t>
      </w:r>
      <w:r w:rsidR="00477A44">
        <w:t>podršku</w:t>
      </w:r>
      <w:r w:rsidRPr="00422E3B">
        <w:t xml:space="preserve"> (IPA III) (Službeni list Crne Gore br. 77/23 od 28/07/2023);  </w:t>
      </w:r>
    </w:p>
    <w:p w14:paraId="6BA704C2" w14:textId="77777777" w:rsidR="001257EF" w:rsidRPr="00422E3B" w:rsidRDefault="001257EF" w:rsidP="00D15218">
      <w:pPr>
        <w:pStyle w:val="ListParagraph"/>
        <w:numPr>
          <w:ilvl w:val="0"/>
          <w:numId w:val="20"/>
        </w:numPr>
        <w:spacing w:after="0"/>
      </w:pPr>
      <w:r w:rsidRPr="00422E3B">
        <w:t xml:space="preserve">Odluka o imenovanju aktera u okviru akreditovanih IPA struktura odgovornih za indirektno upravljanje pretpristupnim fondovima Evropske unije (usvojena na sjednici Vlade 04/04/2024, zaključci Vlade od 16/04/2024);  </w:t>
      </w:r>
    </w:p>
    <w:p w14:paraId="60A3C4D9" w14:textId="5B1E2FEB" w:rsidR="001257EF" w:rsidRPr="00422E3B" w:rsidRDefault="001257EF" w:rsidP="00D15218">
      <w:pPr>
        <w:pStyle w:val="ListParagraph"/>
        <w:numPr>
          <w:ilvl w:val="0"/>
          <w:numId w:val="20"/>
        </w:numPr>
        <w:spacing w:after="0"/>
      </w:pPr>
      <w:r w:rsidRPr="00422E3B">
        <w:t xml:space="preserve">Sporazum o sprovođenju između Nacionalnog </w:t>
      </w:r>
      <w:r w:rsidR="005F0E1C">
        <w:t>službenika</w:t>
      </w:r>
      <w:r w:rsidRPr="00422E3B">
        <w:t xml:space="preserve"> za ovjeravanje (NAO), Nacionalnog IPA koordinatora (</w:t>
      </w:r>
      <w:r w:rsidR="0086543E" w:rsidRPr="0086543E">
        <w:t>NIPAK</w:t>
      </w:r>
      <w:r w:rsidRPr="00422E3B">
        <w:t xml:space="preserve">), rukovodioca Upravljačkog tijela i rukovodilaca Posredničkih tijela za finansijsko upravljanje za AAP 2021, potpisan 01/04/2024;  </w:t>
      </w:r>
    </w:p>
    <w:p w14:paraId="07D3208A" w14:textId="7F3DA4F1" w:rsidR="001257EF" w:rsidRPr="00422E3B" w:rsidRDefault="001257EF" w:rsidP="00D15218">
      <w:pPr>
        <w:pStyle w:val="ListParagraph"/>
        <w:numPr>
          <w:ilvl w:val="0"/>
          <w:numId w:val="20"/>
        </w:numPr>
        <w:spacing w:after="0"/>
      </w:pPr>
      <w:r w:rsidRPr="00422E3B">
        <w:t xml:space="preserve">Sporazum o sprovođenju između Nacionalnog </w:t>
      </w:r>
      <w:r w:rsidR="005F0E1C">
        <w:t>službenika</w:t>
      </w:r>
      <w:r w:rsidRPr="00422E3B">
        <w:t xml:space="preserve"> za ovjeravanje, Nacionalnog IPA koordinatora, rukovodioca </w:t>
      </w:r>
      <w:r w:rsidR="00D858E0">
        <w:t>PGS</w:t>
      </w:r>
      <w:r w:rsidRPr="00422E3B">
        <w:t xml:space="preserve"> Upravljačkog tijela i rukovodi</w:t>
      </w:r>
      <w:r w:rsidR="00161351" w:rsidRPr="00422E3B">
        <w:t>la</w:t>
      </w:r>
      <w:r w:rsidRPr="00422E3B">
        <w:t xml:space="preserve">ca Posredničkog tijela za finansijsko upravljanje za IPA III </w:t>
      </w:r>
      <w:r w:rsidR="00D858E0">
        <w:t>PGS</w:t>
      </w:r>
      <w:r w:rsidRPr="00422E3B">
        <w:t xml:space="preserve"> programe Crna Gora–Kosovo 2021-2027 i Crna Gora–Albanija 2021-2027, potpisan 01/04/2024;  </w:t>
      </w:r>
    </w:p>
    <w:p w14:paraId="7391BCD6" w14:textId="77777777" w:rsidR="001257EF" w:rsidRPr="00422E3B" w:rsidRDefault="001257EF" w:rsidP="00D15218">
      <w:pPr>
        <w:pStyle w:val="ListParagraph"/>
        <w:numPr>
          <w:ilvl w:val="0"/>
          <w:numId w:val="20"/>
        </w:numPr>
        <w:spacing w:after="0"/>
      </w:pPr>
      <w:r w:rsidRPr="00422E3B">
        <w:t xml:space="preserve">Operativni sporazum između rukovodioca Upravljačkog tijela, rukovodilaca Posredničkih tijela za finansijsko upravljanje i rukovodilaca Posredničkih tijela za upravljanje politikama za AAP 2021, potpisan 01/04/2024;  </w:t>
      </w:r>
    </w:p>
    <w:p w14:paraId="6691A38E" w14:textId="77777777" w:rsidR="001257EF" w:rsidRPr="00422E3B" w:rsidRDefault="001257EF" w:rsidP="00D15218">
      <w:pPr>
        <w:pStyle w:val="ListParagraph"/>
        <w:numPr>
          <w:ilvl w:val="0"/>
          <w:numId w:val="20"/>
        </w:numPr>
        <w:spacing w:after="0"/>
      </w:pPr>
      <w:r w:rsidRPr="00422E3B">
        <w:t xml:space="preserve">Zakon o upravljanju i internim kontrolama (Službeni list Crne Gore br. 075/18 od 23/11/2018); </w:t>
      </w:r>
    </w:p>
    <w:p w14:paraId="12F9E93F" w14:textId="7F8D30AF" w:rsidR="001257EF" w:rsidRPr="00422E3B" w:rsidRDefault="001257EF" w:rsidP="00D15218">
      <w:pPr>
        <w:pStyle w:val="ListParagraph"/>
        <w:numPr>
          <w:ilvl w:val="0"/>
          <w:numId w:val="20"/>
        </w:numPr>
        <w:spacing w:after="0"/>
      </w:pPr>
      <w:r w:rsidRPr="00422E3B">
        <w:t xml:space="preserve">Uredba o uspostavljanju interne revizije u javnom sektoru (Službeni list Crne Gore br. 134/2022 od 07/12/2022).  </w:t>
      </w:r>
    </w:p>
    <w:p w14:paraId="1875DF3F" w14:textId="77777777" w:rsidR="001257EF" w:rsidRDefault="001257EF" w:rsidP="001257EF">
      <w:pPr>
        <w:spacing w:after="0"/>
      </w:pPr>
    </w:p>
    <w:p w14:paraId="6C7D4DB2" w14:textId="50767E5E" w:rsidR="001257EF" w:rsidRDefault="001257EF" w:rsidP="001257EF">
      <w:pPr>
        <w:spacing w:after="0"/>
      </w:pPr>
      <w:r>
        <w:t xml:space="preserve">Pored toga, Sporazumi o </w:t>
      </w:r>
      <w:r w:rsidR="00422E3B">
        <w:t>implementaciji</w:t>
      </w:r>
      <w:r>
        <w:t>, Operativni sporazumi i radni sporazumi potpisani su za sve IPA II programe pod indirektnim upravljanjem i za IPA 2021; potpisivanje će uslijediti i za preostale IPA III programe koji će se realizovati pod indirektnim upravljanjem.</w:t>
      </w:r>
    </w:p>
    <w:p w14:paraId="7F6866AC" w14:textId="77777777" w:rsidR="001257EF" w:rsidRDefault="001257EF" w:rsidP="001257EF">
      <w:pPr>
        <w:spacing w:after="0"/>
      </w:pPr>
    </w:p>
    <w:p w14:paraId="6EEBBDDD" w14:textId="1DC2D42B" w:rsidR="008C321F" w:rsidRPr="00B83578" w:rsidRDefault="003F4FA3" w:rsidP="000B0955">
      <w:pPr>
        <w:pStyle w:val="Heading3"/>
      </w:pPr>
      <w:bookmarkStart w:id="110" w:name="_Toc201700376"/>
      <w:bookmarkEnd w:id="109"/>
      <w:r>
        <w:t>Postojeće procedure za upravljanje EU fondovima koje osiguravaju da se sva dokumenta neophodna za revizorski trag čuvaju u skladu sa zahtjevima okvira za internu kontrolu</w:t>
      </w:r>
      <w:bookmarkEnd w:id="110"/>
    </w:p>
    <w:p w14:paraId="5F0E9873" w14:textId="77777777" w:rsidR="001257EF" w:rsidRDefault="001257EF" w:rsidP="001257EF">
      <w:bookmarkStart w:id="111" w:name="_Hlk168551032"/>
      <w:r>
        <w:t xml:space="preserve">Sistem internih kontrola u javnom sektoru predstavlja skup finansijskih i drugih kontrola, uključujući organizacionu strukturu, metode rada i procedure koje uspostavlja i sprovodi rukovodilac IPA tijela, a s ciljem da se zadaci subjekta izvršavaju transparentno, uredno, ekonomično, efikasno i efektivno.  </w:t>
      </w:r>
    </w:p>
    <w:p w14:paraId="4DFB6D4F" w14:textId="6B8BC854" w:rsidR="001257EF" w:rsidRDefault="001257EF" w:rsidP="001257EF">
      <w:r>
        <w:lastRenderedPageBreak/>
        <w:t xml:space="preserve">Zahtjevi za sistem internih kontrola definisani su u relevantnim IPA implementacionim </w:t>
      </w:r>
      <w:r w:rsidR="00765DC1">
        <w:t>regulativama</w:t>
      </w:r>
      <w:r>
        <w:t xml:space="preserve"> za različite finansijske perspektive i u FWA (IPA II) / FFPA (IPA III). Sistem internih kontrola zasniva se na međunarodno priznatim standardima za interne kontrole i obuhvata sljedeće međusobno povezane oblasti:  </w:t>
      </w:r>
    </w:p>
    <w:p w14:paraId="419D615E" w14:textId="369AB403" w:rsidR="001257EF" w:rsidRDefault="001257EF" w:rsidP="00D15218">
      <w:pPr>
        <w:pStyle w:val="ListParagraph"/>
        <w:numPr>
          <w:ilvl w:val="0"/>
          <w:numId w:val="21"/>
        </w:numPr>
      </w:pPr>
      <w:r>
        <w:t xml:space="preserve">Kontrolno okruženje;  </w:t>
      </w:r>
    </w:p>
    <w:p w14:paraId="4DAD1BAE" w14:textId="1E9F55B1" w:rsidR="001257EF" w:rsidRDefault="001257EF" w:rsidP="00D15218">
      <w:pPr>
        <w:pStyle w:val="ListParagraph"/>
        <w:numPr>
          <w:ilvl w:val="0"/>
          <w:numId w:val="22"/>
        </w:numPr>
      </w:pPr>
      <w:r>
        <w:t xml:space="preserve">Planiranje/upravljanje rizicima;  </w:t>
      </w:r>
    </w:p>
    <w:p w14:paraId="050BB576" w14:textId="66772181" w:rsidR="001257EF" w:rsidRDefault="001257EF" w:rsidP="00D15218">
      <w:pPr>
        <w:pStyle w:val="ListParagraph"/>
        <w:numPr>
          <w:ilvl w:val="0"/>
          <w:numId w:val="23"/>
        </w:numPr>
      </w:pPr>
      <w:r>
        <w:t xml:space="preserve">Kontrolne aktivnosti;  </w:t>
      </w:r>
    </w:p>
    <w:p w14:paraId="2D3D1BC7" w14:textId="40A9D576" w:rsidR="001257EF" w:rsidRDefault="001257EF" w:rsidP="00D15218">
      <w:pPr>
        <w:pStyle w:val="ListParagraph"/>
        <w:numPr>
          <w:ilvl w:val="0"/>
          <w:numId w:val="24"/>
        </w:numPr>
      </w:pPr>
      <w:r>
        <w:t xml:space="preserve">Monitoring aktivnosti;  </w:t>
      </w:r>
    </w:p>
    <w:p w14:paraId="1C5F65B4" w14:textId="0EF12085" w:rsidR="001257EF" w:rsidRDefault="001257EF" w:rsidP="00D15218">
      <w:pPr>
        <w:pStyle w:val="ListParagraph"/>
        <w:numPr>
          <w:ilvl w:val="0"/>
          <w:numId w:val="25"/>
        </w:numPr>
      </w:pPr>
      <w:r>
        <w:t xml:space="preserve">Informisanje i komunikacija.  </w:t>
      </w:r>
    </w:p>
    <w:p w14:paraId="12CD7E04" w14:textId="77777777" w:rsidR="001257EF" w:rsidRDefault="001257EF" w:rsidP="001257EF"/>
    <w:p w14:paraId="7AAC2F7E" w14:textId="1B57A5BF" w:rsidR="001257EF" w:rsidRDefault="001257EF" w:rsidP="001257EF">
      <w:r>
        <w:t>Specifične kontrole i ključni procesi primjenjuju se na odabrane jedinice, u zavisnosti od uloge koju imaju u IPA sistemu indirektnog upravljanja. S druge strane, kontrole za horizontalne funkcije, koje svaka organizacija mora obavljati, važe za sve IPA subjekte. Detaljni koraci, odgovorne strane i rokovi definisani su u priručniku za procedure i u kontrolnim listama koje sadrže pitanja i zahtjeve u vezi sa dokumentima koji su predmet kontrole i dokumentima koji se moraju čuvati kao reviz</w:t>
      </w:r>
      <w:r w:rsidR="00422E3B">
        <w:t>orski</w:t>
      </w:r>
      <w:r>
        <w:t xml:space="preserve"> trag.</w:t>
      </w:r>
    </w:p>
    <w:p w14:paraId="1AA54E5B" w14:textId="02B91FB6" w:rsidR="008C321F" w:rsidRPr="00B83578" w:rsidRDefault="003F4FA3" w:rsidP="000B0955">
      <w:pPr>
        <w:pStyle w:val="Heading3"/>
      </w:pPr>
      <w:bookmarkStart w:id="112" w:name="_Toc201700377"/>
      <w:r>
        <w:t>Postojeći aranžmani koji osiguravaju efektivno ispitivanje žalbi koje se tiču Fondova</w:t>
      </w:r>
      <w:bookmarkEnd w:id="111"/>
      <w:bookmarkEnd w:id="112"/>
    </w:p>
    <w:p w14:paraId="14C4F02E" w14:textId="36D2C7C3" w:rsidR="001257EF" w:rsidRDefault="001257EF" w:rsidP="001257EF">
      <w:r>
        <w:t>Žalbe u vezi sa Fondovima regulišu se prema Praktičnom vodiču Evropske komisije koji propisuje postupke ugovaranja za spoljne akcije Evropske unije (PRAG). Prema PRAG-u, žalbe se mogu podnijeti ugovornom tijelu, bez izmjene rokova utvrđenih u postupku. Pored odredbi PRAG-a, ne postoje posebni aranžmani koji bi obezbijedili da ispitivanje žalbi sprovodi struktura drugačija od one koja je don</w:t>
      </w:r>
      <w:r w:rsidR="0051198F">
        <w:t>ij</w:t>
      </w:r>
      <w:r>
        <w:t>ela osporenu odluku.</w:t>
      </w:r>
    </w:p>
    <w:p w14:paraId="5E686BC5" w14:textId="4F464AF2" w:rsidR="001257EF" w:rsidRDefault="001257EF" w:rsidP="001257EF">
      <w:r>
        <w:t>PRAG takođe predviđa da kandidat, ponuđač ili podnosilac zaht</w:t>
      </w:r>
      <w:r w:rsidR="0051198F">
        <w:t>j</w:t>
      </w:r>
      <w:r>
        <w:t>eva koji smatra da je nepovoljno pogođen greškom ili nepravilnošću navodno učinjenom u okviru postupka selekcije ili nabavke, mogu pokrenuti i redovan postupak u skladu sa nacionalnim zakonodavstvom, pod uslovom da su ispunjeni uslovi. Nacionalni sudovi su nadležni u slučaju ugovorne odgovornosti utvrđene u opštim uslovima ugovora.</w:t>
      </w:r>
    </w:p>
    <w:p w14:paraId="7D130798" w14:textId="2CD8BC69" w:rsidR="008C321F" w:rsidRPr="00B83578" w:rsidRDefault="003F4FA3" w:rsidP="000B0955">
      <w:pPr>
        <w:pStyle w:val="Heading3"/>
      </w:pPr>
      <w:bookmarkStart w:id="113" w:name="_Toc201700378"/>
      <w:r>
        <w:t>Planirana institucionalna struktura za implementaciju Kohezionih sredstava</w:t>
      </w:r>
      <w:bookmarkEnd w:id="113"/>
      <w:r w:rsidR="008C321F" w:rsidRPr="00B83578">
        <w:t xml:space="preserve">  </w:t>
      </w:r>
    </w:p>
    <w:p w14:paraId="73903AD3" w14:textId="279BA42A" w:rsidR="0051198F" w:rsidRDefault="0051198F" w:rsidP="0051198F">
      <w:r>
        <w:t xml:space="preserve">Odluka o broju i obimu Programa je sveobuhvatna odluka koja omogućava odluke o institucionalnoj arhitekturi, tj. imenovanju i postavljanju Programskih tijela. Stoga će određivanje Programskih tijela zavisiti od odluka donijetih u kontekstu planiranja programa. Trenutna orijentacija predviđa dva Programa i samim tim dva Upravljačka tijela. Ovo podrazumijeva reviziju Pregovaračke pozicije.  </w:t>
      </w:r>
    </w:p>
    <w:p w14:paraId="748CAF70" w14:textId="16D16758" w:rsidR="0051198F" w:rsidRDefault="0051198F" w:rsidP="0051198F">
      <w:r w:rsidRPr="0051198F">
        <w:rPr>
          <w:b/>
        </w:rPr>
        <w:t xml:space="preserve">Buduće Koordinaciono telo (opciono) biće uspostavljeno u skladu sa čl. 71.6 </w:t>
      </w:r>
      <w:r w:rsidR="00CD0020">
        <w:rPr>
          <w:b/>
        </w:rPr>
        <w:t>RZO</w:t>
      </w:r>
      <w:r>
        <w:t xml:space="preserve"> da bi ostvarilo veze sa Komisijom i pružalo informacije Komisiji, kao i da koordinira aktivnosti Programskih tijela. Opseg aktivnosti Budućeg Koordinacionog </w:t>
      </w:r>
      <w:r w:rsidR="00671D09">
        <w:t>tijela</w:t>
      </w:r>
      <w:r>
        <w:t xml:space="preserve"> treba da bude odlučen. </w:t>
      </w:r>
      <w:r w:rsidRPr="0051198F">
        <w:rPr>
          <w:b/>
        </w:rPr>
        <w:t>Odluka o</w:t>
      </w:r>
      <w:r>
        <w:t xml:space="preserve"> Budućem Koordinacionom telu biće donijeta u kasnijoj fazi.  </w:t>
      </w:r>
    </w:p>
    <w:p w14:paraId="48B35416" w14:textId="1FAAB9C5" w:rsidR="0051198F" w:rsidRDefault="0051198F" w:rsidP="0051198F">
      <w:r>
        <w:t xml:space="preserve">Što se tiče sistema upravljanja i kontrole za Kohezioni fond nakon 2027. godine, regulatorne odredbe još nijesu definisane. Ipak, na osnovu zahtjeva za tekući period (2021–2027) utvrđenih </w:t>
      </w:r>
      <w:r w:rsidR="00420726">
        <w:t>Regulativom</w:t>
      </w:r>
      <w:r>
        <w:t xml:space="preserve"> o zajedničkim odredbama (</w:t>
      </w:r>
      <w:r w:rsidR="00CD0020">
        <w:t>RZO</w:t>
      </w:r>
      <w:r>
        <w:t>), dio sistema upravljanja i kontrole činiće sljedeća tijela:</w:t>
      </w:r>
    </w:p>
    <w:p w14:paraId="38FE977D" w14:textId="1BA8D6AA" w:rsidR="0051198F" w:rsidRDefault="0051198F" w:rsidP="00D15218">
      <w:pPr>
        <w:pStyle w:val="ListParagraph"/>
        <w:numPr>
          <w:ilvl w:val="0"/>
          <w:numId w:val="25"/>
        </w:numPr>
      </w:pPr>
      <w:r w:rsidRPr="0051198F">
        <w:rPr>
          <w:b/>
        </w:rPr>
        <w:t>Buduća upravljačka tijela (</w:t>
      </w:r>
      <w:r w:rsidR="00A067C3">
        <w:rPr>
          <w:b/>
        </w:rPr>
        <w:t>UPT</w:t>
      </w:r>
      <w:r w:rsidRPr="0051198F">
        <w:rPr>
          <w:b/>
        </w:rPr>
        <w:t>),</w:t>
      </w:r>
      <w:r>
        <w:t xml:space="preserve"> sa nadležnostima definisanim u članu 72 </w:t>
      </w:r>
      <w:r w:rsidR="00CD0020">
        <w:t>RZO</w:t>
      </w:r>
      <w:r>
        <w:t xml:space="preserve">-a. Planirano je osnivanje dva upravljačka tijela: prvo, u okviru ministarstva nadležnog za rad, za upravljanje sredstvima ESF+ u oblastima zapošljavanja, obrazovanja, socijalne inkluzije i zdravstva i drugo (institucija će biti naknadno određena) za upravljanje sredstvima </w:t>
      </w:r>
      <w:r w:rsidR="003D7057">
        <w:t>EFRR</w:t>
      </w:r>
      <w:r>
        <w:t xml:space="preserve">, CF i </w:t>
      </w:r>
      <w:r w:rsidR="00A067C3">
        <w:t>FPT</w:t>
      </w:r>
      <w:r>
        <w:t xml:space="preserve">.  </w:t>
      </w:r>
    </w:p>
    <w:p w14:paraId="53DF67AE" w14:textId="77777777" w:rsidR="0051198F" w:rsidRDefault="0051198F" w:rsidP="00D15218">
      <w:pPr>
        <w:pStyle w:val="ListParagraph"/>
        <w:numPr>
          <w:ilvl w:val="0"/>
          <w:numId w:val="25"/>
        </w:numPr>
      </w:pPr>
      <w:r w:rsidRPr="008D406B">
        <w:rPr>
          <w:b/>
        </w:rPr>
        <w:t>Buduća posrednička tijela (IB)</w:t>
      </w:r>
      <w:r>
        <w:t xml:space="preserve">, koja će djelovati pod odgovornošću upravljačkih tijela i obavljati određene funkcije ili zadatke u njihovo ime. Biće uspostavljen jedinstveni nivo IB-ova dodijeljen institucijama koje nijesu nužno podređene upravljačkom tijelu (npr. resorna ministarstva ili javne agencije).  </w:t>
      </w:r>
    </w:p>
    <w:p w14:paraId="126AFDA9" w14:textId="1BBF5A6D" w:rsidR="0051198F" w:rsidRDefault="008D406B" w:rsidP="00D15218">
      <w:pPr>
        <w:pStyle w:val="ListParagraph"/>
        <w:numPr>
          <w:ilvl w:val="0"/>
          <w:numId w:val="25"/>
        </w:numPr>
      </w:pPr>
      <w:r w:rsidRPr="008D406B">
        <w:rPr>
          <w:b/>
        </w:rPr>
        <w:t>Revizorsko tijelo</w:t>
      </w:r>
      <w:r w:rsidR="0051198F" w:rsidRPr="008D406B">
        <w:rPr>
          <w:b/>
        </w:rPr>
        <w:t xml:space="preserve"> (</w:t>
      </w:r>
      <w:r w:rsidR="00243189" w:rsidRPr="00243189">
        <w:rPr>
          <w:b/>
        </w:rPr>
        <w:t>RT</w:t>
      </w:r>
      <w:r w:rsidR="0051198F" w:rsidRPr="008D406B">
        <w:rPr>
          <w:b/>
        </w:rPr>
        <w:t>)</w:t>
      </w:r>
      <w:r w:rsidR="0051198F">
        <w:t xml:space="preserve">, zaduženo za sprovođenje revizija kako bi Komisiji pružilo nezavisno uvjeravanje o djelotvornom funkcionisanju sistema upravljanja i kontrole te zakonitosti i pravilnosti </w:t>
      </w:r>
      <w:r w:rsidR="0051198F">
        <w:lastRenderedPageBreak/>
        <w:t xml:space="preserve">rashoda uključenih u račune dostavljene Komisiji. Donijeće se odluka da li će </w:t>
      </w:r>
      <w:r w:rsidR="00243189">
        <w:t>RT</w:t>
      </w:r>
      <w:r w:rsidR="0051198F">
        <w:t xml:space="preserve"> biti dio Državne revizorske institucije ili će se formirati zasebna, namjenska institucija.</w:t>
      </w:r>
    </w:p>
    <w:p w14:paraId="60A7406A" w14:textId="77777777" w:rsidR="002773A0" w:rsidRDefault="002773A0" w:rsidP="008C321F"/>
    <w:p w14:paraId="633938EC" w14:textId="3DBC67F4" w:rsidR="008D406B" w:rsidRPr="00422E3B" w:rsidRDefault="008D406B" w:rsidP="008D406B">
      <w:r>
        <w:t xml:space="preserve">Što se tiče sistema upravljanja i kontrole za </w:t>
      </w:r>
      <w:r w:rsidRPr="00CE064E">
        <w:rPr>
          <w:b/>
          <w:u w:val="single"/>
        </w:rPr>
        <w:t>programe teritorijalne saradnje poslije 2027. godine</w:t>
      </w:r>
      <w:r>
        <w:t xml:space="preserve">, Crna Gora će, kao država članica EU, preuzeti ulogu budućeg upravljačkog tijela za programe sa državama koje nijesu članice (Interreg IPA programi). Međutim, svaka odluka o tim programima zavisiće od prijedloga Evropske komisije za buduće INTERREG IPA programe. Dalje razmatranje o programima čiji bi domaćin bila Crna Gora vršiće se na osnovu ukupnog prijedloga Komisije za buduće INTERREG programe, uključujući INTERREG IPA, pri čemu će se u obzir uzeti mogućnosti za trilateralne programe gdje je to primjereno, u skladu s geografskim specifičnostima i analizom potreba u potencijalnim programskim područjima. O svemu tome razgovaraće se sa Komisijom i partnerskim zemljama. Crna Gora sada učestvuje u četiri IPA-IPA Interreg programa, a upravlja sa dva (MNE-KOS i MNE-ALB). Kada oni postanu Interreg IPA programi, prema Interreg </w:t>
      </w:r>
      <w:r w:rsidR="00420726">
        <w:t>Regulativi</w:t>
      </w:r>
      <w:r>
        <w:t xml:space="preserve"> Crna Gora će morati da preuzme ulogu budućeg upravljačkog tijela za sve te programe, ukoliko geografska raspodjela ostane ista. Ipak, moguće su izmjene programskog područja imajući u vidu geografiju, ekonomiju obima i Interreg pravila. Bez obzira na to da li će upravljati sa dva ili četiri programa, Crna Gora će uspostaviti sva tijela i funkcije propisane regulatornim okvirom (upravljačko tijelo, računovodstvenu funkciju, uspostavljanje JS-a, revizorsko tijelo), oslanjajući se na postojeće resurse u: Ministarstvu evropskih poslova – Kancelarija </w:t>
      </w:r>
      <w:r w:rsidR="0086543E" w:rsidRPr="0086543E">
        <w:t>NIPAK</w:t>
      </w:r>
      <w:r>
        <w:t xml:space="preserve">, CFCU-u, koji sada obavlja funkcije </w:t>
      </w:r>
      <w:r w:rsidR="003D7057">
        <w:t>PTFU</w:t>
      </w:r>
      <w:r>
        <w:t xml:space="preserve">-a ili Kontrolnog tijela, Revizorskom tijelu, ministarstvu finansija – NAO upravljačkoj strukturi.Takođe, Crna Gora će obezbijediti koordinaciju svog </w:t>
      </w:r>
      <w:r w:rsidRPr="00422E3B">
        <w:t>učešća u Interreg programima, oslanjajući se na dosadašnje iskustvo Nacionalnog tijela i pazeći da buduće upravljačko tijelo za Interreg-IPA programe djeluje kao „pošteni posrednik“.</w:t>
      </w:r>
    </w:p>
    <w:p w14:paraId="272E0A6D" w14:textId="53B12BDC" w:rsidR="00CE064E" w:rsidRDefault="00CE064E" w:rsidP="003C6335">
      <w:r w:rsidRPr="00422E3B">
        <w:t xml:space="preserve">Uopšteno, u slučaju programa u kojima Crna Gora učestvuje, ako postoji Grupa revizora, biće imenovan crnogorski član Grupe revizora. Crna Gora će takođe biti odgovorna za imenovanje nacionalnih članova odgovarajućih </w:t>
      </w:r>
      <w:r w:rsidR="00975088">
        <w:t>Odbora za monitoring</w:t>
      </w:r>
      <w:r w:rsidRPr="00422E3B">
        <w:t>, u skladu sa smjernicama programa i uz poštovanje principa partnerstva i balansirane zastupljenosti. Crna Gora može biti odgovorna i da bude domaćin Nacionalnim</w:t>
      </w:r>
      <w:r w:rsidRPr="00CE064E">
        <w:t xml:space="preserve"> informacioni</w:t>
      </w:r>
      <w:r>
        <w:t>m</w:t>
      </w:r>
      <w:r w:rsidRPr="00CE064E">
        <w:t xml:space="preserve"> punktov</w:t>
      </w:r>
      <w:r>
        <w:t>ima</w:t>
      </w:r>
      <w:r w:rsidRPr="00CE064E">
        <w:t>, gd</w:t>
      </w:r>
      <w:r>
        <w:t>j</w:t>
      </w:r>
      <w:r w:rsidRPr="00CE064E">
        <w:t>e je to prim</w:t>
      </w:r>
      <w:r>
        <w:t>j</w:t>
      </w:r>
      <w:r w:rsidRPr="00CE064E">
        <w:t>enjivo.</w:t>
      </w:r>
    </w:p>
    <w:p w14:paraId="0FDA2E43" w14:textId="3BF4D2FF" w:rsidR="00CE064E" w:rsidRDefault="00CE064E" w:rsidP="00CE064E">
      <w:r>
        <w:t>U slučaju INTERREG IPA programa u okviru podijeljenog upravljanja sa zemljama korisnicama IPA, gdje će Crna Gora preuzeti ulogu Budućeg upravljačkog tijela</w:t>
      </w:r>
      <w:r w:rsidRPr="00B83578">
        <w:rPr>
          <w:rFonts w:cs="Arial"/>
          <w:vertAlign w:val="superscript"/>
        </w:rPr>
        <w:footnoteReference w:id="103"/>
      </w:r>
      <w:r>
        <w:t>, a uz poštovanje zahtjeva važeće perspektive (2021–2027) utvrđenih postojećom ET</w:t>
      </w:r>
      <w:r w:rsidR="003D7057">
        <w:t>S regulativom</w:t>
      </w:r>
      <w:r>
        <w:t>, dio sistema upravljanja i kontrole činiće sljedeća tijela:</w:t>
      </w:r>
    </w:p>
    <w:p w14:paraId="402D6E59" w14:textId="77777777" w:rsidR="00CE064E" w:rsidRDefault="00CE064E" w:rsidP="00CE064E"/>
    <w:p w14:paraId="3DF15118" w14:textId="77722A13" w:rsidR="00CE064E" w:rsidRDefault="00CE064E" w:rsidP="00D15218">
      <w:pPr>
        <w:pStyle w:val="ListParagraph"/>
        <w:numPr>
          <w:ilvl w:val="0"/>
          <w:numId w:val="26"/>
        </w:numPr>
      </w:pPr>
      <w:r w:rsidRPr="00CE064E">
        <w:rPr>
          <w:b/>
        </w:rPr>
        <w:t>Buduće upravljačko/-a tijelo/-a (</w:t>
      </w:r>
      <w:r w:rsidR="00A067C3">
        <w:rPr>
          <w:b/>
        </w:rPr>
        <w:t>UPT</w:t>
      </w:r>
      <w:r w:rsidRPr="00CE064E">
        <w:rPr>
          <w:b/>
        </w:rPr>
        <w:t>)</w:t>
      </w:r>
      <w:r>
        <w:t xml:space="preserve">, odgovorno za upravljanje programima i uspostavljanje Zajedničkog sekretarijata. U zavisnosti od broja programa za koje Crna Gora preuzme ulogu Upravljačkog tijela biće imenovano odgovarajuće </w:t>
      </w:r>
      <w:r w:rsidR="00A067C3">
        <w:t>UPT</w:t>
      </w:r>
      <w:r>
        <w:t xml:space="preserve">, pri čemu ista institucija može obavljati funkciju Upravljačkog tijela za više od jednog programa.  </w:t>
      </w:r>
    </w:p>
    <w:p w14:paraId="4C629553" w14:textId="76C2F9B1" w:rsidR="00CE064E" w:rsidRDefault="00CE064E" w:rsidP="00D15218">
      <w:pPr>
        <w:pStyle w:val="ListParagraph"/>
        <w:numPr>
          <w:ilvl w:val="0"/>
          <w:numId w:val="26"/>
        </w:numPr>
      </w:pPr>
      <w:r w:rsidRPr="00CE064E">
        <w:rPr>
          <w:b/>
        </w:rPr>
        <w:t>Revizorsko tijelo (</w:t>
      </w:r>
      <w:r w:rsidR="00243189" w:rsidRPr="00243189">
        <w:rPr>
          <w:b/>
        </w:rPr>
        <w:t>RT</w:t>
      </w:r>
      <w:r w:rsidRPr="00CE064E">
        <w:rPr>
          <w:b/>
        </w:rPr>
        <w:t>)</w:t>
      </w:r>
      <w:r>
        <w:t xml:space="preserve">, zaduženo za sprovođenje revizija radi pružanja nezavisnog uvjeravanja Komisiji o djelotvornom funkcionisanju sistema upravljanja i kontrole te o zakonitosti i pravilnosti rashoda uključenih u račune dostavljene Komisiji. Donijeće se odluka da li će </w:t>
      </w:r>
      <w:r w:rsidR="00243189" w:rsidRPr="00243189">
        <w:t>RT</w:t>
      </w:r>
      <w:r>
        <w:t xml:space="preserve"> biti dio </w:t>
      </w:r>
      <w:r w:rsidRPr="00CE064E">
        <w:rPr>
          <w:b/>
        </w:rPr>
        <w:t>Državne revizorske institucije ili zasebna, namjenska institucija</w:t>
      </w:r>
      <w:r>
        <w:t>. Po potrebi može biti formirana i grupa revizora.</w:t>
      </w:r>
    </w:p>
    <w:p w14:paraId="09C0D505" w14:textId="0911DC61" w:rsidR="008C321F" w:rsidRPr="00B83578" w:rsidRDefault="00017758" w:rsidP="003C6335">
      <w:pPr>
        <w:pStyle w:val="Heading2"/>
      </w:pPr>
      <w:bookmarkStart w:id="114" w:name="_Toc201700379"/>
      <w:r>
        <w:t>Planirane akcije</w:t>
      </w:r>
      <w:bookmarkEnd w:id="114"/>
      <w:r w:rsidR="008C321F" w:rsidRPr="00B83578">
        <w:t xml:space="preserve"> </w:t>
      </w:r>
    </w:p>
    <w:p w14:paraId="45B8E8F9" w14:textId="6262FF65" w:rsidR="008C321F" w:rsidRPr="00B83578" w:rsidRDefault="00CE064E" w:rsidP="008C321F">
      <w:r>
        <w:t xml:space="preserve">Na osnovu procjene trenutne situacije, a u svijetlu relevantnih potreba Kohezione politike, naredne akcije su panirane: </w:t>
      </w:r>
    </w:p>
    <w:p w14:paraId="61CE6F39" w14:textId="3435D8B4" w:rsidR="008C321F" w:rsidRPr="00B83578" w:rsidRDefault="00543023" w:rsidP="003C6335">
      <w:pPr>
        <w:pStyle w:val="Heading3"/>
      </w:pPr>
      <w:bookmarkStart w:id="115" w:name="_Toc201700380"/>
      <w:r>
        <w:lastRenderedPageBreak/>
        <w:t>Akcija</w:t>
      </w:r>
      <w:r w:rsidR="008C321F" w:rsidRPr="00B83578">
        <w:t xml:space="preserve"> 2.1 </w:t>
      </w:r>
      <w:r w:rsidR="003F4FA3">
        <w:t>Studija institucionalne strukture za implementaciju Kohezione politike EU i diskusija Radne grupe za Poglavlje 22</w:t>
      </w:r>
      <w:bookmarkEnd w:id="115"/>
    </w:p>
    <w:p w14:paraId="3478C30F" w14:textId="6B6F266D" w:rsidR="00CE064E" w:rsidRDefault="00CE064E" w:rsidP="008C321F">
      <w:pPr>
        <w:rPr>
          <w:rFonts w:cs="Arial"/>
          <w:color w:val="000000" w:themeColor="text1"/>
          <w:szCs w:val="20"/>
        </w:rPr>
      </w:pPr>
      <w:r w:rsidRPr="00CE064E">
        <w:rPr>
          <w:rFonts w:cs="Arial"/>
          <w:color w:val="000000" w:themeColor="text1"/>
          <w:szCs w:val="20"/>
        </w:rPr>
        <w:t xml:space="preserve">Početni korak u definisanju institucionalne strukture za </w:t>
      </w:r>
      <w:r w:rsidR="00A80895">
        <w:rPr>
          <w:rFonts w:cs="Arial"/>
          <w:color w:val="000000" w:themeColor="text1"/>
          <w:szCs w:val="20"/>
        </w:rPr>
        <w:t>implementaciju</w:t>
      </w:r>
      <w:r w:rsidRPr="00CE064E">
        <w:rPr>
          <w:rFonts w:cs="Arial"/>
          <w:color w:val="000000" w:themeColor="text1"/>
          <w:szCs w:val="20"/>
        </w:rPr>
        <w:t xml:space="preserve"> Studije o </w:t>
      </w:r>
      <w:r>
        <w:rPr>
          <w:rFonts w:cs="Arial"/>
          <w:color w:val="000000" w:themeColor="text1"/>
          <w:szCs w:val="20"/>
        </w:rPr>
        <w:t>Kohezionoj politici</w:t>
      </w:r>
      <w:r w:rsidRPr="00CE064E">
        <w:rPr>
          <w:rFonts w:cs="Arial"/>
          <w:color w:val="000000" w:themeColor="text1"/>
          <w:szCs w:val="20"/>
        </w:rPr>
        <w:t xml:space="preserve"> EU je određivanje broja i opsega programa, kao i određivanje institucionalnog okvira sa brojem upravljačkih t</w:t>
      </w:r>
      <w:r w:rsidR="003518C4">
        <w:rPr>
          <w:rFonts w:cs="Arial"/>
          <w:color w:val="000000" w:themeColor="text1"/>
          <w:szCs w:val="20"/>
        </w:rPr>
        <w:t>ij</w:t>
      </w:r>
      <w:r w:rsidRPr="00CE064E">
        <w:rPr>
          <w:rFonts w:cs="Arial"/>
          <w:color w:val="000000" w:themeColor="text1"/>
          <w:szCs w:val="20"/>
        </w:rPr>
        <w:t>ela za pojedine programe, kao i određivanje institucija/organizacionih jedinica unutar institucija koje će obavljati funkcije pojedinačnih t</w:t>
      </w:r>
      <w:r w:rsidR="003518C4">
        <w:rPr>
          <w:rFonts w:cs="Arial"/>
          <w:color w:val="000000" w:themeColor="text1"/>
          <w:szCs w:val="20"/>
        </w:rPr>
        <w:t>ij</w:t>
      </w:r>
      <w:r w:rsidRPr="00CE064E">
        <w:rPr>
          <w:rFonts w:cs="Arial"/>
          <w:color w:val="000000" w:themeColor="text1"/>
          <w:szCs w:val="20"/>
        </w:rPr>
        <w:t>ela u sistemu. Studija će se zasnivati na v</w:t>
      </w:r>
      <w:r w:rsidR="003518C4">
        <w:rPr>
          <w:rFonts w:cs="Arial"/>
          <w:color w:val="000000" w:themeColor="text1"/>
          <w:szCs w:val="20"/>
        </w:rPr>
        <w:t>j</w:t>
      </w:r>
      <w:r w:rsidRPr="00CE064E">
        <w:rPr>
          <w:rFonts w:cs="Arial"/>
          <w:color w:val="000000" w:themeColor="text1"/>
          <w:szCs w:val="20"/>
        </w:rPr>
        <w:t xml:space="preserve">ežbi mapiranja kapaciteta koja je planirana u okviru </w:t>
      </w:r>
      <w:r w:rsidR="00F6773D">
        <w:rPr>
          <w:rFonts w:cs="Arial"/>
          <w:color w:val="000000" w:themeColor="text1"/>
          <w:szCs w:val="20"/>
        </w:rPr>
        <w:t>tehničke pomoći</w:t>
      </w:r>
      <w:r w:rsidRPr="00CE064E">
        <w:rPr>
          <w:rFonts w:cs="Arial"/>
          <w:color w:val="000000" w:themeColor="text1"/>
          <w:szCs w:val="20"/>
        </w:rPr>
        <w:t xml:space="preserve"> finansirane od strane EU. Rezultati Studije pružiće osnovu za diskusiju sa Radnom grupom za Poglavlje 22 i preporuke za </w:t>
      </w:r>
      <w:r w:rsidR="003518C4" w:rsidRPr="003518C4">
        <w:rPr>
          <w:rFonts w:cs="Arial"/>
          <w:b/>
          <w:color w:val="000000" w:themeColor="text1"/>
          <w:szCs w:val="20"/>
        </w:rPr>
        <w:t>Zaključak Vlade</w:t>
      </w:r>
      <w:r w:rsidRPr="003518C4">
        <w:rPr>
          <w:rFonts w:cs="Arial"/>
          <w:b/>
          <w:color w:val="000000" w:themeColor="text1"/>
          <w:szCs w:val="20"/>
        </w:rPr>
        <w:t xml:space="preserve"> za </w:t>
      </w:r>
      <w:r w:rsidR="00A80895">
        <w:rPr>
          <w:rFonts w:cs="Arial"/>
          <w:b/>
          <w:color w:val="000000" w:themeColor="text1"/>
          <w:szCs w:val="20"/>
        </w:rPr>
        <w:t>implementaciju</w:t>
      </w:r>
      <w:r w:rsidRPr="003518C4">
        <w:rPr>
          <w:rFonts w:cs="Arial"/>
          <w:b/>
          <w:color w:val="000000" w:themeColor="text1"/>
          <w:szCs w:val="20"/>
        </w:rPr>
        <w:t xml:space="preserve"> </w:t>
      </w:r>
      <w:r w:rsidR="003518C4" w:rsidRPr="003518C4">
        <w:rPr>
          <w:rFonts w:cs="Arial"/>
          <w:b/>
          <w:color w:val="000000" w:themeColor="text1"/>
          <w:szCs w:val="20"/>
        </w:rPr>
        <w:t>Kohezione politike EU</w:t>
      </w:r>
      <w:r w:rsidRPr="003518C4">
        <w:rPr>
          <w:rFonts w:cs="Arial"/>
          <w:b/>
          <w:color w:val="000000" w:themeColor="text1"/>
          <w:szCs w:val="20"/>
        </w:rPr>
        <w:t>, koje će biti usvojene u okviru Akcije 1.2</w:t>
      </w:r>
      <w:r w:rsidRPr="00CE064E">
        <w:rPr>
          <w:rFonts w:cs="Arial"/>
          <w:color w:val="000000" w:themeColor="text1"/>
          <w:szCs w:val="20"/>
        </w:rPr>
        <w:t>, kao i informacije za Akciju 2.2 – Model finansijsk</w:t>
      </w:r>
      <w:r w:rsidR="003518C4">
        <w:rPr>
          <w:rFonts w:cs="Arial"/>
          <w:color w:val="000000" w:themeColor="text1"/>
          <w:szCs w:val="20"/>
        </w:rPr>
        <w:t>ih nedostataka</w:t>
      </w:r>
      <w:r w:rsidRPr="00CE064E">
        <w:rPr>
          <w:rFonts w:cs="Arial"/>
          <w:color w:val="000000" w:themeColor="text1"/>
          <w:szCs w:val="20"/>
        </w:rPr>
        <w:t>, jer će omogućiti bolje i preciznije identifikovanje potrebnih resursa.</w:t>
      </w:r>
    </w:p>
    <w:p w14:paraId="24BB7108" w14:textId="45E087A9" w:rsidR="008C321F" w:rsidRPr="00B83578" w:rsidRDefault="00543023" w:rsidP="003C6335">
      <w:pPr>
        <w:pStyle w:val="Heading3"/>
      </w:pPr>
      <w:bookmarkStart w:id="116" w:name="_Toc201700381"/>
      <w:r>
        <w:t>Akcija</w:t>
      </w:r>
      <w:r w:rsidR="008C321F" w:rsidRPr="00B83578">
        <w:t xml:space="preserve"> 2.2. </w:t>
      </w:r>
      <w:r w:rsidR="003F4FA3">
        <w:t>Analiza finansijskih nedostataka</w:t>
      </w:r>
      <w:bookmarkEnd w:id="116"/>
      <w:r w:rsidR="008C321F" w:rsidRPr="00B83578">
        <w:t xml:space="preserve"> </w:t>
      </w:r>
    </w:p>
    <w:p w14:paraId="6911A0A3" w14:textId="301F933A" w:rsidR="003518C4" w:rsidRDefault="003518C4" w:rsidP="008C321F">
      <w:pPr>
        <w:rPr>
          <w:bCs/>
        </w:rPr>
      </w:pPr>
      <w:r w:rsidRPr="003518C4">
        <w:rPr>
          <w:bCs/>
        </w:rPr>
        <w:t>Ova Akcija se fokusira na pripremu Analize finansijsk</w:t>
      </w:r>
      <w:r>
        <w:rPr>
          <w:bCs/>
        </w:rPr>
        <w:t>ih nedostataka</w:t>
      </w:r>
      <w:r w:rsidRPr="003518C4">
        <w:rPr>
          <w:bCs/>
        </w:rPr>
        <w:t xml:space="preserve"> koja, na osnovu pretpostavki o obimu i veličini Kohezionih fondova nakon pristupanja, broju Programa i institucionalnom ustrojstvu, proc</w:t>
      </w:r>
      <w:r>
        <w:rPr>
          <w:bCs/>
        </w:rPr>
        <w:t>j</w:t>
      </w:r>
      <w:r w:rsidRPr="003518C4">
        <w:rPr>
          <w:bCs/>
        </w:rPr>
        <w:t xml:space="preserve">enjuje potrebe crnogorskih struktura i </w:t>
      </w:r>
      <w:r>
        <w:rPr>
          <w:bCs/>
        </w:rPr>
        <w:t>tijela</w:t>
      </w:r>
      <w:r w:rsidRPr="003518C4">
        <w:rPr>
          <w:bCs/>
        </w:rPr>
        <w:t xml:space="preserve"> u pogledu osoblja i drugih resursa, i proc</w:t>
      </w:r>
      <w:r>
        <w:rPr>
          <w:bCs/>
        </w:rPr>
        <w:t>j</w:t>
      </w:r>
      <w:r w:rsidRPr="003518C4">
        <w:rPr>
          <w:bCs/>
        </w:rPr>
        <w:t>enjuje troškove za efikasnu i efektivnu pripremu i upravljanje sredstvima Kohezione politike nakon pristupanja, kako bi se obezb</w:t>
      </w:r>
      <w:r>
        <w:rPr>
          <w:bCs/>
        </w:rPr>
        <w:t>ij</w:t>
      </w:r>
      <w:r w:rsidRPr="003518C4">
        <w:rPr>
          <w:bCs/>
        </w:rPr>
        <w:t>edio nivo spremnosti neophodan za potpunu apsorpciju sredstava u skladu sa svim prim</w:t>
      </w:r>
      <w:r>
        <w:rPr>
          <w:bCs/>
        </w:rPr>
        <w:t>j</w:t>
      </w:r>
      <w:r w:rsidRPr="003518C4">
        <w:rPr>
          <w:bCs/>
        </w:rPr>
        <w:t>enjivim pravilima.</w:t>
      </w:r>
    </w:p>
    <w:p w14:paraId="0999B49F" w14:textId="7DBC5A46" w:rsidR="008C321F" w:rsidRPr="00B83578" w:rsidRDefault="00543023" w:rsidP="003C6335">
      <w:pPr>
        <w:pStyle w:val="Heading3"/>
      </w:pPr>
      <w:bookmarkStart w:id="117" w:name="_Toc201700382"/>
      <w:r>
        <w:t>Akcija</w:t>
      </w:r>
      <w:r w:rsidR="008C321F" w:rsidRPr="00B83578">
        <w:t xml:space="preserve"> 2.3. </w:t>
      </w:r>
      <w:r w:rsidR="003F4FA3">
        <w:t>Usvajanje revidirane Pregovaračke pozicije za Poglavlje 22</w:t>
      </w:r>
      <w:bookmarkEnd w:id="117"/>
    </w:p>
    <w:p w14:paraId="23EE9899" w14:textId="70E31B35" w:rsidR="003518C4" w:rsidRDefault="003518C4" w:rsidP="008C321F">
      <w:r w:rsidRPr="003518C4">
        <w:t>Pregovaračka pozicija će biti ažurirana kako bi odražavala odluke koje je don</w:t>
      </w:r>
      <w:r>
        <w:t>ij</w:t>
      </w:r>
      <w:r w:rsidRPr="003518C4">
        <w:t>ela Vlada Crne Gore o broju i obimu programa koji se finansiraju iz Kohezionih fondova, a samim tim i institucionalno uređenje. Pregovaračka pozicija će biti ažurirana kada Komisija objavi svoje pr</w:t>
      </w:r>
      <w:r>
        <w:t>ij</w:t>
      </w:r>
      <w:r w:rsidRPr="003518C4">
        <w:t>edloge za regulative o Kohezionoj politici i kada se, shodno tome, utvrde sm</w:t>
      </w:r>
      <w:r>
        <w:t>j</w:t>
      </w:r>
      <w:r w:rsidRPr="003518C4">
        <w:t>ernice o tipologiji i funkcijama upravljačkih t</w:t>
      </w:r>
      <w:r>
        <w:t>ij</w:t>
      </w:r>
      <w:r w:rsidRPr="003518C4">
        <w:t>ela programa.</w:t>
      </w:r>
    </w:p>
    <w:p w14:paraId="31032B56" w14:textId="5CBE2987" w:rsidR="008C321F" w:rsidRPr="00B83578" w:rsidRDefault="00543023" w:rsidP="003C6335">
      <w:pPr>
        <w:pStyle w:val="Heading3"/>
      </w:pPr>
      <w:bookmarkStart w:id="118" w:name="_Toc201700383"/>
      <w:r>
        <w:t>Akcija</w:t>
      </w:r>
      <w:r w:rsidR="008C321F" w:rsidRPr="00B83578">
        <w:t xml:space="preserve"> 2.4. </w:t>
      </w:r>
      <w:r w:rsidR="003F4FA3">
        <w:t>Usvajanje pisanih sporazuma, koji preciziraju međusobne odnose između relevantnih tijela i organa</w:t>
      </w:r>
      <w:bookmarkEnd w:id="118"/>
    </w:p>
    <w:p w14:paraId="1C435908" w14:textId="13059C5C" w:rsidR="003518C4" w:rsidRDefault="003518C4" w:rsidP="008C321F">
      <w:r w:rsidRPr="003518C4">
        <w:t>U slučaju da Upravljačka t</w:t>
      </w:r>
      <w:r>
        <w:t>ij</w:t>
      </w:r>
      <w:r w:rsidRPr="003518C4">
        <w:t>ela identifikuju jedno ili više Posredničkih t</w:t>
      </w:r>
      <w:r>
        <w:t>ij</w:t>
      </w:r>
      <w:r w:rsidRPr="003518C4">
        <w:t>ela za obavljanje određenih zadataka u okviru svoje odgovornosti, ili delegiraju računovodstvenu funkciju, biće usvojeni pisani sporazumi koji obezb</w:t>
      </w:r>
      <w:r>
        <w:t>j</w:t>
      </w:r>
      <w:r w:rsidRPr="003518C4">
        <w:t>eđuju poštovanje principa razdvajanja funkcija između i unutar programskih t</w:t>
      </w:r>
      <w:r>
        <w:t>ij</w:t>
      </w:r>
      <w:r w:rsidRPr="003518C4">
        <w:t>ela.</w:t>
      </w:r>
    </w:p>
    <w:p w14:paraId="2ADBF883" w14:textId="2E5626E7" w:rsidR="008C321F" w:rsidRPr="00B83578" w:rsidRDefault="00543023" w:rsidP="003C6335">
      <w:pPr>
        <w:pStyle w:val="Heading3"/>
      </w:pPr>
      <w:bookmarkStart w:id="119" w:name="_Toc201700384"/>
      <w:r>
        <w:t>Akcija</w:t>
      </w:r>
      <w:r w:rsidR="008C321F" w:rsidRPr="00B83578">
        <w:t xml:space="preserve"> 2.5. </w:t>
      </w:r>
      <w:r w:rsidR="003F4FA3">
        <w:t>Usvajanje Nacionalnih smjernica za Priručnike o procedurama</w:t>
      </w:r>
      <w:bookmarkEnd w:id="119"/>
    </w:p>
    <w:p w14:paraId="390F3420" w14:textId="13D1FF2A" w:rsidR="003518C4" w:rsidRDefault="003518C4" w:rsidP="008C321F">
      <w:r w:rsidRPr="003518C4">
        <w:t>Buduće Koordinaciono t</w:t>
      </w:r>
      <w:r>
        <w:t>ij</w:t>
      </w:r>
      <w:r w:rsidRPr="003518C4">
        <w:t xml:space="preserve">elo će pripremiti Nacionalno uputstvo o priručnicima </w:t>
      </w:r>
      <w:r w:rsidR="001C6BCB">
        <w:t>o</w:t>
      </w:r>
      <w:r w:rsidRPr="003518C4">
        <w:t xml:space="preserve"> procedur</w:t>
      </w:r>
      <w:r w:rsidR="001C6BCB">
        <w:t>ama</w:t>
      </w:r>
      <w:r w:rsidRPr="003518C4">
        <w:t xml:space="preserve"> kako bi se obezb</w:t>
      </w:r>
      <w:r>
        <w:t>ij</w:t>
      </w:r>
      <w:r w:rsidRPr="003518C4">
        <w:t>edila dosl</w:t>
      </w:r>
      <w:r>
        <w:t>j</w:t>
      </w:r>
      <w:r w:rsidRPr="003518C4">
        <w:t xml:space="preserve">ednost među nadležnim </w:t>
      </w:r>
      <w:r w:rsidR="005F0E1C">
        <w:t>tijel</w:t>
      </w:r>
      <w:r w:rsidRPr="003518C4">
        <w:t>ima i strukturama, kao i sveobuhvatnost procedura, u m</w:t>
      </w:r>
      <w:r>
        <w:t>j</w:t>
      </w:r>
      <w:r w:rsidRPr="003518C4">
        <w:t>eri u kojoj je to moguće. Ovo uputstvo neće obuhvatati priručnike za procedure revizora.</w:t>
      </w:r>
    </w:p>
    <w:p w14:paraId="5AB50EC1" w14:textId="58040BDA" w:rsidR="008C321F" w:rsidRPr="00B83578" w:rsidRDefault="00543023" w:rsidP="003C6335">
      <w:pPr>
        <w:pStyle w:val="Heading3"/>
      </w:pPr>
      <w:bookmarkStart w:id="120" w:name="_Toc201700385"/>
      <w:r>
        <w:t>Akcija</w:t>
      </w:r>
      <w:r w:rsidR="008C321F" w:rsidRPr="00B83578">
        <w:t xml:space="preserve"> 2.6. </w:t>
      </w:r>
      <w:r w:rsidR="003F4FA3">
        <w:t>Usvajanje Priručnika o procedurama</w:t>
      </w:r>
      <w:bookmarkEnd w:id="120"/>
    </w:p>
    <w:p w14:paraId="52A48640" w14:textId="2CA3E187" w:rsidR="003518C4" w:rsidRDefault="003518C4" w:rsidP="008C321F">
      <w:r w:rsidRPr="003518C4">
        <w:t>Sv</w:t>
      </w:r>
      <w:r>
        <w:t>a</w:t>
      </w:r>
      <w:r w:rsidRPr="003518C4">
        <w:t xml:space="preserve"> imenovan</w:t>
      </w:r>
      <w:r>
        <w:t>a</w:t>
      </w:r>
      <w:r w:rsidRPr="003518C4">
        <w:t xml:space="preserve"> </w:t>
      </w:r>
      <w:r w:rsidR="005B55A5">
        <w:t>tijela programa</w:t>
      </w:r>
      <w:r w:rsidRPr="003518C4">
        <w:t xml:space="preserve"> će pripremiti i usvojiti svoje interne priručnike </w:t>
      </w:r>
      <w:r w:rsidR="001C6BCB">
        <w:t>o</w:t>
      </w:r>
      <w:r w:rsidRPr="003518C4">
        <w:t xml:space="preserve"> procedur</w:t>
      </w:r>
      <w:r w:rsidR="001C6BCB">
        <w:t>ama</w:t>
      </w:r>
      <w:r w:rsidRPr="003518C4">
        <w:t>, u skladu sa nacionalnim sm</w:t>
      </w:r>
      <w:r>
        <w:t>j</w:t>
      </w:r>
      <w:r w:rsidRPr="003518C4">
        <w:t xml:space="preserve">ernicama koje pruži </w:t>
      </w:r>
      <w:r>
        <w:t>B</w:t>
      </w:r>
      <w:r w:rsidRPr="003518C4">
        <w:t>uduće koordinaciono telo.</w:t>
      </w:r>
    </w:p>
    <w:p w14:paraId="060DC3CB" w14:textId="0B16A29F" w:rsidR="008C321F" w:rsidRPr="00B83578" w:rsidRDefault="00543023" w:rsidP="003C6335">
      <w:pPr>
        <w:pStyle w:val="Heading3"/>
      </w:pPr>
      <w:bookmarkStart w:id="121" w:name="_Toc201700386"/>
      <w:r>
        <w:t>Akcija</w:t>
      </w:r>
      <w:r w:rsidR="008C321F" w:rsidRPr="00B83578">
        <w:t xml:space="preserve"> 2.7. </w:t>
      </w:r>
      <w:r>
        <w:t>Priprema Paketa za procjenu usklađenosti</w:t>
      </w:r>
      <w:bookmarkEnd w:id="121"/>
      <w:r w:rsidR="008C321F" w:rsidRPr="00B83578">
        <w:t xml:space="preserve"> </w:t>
      </w:r>
    </w:p>
    <w:p w14:paraId="308EDC6D" w14:textId="0BB4B00E" w:rsidR="003518C4" w:rsidRDefault="003518C4" w:rsidP="008C321F">
      <w:pPr>
        <w:rPr>
          <w:color w:val="000000" w:themeColor="text1"/>
        </w:rPr>
      </w:pPr>
      <w:r w:rsidRPr="003518C4">
        <w:rPr>
          <w:color w:val="000000" w:themeColor="text1"/>
        </w:rPr>
        <w:t xml:space="preserve">Svako </w:t>
      </w:r>
      <w:r>
        <w:rPr>
          <w:color w:val="000000" w:themeColor="text1"/>
        </w:rPr>
        <w:t>B</w:t>
      </w:r>
      <w:r w:rsidRPr="003518C4">
        <w:rPr>
          <w:color w:val="000000" w:themeColor="text1"/>
        </w:rPr>
        <w:t>uduće upravljačko t</w:t>
      </w:r>
      <w:r>
        <w:rPr>
          <w:color w:val="000000" w:themeColor="text1"/>
        </w:rPr>
        <w:t>ij</w:t>
      </w:r>
      <w:r w:rsidRPr="003518C4">
        <w:rPr>
          <w:color w:val="000000" w:themeColor="text1"/>
        </w:rPr>
        <w:t>elo dužno je da pripremi paket za proc</w:t>
      </w:r>
      <w:r>
        <w:rPr>
          <w:color w:val="000000" w:themeColor="text1"/>
        </w:rPr>
        <w:t>j</w:t>
      </w:r>
      <w:r w:rsidRPr="003518C4">
        <w:rPr>
          <w:color w:val="000000" w:themeColor="text1"/>
        </w:rPr>
        <w:t>enu usklađenosti kako bi obezb</w:t>
      </w:r>
      <w:r>
        <w:rPr>
          <w:color w:val="000000" w:themeColor="text1"/>
        </w:rPr>
        <w:t>ij</w:t>
      </w:r>
      <w:r w:rsidRPr="003518C4">
        <w:rPr>
          <w:color w:val="000000" w:themeColor="text1"/>
        </w:rPr>
        <w:t>edilo Evropskoj komisiji garanciju da uspostavljeni sistem upravljanja i kontrole za Program ispunjava zaht</w:t>
      </w:r>
      <w:r>
        <w:rPr>
          <w:color w:val="000000" w:themeColor="text1"/>
        </w:rPr>
        <w:t>j</w:t>
      </w:r>
      <w:r w:rsidRPr="003518C4">
        <w:rPr>
          <w:color w:val="000000" w:themeColor="text1"/>
        </w:rPr>
        <w:t>eve i kriterijume utvrđene relevantnim propisima.</w:t>
      </w:r>
    </w:p>
    <w:p w14:paraId="3255CBD5" w14:textId="7820FFC2" w:rsidR="002773A0" w:rsidRPr="00112AB0" w:rsidRDefault="001D692B" w:rsidP="002773A0">
      <w:pPr>
        <w:keepNext/>
        <w:spacing w:before="200" w:after="0"/>
        <w:rPr>
          <w:rFonts w:cs="Arial"/>
          <w:i/>
          <w:iCs/>
          <w:color w:val="0E2841" w:themeColor="text2"/>
          <w:sz w:val="18"/>
          <w:szCs w:val="18"/>
        </w:rPr>
      </w:pPr>
      <w:bookmarkStart w:id="122" w:name="_Toc193895452"/>
      <w:r>
        <w:rPr>
          <w:rFonts w:cs="Arial"/>
          <w:i/>
          <w:iCs/>
          <w:color w:val="0E2841" w:themeColor="text2"/>
          <w:sz w:val="18"/>
          <w:szCs w:val="18"/>
        </w:rPr>
        <w:t>Tabela</w:t>
      </w:r>
      <w:r w:rsidR="002773A0" w:rsidRPr="00112AB0">
        <w:rPr>
          <w:rFonts w:cs="Arial"/>
          <w:i/>
          <w:iCs/>
          <w:color w:val="0E2841" w:themeColor="text2"/>
          <w:sz w:val="18"/>
          <w:szCs w:val="18"/>
        </w:rPr>
        <w:t xml:space="preserve"> </w:t>
      </w:r>
      <w:r w:rsidR="002773A0" w:rsidRPr="00112AB0">
        <w:rPr>
          <w:rFonts w:cs="Arial"/>
          <w:i/>
          <w:iCs/>
          <w:color w:val="0E2841" w:themeColor="text2"/>
          <w:sz w:val="18"/>
          <w:szCs w:val="18"/>
        </w:rPr>
        <w:fldChar w:fldCharType="begin"/>
      </w:r>
      <w:r w:rsidR="002773A0" w:rsidRPr="00112AB0">
        <w:rPr>
          <w:rFonts w:cs="Arial"/>
          <w:i/>
          <w:iCs/>
          <w:color w:val="0E2841" w:themeColor="text2"/>
          <w:sz w:val="18"/>
          <w:szCs w:val="18"/>
        </w:rPr>
        <w:instrText xml:space="preserve"> SEQ Table \* ARABIC </w:instrText>
      </w:r>
      <w:r w:rsidR="002773A0" w:rsidRPr="00112AB0">
        <w:rPr>
          <w:rFonts w:cs="Arial"/>
          <w:i/>
          <w:iCs/>
          <w:color w:val="0E2841" w:themeColor="text2"/>
          <w:sz w:val="18"/>
          <w:szCs w:val="18"/>
        </w:rPr>
        <w:fldChar w:fldCharType="separate"/>
      </w:r>
      <w:r w:rsidR="003C2962">
        <w:rPr>
          <w:rFonts w:cs="Arial"/>
          <w:i/>
          <w:iCs/>
          <w:noProof/>
          <w:color w:val="0E2841" w:themeColor="text2"/>
          <w:sz w:val="18"/>
          <w:szCs w:val="18"/>
        </w:rPr>
        <w:t>8</w:t>
      </w:r>
      <w:r w:rsidR="002773A0" w:rsidRPr="00112AB0">
        <w:rPr>
          <w:rFonts w:cs="Arial"/>
          <w:i/>
          <w:iCs/>
          <w:color w:val="0E2841" w:themeColor="text2"/>
          <w:sz w:val="18"/>
          <w:szCs w:val="18"/>
        </w:rPr>
        <w:fldChar w:fldCharType="end"/>
      </w:r>
      <w:r w:rsidR="002773A0" w:rsidRPr="00112AB0">
        <w:rPr>
          <w:rFonts w:cs="Arial"/>
          <w:i/>
          <w:iCs/>
          <w:color w:val="0E2841" w:themeColor="text2"/>
          <w:sz w:val="18"/>
          <w:szCs w:val="18"/>
        </w:rPr>
        <w:t xml:space="preserve">: </w:t>
      </w:r>
      <w:r w:rsidRPr="001D692B">
        <w:rPr>
          <w:rFonts w:cs="Arial"/>
          <w:i/>
          <w:iCs/>
          <w:color w:val="0E2841" w:themeColor="text2"/>
          <w:sz w:val="18"/>
          <w:szCs w:val="18"/>
        </w:rPr>
        <w:t>Planirane akcije u okviru Poglavlja Institucionalni okvir</w:t>
      </w:r>
      <w:bookmarkEnd w:id="122"/>
    </w:p>
    <w:tbl>
      <w:tblPr>
        <w:tblStyle w:val="GridTable5Dark-Accent11"/>
        <w:tblW w:w="5000" w:type="pct"/>
        <w:tblInd w:w="0" w:type="dxa"/>
        <w:tblLook w:val="04A0" w:firstRow="1" w:lastRow="0" w:firstColumn="1" w:lastColumn="0" w:noHBand="0" w:noVBand="1"/>
      </w:tblPr>
      <w:tblGrid>
        <w:gridCol w:w="904"/>
        <w:gridCol w:w="1142"/>
        <w:gridCol w:w="1200"/>
        <w:gridCol w:w="854"/>
        <w:gridCol w:w="1344"/>
        <w:gridCol w:w="854"/>
        <w:gridCol w:w="854"/>
        <w:gridCol w:w="1344"/>
        <w:gridCol w:w="854"/>
      </w:tblGrid>
      <w:tr w:rsidR="0078451F" w:rsidRPr="0078451F" w14:paraId="1D246E8A" w14:textId="77777777" w:rsidTr="0078451F">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87" w:type="pct"/>
          </w:tcPr>
          <w:p w14:paraId="1AD44081" w14:textId="45AC078B" w:rsidR="0078451F" w:rsidRPr="0078451F" w:rsidRDefault="00543023" w:rsidP="0078451F">
            <w:pPr>
              <w:spacing w:after="0"/>
              <w:jc w:val="left"/>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Kod akcije</w:t>
            </w:r>
          </w:p>
        </w:tc>
        <w:tc>
          <w:tcPr>
            <w:tcW w:w="614" w:type="pct"/>
          </w:tcPr>
          <w:p w14:paraId="5BBB603D" w14:textId="5F6BE3A0" w:rsidR="0078451F" w:rsidRPr="0078451F" w:rsidRDefault="00543023" w:rsidP="0078451F">
            <w:pPr>
              <w:spacing w:after="0"/>
              <w:jc w:val="left"/>
              <w:cnfStyle w:val="100000000000" w:firstRow="1"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Naziv akcije</w:t>
            </w:r>
          </w:p>
        </w:tc>
        <w:tc>
          <w:tcPr>
            <w:tcW w:w="614" w:type="pct"/>
          </w:tcPr>
          <w:p w14:paraId="3E67FA06" w14:textId="2EB38958"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Nadležnost</w:t>
            </w:r>
          </w:p>
        </w:tc>
        <w:tc>
          <w:tcPr>
            <w:tcW w:w="460" w:type="pct"/>
          </w:tcPr>
          <w:p w14:paraId="35EF874E" w14:textId="277435C9"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Raspored</w:t>
            </w:r>
          </w:p>
        </w:tc>
        <w:tc>
          <w:tcPr>
            <w:tcW w:w="722" w:type="pct"/>
          </w:tcPr>
          <w:p w14:paraId="41268DFB" w14:textId="1514255F"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tcPr>
          <w:p w14:paraId="7F21BD6E" w14:textId="3A5346AB"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683B6B">
              <w:rPr>
                <w:rFonts w:ascii="Aptos" w:eastAsia="Times New Roman" w:hAnsi="Aptos"/>
                <w:kern w:val="0"/>
                <w:sz w:val="14"/>
                <w:szCs w:val="14"/>
                <w:lang w:eastAsia="en-GB"/>
                <w14:ligatures w14:val="none"/>
              </w:rPr>
              <w:t>Vrsta</w:t>
            </w:r>
          </w:p>
        </w:tc>
        <w:tc>
          <w:tcPr>
            <w:tcW w:w="460" w:type="pct"/>
          </w:tcPr>
          <w:p w14:paraId="4C6D30B4" w14:textId="7295B05A"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683B6B">
              <w:rPr>
                <w:rFonts w:ascii="Aptos" w:eastAsia="Times New Roman" w:hAnsi="Aptos"/>
                <w:kern w:val="0"/>
                <w:sz w:val="14"/>
                <w:szCs w:val="14"/>
                <w:lang w:eastAsia="en-GB"/>
                <w14:ligatures w14:val="none"/>
              </w:rPr>
              <w:t>Resurs</w:t>
            </w:r>
          </w:p>
        </w:tc>
        <w:tc>
          <w:tcPr>
            <w:tcW w:w="722" w:type="pct"/>
          </w:tcPr>
          <w:p w14:paraId="13F23A17" w14:textId="25032D4B"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683B6B">
              <w:rPr>
                <w:rFonts w:ascii="Aptos" w:eastAsia="Times New Roman" w:hAnsi="Aptos"/>
                <w:kern w:val="0"/>
                <w:sz w:val="14"/>
                <w:szCs w:val="14"/>
                <w:lang w:eastAsia="en-GB"/>
                <w14:ligatures w14:val="none"/>
              </w:rPr>
              <w:t>Napomene</w:t>
            </w:r>
          </w:p>
        </w:tc>
        <w:tc>
          <w:tcPr>
            <w:tcW w:w="460" w:type="pct"/>
          </w:tcPr>
          <w:p w14:paraId="4EAB4FE2" w14:textId="1C1AE6D6" w:rsidR="0078451F" w:rsidRPr="0078451F" w:rsidRDefault="00163D4B" w:rsidP="0078451F">
            <w:pPr>
              <w:spacing w:after="0"/>
              <w:jc w:val="left"/>
              <w:cnfStyle w:val="100000000000" w:firstRow="1"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Oznaka </w:t>
            </w:r>
            <w:r w:rsidR="0032369C">
              <w:rPr>
                <w:rFonts w:ascii="Aptos" w:eastAsia="Times New Roman" w:hAnsi="Aptos"/>
                <w:kern w:val="0"/>
                <w:sz w:val="14"/>
                <w:szCs w:val="14"/>
                <w:lang w:eastAsia="en-GB"/>
                <w14:ligatures w14:val="none"/>
              </w:rPr>
              <w:t>ZM</w:t>
            </w:r>
          </w:p>
        </w:tc>
      </w:tr>
      <w:tr w:rsidR="0078451F" w:rsidRPr="0078451F" w14:paraId="0B09720A" w14:textId="77777777" w:rsidTr="0078451F">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2168AA11"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lastRenderedPageBreak/>
              <w:t>2.01.</w:t>
            </w:r>
          </w:p>
        </w:tc>
        <w:tc>
          <w:tcPr>
            <w:tcW w:w="614" w:type="pct"/>
            <w:hideMark/>
          </w:tcPr>
          <w:p w14:paraId="475120E6" w14:textId="4C155173" w:rsidR="0078451F" w:rsidRPr="0078451F" w:rsidRDefault="007029B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institucionalne postavke za implementaciju Kohezione politike EU i diskusija Radne grupe.</w:t>
            </w:r>
          </w:p>
        </w:tc>
        <w:tc>
          <w:tcPr>
            <w:tcW w:w="614" w:type="pct"/>
            <w:hideMark/>
          </w:tcPr>
          <w:p w14:paraId="0E67DF6A" w14:textId="40FEA618"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78451F" w:rsidRPr="0078451F">
              <w:rPr>
                <w:rFonts w:ascii="Aptos" w:eastAsia="Times New Roman" w:hAnsi="Aptos"/>
                <w:kern w:val="0"/>
                <w:sz w:val="14"/>
                <w:szCs w:val="14"/>
                <w:lang w:eastAsia="en-GB"/>
                <w14:ligatures w14:val="none"/>
              </w:rPr>
              <w:t>;</w:t>
            </w:r>
            <w:proofErr w:type="gramEnd"/>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460" w:type="pct"/>
            <w:hideMark/>
          </w:tcPr>
          <w:p w14:paraId="41F2A067" w14:textId="56E9640C"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722" w:type="pct"/>
            <w:hideMark/>
          </w:tcPr>
          <w:p w14:paraId="1400606B" w14:textId="55EC0159" w:rsidR="0078451F" w:rsidRPr="0078451F" w:rsidRDefault="009E36F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o institucionalnom okviru za implementaciju Kohezione politike EU razmatrane sa Radnom grupom za Poglavlje 22</w:t>
            </w:r>
            <w:r w:rsidR="0078451F" w:rsidRPr="0078451F">
              <w:rPr>
                <w:rFonts w:ascii="Aptos" w:eastAsia="Times New Roman" w:hAnsi="Aptos"/>
                <w:kern w:val="0"/>
                <w:sz w:val="14"/>
                <w:szCs w:val="14"/>
                <w:lang w:eastAsia="en-GB"/>
                <w14:ligatures w14:val="none"/>
              </w:rPr>
              <w:t>.</w:t>
            </w:r>
          </w:p>
        </w:tc>
        <w:tc>
          <w:tcPr>
            <w:tcW w:w="460" w:type="pct"/>
            <w:hideMark/>
          </w:tcPr>
          <w:p w14:paraId="6D7FA9E8" w14:textId="7B01F6CB"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55A61C98" w14:textId="071A46C0"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60A3E209" w14:textId="30598766" w:rsidR="0078451F" w:rsidRPr="0078451F" w:rsidRDefault="007029B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Vremenski okvir zavisi od objavljivanja prijedloga Komisije za Kohezionu politiku nakon 2027. godine.</w:t>
            </w:r>
          </w:p>
        </w:tc>
        <w:tc>
          <w:tcPr>
            <w:tcW w:w="460" w:type="pct"/>
            <w:hideMark/>
          </w:tcPr>
          <w:p w14:paraId="0A2365EA" w14:textId="29E1B638" w:rsidR="0078451F" w:rsidRPr="0078451F" w:rsidRDefault="0032369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.4.01.</w:t>
            </w:r>
          </w:p>
        </w:tc>
      </w:tr>
      <w:tr w:rsidR="0078451F" w:rsidRPr="0078451F" w14:paraId="00D57353" w14:textId="77777777" w:rsidTr="0078451F">
        <w:trPr>
          <w:trHeight w:val="2445"/>
        </w:trPr>
        <w:tc>
          <w:tcPr>
            <w:cnfStyle w:val="001000000000" w:firstRow="0" w:lastRow="0" w:firstColumn="1" w:lastColumn="0" w:oddVBand="0" w:evenVBand="0" w:oddHBand="0" w:evenHBand="0" w:firstRowFirstColumn="0" w:firstRowLastColumn="0" w:lastRowFirstColumn="0" w:lastRowLastColumn="0"/>
            <w:tcW w:w="487" w:type="pct"/>
            <w:hideMark/>
          </w:tcPr>
          <w:p w14:paraId="0468ADAC"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w:t>
            </w:r>
          </w:p>
        </w:tc>
        <w:tc>
          <w:tcPr>
            <w:tcW w:w="614" w:type="pct"/>
            <w:hideMark/>
          </w:tcPr>
          <w:p w14:paraId="3EDB5043" w14:textId="348F7523" w:rsidR="0078451F" w:rsidRPr="0078451F" w:rsidRDefault="005536B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Model finansijskih nedostataka</w:t>
            </w:r>
            <w:r w:rsidR="0078451F" w:rsidRPr="0078451F">
              <w:rPr>
                <w:rFonts w:ascii="Aptos" w:eastAsia="Times New Roman" w:hAnsi="Aptos"/>
                <w:kern w:val="0"/>
                <w:sz w:val="14"/>
                <w:szCs w:val="14"/>
                <w:lang w:eastAsia="en-GB"/>
                <w14:ligatures w14:val="none"/>
              </w:rPr>
              <w:t>.</w:t>
            </w:r>
          </w:p>
        </w:tc>
        <w:tc>
          <w:tcPr>
            <w:tcW w:w="614" w:type="pct"/>
            <w:hideMark/>
          </w:tcPr>
          <w:p w14:paraId="7EA2FDB1" w14:textId="4457D62E"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60" w:type="pct"/>
            <w:hideMark/>
          </w:tcPr>
          <w:p w14:paraId="4DEB69F5" w14:textId="2EEF7265"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1</w:t>
            </w:r>
          </w:p>
        </w:tc>
        <w:tc>
          <w:tcPr>
            <w:tcW w:w="722" w:type="pct"/>
            <w:hideMark/>
          </w:tcPr>
          <w:p w14:paraId="5B4CC32E" w14:textId="15F014CD" w:rsidR="0078451F" w:rsidRPr="0078451F" w:rsidRDefault="005536B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Izvještaj Modela finansijskih nedostataka</w:t>
            </w:r>
            <w:r w:rsidR="0078451F" w:rsidRPr="0078451F">
              <w:rPr>
                <w:rFonts w:ascii="Aptos" w:eastAsia="Times New Roman" w:hAnsi="Aptos"/>
                <w:kern w:val="0"/>
                <w:sz w:val="14"/>
                <w:szCs w:val="14"/>
                <w:lang w:eastAsia="en-GB"/>
                <w14:ligatures w14:val="none"/>
              </w:rPr>
              <w:t xml:space="preserve"> Report.</w:t>
            </w:r>
          </w:p>
        </w:tc>
        <w:tc>
          <w:tcPr>
            <w:tcW w:w="460" w:type="pct"/>
            <w:hideMark/>
          </w:tcPr>
          <w:p w14:paraId="2AE89A1F" w14:textId="7D156031"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386D6C02" w14:textId="53ECF36E"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58D54CE9" w14:textId="7053E866" w:rsidR="0078451F" w:rsidRPr="0078451F" w:rsidRDefault="00130A44"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Izrada Modela finansijskih nedostataka je u skladu sa dizajnom Mape puta za jačanje administrativnih kapaciteta. Model se može izraditi tek nakon objavljivanja prijedloga Komisije za regulatorni okvir nakon 2027. godine.</w:t>
            </w:r>
          </w:p>
        </w:tc>
        <w:tc>
          <w:tcPr>
            <w:tcW w:w="460" w:type="pct"/>
            <w:hideMark/>
          </w:tcPr>
          <w:p w14:paraId="09F46BBA" w14:textId="67369886" w:rsidR="0078451F" w:rsidRPr="0078451F" w:rsidRDefault="0032369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.5.06.</w:t>
            </w:r>
          </w:p>
        </w:tc>
      </w:tr>
      <w:tr w:rsidR="0078451F" w:rsidRPr="0078451F" w14:paraId="3469EEA3" w14:textId="77777777" w:rsidTr="0078451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487" w:type="pct"/>
            <w:hideMark/>
          </w:tcPr>
          <w:p w14:paraId="17B5E5D6"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2.03.</w:t>
            </w:r>
          </w:p>
        </w:tc>
        <w:tc>
          <w:tcPr>
            <w:tcW w:w="614" w:type="pct"/>
            <w:hideMark/>
          </w:tcPr>
          <w:p w14:paraId="383EFC70" w14:textId="1A152BAD"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Usvajanje revidirane Pregovaračke pozicije za Poglavje 22.</w:t>
            </w:r>
          </w:p>
        </w:tc>
        <w:tc>
          <w:tcPr>
            <w:tcW w:w="614" w:type="pct"/>
            <w:hideMark/>
          </w:tcPr>
          <w:p w14:paraId="636734C8" w14:textId="0AE7355C"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Vlada Crne Gore</w:t>
            </w:r>
          </w:p>
        </w:tc>
        <w:tc>
          <w:tcPr>
            <w:tcW w:w="460" w:type="pct"/>
            <w:hideMark/>
          </w:tcPr>
          <w:p w14:paraId="0960C7F5" w14:textId="4697125A"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60E3B9AD" w14:textId="5560504B"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Ažurirana Pregovaračka pozicija za Poglavje 22.</w:t>
            </w:r>
          </w:p>
        </w:tc>
        <w:tc>
          <w:tcPr>
            <w:tcW w:w="460" w:type="pct"/>
            <w:hideMark/>
          </w:tcPr>
          <w:p w14:paraId="1B56FA1E" w14:textId="11DC0AB3"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72C60353" w14:textId="74FF46CF"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317A6A5C" w14:textId="297D325D"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 Pregovaračkoj poziciji će se diskutovati sa Komisijom prije njenog usvajanja.</w:t>
            </w:r>
          </w:p>
        </w:tc>
        <w:tc>
          <w:tcPr>
            <w:tcW w:w="460" w:type="pct"/>
            <w:hideMark/>
          </w:tcPr>
          <w:p w14:paraId="404F11C8"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78451F" w:rsidRPr="0078451F" w14:paraId="1C3AF6B9" w14:textId="77777777" w:rsidTr="0078451F">
        <w:trPr>
          <w:trHeight w:val="1320"/>
        </w:trPr>
        <w:tc>
          <w:tcPr>
            <w:cnfStyle w:val="001000000000" w:firstRow="0" w:lastRow="0" w:firstColumn="1" w:lastColumn="0" w:oddVBand="0" w:evenVBand="0" w:oddHBand="0" w:evenHBand="0" w:firstRowFirstColumn="0" w:firstRowLastColumn="0" w:lastRowFirstColumn="0" w:lastRowLastColumn="0"/>
            <w:tcW w:w="487" w:type="pct"/>
            <w:hideMark/>
          </w:tcPr>
          <w:p w14:paraId="5EF4B9E8"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2.04.</w:t>
            </w:r>
          </w:p>
        </w:tc>
        <w:tc>
          <w:tcPr>
            <w:tcW w:w="614" w:type="pct"/>
            <w:hideMark/>
          </w:tcPr>
          <w:p w14:paraId="6D8CD930" w14:textId="77AE81D5" w:rsidR="0078451F" w:rsidRPr="0078451F" w:rsidRDefault="003F4FA3"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Usvajanje pisanih sporazuma, koji preciziraju međusobne odnose između relevantnih tijela i organa</w:t>
            </w:r>
            <w:r w:rsidR="0078451F" w:rsidRPr="0078451F">
              <w:rPr>
                <w:rFonts w:ascii="Aptos" w:eastAsia="Times New Roman" w:hAnsi="Aptos"/>
                <w:kern w:val="0"/>
                <w:sz w:val="14"/>
                <w:szCs w:val="14"/>
                <w:lang w:eastAsia="en-GB"/>
                <w14:ligatures w14:val="none"/>
              </w:rPr>
              <w:t>.</w:t>
            </w:r>
          </w:p>
        </w:tc>
        <w:tc>
          <w:tcPr>
            <w:tcW w:w="614" w:type="pct"/>
            <w:hideMark/>
          </w:tcPr>
          <w:p w14:paraId="4F74F375" w14:textId="520C2FA8"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r w:rsidR="0078451F" w:rsidRPr="0078451F">
              <w:rPr>
                <w:rFonts w:ascii="Aptos" w:eastAsia="Times New Roman" w:hAnsi="Aptos"/>
                <w:kern w:val="0"/>
                <w:sz w:val="14"/>
                <w:szCs w:val="14"/>
                <w:lang w:eastAsia="en-GB"/>
                <w14:ligatures w14:val="none"/>
              </w:rPr>
              <w:t xml:space="preserve">; </w:t>
            </w:r>
            <w:r w:rsidR="00163D4B">
              <w:rPr>
                <w:rFonts w:ascii="Aptos" w:eastAsia="Times New Roman" w:hAnsi="Aptos"/>
                <w:kern w:val="0"/>
                <w:sz w:val="14"/>
                <w:szCs w:val="14"/>
                <w:lang w:eastAsia="en-GB"/>
                <w14:ligatures w14:val="none"/>
              </w:rPr>
              <w:t>Revizorsko tijelo</w:t>
            </w:r>
          </w:p>
        </w:tc>
        <w:tc>
          <w:tcPr>
            <w:tcW w:w="460" w:type="pct"/>
            <w:hideMark/>
          </w:tcPr>
          <w:p w14:paraId="54ACB46E" w14:textId="3EE21F01"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1</w:t>
            </w:r>
          </w:p>
        </w:tc>
        <w:tc>
          <w:tcPr>
            <w:tcW w:w="722" w:type="pct"/>
            <w:hideMark/>
          </w:tcPr>
          <w:p w14:paraId="0092D381" w14:textId="3C80D96B" w:rsidR="0078451F" w:rsidRPr="0078451F" w:rsidRDefault="00163D4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Administrativna odluka od strane relevantne institucije.</w:t>
            </w:r>
          </w:p>
        </w:tc>
        <w:tc>
          <w:tcPr>
            <w:tcW w:w="460" w:type="pct"/>
            <w:hideMark/>
          </w:tcPr>
          <w:p w14:paraId="1BC8B2CA" w14:textId="47AAB5D5"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7D7FA853" w14:textId="0E111DE5"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256985A8"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5C3945E3"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78451F" w:rsidRPr="0078451F" w14:paraId="6321E783" w14:textId="77777777" w:rsidTr="0078451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487" w:type="pct"/>
            <w:hideMark/>
          </w:tcPr>
          <w:p w14:paraId="1D17E835"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2.05.</w:t>
            </w:r>
          </w:p>
        </w:tc>
        <w:tc>
          <w:tcPr>
            <w:tcW w:w="614" w:type="pct"/>
            <w:hideMark/>
          </w:tcPr>
          <w:p w14:paraId="3933FA4B" w14:textId="56AB1458" w:rsidR="0078451F" w:rsidRPr="0078451F" w:rsidRDefault="003F4FA3"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Usvajanje Nacionalnih smjernica za Priručnike o procedurama</w:t>
            </w:r>
            <w:r w:rsidR="0078451F" w:rsidRPr="0078451F">
              <w:rPr>
                <w:rFonts w:ascii="Aptos" w:eastAsia="Times New Roman" w:hAnsi="Aptos"/>
                <w:kern w:val="0"/>
                <w:sz w:val="14"/>
                <w:szCs w:val="14"/>
                <w:lang w:eastAsia="en-GB"/>
                <w14:ligatures w14:val="none"/>
              </w:rPr>
              <w:t>.</w:t>
            </w:r>
          </w:p>
        </w:tc>
        <w:tc>
          <w:tcPr>
            <w:tcW w:w="614" w:type="pct"/>
            <w:hideMark/>
          </w:tcPr>
          <w:p w14:paraId="1A15DC33" w14:textId="642B4EAA"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tijelo za koordinaciju</w:t>
            </w:r>
          </w:p>
        </w:tc>
        <w:tc>
          <w:tcPr>
            <w:tcW w:w="460" w:type="pct"/>
            <w:hideMark/>
          </w:tcPr>
          <w:p w14:paraId="53AD58E8" w14:textId="4BF92D8E"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1</w:t>
            </w:r>
          </w:p>
        </w:tc>
        <w:tc>
          <w:tcPr>
            <w:tcW w:w="722" w:type="pct"/>
            <w:hideMark/>
          </w:tcPr>
          <w:p w14:paraId="3C38A7F4" w14:textId="2257FA02"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Administrativna odluka od strane relevantne institucije.</w:t>
            </w:r>
          </w:p>
        </w:tc>
        <w:tc>
          <w:tcPr>
            <w:tcW w:w="460" w:type="pct"/>
            <w:hideMark/>
          </w:tcPr>
          <w:p w14:paraId="64901627" w14:textId="79F4A4D8"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06AEC032" w14:textId="47EACACE"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790FF276"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73D590D3"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78451F" w:rsidRPr="0078451F" w14:paraId="30348CCA" w14:textId="77777777" w:rsidTr="0078451F">
        <w:trPr>
          <w:trHeight w:val="758"/>
        </w:trPr>
        <w:tc>
          <w:tcPr>
            <w:cnfStyle w:val="001000000000" w:firstRow="0" w:lastRow="0" w:firstColumn="1" w:lastColumn="0" w:oddVBand="0" w:evenVBand="0" w:oddHBand="0" w:evenHBand="0" w:firstRowFirstColumn="0" w:firstRowLastColumn="0" w:lastRowFirstColumn="0" w:lastRowLastColumn="0"/>
            <w:tcW w:w="487" w:type="pct"/>
            <w:hideMark/>
          </w:tcPr>
          <w:p w14:paraId="26BB65FB"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2.06.</w:t>
            </w:r>
          </w:p>
        </w:tc>
        <w:tc>
          <w:tcPr>
            <w:tcW w:w="614" w:type="pct"/>
            <w:hideMark/>
          </w:tcPr>
          <w:p w14:paraId="7E441C68" w14:textId="3A96C422" w:rsidR="0078451F" w:rsidRPr="0078451F" w:rsidRDefault="003F4FA3"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Usvajanje Priručnika o procedurama na osnovu Nacionalnih smjernica</w:t>
            </w:r>
            <w:r w:rsidR="0078451F" w:rsidRPr="0078451F">
              <w:rPr>
                <w:rFonts w:ascii="Aptos" w:eastAsia="Times New Roman" w:hAnsi="Aptos"/>
                <w:kern w:val="0"/>
                <w:sz w:val="14"/>
                <w:szCs w:val="14"/>
                <w:lang w:eastAsia="en-GB"/>
                <w14:ligatures w14:val="none"/>
              </w:rPr>
              <w:t xml:space="preserve">. </w:t>
            </w:r>
          </w:p>
        </w:tc>
        <w:tc>
          <w:tcPr>
            <w:tcW w:w="614" w:type="pct"/>
            <w:hideMark/>
          </w:tcPr>
          <w:p w14:paraId="1602B3E6" w14:textId="2344647D"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p>
        </w:tc>
        <w:tc>
          <w:tcPr>
            <w:tcW w:w="460" w:type="pct"/>
            <w:hideMark/>
          </w:tcPr>
          <w:p w14:paraId="00BC4A9C" w14:textId="3A9C32DC"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52870429" w14:textId="44586C65" w:rsidR="0078451F" w:rsidRPr="0078451F" w:rsidRDefault="00163D4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Administrativna odluka od strane relevantne institucije.</w:t>
            </w:r>
          </w:p>
        </w:tc>
        <w:tc>
          <w:tcPr>
            <w:tcW w:w="460" w:type="pct"/>
            <w:hideMark/>
          </w:tcPr>
          <w:p w14:paraId="20B7694C" w14:textId="7153FB81"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374F43BB" w14:textId="7CA7E6F2"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76E61C78"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74DF28FE"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78451F" w:rsidRPr="0078451F" w14:paraId="22739CAC" w14:textId="77777777" w:rsidTr="0078451F">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487" w:type="pct"/>
            <w:hideMark/>
          </w:tcPr>
          <w:p w14:paraId="6B09E63D"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2.07.</w:t>
            </w:r>
          </w:p>
        </w:tc>
        <w:tc>
          <w:tcPr>
            <w:tcW w:w="614" w:type="pct"/>
            <w:hideMark/>
          </w:tcPr>
          <w:p w14:paraId="75D2AF96" w14:textId="7CAD21E9"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Izrada Opisa sistema upravljanja i kontrole i Paketa za procjenu usklađenosti.</w:t>
            </w:r>
          </w:p>
        </w:tc>
        <w:tc>
          <w:tcPr>
            <w:tcW w:w="614" w:type="pct"/>
            <w:hideMark/>
          </w:tcPr>
          <w:p w14:paraId="2EA71065" w14:textId="6DB02AE3"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tijelo za koordinaciju</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p>
        </w:tc>
        <w:tc>
          <w:tcPr>
            <w:tcW w:w="460" w:type="pct"/>
            <w:hideMark/>
          </w:tcPr>
          <w:p w14:paraId="5A2CB2C1" w14:textId="6BDDD3F3"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7FD27B90" w14:textId="6D187793" w:rsidR="0078451F" w:rsidRPr="0078451F" w:rsidRDefault="00163D4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Opis MCS-a i Paketa za procjenu usklađenosti dostavljeni Revizorskom tijelu.</w:t>
            </w:r>
          </w:p>
        </w:tc>
        <w:tc>
          <w:tcPr>
            <w:tcW w:w="460" w:type="pct"/>
            <w:hideMark/>
          </w:tcPr>
          <w:p w14:paraId="48DB4144" w14:textId="00470D8C"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1E63B495" w14:textId="3AEA180F"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72137AAA"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60" w:type="pct"/>
            <w:hideMark/>
          </w:tcPr>
          <w:p w14:paraId="7055B0FC"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bl>
    <w:p w14:paraId="19BB0CD3" w14:textId="77777777" w:rsidR="002773A0" w:rsidRPr="00A35E9A" w:rsidRDefault="002773A0" w:rsidP="002773A0">
      <w:pPr>
        <w:rPr>
          <w:rFonts w:eastAsiaTheme="majorEastAsia" w:cs="Arial"/>
          <w:color w:val="FF0000"/>
          <w:szCs w:val="20"/>
        </w:rPr>
      </w:pPr>
    </w:p>
    <w:p w14:paraId="64FFFD62" w14:textId="77777777" w:rsidR="008C321F" w:rsidRPr="00B83578" w:rsidRDefault="008C321F" w:rsidP="00662E74">
      <w:pPr>
        <w:rPr>
          <w:rFonts w:eastAsiaTheme="majorEastAsia" w:cs="Arial"/>
          <w:color w:val="FF0000"/>
          <w:szCs w:val="20"/>
        </w:rPr>
      </w:pPr>
    </w:p>
    <w:p w14:paraId="498F0A05" w14:textId="35D6222B" w:rsidR="000D076B" w:rsidRPr="00B83578" w:rsidRDefault="00543023" w:rsidP="0012520E">
      <w:pPr>
        <w:pStyle w:val="Heading1"/>
      </w:pPr>
      <w:bookmarkStart w:id="123" w:name="_Toc201700387"/>
      <w:r>
        <w:t>Administrativni kapaciteti</w:t>
      </w:r>
      <w:bookmarkEnd w:id="123"/>
    </w:p>
    <w:p w14:paraId="0F8040C1" w14:textId="545B1F9F" w:rsidR="000D076B" w:rsidRPr="00B83578" w:rsidRDefault="009E36FF" w:rsidP="0012520E">
      <w:pPr>
        <w:pStyle w:val="Heading2"/>
      </w:pPr>
      <w:bookmarkStart w:id="124" w:name="_Toc201700388"/>
      <w:r>
        <w:t>Relevantni zahtjevi Kohezione politike</w:t>
      </w:r>
      <w:bookmarkEnd w:id="124"/>
    </w:p>
    <w:p w14:paraId="6164603C" w14:textId="23F51CE7" w:rsidR="00C22E25" w:rsidRDefault="00C22E25" w:rsidP="00C22E25">
      <w:r>
        <w:t xml:space="preserve">Administrativni kapacitet za </w:t>
      </w:r>
      <w:r w:rsidR="00A80895">
        <w:t>implementaciju</w:t>
      </w:r>
      <w:r>
        <w:t xml:space="preserve"> fondova predstavlja sveobuhvatan preduslov za države članice, nezavisno od bilo koje pojedinačne uredbe. U tom smislu, regulatorni okvir predviđa odredbe koje se odnose na jačanje administrativnih kapaciteta i ciljane mjere </w:t>
      </w:r>
      <w:r w:rsidR="00C30F51" w:rsidRPr="00C30F51">
        <w:t>jačanja kapaciteta</w:t>
      </w:r>
      <w:r>
        <w:t xml:space="preserve"> kroz </w:t>
      </w:r>
      <w:r w:rsidR="00F6773D">
        <w:t>tehničku pomoć</w:t>
      </w:r>
      <w:r>
        <w:t xml:space="preserve">, umjesto eksplicitnih zakonskih zahtjeva. Shodno tome, u regulatornom okviru ne postoji Posebno poglavlje ili član pod nazivom „Administrativni </w:t>
      </w:r>
      <w:proofErr w:type="gramStart"/>
      <w:r>
        <w:t>kapacitet“</w:t>
      </w:r>
      <w:proofErr w:type="gramEnd"/>
      <w:r>
        <w:t xml:space="preserve">, već su reference rasute kroz različite članove u više uredbi, </w:t>
      </w:r>
      <w:r>
        <w:lastRenderedPageBreak/>
        <w:t xml:space="preserve">kao i u članovima koji se odnose na </w:t>
      </w:r>
      <w:r w:rsidR="00F6773D">
        <w:t>tehničku pomoć</w:t>
      </w:r>
      <w:r>
        <w:t xml:space="preserve">. Pored toga, </w:t>
      </w:r>
      <w:r w:rsidR="00700FF9">
        <w:t>Sporazum o partnerstvu</w:t>
      </w:r>
      <w:r>
        <w:t xml:space="preserve"> mora sadržati sažetak planiranih aktivnosti za jačanje </w:t>
      </w:r>
      <w:r w:rsidR="000744D1">
        <w:t>administrativnih</w:t>
      </w:r>
      <w:r>
        <w:t xml:space="preserve"> kapaciteta u sprovođenju fondova obuhvaćenih Partnerskim sporazumom (</w:t>
      </w:r>
      <w:r w:rsidRPr="00C22E25">
        <w:rPr>
          <w:b/>
        </w:rPr>
        <w:t xml:space="preserve">član 11. </w:t>
      </w:r>
      <w:r w:rsidR="00CD0020">
        <w:rPr>
          <w:b/>
        </w:rPr>
        <w:t>RZO</w:t>
      </w:r>
      <w:r>
        <w:t>).</w:t>
      </w:r>
    </w:p>
    <w:p w14:paraId="67BE1F8F" w14:textId="6557E050" w:rsidR="00C22E25" w:rsidRDefault="00C22E25" w:rsidP="00C22E25">
      <w:r>
        <w:t xml:space="preserve">Administrativni kapacitet ne odnosi se samo na </w:t>
      </w:r>
      <w:r w:rsidR="005B55A5">
        <w:t>tijela programa</w:t>
      </w:r>
      <w:r>
        <w:t>, već na čitav ekosistem fondova, uključujući partnere i aplikante/korisnike fondova. Drugim riječima, potrebno je osmisliti mjere koje će izgraditi kapacitete partnera – imajući u vidu princip višeslojnog upravljanja i inkluzivno partnerstvo koje obuhvata sve relevantne zainteresovane strane – kao i budućih korisnika sredstava Kohezione politike, uz fleksibilnost za rješavanje novonastalih potreba i budućih ekosistema.</w:t>
      </w:r>
    </w:p>
    <w:p w14:paraId="0A837D11" w14:textId="6182693C" w:rsidR="00C22E25" w:rsidRPr="00C22E25" w:rsidRDefault="00C22E25" w:rsidP="00C22E25">
      <w:pPr>
        <w:rPr>
          <w:b/>
        </w:rPr>
      </w:pPr>
      <w:r>
        <w:t xml:space="preserve">U tom kontekstu, važno je istaći da </w:t>
      </w:r>
      <w:r w:rsidR="00CD0020">
        <w:t>RZO</w:t>
      </w:r>
      <w:r>
        <w:t xml:space="preserve"> propisuje da države članice, gdje je to relevantno, treba da izdvoje odgovarajući procenat sredstava iz fondova za jačanje administrativnih kapaciteta </w:t>
      </w:r>
      <w:r w:rsidRPr="00C22E25">
        <w:rPr>
          <w:b/>
        </w:rPr>
        <w:t xml:space="preserve">socijalnih partnera i organizacija civilnog društva (član 8, stav 2, </w:t>
      </w:r>
      <w:r w:rsidR="00CD0020">
        <w:rPr>
          <w:b/>
        </w:rPr>
        <w:t>RZO</w:t>
      </w:r>
      <w:r w:rsidRPr="00C22E25">
        <w:rPr>
          <w:b/>
        </w:rPr>
        <w:t>).</w:t>
      </w:r>
    </w:p>
    <w:p w14:paraId="7272A640" w14:textId="34A104AB" w:rsidR="00C22E25" w:rsidRDefault="00C22E25" w:rsidP="00C22E25">
      <w:r>
        <w:t xml:space="preserve">Svaki program sadrži sažetak izazova u pogledu </w:t>
      </w:r>
      <w:r w:rsidR="000744D1">
        <w:t>administrativnih</w:t>
      </w:r>
      <w:r>
        <w:t xml:space="preserve"> kapaciteta i upravljanja, kao i mjera pojednostavljenja (</w:t>
      </w:r>
      <w:r w:rsidRPr="00C22E25">
        <w:rPr>
          <w:b/>
        </w:rPr>
        <w:t xml:space="preserve">član 22. </w:t>
      </w:r>
      <w:r w:rsidR="00CD0020">
        <w:rPr>
          <w:b/>
        </w:rPr>
        <w:t>RZO</w:t>
      </w:r>
      <w:r w:rsidRPr="00C22E25">
        <w:rPr>
          <w:b/>
        </w:rPr>
        <w:t>-a</w:t>
      </w:r>
      <w:r>
        <w:t xml:space="preserve">). Odbor za </w:t>
      </w:r>
      <w:r w:rsidR="00A80895" w:rsidRPr="00A80895">
        <w:t>monitoring</w:t>
      </w:r>
      <w:r>
        <w:t xml:space="preserve">, gdje je to relevantno, razmatra napredak u jačanju </w:t>
      </w:r>
      <w:r w:rsidR="000744D1">
        <w:t>administrativnih</w:t>
      </w:r>
      <w:r>
        <w:t xml:space="preserve"> kapaciteta javnih institucija, partnera i korisnika (</w:t>
      </w:r>
      <w:r w:rsidRPr="00C22E25">
        <w:rPr>
          <w:b/>
        </w:rPr>
        <w:t xml:space="preserve">član 40. stav 1. </w:t>
      </w:r>
      <w:r w:rsidR="00CD0020">
        <w:rPr>
          <w:b/>
        </w:rPr>
        <w:t>RZO</w:t>
      </w:r>
      <w:r w:rsidRPr="00C22E25">
        <w:rPr>
          <w:b/>
        </w:rPr>
        <w:t>-a</w:t>
      </w:r>
      <w:r>
        <w:t>).</w:t>
      </w:r>
    </w:p>
    <w:p w14:paraId="237B3111" w14:textId="1B485CA1" w:rsidR="00C22E25" w:rsidRDefault="00C22E25" w:rsidP="00C22E25">
      <w:r w:rsidRPr="00C22E25">
        <w:rPr>
          <w:b/>
        </w:rPr>
        <w:t xml:space="preserve">Član 36. </w:t>
      </w:r>
      <w:r w:rsidR="00CD0020">
        <w:rPr>
          <w:b/>
        </w:rPr>
        <w:t>RZO</w:t>
      </w:r>
      <w:r w:rsidRPr="00C22E25">
        <w:rPr>
          <w:b/>
        </w:rPr>
        <w:t>-a</w:t>
      </w:r>
      <w:r>
        <w:t xml:space="preserve">, koji se odnosi na </w:t>
      </w:r>
      <w:r w:rsidR="00F6773D">
        <w:t>tehničku pomoć</w:t>
      </w:r>
      <w:r>
        <w:t xml:space="preserve"> država članica, precizira da Fondovi mogu da podrže aktivnosti neophodne za efikasnu administraciju i korišćenje tih sredstava, uključujući i </w:t>
      </w:r>
      <w:r w:rsidR="00C30F51" w:rsidRPr="00C30F51">
        <w:t>jačanje kapaciteta</w:t>
      </w:r>
      <w:r>
        <w:t xml:space="preserve"> partnera. Dodatne aktivnosti </w:t>
      </w:r>
      <w:r w:rsidR="00F6773D">
        <w:t>tehničke pomoći</w:t>
      </w:r>
      <w:r>
        <w:t>, usmjerene na jačanje kapaciteta i efikasnosti relevantnih javnih organa i tijela, korisnika i partnera, a koje su neophodne za efikasnu administraciju i korišćenje Fondova, mogu se predložiti i kao finansiranje koje nije povezano sa troškovima (</w:t>
      </w:r>
      <w:r w:rsidRPr="00C22E25">
        <w:rPr>
          <w:b/>
        </w:rPr>
        <w:t xml:space="preserve">član 37. </w:t>
      </w:r>
      <w:r w:rsidR="00CD0020">
        <w:rPr>
          <w:b/>
        </w:rPr>
        <w:t>RZO</w:t>
      </w:r>
      <w:r w:rsidRPr="00C22E25">
        <w:rPr>
          <w:b/>
        </w:rPr>
        <w:t>-a</w:t>
      </w:r>
      <w:r>
        <w:t>).</w:t>
      </w:r>
    </w:p>
    <w:p w14:paraId="1C74210A" w14:textId="4C23FDAC" w:rsidR="00C22E25" w:rsidRDefault="00C22E25" w:rsidP="00C22E25">
      <w:r>
        <w:t xml:space="preserve">Za svaku strategiju lokalnog razvoja </w:t>
      </w:r>
      <w:r w:rsidR="00BD37BF">
        <w:t>pod vođstvom</w:t>
      </w:r>
      <w:r>
        <w:t xml:space="preserve"> zajednice, podrška iz fondova obuhvata </w:t>
      </w:r>
      <w:r w:rsidR="00C30F51" w:rsidRPr="00C30F51">
        <w:t>jačanje kapaciteta</w:t>
      </w:r>
      <w:r>
        <w:t xml:space="preserve"> i pripremne aktivnosti koje podržavaju izradu i buduću </w:t>
      </w:r>
      <w:r w:rsidR="00A7227E">
        <w:t>implementaciju</w:t>
      </w:r>
      <w:r>
        <w:t xml:space="preserve"> strategije (član 34. </w:t>
      </w:r>
      <w:r w:rsidR="00CD0020">
        <w:t>RZO</w:t>
      </w:r>
      <w:r>
        <w:t xml:space="preserve">-a), dok lokalne akcione grupe treba da razvijaju kapacitete lokalnih aktera za pripremu i realizaciju operacija (član 33. </w:t>
      </w:r>
      <w:r w:rsidR="00CD0020">
        <w:t>RZO</w:t>
      </w:r>
      <w:r>
        <w:t>-a).</w:t>
      </w:r>
    </w:p>
    <w:p w14:paraId="428631B1" w14:textId="77777777" w:rsidR="00685D86" w:rsidRDefault="00A7227E" w:rsidP="00A7227E">
      <w:r>
        <w:t xml:space="preserve">Što se tiče </w:t>
      </w:r>
      <w:r w:rsidRPr="0003012A">
        <w:rPr>
          <w:b/>
        </w:rPr>
        <w:t>ESF+</w:t>
      </w:r>
      <w:r>
        <w:t>, član 9 propisuje da, radi obezbjeđivanja smislene participacije socij</w:t>
      </w:r>
    </w:p>
    <w:p w14:paraId="3F3EA945" w14:textId="78B57D1E" w:rsidR="00A7227E" w:rsidRDefault="00A7227E" w:rsidP="00A7227E">
      <w:r>
        <w:t xml:space="preserve">alnih partnera i organizacija civilnog društva u sprovođenju politika zapošljavanja, obrazovanja i socijalne inkluzije koje se finansiraju iz ESF+ komponentе u okviru podijeljenog upravljanja, države članice moraju u svakom programu izdvojiti odgovarajući dio svojih sredstava za </w:t>
      </w:r>
      <w:r w:rsidR="00C30F51" w:rsidRPr="00C30F51">
        <w:t>jačanje kapaciteta</w:t>
      </w:r>
      <w:r>
        <w:t xml:space="preserve"> tih socijalnih partnera i</w:t>
      </w:r>
      <w:r w:rsidR="0003012A">
        <w:t xml:space="preserve"> organizacija civilnog društva</w:t>
      </w:r>
      <w:r>
        <w:t xml:space="preserve">. Ako se </w:t>
      </w:r>
      <w:r w:rsidR="00C30F51" w:rsidRPr="00C30F51">
        <w:t>jačanje kapaciteta</w:t>
      </w:r>
      <w:r>
        <w:t xml:space="preserve"> socijalnih partnera i organizacija civilnog društva identifikuje kao potreba u relevantnoj preporuci za pojedinačnu zemlju, ta država članica je dužna da za tu svrhu izdvoji najmanje 0,25 % sredstava ESF+ komponente podijeljenog upravljanja.</w:t>
      </w:r>
    </w:p>
    <w:p w14:paraId="63C26D53" w14:textId="11D8C5CA" w:rsidR="00A7227E" w:rsidRDefault="003D7057" w:rsidP="00A7227E">
      <w:r>
        <w:t>ETS</w:t>
      </w:r>
      <w:r w:rsidR="00A7227E">
        <w:t xml:space="preserve"> </w:t>
      </w:r>
      <w:r w:rsidR="00975088">
        <w:t>Regulativa</w:t>
      </w:r>
      <w:r w:rsidR="00A7227E">
        <w:t xml:space="preserve"> zahtijeva da odbor za </w:t>
      </w:r>
      <w:r w:rsidR="00A80895" w:rsidRPr="00A80895">
        <w:t>monitoring</w:t>
      </w:r>
      <w:r w:rsidR="00A7227E">
        <w:t xml:space="preserve"> (</w:t>
      </w:r>
      <w:r w:rsidR="00A7227E" w:rsidRPr="0003012A">
        <w:rPr>
          <w:b/>
        </w:rPr>
        <w:t>član 30</w:t>
      </w:r>
      <w:r w:rsidR="00A7227E">
        <w:t>) ispita napredak u jačanju administrativnih kapaciteta javnih institucija i korisnika, gdje je to primjenjivo.</w:t>
      </w:r>
    </w:p>
    <w:p w14:paraId="68A3360D" w14:textId="274CC296" w:rsidR="00A7227E" w:rsidRDefault="00A7227E" w:rsidP="00A7227E">
      <w:r>
        <w:t xml:space="preserve">Izvještaji po državama, objavljeni nakon što je Komisija predstavila nacrte </w:t>
      </w:r>
      <w:r w:rsidR="00765DC1">
        <w:t>Regulativa</w:t>
      </w:r>
      <w:r>
        <w:t xml:space="preserve"> za Kohezionu politiku u okviru Evropskog semestra, predstavljaju preliminarni stav službi Komisije o prioritetnim oblastima ulaganja i uslovima za efikasnu realizaciju buduće Kohezi</w:t>
      </w:r>
      <w:r w:rsidR="0003012A">
        <w:t>one</w:t>
      </w:r>
      <w:r>
        <w:t xml:space="preserve"> politike. Izvještaj „E</w:t>
      </w:r>
      <w:r w:rsidR="0003012A">
        <w:t>vropski</w:t>
      </w:r>
      <w:r>
        <w:t xml:space="preserve"> </w:t>
      </w:r>
      <w:r w:rsidR="0003012A">
        <w:t>s</w:t>
      </w:r>
      <w:r>
        <w:t>emest</w:t>
      </w:r>
      <w:r w:rsidR="0003012A">
        <w:t>a</w:t>
      </w:r>
      <w:r>
        <w:t xml:space="preserve">r 2019: </w:t>
      </w:r>
      <w:r w:rsidR="0003012A">
        <w:t xml:space="preserve">Izvještaji </w:t>
      </w:r>
      <w:proofErr w:type="gramStart"/>
      <w:r w:rsidR="0003012A">
        <w:t>država</w:t>
      </w:r>
      <w:r>
        <w:t>“</w:t>
      </w:r>
      <w:proofErr w:type="gramEnd"/>
      <w:r>
        <w:t>, ANE</w:t>
      </w:r>
      <w:r w:rsidR="0003012A">
        <w:t>KS</w:t>
      </w:r>
      <w:r>
        <w:t xml:space="preserve"> D: </w:t>
      </w:r>
      <w:r w:rsidR="0003012A">
        <w:t>SMJERNICE ZA INVESTIRANJE IZ FONDOVA KOHEZIONE POLITIKE</w:t>
      </w:r>
      <w:r>
        <w:t xml:space="preserve"> 2021-2027, uključio je i odjeljak „Faktori za efikasnu primjenu Kohez</w:t>
      </w:r>
      <w:r w:rsidR="00765DC1">
        <w:t>ione</w:t>
      </w:r>
      <w:r>
        <w:t xml:space="preserve"> politike“.</w:t>
      </w:r>
    </w:p>
    <w:p w14:paraId="09CF6A55" w14:textId="5C2B726F" w:rsidR="0003012A" w:rsidRDefault="0003012A" w:rsidP="0012520E">
      <w:r w:rsidRPr="0003012A">
        <w:t xml:space="preserve">Napominje se da su za mape puta za </w:t>
      </w:r>
      <w:r w:rsidR="000744D1">
        <w:t>jačanje</w:t>
      </w:r>
      <w:r w:rsidRPr="0003012A">
        <w:t xml:space="preserve"> administrativnih kapaciteta sprovedeni pilot projekti za per</w:t>
      </w:r>
      <w:r w:rsidR="00685D86">
        <w:t>spektivu</w:t>
      </w:r>
      <w:r w:rsidRPr="0003012A">
        <w:t xml:space="preserve"> 2014–2020, a potom su dalje prošireni za period 2021–2027, uključujući i mogućnost u okviru </w:t>
      </w:r>
      <w:r w:rsidR="00420726">
        <w:t>Regulative</w:t>
      </w:r>
      <w:r w:rsidRPr="0003012A">
        <w:t xml:space="preserve"> da se mapa puta za </w:t>
      </w:r>
      <w:r w:rsidR="000744D1">
        <w:t>jačanje</w:t>
      </w:r>
      <w:r w:rsidRPr="0003012A">
        <w:t xml:space="preserve"> administrativnih kapaciteta koristi za finansiranje koje nije vezano za troškove (</w:t>
      </w:r>
      <w:r w:rsidR="00CD0020">
        <w:t>RZO</w:t>
      </w:r>
      <w:r w:rsidRPr="0003012A">
        <w:t xml:space="preserve"> član 37).</w:t>
      </w:r>
    </w:p>
    <w:p w14:paraId="28780A7C" w14:textId="3F37804B" w:rsidR="000D076B" w:rsidRPr="00B83578" w:rsidRDefault="00017758" w:rsidP="0012520E">
      <w:pPr>
        <w:pStyle w:val="Heading2"/>
      </w:pPr>
      <w:bookmarkStart w:id="125" w:name="_Toc201700389"/>
      <w:r>
        <w:t>Procjena trenutne situacije</w:t>
      </w:r>
      <w:bookmarkEnd w:id="125"/>
      <w:r w:rsidR="000D076B" w:rsidRPr="00B83578">
        <w:t xml:space="preserve"> </w:t>
      </w:r>
    </w:p>
    <w:p w14:paraId="2036FC48" w14:textId="219FB1A2" w:rsidR="000D076B" w:rsidRPr="00B83578" w:rsidRDefault="00543023" w:rsidP="0012520E">
      <w:pPr>
        <w:pStyle w:val="Heading3"/>
      </w:pPr>
      <w:bookmarkStart w:id="126" w:name="_Toc201700390"/>
      <w:r>
        <w:t>Administrativni kapaciteti u javnoj upravi</w:t>
      </w:r>
      <w:bookmarkEnd w:id="126"/>
      <w:r w:rsidR="000D076B" w:rsidRPr="00B83578">
        <w:t xml:space="preserve"> </w:t>
      </w:r>
    </w:p>
    <w:p w14:paraId="524C7351" w14:textId="77777777" w:rsidR="0003012A" w:rsidRDefault="0003012A" w:rsidP="0003012A">
      <w:r>
        <w:t xml:space="preserve">Najrelevantniji strateški, pravni i regulatorni okvir dat je u Aneksu 1.  </w:t>
      </w:r>
    </w:p>
    <w:p w14:paraId="56AE81B8" w14:textId="6EF3BCBA" w:rsidR="0003012A" w:rsidRDefault="0003012A" w:rsidP="0003012A">
      <w:r>
        <w:lastRenderedPageBreak/>
        <w:t>Zakon o državnim službenicima i namještenicima</w:t>
      </w:r>
      <w:r w:rsidR="00685D86" w:rsidRPr="00B83578">
        <w:rPr>
          <w:rFonts w:cs="Arial"/>
          <w:vertAlign w:val="superscript"/>
        </w:rPr>
        <w:footnoteReference w:id="104"/>
      </w:r>
      <w:r w:rsidR="00685D86" w:rsidRPr="00B83578">
        <w:t xml:space="preserve"> </w:t>
      </w:r>
      <w:r>
        <w:t xml:space="preserve"> uređuje klasifikaciju radnih mjesta i zvanja državnih službenika i namještenika, njihov radno-pravni status, upravljanje ljudskim resursima, kao i prava, obaveze, odgovornosti i zaštitu prava državnih službenika i namještenika. Određene odredbe ovog zakona dodatno se razrađuju vladinim uredbama i pravilnicima o unutrašnjoj organizaciji i sistematizaciji radnih mjesta (koje moraju odobriti MJU, </w:t>
      </w:r>
      <w:r w:rsidR="000270DD">
        <w:t>UZLJK</w:t>
      </w:r>
      <w:r>
        <w:t xml:space="preserve"> i Vlada).</w:t>
      </w:r>
    </w:p>
    <w:p w14:paraId="2DF8EF20" w14:textId="7494A3AE" w:rsidR="0003012A" w:rsidRDefault="0003012A" w:rsidP="0003012A">
      <w:r>
        <w:t xml:space="preserve">Mjere za </w:t>
      </w:r>
      <w:r w:rsidR="00CA6030">
        <w:t>unaprje</w:t>
      </w:r>
      <w:r>
        <w:t xml:space="preserve">đenje upravljanja ljudskim resursima u javnoj upravi uglavnom su usmjerene na </w:t>
      </w:r>
      <w:r w:rsidR="00A80895">
        <w:t>implementaciju</w:t>
      </w:r>
      <w:r>
        <w:t xml:space="preserve"> cilja 3 Strategije reformе javne uprave 2022–2026</w:t>
      </w:r>
      <w:r w:rsidR="00685D86" w:rsidRPr="00B83578">
        <w:rPr>
          <w:rFonts w:cs="Arial"/>
          <w:sz w:val="22"/>
          <w:vertAlign w:val="superscript"/>
        </w:rPr>
        <w:footnoteReference w:id="105"/>
      </w:r>
      <w:r>
        <w:t xml:space="preserve"> </w:t>
      </w:r>
      <w:r w:rsidRPr="00685D86">
        <w:rPr>
          <w:i/>
        </w:rPr>
        <w:t>Profesionalna javna uprava</w:t>
      </w:r>
      <w:r>
        <w:t xml:space="preserve">, koji obuhvata tri operativna cilja:  </w:t>
      </w:r>
    </w:p>
    <w:p w14:paraId="2321EB97" w14:textId="4D2F544C" w:rsidR="0003012A" w:rsidRDefault="0003012A" w:rsidP="00D15218">
      <w:pPr>
        <w:pStyle w:val="ListParagraph"/>
        <w:numPr>
          <w:ilvl w:val="0"/>
          <w:numId w:val="27"/>
        </w:numPr>
      </w:pPr>
      <w:r>
        <w:t>efikasan sistem planiranja zasnovan na utvrđenim potrebama, depolitizacija i unapr</w:t>
      </w:r>
      <w:r w:rsidR="00685D86">
        <w:t>j</w:t>
      </w:r>
      <w:r>
        <w:t xml:space="preserve">eđenje procesa zapošljavanja kadrova, te dalja digitalizacija sistema državne službe;  </w:t>
      </w:r>
    </w:p>
    <w:p w14:paraId="71D4B779" w14:textId="77777777" w:rsidR="0003012A" w:rsidRDefault="0003012A" w:rsidP="00D15218">
      <w:pPr>
        <w:pStyle w:val="ListParagraph"/>
        <w:numPr>
          <w:ilvl w:val="0"/>
          <w:numId w:val="27"/>
        </w:numPr>
      </w:pPr>
      <w:r>
        <w:t xml:space="preserve">javna uprava kao atraktivan poslodavac – efikasan sistem napredovanja i nagrađivanja zasnovan na praćenju rezultata rada, ocjenjivanju i kontinuiranoj stručnoj obuci;  </w:t>
      </w:r>
    </w:p>
    <w:p w14:paraId="5A9D2876" w14:textId="71374EBE" w:rsidR="0003012A" w:rsidRDefault="0003012A" w:rsidP="00D15218">
      <w:pPr>
        <w:pStyle w:val="ListParagraph"/>
        <w:numPr>
          <w:ilvl w:val="0"/>
          <w:numId w:val="27"/>
        </w:numPr>
      </w:pPr>
      <w:r>
        <w:t>optimalna javna uprava u pogledu broja zaposlenih i efikasnosti pružanja usluga.</w:t>
      </w:r>
    </w:p>
    <w:p w14:paraId="052D1575" w14:textId="5A1D8125" w:rsidR="0003012A" w:rsidRDefault="0003012A" w:rsidP="0003012A">
      <w:r>
        <w:t xml:space="preserve">Ministarstvo javne uprave (MJU), odnosno Direktorat za strateško planiranje u javnoj upravi, međunarodnu saradnju i IPA fondove, odgovorno je za </w:t>
      </w:r>
      <w:r w:rsidR="00A80895" w:rsidRPr="00A80895">
        <w:t>monitoring</w:t>
      </w:r>
      <w:r>
        <w:t xml:space="preserve"> cjelokupne primjene Strategije </w:t>
      </w:r>
      <w:r w:rsidR="00685D86">
        <w:t>reforme javne uprave</w:t>
      </w:r>
      <w:r>
        <w:t xml:space="preserve">, dok je cilj 3 u nadležnosti MJU i Uprave za </w:t>
      </w:r>
      <w:r w:rsidR="00685D86">
        <w:t>ljudske</w:t>
      </w:r>
      <w:r>
        <w:t xml:space="preserve"> resurse (</w:t>
      </w:r>
      <w:r w:rsidR="000270DD">
        <w:t>UZLJK</w:t>
      </w:r>
      <w:r>
        <w:t>), uz podršku Ministarstva finansija – NAO/upravljačke strukture i Ministarstva ekonomskog razvoja i turizma. Privredna komora, Zajednica opština Crne Gore i jedinice lokalne samouprave prepoznati su kao partneri.</w:t>
      </w:r>
    </w:p>
    <w:p w14:paraId="3EB534D6" w14:textId="455712E1" w:rsidR="0003012A" w:rsidRDefault="0003012A" w:rsidP="0003012A">
      <w:r>
        <w:t xml:space="preserve">Novi Zakon o državnim službenicima i namještenicima usvojen je na sjednici Vlade 20. februara 2025. godine radi ostvarivanja trećeg strateškog cilja Strategije </w:t>
      </w:r>
      <w:r w:rsidR="00685D86">
        <w:t>reforme javne uprave</w:t>
      </w:r>
      <w:r>
        <w:t xml:space="preserve"> 2022–2026</w:t>
      </w:r>
      <w:r w:rsidR="00685D86" w:rsidRPr="00B83578">
        <w:rPr>
          <w:vertAlign w:val="superscript"/>
        </w:rPr>
        <w:footnoteReference w:id="106"/>
      </w:r>
      <w:r>
        <w:t>.</w:t>
      </w:r>
    </w:p>
    <w:p w14:paraId="6A659D37" w14:textId="1E1415BE" w:rsidR="003E7BBA" w:rsidRDefault="003E7BBA" w:rsidP="003E7BBA">
      <w:r>
        <w:t>Nakon faze javne rasprave i uz posebno uvažavanje sugestija Evropske komisije i SIGMA-e</w:t>
      </w:r>
      <w:r w:rsidRPr="00B83578">
        <w:rPr>
          <w:vertAlign w:val="superscript"/>
        </w:rPr>
        <w:footnoteReference w:id="107"/>
      </w:r>
      <w:r>
        <w:t>, unaprijeđen je nacrt zakona koji je usklađen sa Sekretarijatom za zakonodavstvo i proslijeđen Evropskoj komisiji, nakon čega je dobijeno uglavnom pozitivno mišljenje. Povratkom ranije smanjenih zahtjeva po pitanju radnog iskustva, izmjene usklađuju zakonodavstvo sa preporukama EK o profesionalizaciji i sistemu zasluga. Predložene izmjene prvenstveno se odnose na kvalifikacione zahtjeve za radna mesta; predviđena su poboljšanja u sljedećim oblastima u vezi sa profesionalizmom državne službe:</w:t>
      </w:r>
    </w:p>
    <w:p w14:paraId="6E13CCBE" w14:textId="07849E72" w:rsidR="003E7BBA" w:rsidRDefault="003E7BBA" w:rsidP="00D15218">
      <w:pPr>
        <w:pStyle w:val="ListParagraph"/>
        <w:numPr>
          <w:ilvl w:val="0"/>
          <w:numId w:val="28"/>
        </w:numPr>
      </w:pPr>
      <w:r>
        <w:t>Proces selekcije kandidata tokom testiranja kompetentnosti</w:t>
      </w:r>
      <w:r w:rsidRPr="00B83578">
        <w:rPr>
          <w:vertAlign w:val="superscript"/>
        </w:rPr>
        <w:footnoteReference w:id="108"/>
      </w:r>
      <w:r>
        <w:t>.</w:t>
      </w:r>
    </w:p>
    <w:p w14:paraId="439AA841" w14:textId="0392E568" w:rsidR="003E7BBA" w:rsidRDefault="003E7BBA" w:rsidP="00D15218">
      <w:pPr>
        <w:pStyle w:val="ListParagraph"/>
        <w:numPr>
          <w:ilvl w:val="0"/>
          <w:numId w:val="28"/>
        </w:numPr>
      </w:pPr>
      <w:r>
        <w:t>Vršilačke funkcije: nacrt zakona propisuje da se vršilac dužnosti na istom mjestu može imenovati samo dva puta.</w:t>
      </w:r>
    </w:p>
    <w:p w14:paraId="730683D2" w14:textId="782C672F" w:rsidR="003E7BBA" w:rsidRDefault="003E7BBA" w:rsidP="00D15218">
      <w:pPr>
        <w:pStyle w:val="ListParagraph"/>
        <w:numPr>
          <w:ilvl w:val="0"/>
          <w:numId w:val="28"/>
        </w:numPr>
      </w:pPr>
      <w:r>
        <w:t>Povećanje prosječnog broja kandidata po oglašenom mjestu: nacrt zakona predviđa da će za sva radna mjesta u državnoj upravi (uključujući rukovodeća mjesta) biti potreban trogodišnji (osnovne studije) umjesto četvorogodišnjeg fakulteta, čime se omogućava veći broj kandidata. Ova promjena odražava ažurirani obrazovni sistem Crne Gore, usklađen sa Bolonjskim procesom, odnosno trogodišnje osnovne studije, nakon kojih slijede dvogodišnje master studije. Uslovi u pogledu radnog iskustva su postali strožiji.</w:t>
      </w:r>
    </w:p>
    <w:p w14:paraId="20B656BE" w14:textId="26F729AC" w:rsidR="003E7BBA" w:rsidRDefault="003E7BBA" w:rsidP="00D15218">
      <w:pPr>
        <w:pStyle w:val="ListParagraph"/>
        <w:numPr>
          <w:ilvl w:val="0"/>
          <w:numId w:val="28"/>
        </w:numPr>
      </w:pPr>
      <w:r>
        <w:t>Jačanje položaja visokih državnih službenika kojima je istekao mandat: takva lica moraju biti raspoređena unutar državne uprave, uz pravo na naknadu do ponovnog raspoređivanja, najviše do godinu dana.</w:t>
      </w:r>
    </w:p>
    <w:p w14:paraId="1E6D137B" w14:textId="03E71375" w:rsidR="00234C6C" w:rsidRDefault="00234C6C" w:rsidP="00234C6C">
      <w:r>
        <w:t>Svi državni službenici i namještenici moraju poštovati Etički kodeks</w:t>
      </w:r>
      <w:r w:rsidRPr="00B83578">
        <w:rPr>
          <w:rFonts w:cs="Arial"/>
          <w:vertAlign w:val="superscript"/>
        </w:rPr>
        <w:footnoteReference w:id="109"/>
      </w:r>
      <w:r>
        <w:t xml:space="preserve"> koji uređuje pravila ponašanja državnih službenika i namještenika na osnovu Ustava, ratifikovanih i proglašenih međunarodnih ugovora, zakona i drugih propisa Crne Gore.  </w:t>
      </w:r>
    </w:p>
    <w:p w14:paraId="1CA2FE58" w14:textId="67E39F80" w:rsidR="00234C6C" w:rsidRDefault="00234C6C" w:rsidP="00234C6C">
      <w:r>
        <w:t xml:space="preserve">Postupak zapošljavanja i odabira u državnoj službi vodi Uprava za ljudske resurse, nadležni organ za upravljanje ljudskim resursima u javnoj upravi Crne Gore, pod nadzorom Ministarstva javne uprave. Za </w:t>
      </w:r>
      <w:r>
        <w:lastRenderedPageBreak/>
        <w:t>zapošljavanje rukovodilaca organa državne uprave i višeg menadžerskog kadra uveden je pristup zasnovan na kompetencijama, dok konkursi u ostalim slučajevima sadrže samo osnovne formalne uslove za radna mjesta propisane Zakonom o državnim službenicima i namještenicima. Uvođenje pristupa zasnovanog na kompetencijama u čitavoj državnoj službi planirano je Strategijom reforme javne uprave. Ministarstvo javne uprave i Uprava za ljudske resurse, uz ekspertsku podršku</w:t>
      </w:r>
      <w:r w:rsidRPr="00B83578">
        <w:rPr>
          <w:vertAlign w:val="superscript"/>
        </w:rPr>
        <w:footnoteReference w:id="110"/>
      </w:r>
      <w:r>
        <w:t>, trenutno rade na definisanju i uspostavljanju okvira kompetencija za sve kategorije radnih mjesta u državnoj službi. Sprovedena je komparativna analiza procesa zapošljavanja, okvira kompetencija i ocjenjivanja učinka, upoređujući prakse u Sloveniji, Srbiji i Hrvatskoj, nakon čega je izrađen Izvještaj o razvoju okvira kompetencija u Crnoj Gori – dio 1, koji sadrži prijedloge modela kompetencija za Crnu Goru. Dogovoreni su naredni koraci, koji obuhvataju definisanje indikatora kompetencija i izradu Priručnika za okvir kompetencija. Kao prioritetna aktivnost izradiće se okvir kompetencija za nerukovodeća radna mjesta. Na osnovu tog okvira biće izmijenjen relevantni propis. Opisi radnih mjesta biće unaprijeđeni kroz uspostavljanje okvira kompetencija.</w:t>
      </w:r>
    </w:p>
    <w:p w14:paraId="3147FA2A" w14:textId="48533C14" w:rsidR="00D10B64" w:rsidRDefault="00D10B64" w:rsidP="00D10B64">
      <w:r>
        <w:t>Zaposleni se ocjenjuju u pogledu svoje efikasnosti i kompetentnosti u odnosu na opise poslova i individualne radne rezultate. Ocjenjivanje radnog učinka zaposlenih sprovodi rukovodilac organa, u skladu sa Zakonom o državnim službenicima i namještenicima i Uredbom o indikatorima i ocjenjivanju učinka državnih službenika/namještenika</w:t>
      </w:r>
      <w:r w:rsidRPr="00B83578">
        <w:rPr>
          <w:rFonts w:cs="Arial"/>
          <w:vertAlign w:val="superscript"/>
        </w:rPr>
        <w:footnoteReference w:id="111"/>
      </w:r>
      <w:r>
        <w:t>. Na osnovu ocjene, i u zavisnosti od raspoloživosti, zaposleni mogu biti unaprijeđeni na više radno mjesto. Ipak, ne postoji efikasan sistem ocjenjivanja koji bi bio povezan sa unaprjeđenjem, nagrađivanjem, napredovanjem i stručnim razvojem, niti je uspostavljen cjelovito uređen sistem plata. Trenutni izazovi u javnoj upravi uključuju demotivaciju i visok stepen fluktuacije kadra. Ministarstvo javne uprave razvija odgovarajući sistem ocjenjivanja državne službe kao osnov za procjenu rada i napredovanje zasnovano na zaslugama</w:t>
      </w:r>
      <w:r w:rsidRPr="00B83578">
        <w:rPr>
          <w:vertAlign w:val="superscript"/>
        </w:rPr>
        <w:footnoteReference w:id="112"/>
      </w:r>
      <w:r>
        <w:t xml:space="preserve">, </w:t>
      </w:r>
      <w:proofErr w:type="gramStart"/>
      <w:r>
        <w:t>a</w:t>
      </w:r>
      <w:proofErr w:type="gramEnd"/>
      <w:r>
        <w:t xml:space="preserve"> okvir kompetencija i sistem ocjenjivanja biće integrisani.  </w:t>
      </w:r>
    </w:p>
    <w:p w14:paraId="697F5BC4" w14:textId="77777777" w:rsidR="00D10B64" w:rsidRDefault="00D10B64" w:rsidP="00D10B64">
      <w:r>
        <w:t xml:space="preserve">Međutim, za zaposlene koji rade u IPA sistemu postoji politika zadržavanja i motivacije: obuka zaposlenih i finansijska motivacija kroz uvećanje plata u skladu sa rezultatima ostvarenim u radnom učinku. </w:t>
      </w:r>
      <w:r w:rsidRPr="00D10B64">
        <w:rPr>
          <w:b/>
        </w:rPr>
        <w:t>Odluka o uvećanjima plata za IPA zaposlene</w:t>
      </w:r>
      <w:r>
        <w:t xml:space="preserve"> je na snazi od marta 2019; sve IPA jedinice svakog mjeseca, osim u avgustu i januaru, pripremaju i podnose poseban zahtjev koji sadrži detaljnu ocjenu za svakog zaposlenog za koga se traži uvećanje. Zahtjeve analizira i odobrava NAO/upravljačka struktura.</w:t>
      </w:r>
    </w:p>
    <w:p w14:paraId="7EC78656" w14:textId="76D4D72D" w:rsidR="00D10B64" w:rsidRDefault="00D10B64" w:rsidP="00D10B64">
      <w:r>
        <w:t xml:space="preserve">Obukama za organe centralne i lokalne uprave trenutno upravlja </w:t>
      </w:r>
      <w:r w:rsidR="000270DD">
        <w:t>UZLJK</w:t>
      </w:r>
      <w:r>
        <w:t>, na osnovu Metodologije uvedene 2020. i revidirane 2021</w:t>
      </w:r>
      <w:r w:rsidRPr="00B83578">
        <w:rPr>
          <w:vertAlign w:val="superscript"/>
        </w:rPr>
        <w:footnoteReference w:id="113"/>
      </w:r>
      <w:r>
        <w:t xml:space="preserve">. Metodologija predviđa analizu potreba za </w:t>
      </w:r>
      <w:r w:rsidR="00671D09">
        <w:t>obukama</w:t>
      </w:r>
      <w:r>
        <w:t xml:space="preserve"> na tri nivoa: nivo institucije (javnog organa), nivo radnog mjesta i individualni nivo. Analiza je usmjerena na razvoj kompetencija; međutim, pošto u Crnoj Gori nijesu identifikovane kompetencije zasnovane na radnim mjestima, ova zamisao se ne može u potpunosti ostvariti. Metodologija omogućava veliku fleksibilnost na nivou svake institucije pri sprovođenju analize potreba za </w:t>
      </w:r>
      <w:r w:rsidR="00671D09">
        <w:t>obukama</w:t>
      </w:r>
      <w:r>
        <w:t xml:space="preserve">, imajući u vidu različite tipologije institucija, njihovu veličinu i, u pojedinim slučajevima, nedavno osnivanje/reorganizaciju. To, međutim, dovodi do veoma različitog nivoa kvaliteta sprovedenih analiza. Dodatno, česte promjene vlade i organizacije nadležnih resornih ministarstava i njihovih portfelja čine analizu potreba za </w:t>
      </w:r>
      <w:r w:rsidR="00671D09">
        <w:t>obukama</w:t>
      </w:r>
      <w:r>
        <w:t xml:space="preserve"> izazovnom na svim nivoima zbog nedostatka institucionalne stabilnosti, što znači da se poređenja analiza ne mogu praviti tokom vremena, a kako se analiza odnosi na podatke prikupljene prethodne godine, postoji rizik da više nije primjenjiva niti relevantna za pojedine institucije.  </w:t>
      </w:r>
    </w:p>
    <w:p w14:paraId="58C9115A" w14:textId="35A50736" w:rsidR="00D10B64" w:rsidRDefault="000270DD" w:rsidP="00D10B64">
      <w:r>
        <w:t>UZLJK</w:t>
      </w:r>
      <w:r w:rsidR="00D10B64">
        <w:t xml:space="preserve"> organizuje Opšti program i Specifične programe u ponudi (u oblasti finansija) za državne službenike, kao i 4 akreditovana programa</w:t>
      </w:r>
      <w:r w:rsidR="00D10B64" w:rsidRPr="00B83578">
        <w:rPr>
          <w:rFonts w:cs="Arial"/>
          <w:sz w:val="22"/>
          <w:vertAlign w:val="superscript"/>
        </w:rPr>
        <w:footnoteReference w:id="114"/>
      </w:r>
      <w:r w:rsidR="00D10B64">
        <w:t xml:space="preserve">. Oni su uključeni u Katalog obuka za 19 oblasti i ukupno 129 tema koje identifikuju obuke po nazivu i trajanju, ali se ne navodi cilj obuke niti sadržaj. Kvartalni kalendari obuka utvrđuju se za državne službenike (na nacionalnom nivou) i opštinsko osoblje. Broj ponuđenih obuka ne </w:t>
      </w:r>
      <w:r w:rsidR="00D10B64">
        <w:lastRenderedPageBreak/>
        <w:t>zadovoljava iskazanu potražnju, uglavnom zbog ograničenog prostora za obuke. Sprovedene obuke učesnici ocjenjuju, ali ne postoji analiza niti procjena uticaja programa obuka.</w:t>
      </w:r>
    </w:p>
    <w:p w14:paraId="01054465" w14:textId="3C9EF645" w:rsidR="00363E3B" w:rsidRDefault="00363E3B" w:rsidP="00363E3B">
      <w:r>
        <w:t>Ministarstvo javne uprave, u saradnji sa Upravom za ljudske resurse (</w:t>
      </w:r>
      <w:r w:rsidR="000270DD">
        <w:t>UZLJK</w:t>
      </w:r>
      <w:r>
        <w:t xml:space="preserve">), razvilo je projektnu ideju „Javna uprava za EU: jačanje kapaciteta i unaprjeđenje institucionalne izvrsnosti u Crnoj </w:t>
      </w:r>
      <w:proofErr w:type="gramStart"/>
      <w:r>
        <w:t>Gori“</w:t>
      </w:r>
      <w:proofErr w:type="gramEnd"/>
      <w:r>
        <w:t>, koju je dostavilo Delegaciji EU. Projekat, čiji je planirani početak u trećem kvartalu 2025, sprovodiće se paralelno sa realizacijom Plana zapošljavanja novih državnih službenika za IPA III.</w:t>
      </w:r>
    </w:p>
    <w:p w14:paraId="03167C1E" w14:textId="77777777" w:rsidR="00363E3B" w:rsidRDefault="00363E3B" w:rsidP="00363E3B">
      <w:r>
        <w:t xml:space="preserve">Opšti cilj projekta je povećati privlačnost državne službe, politiku zadržavanja kadra i metode zapošljavanja zasnovanog na zaslugama kroz posvećene programe obuke novo zaposlenih službenika, jačajući kapacitete crnogorske javne uprave i obezbjeđujući njenu spremnost za članstvo u EU. </w:t>
      </w:r>
    </w:p>
    <w:p w14:paraId="0605910E" w14:textId="77777777" w:rsidR="00363E3B" w:rsidRDefault="00363E3B" w:rsidP="00363E3B">
      <w:r>
        <w:t>Specifični ciljevi su:</w:t>
      </w:r>
    </w:p>
    <w:p w14:paraId="3816204F" w14:textId="24E9D053" w:rsidR="00363E3B" w:rsidRDefault="00363E3B" w:rsidP="00D15218">
      <w:pPr>
        <w:pStyle w:val="ListParagraph"/>
        <w:numPr>
          <w:ilvl w:val="0"/>
          <w:numId w:val="29"/>
        </w:numPr>
      </w:pPr>
      <w:r>
        <w:t xml:space="preserve">razviti i sprovesti višegodišnji program obuke i učenja kroz rad, prilagođen potrebama najmanje 100 novo-zaposlenih državnih službenika u dva pilot sektora: 1. zaštita životne sredine i klimatske promjene; i 2. socijalna politika/zapošljavanje, zasnovan na najboljim praksama iz EU, radi </w:t>
      </w:r>
      <w:r w:rsidR="00C30F51" w:rsidRPr="00C30F51">
        <w:t>jačanja kapaciteta</w:t>
      </w:r>
      <w:r>
        <w:t xml:space="preserve"> i </w:t>
      </w:r>
      <w:r w:rsidR="00CA6030">
        <w:t>unaprje</w:t>
      </w:r>
      <w:r>
        <w:t xml:space="preserve">đenja institucionalnih performansi u ovim prioritetnim oblastima; </w:t>
      </w:r>
    </w:p>
    <w:p w14:paraId="28D1687E" w14:textId="60DE9AD3" w:rsidR="00363E3B" w:rsidRDefault="00363E3B" w:rsidP="00D15218">
      <w:pPr>
        <w:pStyle w:val="ListParagraph"/>
        <w:numPr>
          <w:ilvl w:val="0"/>
          <w:numId w:val="29"/>
        </w:numPr>
      </w:pPr>
      <w:r>
        <w:t xml:space="preserve">ojačati kapacitete zaposlenih u </w:t>
      </w:r>
      <w:r w:rsidR="000270DD">
        <w:t>UZLJK</w:t>
      </w:r>
      <w:r>
        <w:t>, internih trenera i institucija državne uprave za umnožavanje i održiv</w:t>
      </w:r>
      <w:r w:rsidR="00A80895">
        <w:t>u</w:t>
      </w:r>
      <w:r>
        <w:t xml:space="preserve"> </w:t>
      </w:r>
      <w:r w:rsidR="00A80895">
        <w:t>implementaciju</w:t>
      </w:r>
      <w:r>
        <w:t xml:space="preserve"> planiranih, redovnih programa obuke na strukturisan način u cijeloj javnoj upravi, naročito za grupe novo-zaposlenih službenika.</w:t>
      </w:r>
    </w:p>
    <w:p w14:paraId="677AE868" w14:textId="6A7C445B" w:rsidR="00363E3B" w:rsidRDefault="00363E3B" w:rsidP="00363E3B">
      <w:r>
        <w:t>Dodatne obuke dostupne su državnim službenicima i svim građanima koji žele unaprijediti svoje profesionalne, liderske i digitalne vještine putem nedavno uspostavljene Digitalne akademije</w:t>
      </w:r>
      <w:r w:rsidR="00F56F1E" w:rsidRPr="00B83578">
        <w:rPr>
          <w:vertAlign w:val="superscript"/>
        </w:rPr>
        <w:footnoteReference w:id="115"/>
      </w:r>
      <w:r>
        <w:t xml:space="preserve">. </w:t>
      </w:r>
    </w:p>
    <w:p w14:paraId="44A39EF0" w14:textId="62873ED0" w:rsidR="00363E3B" w:rsidRDefault="00363E3B" w:rsidP="00363E3B">
      <w:r>
        <w:t xml:space="preserve">Ministarstvo evropskih poslova – </w:t>
      </w:r>
      <w:r w:rsidR="0086543E" w:rsidRPr="0086543E">
        <w:t>NIPAK</w:t>
      </w:r>
      <w:r>
        <w:t xml:space="preserve"> kancelarija, uz podršku Ministarstva javne uprave, </w:t>
      </w:r>
      <w:r w:rsidR="000270DD">
        <w:t>UZLJK</w:t>
      </w:r>
      <w:r>
        <w:t xml:space="preserve"> i Regionalne škole za javnu upravu (ReSPA), kreiralo je program obuke </w:t>
      </w:r>
      <w:r w:rsidRPr="00F56F1E">
        <w:rPr>
          <w:i/>
        </w:rPr>
        <w:t>Spremni za EU</w:t>
      </w:r>
      <w:r w:rsidR="00F56F1E" w:rsidRPr="00B83578">
        <w:rPr>
          <w:vertAlign w:val="superscript"/>
        </w:rPr>
        <w:footnoteReference w:id="116"/>
      </w:r>
      <w:r>
        <w:t>. Ovaj program će omogućiti crnogorskim državnim službenicima da se upoznaju s administrativnom praksom EU, steknu relevantnu ekspertizu i specifična znanja te se pripreme za rad u institucijama EU.</w:t>
      </w:r>
    </w:p>
    <w:p w14:paraId="57FCB82C" w14:textId="699011DE" w:rsidR="00363E3B" w:rsidRDefault="00363E3B" w:rsidP="00363E3B">
      <w:r>
        <w:t>Evropska komisija je 2024. otvorila mogućnost privremenog upućivanja crnogorskih službenika u Evropsku komisiju, što omogućava učešće crnogorskih zvaničnika u Komisiji kao SNE (</w:t>
      </w:r>
      <w:r w:rsidR="00F56F1E">
        <w:t>Delegirani nacionalni ekspert</w:t>
      </w:r>
      <w:r>
        <w:t>) i u programu NEPT (</w:t>
      </w:r>
      <w:r w:rsidR="00F56F1E" w:rsidRPr="00F56F1E">
        <w:t>Nacionalni eksperti za stručno usavršavanje</w:t>
      </w:r>
      <w:r>
        <w:t>).</w:t>
      </w:r>
    </w:p>
    <w:p w14:paraId="3A628556" w14:textId="77777777" w:rsidR="00F56F1E" w:rsidRDefault="00F56F1E" w:rsidP="00F56F1E">
      <w:r>
        <w:t xml:space="preserve">Dalje jačanje kapaciteta relevantno za državnu upravu i lokalnu samoupravu obezbjeđuje se kroz posebne IPA programe/projekte kao što su:  </w:t>
      </w:r>
    </w:p>
    <w:p w14:paraId="58F7C0C6" w14:textId="18A7321A" w:rsidR="00877D41" w:rsidRDefault="00F56F1E" w:rsidP="00D15218">
      <w:pPr>
        <w:pStyle w:val="ListParagraph"/>
        <w:numPr>
          <w:ilvl w:val="0"/>
          <w:numId w:val="30"/>
        </w:numPr>
      </w:pPr>
      <w:r>
        <w:t>Program sektorske budžetske podrške EU za reformu javne uprave, Godišnji akcioni p</w:t>
      </w:r>
      <w:r w:rsidR="000270DD">
        <w:t>rogram</w:t>
      </w:r>
      <w:r>
        <w:t xml:space="preserve"> za Crnu Goru IPA 2022</w:t>
      </w:r>
      <w:r w:rsidR="00877D41" w:rsidRPr="00B83578">
        <w:rPr>
          <w:rFonts w:cs="Arial"/>
          <w:sz w:val="22"/>
          <w:vertAlign w:val="superscript"/>
        </w:rPr>
        <w:footnoteReference w:id="117"/>
      </w:r>
      <w:r>
        <w:t xml:space="preserve">.  </w:t>
      </w:r>
    </w:p>
    <w:p w14:paraId="754A23A7" w14:textId="3E05BADD" w:rsidR="00877D41" w:rsidRDefault="00F56F1E" w:rsidP="00D15218">
      <w:pPr>
        <w:pStyle w:val="ListParagraph"/>
        <w:numPr>
          <w:ilvl w:val="0"/>
          <w:numId w:val="30"/>
        </w:numPr>
      </w:pPr>
      <w:r w:rsidRPr="00877D41">
        <w:rPr>
          <w:i/>
        </w:rPr>
        <w:t>EU 4 Public Administration</w:t>
      </w:r>
      <w:r w:rsidR="00877D41">
        <w:rPr>
          <w:i/>
        </w:rPr>
        <w:t xml:space="preserve"> </w:t>
      </w:r>
      <w:r w:rsidR="00877D41">
        <w:t>(EU za javnu upravu)</w:t>
      </w:r>
      <w:r>
        <w:t xml:space="preserve"> – </w:t>
      </w:r>
      <w:r w:rsidR="00F6773D">
        <w:t>Tehnička pomoć</w:t>
      </w:r>
      <w:r>
        <w:t xml:space="preserve"> Crnoj Gori u podršci pružanju javnih usluga i upravljanju ljudskim resursima ‘EU4PA’, ugovor br. 2023/449-710.  </w:t>
      </w:r>
    </w:p>
    <w:p w14:paraId="256784A1" w14:textId="386672DD" w:rsidR="00F56F1E" w:rsidRDefault="00F56F1E" w:rsidP="00D15218">
      <w:pPr>
        <w:pStyle w:val="ListParagraph"/>
        <w:numPr>
          <w:ilvl w:val="0"/>
          <w:numId w:val="30"/>
        </w:numPr>
      </w:pPr>
      <w:r>
        <w:t>„</w:t>
      </w:r>
      <w:r w:rsidRPr="00877D41">
        <w:rPr>
          <w:i/>
        </w:rPr>
        <w:t>Municipalities 4 EU</w:t>
      </w:r>
      <w:r w:rsidR="00877D41">
        <w:t xml:space="preserve"> (Opštine za EU)</w:t>
      </w:r>
      <w:r>
        <w:t xml:space="preserve"> – Osnaživanje lokalnih zajednica u procesu evropske integracije Crne </w:t>
      </w:r>
      <w:proofErr w:type="gramStart"/>
      <w:r>
        <w:t>Gore“</w:t>
      </w:r>
      <w:proofErr w:type="gramEnd"/>
      <w:r>
        <w:t xml:space="preserve">, NEAR/TGD/2023/EA-RP/0254.  </w:t>
      </w:r>
    </w:p>
    <w:p w14:paraId="0F57EDF5" w14:textId="77777777" w:rsidR="00F56F1E" w:rsidRDefault="00F56F1E" w:rsidP="00F56F1E">
      <w:r>
        <w:t xml:space="preserve">U Završnom izvještaju o Strategiji reforme javne uprave 2016–2020 istaknuto je nekoliko ključnih pitanja u pogledu reforme javne uprave; napredak u njihovom rješavanju dat je u nastavku.  </w:t>
      </w:r>
    </w:p>
    <w:p w14:paraId="3B507ED6" w14:textId="77777777" w:rsidR="00F56F1E" w:rsidRDefault="00F56F1E" w:rsidP="00F56F1E">
      <w:r>
        <w:t xml:space="preserve">Delegiranje budžetskih odgovornosti i ovlašćenja za odlučivanje srednjem menadžmentu  </w:t>
      </w:r>
    </w:p>
    <w:p w14:paraId="656445AE" w14:textId="18F4F6CA" w:rsidR="00F56F1E" w:rsidRDefault="00F56F1E" w:rsidP="00F56F1E">
      <w:r>
        <w:t xml:space="preserve">Crna Gora je preduzela korake ka poboljšanju sprovođenja menadžerske odgovornosti i delegiranja odgovornosti. Iako postojeći zakonodavni okvir omogućava delegiranje ovlašćenja za donošenje odluka, Ministarstvo finansija je pokrenulo aktivnosti na izmjeni važećeg Zakona o upravljanju i unutrašnjim kontrolama u javnom sektoru kako bi jasnije definisalo odgovornosti viših rukovodilaca. Radi podrške institucijama i menadžerima u efikasnom upravljanju i donošenju odluka, Ministarstvo finansija je izradilo </w:t>
      </w:r>
      <w:r>
        <w:lastRenderedPageBreak/>
        <w:t>metodološka uputstva za jačanje odgovornosti menadžera i delegiranje ovlašćenja, kao i za interno izvještavanje</w:t>
      </w:r>
      <w:r w:rsidR="00877D41" w:rsidRPr="00B83578">
        <w:rPr>
          <w:vertAlign w:val="superscript"/>
        </w:rPr>
        <w:footnoteReference w:id="118"/>
      </w:r>
      <w:r>
        <w:t>.</w:t>
      </w:r>
    </w:p>
    <w:p w14:paraId="51FD1159" w14:textId="77777777" w:rsidR="00877D41" w:rsidRDefault="00877D41" w:rsidP="00877D41">
      <w:r>
        <w:t xml:space="preserve">Za dalju implementaciju, Vlada je, nakon usvajanja Konsolidovanog izvještaja o upravljanju javnim sektorom i unutrašnjim kontrolama za 2023, zadužila ministre da preispitaju mogućnosti za delegiranje ovlašćenja i, na osnovu svoje procjene, donesu odluke o prenosu ovlašćenja za donošenje odluka, odnosno delegiranju ovlašćenja za potpisivanje dokumenata na svoje menadžere.  </w:t>
      </w:r>
    </w:p>
    <w:p w14:paraId="748F5467" w14:textId="10C6A5C8" w:rsidR="00877D41" w:rsidRDefault="00877D41" w:rsidP="00877D41">
      <w:r>
        <w:t xml:space="preserve">Dodatno, Ministarstvo finansija je predvidjelo određene aktivnosti povezane s menadžerskom odgovornošću u okviru projekta </w:t>
      </w:r>
      <w:r w:rsidRPr="00877D41">
        <w:rPr>
          <w:i/>
        </w:rPr>
        <w:t>EU4 Public Finance Management</w:t>
      </w:r>
      <w:r>
        <w:t xml:space="preserve"> (EU za Upravljanje javnim finansijama - PFM) u Crnoj Gori. Sljedeće aktivnosti biće sprovedene tokom 2025. kao dio pomenutog projekta:  </w:t>
      </w:r>
    </w:p>
    <w:p w14:paraId="35F2F884" w14:textId="2FD297D0" w:rsidR="00877D41" w:rsidRDefault="00877D41" w:rsidP="00D15218">
      <w:pPr>
        <w:pStyle w:val="ListParagraph"/>
        <w:numPr>
          <w:ilvl w:val="0"/>
          <w:numId w:val="31"/>
        </w:numPr>
      </w:pPr>
      <w:r>
        <w:t xml:space="preserve">Analiza stanja menadžerske odgovornosti i izrada mape puta za dalja unaprjeđenja u ovoj oblasti;  </w:t>
      </w:r>
    </w:p>
    <w:p w14:paraId="6634239B" w14:textId="3D16DC35" w:rsidR="00877D41" w:rsidRDefault="00877D41" w:rsidP="00D15218">
      <w:pPr>
        <w:pStyle w:val="ListParagraph"/>
        <w:numPr>
          <w:ilvl w:val="0"/>
          <w:numId w:val="31"/>
        </w:numPr>
      </w:pPr>
      <w:r>
        <w:t xml:space="preserve">Priprema izvještaja koji prikazuje pregled trenutnog stanja menadžerske odgovornosti, koji sadrži mapu puta ili akcioni plan sa preporukama za dalja unaprjeđenja, i priprema smjernica za menadžersku odgovornost;  </w:t>
      </w:r>
    </w:p>
    <w:p w14:paraId="2EAD0C90" w14:textId="104D3C5A" w:rsidR="00A35E9A" w:rsidRPr="00543777" w:rsidRDefault="00877D41" w:rsidP="00D15218">
      <w:pPr>
        <w:pStyle w:val="ListParagraph"/>
        <w:numPr>
          <w:ilvl w:val="0"/>
          <w:numId w:val="31"/>
        </w:numPr>
      </w:pPr>
      <w:r>
        <w:t xml:space="preserve">Organizovanje aktivnosti za </w:t>
      </w:r>
      <w:r w:rsidR="00C30F51" w:rsidRPr="00C30F51">
        <w:t>jačanje kapaciteta</w:t>
      </w:r>
      <w:r>
        <w:t xml:space="preserve"> za rukovodioce na višem i srednjem nivou u javnom sektoru, kako bi se podigla svijest na najvišem nivou i operacionalizovala primjena koncepta menadžerske odgovornosti.</w:t>
      </w:r>
    </w:p>
    <w:p w14:paraId="7D3B775B" w14:textId="77777777" w:rsidR="00543777" w:rsidRDefault="00543777" w:rsidP="00543777">
      <w:r>
        <w:t>Integritet u zapošljavanju u javnoj upravi</w:t>
      </w:r>
    </w:p>
    <w:p w14:paraId="6B0307C6" w14:textId="77777777" w:rsidR="00543777" w:rsidRDefault="00543777" w:rsidP="00543777">
      <w:r>
        <w:t>Jedan od operativnih ciljeva PAR Strategije 2022–2026 je da javna uprava postane privlačan poslodavac, sa efikasnim sistemom napredovanja i nagrađivanja zasnovanom na praćenju učinka, evaluaciji i kontinuiranom profesionalnom usavršavanju. U okviru ovog cilja, definisane su aktivnosti za uticaj na percepciju javnosti o integritetu procesa zapošljavanja u javnoj upravi.</w:t>
      </w:r>
    </w:p>
    <w:p w14:paraId="49106BD3" w14:textId="23688ED9" w:rsidR="00543777" w:rsidRDefault="00543777" w:rsidP="00543777">
      <w:r>
        <w:t>Nadalje, kao što je gore pomenuto, profesionalizacija javne uprave će biti unaprjeđena usvajanjem Okvira kompetencija za sve kategorije državnih službenika, a primjena ovog okvira u procesima zapošljavanja i evaluacije će doprinijeti usklađivanju znanja, vještina i sposobnosti zaposlenih sa zahtjevima njihovih radnih mjesta i poslužiće da se podstakne povjerenje građana u efikasnost tijela javne uprave, kao i u obrazovanje, sposobnost i iskustvo državnih službenika.</w:t>
      </w:r>
    </w:p>
    <w:p w14:paraId="5C8587EB" w14:textId="77777777" w:rsidR="00543777" w:rsidRDefault="00543777" w:rsidP="00543777">
      <w:r>
        <w:t>Detaljnije informacije u vezi sa fondovima EU su date u nastavku.</w:t>
      </w:r>
    </w:p>
    <w:p w14:paraId="014C13C3" w14:textId="4EAF1637" w:rsidR="000D076B" w:rsidRPr="00B83578" w:rsidRDefault="00543023" w:rsidP="009534E7">
      <w:pPr>
        <w:pStyle w:val="Heading3"/>
      </w:pPr>
      <w:bookmarkStart w:id="127" w:name="_Toc181860713"/>
      <w:bookmarkStart w:id="128" w:name="_Toc201700391"/>
      <w:r>
        <w:t>Administrativni kapaciteti za EU Fondove</w:t>
      </w:r>
      <w:r w:rsidR="000D076B" w:rsidRPr="00B83578">
        <w:rPr>
          <w:b/>
          <w:bCs/>
          <w:i/>
          <w:iCs/>
          <w:sz w:val="22"/>
          <w:vertAlign w:val="superscript"/>
        </w:rPr>
        <w:footnoteReference w:id="119"/>
      </w:r>
      <w:bookmarkEnd w:id="127"/>
      <w:bookmarkEnd w:id="128"/>
      <w:r w:rsidR="000D076B" w:rsidRPr="00B83578">
        <w:t xml:space="preserve"> </w:t>
      </w:r>
    </w:p>
    <w:p w14:paraId="79DBF8F8" w14:textId="2D2E7C46" w:rsidR="00543777" w:rsidRDefault="00543777" w:rsidP="009534E7">
      <w:r w:rsidRPr="00543777">
        <w:t>Što se tiče IPA fondova kojima Crna Gora upravlja indirektno</w:t>
      </w:r>
      <w:r w:rsidRPr="00B83578">
        <w:rPr>
          <w:rFonts w:cs="Arial"/>
          <w:vertAlign w:val="superscript"/>
        </w:rPr>
        <w:footnoteReference w:id="120"/>
      </w:r>
      <w:r w:rsidRPr="00543777">
        <w:t>, Upravljačka struktura</w:t>
      </w:r>
      <w:r w:rsidRPr="00B83578">
        <w:rPr>
          <w:rFonts w:cs="Arial"/>
          <w:vertAlign w:val="superscript"/>
        </w:rPr>
        <w:footnoteReference w:id="121"/>
      </w:r>
      <w:r w:rsidRPr="00543777">
        <w:t xml:space="preserve"> je odgovorna za c</w:t>
      </w:r>
      <w:r>
        <w:t>j</w:t>
      </w:r>
      <w:r w:rsidRPr="00543777">
        <w:t>elokupan razvoj ljudskih resursa. Ovo uključuje redovn</w:t>
      </w:r>
      <w:r w:rsidR="00A80895">
        <w:t>u</w:t>
      </w:r>
      <w:r w:rsidRPr="00543777">
        <w:t xml:space="preserve"> </w:t>
      </w:r>
      <w:r w:rsidR="00A80895">
        <w:t>implementaciju</w:t>
      </w:r>
      <w:r w:rsidRPr="00543777">
        <w:t xml:space="preserve"> detaljne proc</w:t>
      </w:r>
      <w:r>
        <w:t>j</w:t>
      </w:r>
      <w:r w:rsidRPr="00543777">
        <w:t>ene kapaciteta osoblja, na osnovu svih dostupnih podataka i informacija za IPA strukture. Redovne prov</w:t>
      </w:r>
      <w:r>
        <w:t>j</w:t>
      </w:r>
      <w:r w:rsidRPr="00543777">
        <w:t>ere se vrše u vezi sa novoformiranim IPA jedinicama i novoangažovanim zaposlenima kako bi se proc</w:t>
      </w:r>
      <w:r>
        <w:t>ij</w:t>
      </w:r>
      <w:r w:rsidRPr="00543777">
        <w:t>enila usklađenost sa zaht</w:t>
      </w:r>
      <w:r>
        <w:t>j</w:t>
      </w:r>
      <w:r w:rsidRPr="00543777">
        <w:t>evima interne kontrole. Sva t</w:t>
      </w:r>
      <w:r>
        <w:t>ij</w:t>
      </w:r>
      <w:r w:rsidRPr="00543777">
        <w:t>ela sa IPA strukturama su obavezna da zatraže mišljenje od Upravljačke strukture pr</w:t>
      </w:r>
      <w:r>
        <w:t>ij</w:t>
      </w:r>
      <w:r w:rsidRPr="00543777">
        <w:t>e izm</w:t>
      </w:r>
      <w:r>
        <w:t>j</w:t>
      </w:r>
      <w:r w:rsidRPr="00543777">
        <w:t>ena/usvajanja Pravilnika o unutrašnjoj organizaciji i sistematizaciji. Pored toga, Upravljačka struktura NAO prati organizacione i funkcionalne prom</w:t>
      </w:r>
      <w:r>
        <w:t>j</w:t>
      </w:r>
      <w:r w:rsidRPr="00543777">
        <w:t>ene i obav</w:t>
      </w:r>
      <w:r>
        <w:t>j</w:t>
      </w:r>
      <w:r w:rsidRPr="00543777">
        <w:t>eštava Evropsku komisiju o relevantnim prom</w:t>
      </w:r>
      <w:r>
        <w:t>j</w:t>
      </w:r>
      <w:r w:rsidRPr="00543777">
        <w:t>enama. Upravljačka struktura NAO takođe prati sve fluktuacije u broju zaposlenih kao d</w:t>
      </w:r>
      <w:r>
        <w:t>i</w:t>
      </w:r>
      <w:r w:rsidRPr="00543777">
        <w:t>o analize ljudskih resursa zasnovane na m</w:t>
      </w:r>
      <w:r>
        <w:t>j</w:t>
      </w:r>
      <w:r w:rsidRPr="00543777">
        <w:t>esečnom pregledu kadrova, Pravilnicima o unutrašnjoj organizaciji i sistematizaciji</w:t>
      </w:r>
      <w:r w:rsidRPr="00B83578">
        <w:rPr>
          <w:rFonts w:cs="Arial"/>
          <w:vertAlign w:val="superscript"/>
        </w:rPr>
        <w:footnoteReference w:id="122"/>
      </w:r>
      <w:r w:rsidRPr="00543777">
        <w:t xml:space="preserve">, kao i naimenovanjima osoblja odgovornog za horizontalne zadatke (koordinator interne </w:t>
      </w:r>
      <w:r w:rsidRPr="00543777">
        <w:lastRenderedPageBreak/>
        <w:t>kontrole, koordinator horizontalnih pitanja, službenici za nepravilnosti, menadžer rizika i koordinator rizika, službenik za vidljivost).</w:t>
      </w:r>
    </w:p>
    <w:p w14:paraId="73EAA1E5" w14:textId="77777777" w:rsidR="00543777" w:rsidRDefault="00543777" w:rsidP="00543777">
      <w:r>
        <w:t xml:space="preserve">Trenutno je oko 240 zaposlenih angažovano u okviru IPA sistema, uključujući osoblje koje obavlja poslove programiranja i implementacije u pogledu indirektnog upravljanja, u okviru sljedećih IPA tijela:  </w:t>
      </w:r>
    </w:p>
    <w:p w14:paraId="7F6B9B64" w14:textId="77777777" w:rsidR="00543777" w:rsidRDefault="00543777" w:rsidP="00D15218">
      <w:pPr>
        <w:pStyle w:val="ListParagraph"/>
        <w:numPr>
          <w:ilvl w:val="0"/>
          <w:numId w:val="32"/>
        </w:numPr>
      </w:pPr>
      <w:r>
        <w:t xml:space="preserve">Revizorsko tijelo Crne Gore;  </w:t>
      </w:r>
    </w:p>
    <w:p w14:paraId="592F5A4B" w14:textId="77777777" w:rsidR="00543777" w:rsidRDefault="00543777" w:rsidP="00D15218">
      <w:pPr>
        <w:pStyle w:val="ListParagraph"/>
        <w:numPr>
          <w:ilvl w:val="0"/>
          <w:numId w:val="32"/>
        </w:numPr>
      </w:pPr>
      <w:r>
        <w:t xml:space="preserve">Upravljačka struktura;  </w:t>
      </w:r>
    </w:p>
    <w:p w14:paraId="76849238" w14:textId="4ED3316E" w:rsidR="00543777" w:rsidRDefault="0086543E" w:rsidP="00D15218">
      <w:pPr>
        <w:pStyle w:val="ListParagraph"/>
        <w:numPr>
          <w:ilvl w:val="0"/>
          <w:numId w:val="32"/>
        </w:numPr>
      </w:pPr>
      <w:r w:rsidRPr="0086543E">
        <w:t>NIPAK</w:t>
      </w:r>
      <w:r w:rsidR="00543777">
        <w:t xml:space="preserve"> kancelarija;  </w:t>
      </w:r>
    </w:p>
    <w:p w14:paraId="56D58CAF" w14:textId="77777777" w:rsidR="00543777" w:rsidRDefault="00543777" w:rsidP="00D15218">
      <w:pPr>
        <w:pStyle w:val="ListParagraph"/>
        <w:numPr>
          <w:ilvl w:val="0"/>
          <w:numId w:val="32"/>
        </w:numPr>
      </w:pPr>
      <w:r>
        <w:t xml:space="preserve">Upravljačka tijela;  </w:t>
      </w:r>
    </w:p>
    <w:p w14:paraId="0159B696" w14:textId="63D8A78F" w:rsidR="00543777" w:rsidRDefault="00477A44" w:rsidP="00D15218">
      <w:pPr>
        <w:pStyle w:val="ListParagraph"/>
        <w:numPr>
          <w:ilvl w:val="0"/>
          <w:numId w:val="32"/>
        </w:numPr>
      </w:pPr>
      <w:r>
        <w:t>Ugovorna tijela</w:t>
      </w:r>
      <w:r w:rsidR="00543777">
        <w:t xml:space="preserve">/posrednička tijela za finansijsko upravljanje;  </w:t>
      </w:r>
    </w:p>
    <w:p w14:paraId="16A0A554" w14:textId="77777777" w:rsidR="00543777" w:rsidRDefault="00543777" w:rsidP="00D15218">
      <w:pPr>
        <w:pStyle w:val="ListParagraph"/>
        <w:numPr>
          <w:ilvl w:val="0"/>
          <w:numId w:val="32"/>
        </w:numPr>
      </w:pPr>
      <w:r>
        <w:t xml:space="preserve">Jedinice za implementaciju projekata/posrednička tijela za upravljanje politikama;  </w:t>
      </w:r>
    </w:p>
    <w:p w14:paraId="69505B5F" w14:textId="77777777" w:rsidR="00543777" w:rsidRDefault="00543777" w:rsidP="00D15218">
      <w:pPr>
        <w:pStyle w:val="ListParagraph"/>
        <w:numPr>
          <w:ilvl w:val="0"/>
          <w:numId w:val="32"/>
        </w:numPr>
      </w:pPr>
      <w:r>
        <w:t xml:space="preserve">Interni revizori;  </w:t>
      </w:r>
    </w:p>
    <w:p w14:paraId="3D5BD28E" w14:textId="658CE594" w:rsidR="00543777" w:rsidRDefault="00543777" w:rsidP="00D15218">
      <w:pPr>
        <w:pStyle w:val="ListParagraph"/>
        <w:numPr>
          <w:ilvl w:val="0"/>
          <w:numId w:val="32"/>
        </w:numPr>
      </w:pPr>
      <w:r>
        <w:t xml:space="preserve">IPARD agencija.  </w:t>
      </w:r>
    </w:p>
    <w:p w14:paraId="7CEC9505" w14:textId="77777777" w:rsidR="00543777" w:rsidRDefault="00543777" w:rsidP="00543777">
      <w:r>
        <w:t>Pripremljen je Plan zapošljavanja za institucije koje upravljaju fondovima EU, fokusiran na dva pilot sektora: zaštitu životne sredine i zapošljavanje/socijalnu politiku. Plan prikazuje institucije, organizacione jedinice, broj sistematizovanih radnih mjesta, trenutni broj zaposlenih i projektovani broj novih radnih mjesta potrebnih u skladu sa postavljenim indikatorima u izmijenjenim Godišnjim akcionim planovima 2022 za PAR i PFM.</w:t>
      </w:r>
    </w:p>
    <w:p w14:paraId="12B50834" w14:textId="02700CF5" w:rsidR="003D2E3C" w:rsidRDefault="003D2E3C" w:rsidP="003D2E3C">
      <w:r>
        <w:t xml:space="preserve">Pored nacionalno uspostavljenog okvira za razvoj ljudskih resursa, u skladu sa zahtjevima iz Sporazuma o finansijskom okviru partnerstva za IPA III, Aneks B, definisane su određene specifičnosti za </w:t>
      </w:r>
      <w:r w:rsidR="00A80895">
        <w:t>implementaciju</w:t>
      </w:r>
      <w:r>
        <w:t xml:space="preserve"> IPA III. Ove specifičnosti su utvrđene u posebnom poglavlju o upravljanju ljudskim resursima u Priručniku o procedurama za IPA III, kao i u nekoliko aneksa. Iako se u ovom poglavlju pominje okvir kompetencija, nije jasno na koji način ovaj okvir treba da bude razvijen. Kada je riječ o razvoju osoblja, predviđena je Obuka za uvođenje u posao za sve novoangažovano osoblje, pod nadzorom formalno imenovanog mentora u IPA tijelu. Obuka za uvođenje u posao obuhvata opštu obuku, obuku za konkretan posao i proučavanje relevantnih pravnih akata za instituciju i IPA, a predviđeno je da se sprovodi unutar same institucije. Treba napomenuti da ček-lista takođe uključuje niz opštih aspekata koji nijesu vezani za IPA, kao i obuku o pravnim aktima koji se odnose na IPA, kao i obuku za konkretne zadatke na poslu. Kako se i očekuje za ovaj tip programa za uvođenje, koji mora biti fleksibilan u zavisnosti od datuma zaposlenja pojedinca, ne postoji direktna veza između ove obuke i obuka koje sprovodi Uprava za ljudske resurse (</w:t>
      </w:r>
      <w:r w:rsidR="000270DD">
        <w:t>UZLJK</w:t>
      </w:r>
      <w:r>
        <w:t>). Ove obuke spadaju pod širu politiku obuke koja se primjenjuje na sve zaposlene u IPA III tijelima.</w:t>
      </w:r>
    </w:p>
    <w:p w14:paraId="4BF58E31" w14:textId="7AFEBDB9" w:rsidR="003D2E3C" w:rsidRDefault="003D2E3C" w:rsidP="003D2E3C">
      <w:r>
        <w:t xml:space="preserve">Što se tiče politike obuke, koristi se standardizovan pristup za sve zaposlene u IPA tijelima, uz analizu potreba za </w:t>
      </w:r>
      <w:r w:rsidR="00671D09">
        <w:t>obukama</w:t>
      </w:r>
      <w:r>
        <w:t xml:space="preserve"> koju sprovodi </w:t>
      </w:r>
      <w:r w:rsidR="000270DD">
        <w:t>UZLJK</w:t>
      </w:r>
      <w:r>
        <w:t>. Standardizovani Upitnik</w:t>
      </w:r>
      <w:r w:rsidR="00671D09">
        <w:t xml:space="preserve"> </w:t>
      </w:r>
      <w:r>
        <w:t>potreba za obuk</w:t>
      </w:r>
      <w:r w:rsidR="00671D09">
        <w:t>a</w:t>
      </w:r>
      <w:r>
        <w:t>m</w:t>
      </w:r>
      <w:r w:rsidR="00671D09">
        <w:t>a</w:t>
      </w:r>
      <w:r>
        <w:t xml:space="preserve"> (</w:t>
      </w:r>
      <w:r w:rsidR="00C17022">
        <w:t>UPO</w:t>
      </w:r>
      <w:r>
        <w:t xml:space="preserve">) popunjavaju svi zaposleni jednom godišnje. Prilikom prijema novozaposlenog sprovodi se individualna analiza potreba za </w:t>
      </w:r>
      <w:r w:rsidR="00671D09">
        <w:t>obukama</w:t>
      </w:r>
      <w:r>
        <w:t>. Svako IPA tijelo analizira pojedinačne upitnike</w:t>
      </w:r>
      <w:r w:rsidR="00671D09">
        <w:t xml:space="preserve"> za</w:t>
      </w:r>
      <w:r>
        <w:t xml:space="preserve"> svoj</w:t>
      </w:r>
      <w:r w:rsidR="00671D09">
        <w:t>e</w:t>
      </w:r>
      <w:r>
        <w:t xml:space="preserve"> zaposlen</w:t>
      </w:r>
      <w:r w:rsidR="00671D09">
        <w:t>e</w:t>
      </w:r>
      <w:r>
        <w:t xml:space="preserve"> kako bi kreiralo Godišnji plan obuka za to tijelo. Svako IPA tijelo vodi evidenciju o obukama na nivou organizacije. Pored toga, evidencije o obukama se vode i za svakog zaposlenog i uključuju sve obuke kojima je prisustvovao.</w:t>
      </w:r>
    </w:p>
    <w:p w14:paraId="4E612766" w14:textId="0D3A5B9F" w:rsidR="003D2E3C" w:rsidRDefault="003D2E3C" w:rsidP="003D2E3C">
      <w:r>
        <w:t xml:space="preserve">Upitnik o potrebama za </w:t>
      </w:r>
      <w:r w:rsidR="00671D09">
        <w:t>obukama</w:t>
      </w:r>
      <w:r>
        <w:t xml:space="preserve"> za IPA III nije zasnovan na pristupu baziranom na kompetencijama. Odgovornosti su veoma široko definisane prema funkcijama sa unapr</w:t>
      </w:r>
      <w:r w:rsidR="00B76AAD">
        <w:t>ij</w:t>
      </w:r>
      <w:r>
        <w:t>ed definisane liste, na prim</w:t>
      </w:r>
      <w:r w:rsidR="00B76AAD">
        <w:t>j</w:t>
      </w:r>
      <w:r>
        <w:t>er funkcije iz oblasti finansijskog upravljanja, i ne identifikuju se konkretni zadaci. Dodatno, ne postoji samoproc</w:t>
      </w:r>
      <w:r w:rsidR="00B76AAD">
        <w:t>j</w:t>
      </w:r>
      <w:r>
        <w:t>ena stvarnog znanja i iskustva pojedinačnih ispitanika u odnosu na specifične kompetencije, što bi omogućilo identifikovanje srednjoročnih ciljeva za profesionalni razvoj. Predlaže se generička i ne pret</w:t>
      </w:r>
      <w:r w:rsidR="00B76AAD">
        <w:t>j</w:t>
      </w:r>
      <w:r>
        <w:t xml:space="preserve">erano obimna lista tema za obuku, bez mogućnosti da ispitanici odrede prioritete za svoje potrebe za </w:t>
      </w:r>
      <w:r w:rsidR="00671D09">
        <w:t>obukama</w:t>
      </w:r>
      <w:r>
        <w:t>. Jedno pitanje (sa odgovorom DA/NE) postavlja se u vezi sa tim da li je prethodna obuka sprovedena, ali ne postoje pitanja o vrsti ili nivou obuke. To znači da se iz upitnika mogu dobiti samo sumarni i površni podaci.</w:t>
      </w:r>
    </w:p>
    <w:p w14:paraId="39D47DF8" w14:textId="5ED0C818" w:rsidR="003D2E3C" w:rsidRDefault="003D2E3C" w:rsidP="003D2E3C">
      <w:r>
        <w:t xml:space="preserve">Ministarstvo finansija, u saradnji sa </w:t>
      </w:r>
      <w:r w:rsidR="000270DD">
        <w:t>UZLJK</w:t>
      </w:r>
      <w:r>
        <w:t xml:space="preserve"> i Ministarstvom za evropske poslove – </w:t>
      </w:r>
      <w:r w:rsidR="0086543E" w:rsidRPr="0086543E">
        <w:t>NIPAK</w:t>
      </w:r>
      <w:r>
        <w:t xml:space="preserve"> kancelarijom, organizuje obuke iz oblasti upravljanja EU fondovima</w:t>
      </w:r>
      <w:r w:rsidR="00B76AAD" w:rsidRPr="00B83578">
        <w:rPr>
          <w:rFonts w:cs="Arial"/>
          <w:sz w:val="22"/>
          <w:vertAlign w:val="superscript"/>
        </w:rPr>
        <w:footnoteReference w:id="123"/>
      </w:r>
      <w:r>
        <w:t xml:space="preserve"> koje dopunjuju opšte kurseve koje nudi </w:t>
      </w:r>
      <w:r w:rsidR="000270DD">
        <w:t>UZLJK</w:t>
      </w:r>
      <w:r>
        <w:t xml:space="preserve">. </w:t>
      </w:r>
      <w:r>
        <w:lastRenderedPageBreak/>
        <w:t>Teme se određuju na osnovu potreba koje proc</w:t>
      </w:r>
      <w:r w:rsidR="00B76AAD">
        <w:t>j</w:t>
      </w:r>
      <w:r>
        <w:t xml:space="preserve">enjuju upravljačka struktura i Ministarstvo za evropske poslove – </w:t>
      </w:r>
      <w:r w:rsidR="0086543E" w:rsidRPr="0086543E">
        <w:t>NIPAK</w:t>
      </w:r>
      <w:r>
        <w:t xml:space="preserve"> kancelarija, a predviđeno je da se svake godine preispituju i prilagođavaju.</w:t>
      </w:r>
    </w:p>
    <w:p w14:paraId="3C1DDCAB" w14:textId="5F6C2529" w:rsidR="00B76AAD" w:rsidRDefault="00B76AAD" w:rsidP="00B76AAD">
      <w:bookmarkStart w:id="129" w:name="_Hlk136945093"/>
      <w:r>
        <w:t>Izazovi u vezi sa kapacitetima IPA struktura i dalje izazivaju zabrinutost, iako se sada preduzimaju određeni koraci; kako je navedeno u Godišnjem izvještaju EK za 2024. godinu, Poglavlje 22 (str. 87): „Administrativni kapacitet</w:t>
      </w:r>
      <w:r w:rsidR="00DB103E">
        <w:t>i</w:t>
      </w:r>
      <w:r>
        <w:t xml:space="preserve"> i dalje predstavlja</w:t>
      </w:r>
      <w:r w:rsidR="00DB103E">
        <w:t>ju</w:t>
      </w:r>
      <w:r>
        <w:t xml:space="preserve"> ključnu oblast reforme. Vlada je obnovila politiku zadržavanja kadrova u javnoj upravi. Određeni broj privremenih ugovora pretvoren je u stalna radna mjesta. Naručena je analiza potreba za </w:t>
      </w:r>
      <w:r w:rsidR="00671D09">
        <w:t>obukama</w:t>
      </w:r>
      <w:r>
        <w:t xml:space="preserve"> zasnovana na kompetencijama s ciljem pripreme preporuka za razvoj kapaciteta IPA struktura, a vlada je pokrenula funkcionalnu reviziju u odabranim oblastima politika relevantnim za regionalnu politiku. Kroz IPA finansijsku podršku obezbijeđena su sredstva za pripremu i </w:t>
      </w:r>
      <w:r w:rsidR="00A80895">
        <w:t>implementaciju</w:t>
      </w:r>
      <w:r>
        <w:t xml:space="preserve"> politike zapošljavanja zasnovane na </w:t>
      </w:r>
      <w:proofErr w:type="gramStart"/>
      <w:r>
        <w:t>zaslugama.“</w:t>
      </w:r>
      <w:proofErr w:type="gramEnd"/>
    </w:p>
    <w:p w14:paraId="0D78C8A7" w14:textId="60CC7B97" w:rsidR="00B76AAD" w:rsidRDefault="00B76AAD" w:rsidP="00B76AAD">
      <w:r>
        <w:t xml:space="preserve">Trenutno je u toku nekoliko projekata </w:t>
      </w:r>
      <w:r w:rsidR="00F6773D">
        <w:t>tehničke pomoći</w:t>
      </w:r>
      <w:r>
        <w:t xml:space="preserve"> finansiranih iz IPA sredstava koji se bave jačanjem kapaciteta IPA tijela. To uključuje:</w:t>
      </w:r>
    </w:p>
    <w:p w14:paraId="1611F63E" w14:textId="6352891A" w:rsidR="00B76AAD" w:rsidRPr="003864AC" w:rsidRDefault="00B76AAD" w:rsidP="00D15218">
      <w:pPr>
        <w:pStyle w:val="ListParagraph"/>
        <w:numPr>
          <w:ilvl w:val="0"/>
          <w:numId w:val="33"/>
        </w:numPr>
      </w:pPr>
      <w:r w:rsidRPr="003864AC">
        <w:t xml:space="preserve">Podršku planiranju, programiranju i koordinaciji vezanoj za EU i druge finansijske instrumente, uključujući sektorske operativne programe i pregovaračko Poglavlje 22 (PPF sa </w:t>
      </w:r>
      <w:r w:rsidR="0086543E" w:rsidRPr="0086543E">
        <w:t>NIPAK</w:t>
      </w:r>
      <w:r w:rsidRPr="003864AC">
        <w:t xml:space="preserve">-om);  </w:t>
      </w:r>
    </w:p>
    <w:p w14:paraId="0CC7C533" w14:textId="6D3B9A65" w:rsidR="00B76AAD" w:rsidRPr="003864AC" w:rsidRDefault="00F6773D" w:rsidP="00D15218">
      <w:pPr>
        <w:pStyle w:val="ListParagraph"/>
        <w:numPr>
          <w:ilvl w:val="0"/>
          <w:numId w:val="33"/>
        </w:numPr>
      </w:pPr>
      <w:r>
        <w:t>Tehničku pomoć</w:t>
      </w:r>
      <w:r w:rsidR="00B76AAD" w:rsidRPr="003864AC">
        <w:t xml:space="preserve"> Direktoratu za finansiranje i ugovaranje sredstava EU </w:t>
      </w:r>
      <w:r w:rsidR="00477A44">
        <w:t>podrške</w:t>
      </w:r>
      <w:r w:rsidR="00B76AAD" w:rsidRPr="003864AC">
        <w:t xml:space="preserve"> (CFCU) za IPA instrument;  </w:t>
      </w:r>
    </w:p>
    <w:p w14:paraId="0B7C5CD3" w14:textId="3B42CD39" w:rsidR="00B76AAD" w:rsidRPr="003864AC" w:rsidRDefault="00B76AAD" w:rsidP="00D15218">
      <w:pPr>
        <w:pStyle w:val="ListParagraph"/>
        <w:numPr>
          <w:ilvl w:val="0"/>
          <w:numId w:val="33"/>
        </w:numPr>
      </w:pPr>
      <w:r w:rsidRPr="003864AC">
        <w:t>Podršku Direktoratu za upravljačku strukturu.</w:t>
      </w:r>
    </w:p>
    <w:p w14:paraId="04EB008E" w14:textId="029925F4" w:rsidR="00B76AAD" w:rsidRDefault="00B76AAD" w:rsidP="00B76AAD">
      <w:r>
        <w:t xml:space="preserve">Dodatno je obezbijeđena specifična </w:t>
      </w:r>
      <w:r w:rsidR="00F6773D">
        <w:t>tehnička pomoć</w:t>
      </w:r>
      <w:r>
        <w:t xml:space="preserve"> relevantna za dva višegodišnja operativna programa IPA III</w:t>
      </w:r>
      <w:r w:rsidR="00DB103E" w:rsidRPr="00B83578">
        <w:rPr>
          <w:rFonts w:eastAsia="Times New Roman" w:cs="Arial"/>
          <w:color w:val="000000"/>
          <w:vertAlign w:val="superscript"/>
        </w:rPr>
        <w:footnoteReference w:id="124"/>
      </w:r>
      <w:r>
        <w:t>.</w:t>
      </w:r>
    </w:p>
    <w:p w14:paraId="2F920194" w14:textId="1402D670" w:rsidR="00DB103E" w:rsidRDefault="00B76AAD" w:rsidP="00B76AAD">
      <w:r>
        <w:t xml:space="preserve">U okviru projekta PPF sa </w:t>
      </w:r>
      <w:r w:rsidR="0086543E" w:rsidRPr="0086543E">
        <w:t>NIPAK</w:t>
      </w:r>
      <w:r>
        <w:t>-om izrađen je prilagođeni Okvir kompetencija koji identifikuje kombinaciju znanja, vještina i sposobnosti potrebnih za osoblje u institucijama IPA III</w:t>
      </w:r>
      <w:r w:rsidR="00DB103E" w:rsidRPr="009534E7">
        <w:rPr>
          <w:rFonts w:eastAsia="Times New Roman" w:cs="Arial"/>
          <w:bCs/>
          <w:vertAlign w:val="superscript"/>
        </w:rPr>
        <w:footnoteReference w:id="125"/>
      </w:r>
      <w:r>
        <w:t xml:space="preserve">, u skladu s njihovom dodijeljenom ulogom i zadacima definisanim važećim pravnim okvirom za IPA III, te je na osnovu </w:t>
      </w:r>
      <w:r w:rsidR="00DB103E">
        <w:t>O</w:t>
      </w:r>
      <w:r>
        <w:t>kvira</w:t>
      </w:r>
      <w:r w:rsidR="00DB103E">
        <w:t xml:space="preserve"> kompetentnosti</w:t>
      </w:r>
      <w:r w:rsidR="00DB103E" w:rsidRPr="00B83578">
        <w:rPr>
          <w:rFonts w:eastAsia="Times New Roman" w:cs="Arial"/>
          <w:bCs/>
          <w:color w:val="000000"/>
          <w:vertAlign w:val="superscript"/>
        </w:rPr>
        <w:footnoteReference w:id="126"/>
      </w:r>
      <w:r>
        <w:t xml:space="preserve"> pripremljen </w:t>
      </w:r>
      <w:r w:rsidR="00DB103E">
        <w:t>onlajn</w:t>
      </w:r>
      <w:r>
        <w:t xml:space="preserve"> Upitnik za procjenu kapaciteta. Odgovori su analizirani, </w:t>
      </w:r>
      <w:proofErr w:type="gramStart"/>
      <w:r>
        <w:t>a</w:t>
      </w:r>
      <w:proofErr w:type="gramEnd"/>
      <w:r>
        <w:t xml:space="preserve"> izrađen je Izvještaj o analizi potreba za </w:t>
      </w:r>
      <w:r w:rsidR="00671D09">
        <w:t>obukama</w:t>
      </w:r>
      <w:r>
        <w:t>. Ključni nalazi i mjere za njihovo rješavanje prikazani su u tabeli ispod:</w:t>
      </w:r>
    </w:p>
    <w:p w14:paraId="339D0EBA" w14:textId="77777777" w:rsidR="00A35E9A" w:rsidRPr="00B83578" w:rsidRDefault="00A35E9A" w:rsidP="00A35E9A">
      <w:pPr>
        <w:spacing w:after="0"/>
      </w:pPr>
    </w:p>
    <w:p w14:paraId="1377C048" w14:textId="3A811278" w:rsidR="003C2962" w:rsidRDefault="001D692B" w:rsidP="003C2962">
      <w:pPr>
        <w:pStyle w:val="Caption"/>
      </w:pPr>
      <w:bookmarkStart w:id="130" w:name="_Toc193895453"/>
      <w:r>
        <w:t>Tabela</w:t>
      </w:r>
      <w:r w:rsidR="003C2962">
        <w:t xml:space="preserve"> </w:t>
      </w:r>
      <w:fldSimple w:instr=" SEQ Table \* ARABIC ">
        <w:r w:rsidR="003C2962">
          <w:rPr>
            <w:noProof/>
          </w:rPr>
          <w:t>9</w:t>
        </w:r>
      </w:fldSimple>
      <w:r w:rsidR="003C2962">
        <w:t xml:space="preserve">: </w:t>
      </w:r>
      <w:r w:rsidRPr="001D692B">
        <w:t xml:space="preserve">PPF sa </w:t>
      </w:r>
      <w:r w:rsidR="0086543E">
        <w:t>NIPAK</w:t>
      </w:r>
      <w:r w:rsidRPr="001D692B">
        <w:t>-om - Nalazi TNA izvještaja</w:t>
      </w:r>
      <w:bookmarkEnd w:id="130"/>
    </w:p>
    <w:tbl>
      <w:tblPr>
        <w:tblStyle w:val="TableGrid"/>
        <w:tblW w:w="0" w:type="auto"/>
        <w:tblLook w:val="04A0" w:firstRow="1" w:lastRow="0" w:firstColumn="1" w:lastColumn="0" w:noHBand="0" w:noVBand="1"/>
      </w:tblPr>
      <w:tblGrid>
        <w:gridCol w:w="4675"/>
        <w:gridCol w:w="4675"/>
      </w:tblGrid>
      <w:tr w:rsidR="003C2962" w:rsidRPr="003C2962" w14:paraId="0BF3AEF8" w14:textId="77777777" w:rsidTr="00A35E9A">
        <w:trPr>
          <w:tblHeader/>
        </w:trPr>
        <w:tc>
          <w:tcPr>
            <w:tcW w:w="4675" w:type="dxa"/>
            <w:shd w:val="clear" w:color="auto" w:fill="153D63" w:themeFill="text2" w:themeFillTint="E6"/>
          </w:tcPr>
          <w:p w14:paraId="65825CE4" w14:textId="035E47C9" w:rsidR="000D076B" w:rsidRPr="003C2962" w:rsidRDefault="000D076B" w:rsidP="003C2962">
            <w:r w:rsidRPr="003C2962">
              <w:t xml:space="preserve">TNA </w:t>
            </w:r>
            <w:r w:rsidR="003864AC">
              <w:t>nalazi</w:t>
            </w:r>
          </w:p>
        </w:tc>
        <w:tc>
          <w:tcPr>
            <w:tcW w:w="4675" w:type="dxa"/>
            <w:shd w:val="clear" w:color="auto" w:fill="153D63" w:themeFill="text2" w:themeFillTint="E6"/>
          </w:tcPr>
          <w:p w14:paraId="5532765D" w14:textId="38B44430" w:rsidR="000D076B" w:rsidRPr="003C2962" w:rsidRDefault="000D076B" w:rsidP="003C2962">
            <w:r w:rsidRPr="003C2962">
              <w:t>P</w:t>
            </w:r>
            <w:r w:rsidR="003864AC">
              <w:t>redložene mjere</w:t>
            </w:r>
          </w:p>
        </w:tc>
      </w:tr>
      <w:tr w:rsidR="003C2962" w:rsidRPr="003C2962" w14:paraId="3843FA7D" w14:textId="77777777" w:rsidTr="00E6468C">
        <w:tc>
          <w:tcPr>
            <w:tcW w:w="4675" w:type="dxa"/>
          </w:tcPr>
          <w:p w14:paraId="1E8C2A20" w14:textId="77DF1FBC" w:rsidR="000D076B" w:rsidRPr="003864AC" w:rsidRDefault="000637EA" w:rsidP="003C2962">
            <w:pPr>
              <w:rPr>
                <w:sz w:val="18"/>
                <w:szCs w:val="18"/>
                <w:highlight w:val="yellow"/>
              </w:rPr>
            </w:pPr>
            <w:r w:rsidRPr="000637EA">
              <w:rPr>
                <w:sz w:val="18"/>
                <w:szCs w:val="18"/>
              </w:rPr>
              <w:t>Ograničeno razum</w:t>
            </w:r>
            <w:r>
              <w:rPr>
                <w:sz w:val="18"/>
                <w:szCs w:val="18"/>
              </w:rPr>
              <w:t>ij</w:t>
            </w:r>
            <w:r w:rsidRPr="000637EA">
              <w:rPr>
                <w:sz w:val="18"/>
                <w:szCs w:val="18"/>
              </w:rPr>
              <w:t>evanje IPA III sistema u c</w:t>
            </w:r>
            <w:r>
              <w:rPr>
                <w:sz w:val="18"/>
                <w:szCs w:val="18"/>
              </w:rPr>
              <w:t>j</w:t>
            </w:r>
            <w:r w:rsidRPr="000637EA">
              <w:rPr>
                <w:sz w:val="18"/>
                <w:szCs w:val="18"/>
              </w:rPr>
              <w:t>elini, prvenstveno zbog prom</w:t>
            </w:r>
            <w:r>
              <w:rPr>
                <w:sz w:val="18"/>
                <w:szCs w:val="18"/>
              </w:rPr>
              <w:t>j</w:t>
            </w:r>
            <w:r w:rsidRPr="000637EA">
              <w:rPr>
                <w:sz w:val="18"/>
                <w:szCs w:val="18"/>
              </w:rPr>
              <w:t>ena u odnosu na IPA II i nedovoljnog razum</w:t>
            </w:r>
            <w:r>
              <w:rPr>
                <w:sz w:val="18"/>
                <w:szCs w:val="18"/>
              </w:rPr>
              <w:t>ij</w:t>
            </w:r>
            <w:r w:rsidRPr="000637EA">
              <w:rPr>
                <w:sz w:val="18"/>
                <w:szCs w:val="18"/>
              </w:rPr>
              <w:t>evanja odgovornosti utvrđenih Okvirnim sporazumom o finansijskom partnerstvu.</w:t>
            </w:r>
          </w:p>
        </w:tc>
        <w:tc>
          <w:tcPr>
            <w:tcW w:w="4675" w:type="dxa"/>
          </w:tcPr>
          <w:p w14:paraId="15EB874F" w14:textId="77777777" w:rsidR="000637EA" w:rsidRPr="000637EA" w:rsidRDefault="000637EA" w:rsidP="000637EA">
            <w:pPr>
              <w:rPr>
                <w:sz w:val="18"/>
                <w:szCs w:val="18"/>
              </w:rPr>
            </w:pPr>
            <w:r w:rsidRPr="000637EA">
              <w:rPr>
                <w:sz w:val="18"/>
                <w:szCs w:val="18"/>
              </w:rPr>
              <w:t>Uvođenje Indukcionog programa IPA III od novembra 2024. za svo osoblje u IPA institucijama uz redovno ponavljanje po potrebi.</w:t>
            </w:r>
          </w:p>
          <w:p w14:paraId="58FB3598" w14:textId="6D1EB836" w:rsidR="000D076B" w:rsidRPr="003864AC" w:rsidRDefault="000637EA" w:rsidP="000637EA">
            <w:pPr>
              <w:rPr>
                <w:sz w:val="18"/>
                <w:szCs w:val="18"/>
                <w:highlight w:val="yellow"/>
              </w:rPr>
            </w:pPr>
            <w:r w:rsidRPr="000637EA">
              <w:rPr>
                <w:sz w:val="18"/>
                <w:szCs w:val="18"/>
              </w:rPr>
              <w:t>Unapr</w:t>
            </w:r>
            <w:r>
              <w:rPr>
                <w:sz w:val="18"/>
                <w:szCs w:val="18"/>
              </w:rPr>
              <w:t>j</w:t>
            </w:r>
            <w:r w:rsidRPr="000637EA">
              <w:rPr>
                <w:sz w:val="18"/>
                <w:szCs w:val="18"/>
              </w:rPr>
              <w:t>eđenja priručnika i povećan</w:t>
            </w:r>
            <w:r>
              <w:rPr>
                <w:sz w:val="18"/>
                <w:szCs w:val="18"/>
              </w:rPr>
              <w:t>a angažovanost</w:t>
            </w:r>
            <w:r w:rsidRPr="000637EA">
              <w:rPr>
                <w:sz w:val="18"/>
                <w:szCs w:val="18"/>
              </w:rPr>
              <w:t xml:space="preserve"> zasnovano na praktičnom iskustvu i znanju.</w:t>
            </w:r>
          </w:p>
        </w:tc>
      </w:tr>
      <w:tr w:rsidR="003C2962" w:rsidRPr="003C2962" w14:paraId="6884BAAC" w14:textId="77777777" w:rsidTr="00E6468C">
        <w:tc>
          <w:tcPr>
            <w:tcW w:w="4675" w:type="dxa"/>
          </w:tcPr>
          <w:p w14:paraId="06546E4F" w14:textId="3137A2C9" w:rsidR="000D076B" w:rsidRPr="003864AC" w:rsidRDefault="000637EA" w:rsidP="003C2962">
            <w:pPr>
              <w:rPr>
                <w:sz w:val="18"/>
                <w:szCs w:val="18"/>
                <w:highlight w:val="yellow"/>
              </w:rPr>
            </w:pPr>
            <w:r w:rsidRPr="000637EA">
              <w:rPr>
                <w:sz w:val="18"/>
                <w:szCs w:val="18"/>
              </w:rPr>
              <w:t>Potrebna je zajednička, osnovna baza znanja za svo osoblje sa identifikovanim nedostacima u znanju, kao i za sve nov</w:t>
            </w:r>
            <w:r>
              <w:rPr>
                <w:sz w:val="18"/>
                <w:szCs w:val="18"/>
              </w:rPr>
              <w:t>o</w:t>
            </w:r>
            <w:r w:rsidRPr="000637EA">
              <w:rPr>
                <w:sz w:val="18"/>
                <w:szCs w:val="18"/>
              </w:rPr>
              <w:t>zaposlene, kako bi se izb</w:t>
            </w:r>
            <w:r>
              <w:rPr>
                <w:sz w:val="18"/>
                <w:szCs w:val="18"/>
              </w:rPr>
              <w:t>j</w:t>
            </w:r>
            <w:r w:rsidRPr="000637EA">
              <w:rPr>
                <w:sz w:val="18"/>
                <w:szCs w:val="18"/>
              </w:rPr>
              <w:t>egli konflikti u pristupima koji bi mogli da ugroze stabilnost sistema.</w:t>
            </w:r>
          </w:p>
        </w:tc>
        <w:tc>
          <w:tcPr>
            <w:tcW w:w="4675" w:type="dxa"/>
          </w:tcPr>
          <w:p w14:paraId="2DDA4323" w14:textId="7C94A2E3" w:rsidR="000637EA" w:rsidRPr="000637EA" w:rsidRDefault="000637EA" w:rsidP="000637EA">
            <w:pPr>
              <w:rPr>
                <w:sz w:val="18"/>
                <w:szCs w:val="18"/>
              </w:rPr>
            </w:pPr>
            <w:r w:rsidRPr="000637EA">
              <w:rPr>
                <w:sz w:val="18"/>
                <w:szCs w:val="18"/>
              </w:rPr>
              <w:t xml:space="preserve">Uvođenje Programa </w:t>
            </w:r>
            <w:r w:rsidR="000744D1">
              <w:rPr>
                <w:sz w:val="18"/>
                <w:szCs w:val="18"/>
              </w:rPr>
              <w:t>jačanja</w:t>
            </w:r>
            <w:r w:rsidRPr="000637EA">
              <w:rPr>
                <w:sz w:val="18"/>
                <w:szCs w:val="18"/>
              </w:rPr>
              <w:t xml:space="preserve"> kapaciteta IPA </w:t>
            </w:r>
            <w:proofErr w:type="gramStart"/>
            <w:r w:rsidRPr="000637EA">
              <w:rPr>
                <w:sz w:val="18"/>
                <w:szCs w:val="18"/>
              </w:rPr>
              <w:t xml:space="preserve">III  </w:t>
            </w:r>
            <w:r>
              <w:rPr>
                <w:sz w:val="18"/>
                <w:szCs w:val="18"/>
              </w:rPr>
              <w:t>od</w:t>
            </w:r>
            <w:proofErr w:type="gramEnd"/>
            <w:r>
              <w:rPr>
                <w:sz w:val="18"/>
                <w:szCs w:val="18"/>
              </w:rPr>
              <w:t xml:space="preserve"> </w:t>
            </w:r>
            <w:r w:rsidRPr="000637EA">
              <w:rPr>
                <w:sz w:val="18"/>
                <w:szCs w:val="18"/>
              </w:rPr>
              <w:t xml:space="preserve"> decembr</w:t>
            </w:r>
            <w:r>
              <w:rPr>
                <w:sz w:val="18"/>
                <w:szCs w:val="18"/>
              </w:rPr>
              <w:t>a</w:t>
            </w:r>
            <w:r w:rsidRPr="000637EA">
              <w:rPr>
                <w:sz w:val="18"/>
                <w:szCs w:val="18"/>
              </w:rPr>
              <w:t xml:space="preserve"> 2024. za svo osoblje u IPA institucijama, uz redovno ponavljanje po potrebi.</w:t>
            </w:r>
          </w:p>
          <w:p w14:paraId="766A567C" w14:textId="4260BF59" w:rsidR="000D076B" w:rsidRPr="003864AC" w:rsidRDefault="000637EA" w:rsidP="000637EA">
            <w:pPr>
              <w:rPr>
                <w:sz w:val="18"/>
                <w:szCs w:val="18"/>
                <w:highlight w:val="yellow"/>
              </w:rPr>
            </w:pPr>
            <w:r w:rsidRPr="000637EA">
              <w:rPr>
                <w:sz w:val="18"/>
                <w:szCs w:val="18"/>
              </w:rPr>
              <w:t>Usvojen kaskadni pristup obuci: pružena uputstva višem/iskusnom osoblju IPA institucija za buduće sprovođenje obuke.</w:t>
            </w:r>
          </w:p>
        </w:tc>
      </w:tr>
      <w:tr w:rsidR="003C2962" w:rsidRPr="003C2962" w14:paraId="4491A550" w14:textId="77777777" w:rsidTr="00E6468C">
        <w:tc>
          <w:tcPr>
            <w:tcW w:w="4675" w:type="dxa"/>
          </w:tcPr>
          <w:p w14:paraId="46FA3A6A" w14:textId="261C15FF" w:rsidR="000D076B" w:rsidRPr="003864AC" w:rsidRDefault="000637EA" w:rsidP="003C2962">
            <w:pPr>
              <w:rPr>
                <w:sz w:val="18"/>
                <w:szCs w:val="18"/>
                <w:highlight w:val="yellow"/>
              </w:rPr>
            </w:pPr>
            <w:r w:rsidRPr="000637EA">
              <w:rPr>
                <w:sz w:val="18"/>
                <w:szCs w:val="18"/>
              </w:rPr>
              <w:t xml:space="preserve">Postoje ograničeni kapaciteti za finansijsko upravljanje i </w:t>
            </w:r>
            <w:r w:rsidR="00A80895" w:rsidRPr="00A80895">
              <w:rPr>
                <w:sz w:val="18"/>
                <w:szCs w:val="18"/>
              </w:rPr>
              <w:t>monitoring</w:t>
            </w:r>
            <w:r w:rsidRPr="000637EA">
              <w:rPr>
                <w:sz w:val="18"/>
                <w:szCs w:val="18"/>
              </w:rPr>
              <w:t xml:space="preserve"> višegodišnjih programa, jer je iskustvo u ovome vrlo malo. Što se tiče </w:t>
            </w:r>
            <w:r>
              <w:rPr>
                <w:sz w:val="18"/>
                <w:szCs w:val="18"/>
              </w:rPr>
              <w:t>monitoringa</w:t>
            </w:r>
            <w:r w:rsidRPr="000637EA">
              <w:rPr>
                <w:sz w:val="18"/>
                <w:szCs w:val="18"/>
              </w:rPr>
              <w:t>, kapaciteti upravljačkih t</w:t>
            </w:r>
            <w:r>
              <w:rPr>
                <w:sz w:val="18"/>
                <w:szCs w:val="18"/>
              </w:rPr>
              <w:t>ij</w:t>
            </w:r>
            <w:r w:rsidRPr="000637EA">
              <w:rPr>
                <w:sz w:val="18"/>
                <w:szCs w:val="18"/>
              </w:rPr>
              <w:t>ela za nove višegodišnje IPA III operativne programe potrebno je ojačati, a uloga pos</w:t>
            </w:r>
            <w:r w:rsidR="0032467D">
              <w:rPr>
                <w:sz w:val="18"/>
                <w:szCs w:val="18"/>
              </w:rPr>
              <w:t>e</w:t>
            </w:r>
            <w:r w:rsidRPr="000637EA">
              <w:rPr>
                <w:sz w:val="18"/>
                <w:szCs w:val="18"/>
              </w:rPr>
              <w:t xml:space="preserve">bnih Odbora za </w:t>
            </w:r>
            <w:r w:rsidR="0032467D">
              <w:rPr>
                <w:sz w:val="18"/>
                <w:szCs w:val="18"/>
              </w:rPr>
              <w:t>monitoring</w:t>
            </w:r>
            <w:r w:rsidRPr="000637EA">
              <w:rPr>
                <w:sz w:val="18"/>
                <w:szCs w:val="18"/>
              </w:rPr>
              <w:t xml:space="preserve"> treba biti osnažena u odnosu na </w:t>
            </w:r>
            <w:r w:rsidRPr="000637EA">
              <w:rPr>
                <w:sz w:val="18"/>
                <w:szCs w:val="18"/>
              </w:rPr>
              <w:lastRenderedPageBreak/>
              <w:t xml:space="preserve">dosadašnju praksu, takođe i u cilju pripreme za </w:t>
            </w:r>
            <w:r w:rsidR="00A80895">
              <w:rPr>
                <w:sz w:val="18"/>
                <w:szCs w:val="18"/>
              </w:rPr>
              <w:t>implementaciju</w:t>
            </w:r>
            <w:r w:rsidRPr="000637EA">
              <w:rPr>
                <w:sz w:val="18"/>
                <w:szCs w:val="18"/>
              </w:rPr>
              <w:t xml:space="preserve"> </w:t>
            </w:r>
            <w:r w:rsidR="0032467D">
              <w:rPr>
                <w:sz w:val="18"/>
                <w:szCs w:val="18"/>
              </w:rPr>
              <w:t xml:space="preserve">Kohezione </w:t>
            </w:r>
            <w:r w:rsidRPr="000637EA">
              <w:rPr>
                <w:sz w:val="18"/>
                <w:szCs w:val="18"/>
              </w:rPr>
              <w:t>politike</w:t>
            </w:r>
            <w:r w:rsidR="0032467D">
              <w:rPr>
                <w:sz w:val="18"/>
                <w:szCs w:val="18"/>
              </w:rPr>
              <w:t>.</w:t>
            </w:r>
          </w:p>
        </w:tc>
        <w:tc>
          <w:tcPr>
            <w:tcW w:w="4675" w:type="dxa"/>
          </w:tcPr>
          <w:p w14:paraId="40EA6EFD" w14:textId="595732CD" w:rsidR="0032467D" w:rsidRPr="0032467D" w:rsidRDefault="0032467D" w:rsidP="0032467D">
            <w:pPr>
              <w:rPr>
                <w:sz w:val="18"/>
                <w:szCs w:val="18"/>
              </w:rPr>
            </w:pPr>
            <w:r w:rsidRPr="0032467D">
              <w:rPr>
                <w:sz w:val="18"/>
                <w:szCs w:val="18"/>
              </w:rPr>
              <w:lastRenderedPageBreak/>
              <w:t xml:space="preserve">Uvođenje Programa za </w:t>
            </w:r>
            <w:r w:rsidR="000744D1">
              <w:rPr>
                <w:sz w:val="18"/>
                <w:szCs w:val="18"/>
              </w:rPr>
              <w:t>jačanje</w:t>
            </w:r>
            <w:r w:rsidRPr="0032467D">
              <w:rPr>
                <w:sz w:val="18"/>
                <w:szCs w:val="18"/>
              </w:rPr>
              <w:t xml:space="preserve"> kapaciteta u okviru IPA III od decembra 2024. za svo osoblje u IPA institucijama, uz redovno ponavljanje po potrebi.</w:t>
            </w:r>
          </w:p>
          <w:p w14:paraId="7CB0A870" w14:textId="77777777" w:rsidR="0032467D" w:rsidRPr="0032467D" w:rsidRDefault="0032467D" w:rsidP="0032467D">
            <w:pPr>
              <w:rPr>
                <w:sz w:val="18"/>
                <w:szCs w:val="18"/>
              </w:rPr>
            </w:pPr>
            <w:r w:rsidRPr="0032467D">
              <w:rPr>
                <w:sz w:val="18"/>
                <w:szCs w:val="18"/>
              </w:rPr>
              <w:t>Izgradnja kapaciteta i mentorstvo od strane posvećenih tehničkih asistenata prisutnih/planiranih za IPA strukture.</w:t>
            </w:r>
          </w:p>
          <w:p w14:paraId="72FBE51E" w14:textId="7984EC2F" w:rsidR="000D076B" w:rsidRPr="003864AC" w:rsidRDefault="0032467D" w:rsidP="0032467D">
            <w:pPr>
              <w:rPr>
                <w:sz w:val="18"/>
                <w:szCs w:val="18"/>
                <w:highlight w:val="yellow"/>
              </w:rPr>
            </w:pPr>
            <w:r w:rsidRPr="0032467D">
              <w:rPr>
                <w:sz w:val="18"/>
                <w:szCs w:val="18"/>
              </w:rPr>
              <w:lastRenderedPageBreak/>
              <w:t xml:space="preserve">Podrška iz PPF kroz projekat </w:t>
            </w:r>
            <w:r w:rsidR="00F6773D">
              <w:rPr>
                <w:sz w:val="18"/>
                <w:szCs w:val="18"/>
              </w:rPr>
              <w:t>tehničke pomoći</w:t>
            </w:r>
            <w:r w:rsidRPr="0032467D">
              <w:rPr>
                <w:sz w:val="18"/>
                <w:szCs w:val="18"/>
              </w:rPr>
              <w:t xml:space="preserve"> </w:t>
            </w:r>
            <w:r w:rsidR="0086543E" w:rsidRPr="0086543E">
              <w:rPr>
                <w:sz w:val="18"/>
                <w:szCs w:val="18"/>
              </w:rPr>
              <w:t>NIPAK</w:t>
            </w:r>
            <w:r w:rsidRPr="0032467D">
              <w:rPr>
                <w:sz w:val="18"/>
                <w:szCs w:val="18"/>
              </w:rPr>
              <w:t xml:space="preserve">-a novoosnovanim </w:t>
            </w:r>
            <w:r>
              <w:rPr>
                <w:sz w:val="18"/>
                <w:szCs w:val="18"/>
              </w:rPr>
              <w:t>O</w:t>
            </w:r>
            <w:r w:rsidRPr="0032467D">
              <w:rPr>
                <w:sz w:val="18"/>
                <w:szCs w:val="18"/>
              </w:rPr>
              <w:t>dborima za</w:t>
            </w:r>
            <w:r>
              <w:rPr>
                <w:sz w:val="18"/>
                <w:szCs w:val="18"/>
              </w:rPr>
              <w:t xml:space="preserve"> monitoring za</w:t>
            </w:r>
            <w:r w:rsidRPr="0032467D">
              <w:rPr>
                <w:sz w:val="18"/>
                <w:szCs w:val="18"/>
              </w:rPr>
              <w:t xml:space="preserve"> nove IPA III višegodišnje operativne programe, kao d</w:t>
            </w:r>
            <w:r>
              <w:rPr>
                <w:sz w:val="18"/>
                <w:szCs w:val="18"/>
              </w:rPr>
              <w:t>i</w:t>
            </w:r>
            <w:r w:rsidRPr="0032467D">
              <w:rPr>
                <w:sz w:val="18"/>
                <w:szCs w:val="18"/>
              </w:rPr>
              <w:t xml:space="preserve">o Programa za </w:t>
            </w:r>
            <w:r w:rsidR="000744D1">
              <w:rPr>
                <w:sz w:val="18"/>
                <w:szCs w:val="18"/>
              </w:rPr>
              <w:t>jačanje</w:t>
            </w:r>
            <w:r w:rsidRPr="0032467D">
              <w:rPr>
                <w:sz w:val="18"/>
                <w:szCs w:val="18"/>
              </w:rPr>
              <w:t xml:space="preserve"> kapaciteta za partnere.</w:t>
            </w:r>
          </w:p>
        </w:tc>
      </w:tr>
      <w:tr w:rsidR="003C2962" w:rsidRPr="003C2962" w14:paraId="0232B4FF" w14:textId="77777777" w:rsidTr="00E6468C">
        <w:tc>
          <w:tcPr>
            <w:tcW w:w="4675" w:type="dxa"/>
          </w:tcPr>
          <w:p w14:paraId="227FB9D1" w14:textId="00FBC242" w:rsidR="000D076B" w:rsidRPr="003864AC" w:rsidRDefault="0032467D" w:rsidP="003C2962">
            <w:pPr>
              <w:rPr>
                <w:sz w:val="18"/>
                <w:szCs w:val="18"/>
                <w:highlight w:val="yellow"/>
              </w:rPr>
            </w:pPr>
            <w:r w:rsidRPr="0032467D">
              <w:rPr>
                <w:sz w:val="18"/>
                <w:szCs w:val="18"/>
              </w:rPr>
              <w:lastRenderedPageBreak/>
              <w:t>Potrebno je ojačati finansijsko upravljanje na nivou programa kako bi se osiguralo adekvatno planiranje operacija (koje je potrebno programirati na godišnjem nivou), pravilno obezb</w:t>
            </w:r>
            <w:r>
              <w:rPr>
                <w:sz w:val="18"/>
                <w:szCs w:val="18"/>
              </w:rPr>
              <w:t>j</w:t>
            </w:r>
            <w:r w:rsidRPr="0032467D">
              <w:rPr>
                <w:sz w:val="18"/>
                <w:szCs w:val="18"/>
              </w:rPr>
              <w:t>eđivanje nacionalnog sufinansiranja i kontinuirano m</w:t>
            </w:r>
            <w:r>
              <w:rPr>
                <w:sz w:val="18"/>
                <w:szCs w:val="18"/>
              </w:rPr>
              <w:t>j</w:t>
            </w:r>
            <w:r w:rsidRPr="0032467D">
              <w:rPr>
                <w:sz w:val="18"/>
                <w:szCs w:val="18"/>
              </w:rPr>
              <w:t xml:space="preserve">erenje finansijskih performansi operativnih programa (planiranje, </w:t>
            </w:r>
            <w:r>
              <w:rPr>
                <w:sz w:val="18"/>
                <w:szCs w:val="18"/>
              </w:rPr>
              <w:t>monitoring</w:t>
            </w:r>
            <w:r w:rsidRPr="0032467D">
              <w:rPr>
                <w:sz w:val="18"/>
                <w:szCs w:val="18"/>
              </w:rPr>
              <w:t>, predviđanje, revidiranje i eventualne korektivne m</w:t>
            </w:r>
            <w:r w:rsidR="00ED3CD2">
              <w:rPr>
                <w:sz w:val="18"/>
                <w:szCs w:val="18"/>
              </w:rPr>
              <w:t>j</w:t>
            </w:r>
            <w:r w:rsidRPr="0032467D">
              <w:rPr>
                <w:sz w:val="18"/>
                <w:szCs w:val="18"/>
              </w:rPr>
              <w:t>ere) u cilju nesmetane implementacije, predviđanja potencijalnih uskih grla i izb</w:t>
            </w:r>
            <w:r>
              <w:rPr>
                <w:sz w:val="18"/>
                <w:szCs w:val="18"/>
              </w:rPr>
              <w:t>j</w:t>
            </w:r>
            <w:r w:rsidRPr="0032467D">
              <w:rPr>
                <w:sz w:val="18"/>
                <w:szCs w:val="18"/>
              </w:rPr>
              <w:t>egavanja eventualnog povlačenja sredstava.</w:t>
            </w:r>
          </w:p>
        </w:tc>
        <w:tc>
          <w:tcPr>
            <w:tcW w:w="4675" w:type="dxa"/>
          </w:tcPr>
          <w:p w14:paraId="37D199A9" w14:textId="2AEE7422" w:rsidR="0032467D" w:rsidRPr="0032467D" w:rsidRDefault="0032467D" w:rsidP="0032467D">
            <w:pPr>
              <w:rPr>
                <w:sz w:val="18"/>
                <w:szCs w:val="18"/>
              </w:rPr>
            </w:pPr>
            <w:r w:rsidRPr="0032467D">
              <w:rPr>
                <w:sz w:val="18"/>
                <w:szCs w:val="18"/>
              </w:rPr>
              <w:t xml:space="preserve">Izgradnja kapaciteta i mentorstvo od strane posvećenih </w:t>
            </w:r>
            <w:r w:rsidR="0032369C">
              <w:rPr>
                <w:sz w:val="18"/>
                <w:szCs w:val="18"/>
              </w:rPr>
              <w:t>TP</w:t>
            </w:r>
            <w:r w:rsidRPr="0032467D">
              <w:rPr>
                <w:sz w:val="18"/>
                <w:szCs w:val="18"/>
              </w:rPr>
              <w:t>, koji su prisutni/planirani za IPA strukture – u toku.</w:t>
            </w:r>
          </w:p>
          <w:p w14:paraId="6F6148CC" w14:textId="3ED09569" w:rsidR="000D076B" w:rsidRPr="003864AC" w:rsidRDefault="0032467D" w:rsidP="0032467D">
            <w:pPr>
              <w:rPr>
                <w:sz w:val="18"/>
                <w:szCs w:val="18"/>
                <w:highlight w:val="yellow"/>
              </w:rPr>
            </w:pPr>
            <w:r w:rsidRPr="0032467D">
              <w:rPr>
                <w:sz w:val="18"/>
                <w:szCs w:val="18"/>
              </w:rPr>
              <w:t xml:space="preserve">Poboljšan </w:t>
            </w:r>
            <w:r>
              <w:rPr>
                <w:sz w:val="18"/>
                <w:szCs w:val="18"/>
              </w:rPr>
              <w:t>monitoring</w:t>
            </w:r>
            <w:r w:rsidRPr="0032467D">
              <w:rPr>
                <w:sz w:val="18"/>
                <w:szCs w:val="18"/>
              </w:rPr>
              <w:t xml:space="preserve"> od strane Upravljačke strukture od 2025. godine.</w:t>
            </w:r>
          </w:p>
        </w:tc>
      </w:tr>
      <w:tr w:rsidR="003C2962" w:rsidRPr="003C2962" w14:paraId="31E2E8E8" w14:textId="77777777" w:rsidTr="00E6468C">
        <w:tc>
          <w:tcPr>
            <w:tcW w:w="4675" w:type="dxa"/>
          </w:tcPr>
          <w:p w14:paraId="6E5649EA" w14:textId="63CFD377" w:rsidR="000D076B" w:rsidRPr="003864AC" w:rsidRDefault="0032467D" w:rsidP="003C2962">
            <w:pPr>
              <w:rPr>
                <w:sz w:val="18"/>
                <w:szCs w:val="18"/>
                <w:highlight w:val="yellow"/>
              </w:rPr>
            </w:pPr>
            <w:r w:rsidRPr="0032467D">
              <w:rPr>
                <w:sz w:val="18"/>
                <w:szCs w:val="18"/>
              </w:rPr>
              <w:t>S obzirom na to da će novim t</w:t>
            </w:r>
            <w:r>
              <w:rPr>
                <w:sz w:val="18"/>
                <w:szCs w:val="18"/>
              </w:rPr>
              <w:t>ij</w:t>
            </w:r>
            <w:r w:rsidRPr="0032467D">
              <w:rPr>
                <w:sz w:val="18"/>
                <w:szCs w:val="18"/>
              </w:rPr>
              <w:t>elima u IPA sistemu – Upravljačkim t</w:t>
            </w:r>
            <w:r>
              <w:rPr>
                <w:sz w:val="18"/>
                <w:szCs w:val="18"/>
              </w:rPr>
              <w:t>ij</w:t>
            </w:r>
            <w:r w:rsidRPr="0032467D">
              <w:rPr>
                <w:sz w:val="18"/>
                <w:szCs w:val="18"/>
              </w:rPr>
              <w:t xml:space="preserve">elima i novom </w:t>
            </w:r>
            <w:r w:rsidR="003D7057">
              <w:rPr>
                <w:sz w:val="18"/>
                <w:szCs w:val="18"/>
              </w:rPr>
              <w:t>PTFU</w:t>
            </w:r>
            <w:r w:rsidRPr="0032467D">
              <w:rPr>
                <w:sz w:val="18"/>
                <w:szCs w:val="18"/>
              </w:rPr>
              <w:t xml:space="preserve"> (Zavod za zapošljavanje Crne Gore) – kao i postojećim </w:t>
            </w:r>
            <w:r w:rsidR="003D7057">
              <w:rPr>
                <w:sz w:val="18"/>
                <w:szCs w:val="18"/>
              </w:rPr>
              <w:t>PTFU</w:t>
            </w:r>
            <w:r w:rsidRPr="0032467D">
              <w:rPr>
                <w:sz w:val="18"/>
                <w:szCs w:val="18"/>
              </w:rPr>
              <w:t xml:space="preserve"> biti potrebno da u naredne 2 godine zaposle značajan broj ljudi kako bi se nosili sa novim odgovornostima i povećanim obimom posla usl</w:t>
            </w:r>
            <w:r>
              <w:rPr>
                <w:sz w:val="18"/>
                <w:szCs w:val="18"/>
              </w:rPr>
              <w:t>j</w:t>
            </w:r>
            <w:r w:rsidRPr="0032467D">
              <w:rPr>
                <w:sz w:val="18"/>
                <w:szCs w:val="18"/>
              </w:rPr>
              <w:t>ed implementacije Operativnih programa Potrebno je organizovati intenzivne kurseve obuke za novo osoblje, potencijalno razmatrajući dalju postepenu implementaciju kroz kaskadnu obuku i jačanje kapaciteta na radnom m</w:t>
            </w:r>
            <w:r>
              <w:rPr>
                <w:sz w:val="18"/>
                <w:szCs w:val="18"/>
              </w:rPr>
              <w:t>j</w:t>
            </w:r>
            <w:r w:rsidRPr="0032467D">
              <w:rPr>
                <w:sz w:val="18"/>
                <w:szCs w:val="18"/>
              </w:rPr>
              <w:t>estu kroz mentorski rad sa kolegama.</w:t>
            </w:r>
          </w:p>
        </w:tc>
        <w:tc>
          <w:tcPr>
            <w:tcW w:w="4675" w:type="dxa"/>
          </w:tcPr>
          <w:p w14:paraId="4C6395BC" w14:textId="4C53228A" w:rsidR="0032467D" w:rsidRPr="0032467D" w:rsidRDefault="0032467D" w:rsidP="0032467D">
            <w:pPr>
              <w:rPr>
                <w:sz w:val="18"/>
                <w:szCs w:val="18"/>
              </w:rPr>
            </w:pPr>
            <w:r w:rsidRPr="0032467D">
              <w:rPr>
                <w:sz w:val="18"/>
                <w:szCs w:val="18"/>
              </w:rPr>
              <w:t xml:space="preserve">Izgradnja kapaciteta i mentorstvo od strane posvećenih </w:t>
            </w:r>
            <w:r w:rsidR="0032369C">
              <w:rPr>
                <w:sz w:val="18"/>
                <w:szCs w:val="18"/>
              </w:rPr>
              <w:t>TP</w:t>
            </w:r>
            <w:r w:rsidRPr="0032467D">
              <w:rPr>
                <w:sz w:val="18"/>
                <w:szCs w:val="18"/>
              </w:rPr>
              <w:t xml:space="preserve">-a prisutnih/planiranih za IPA strukture, uključujući planiranu </w:t>
            </w:r>
            <w:r w:rsidR="00F6773D">
              <w:rPr>
                <w:sz w:val="18"/>
                <w:szCs w:val="18"/>
              </w:rPr>
              <w:t>Tehničku pomoć</w:t>
            </w:r>
            <w:r w:rsidRPr="0032467D">
              <w:rPr>
                <w:sz w:val="18"/>
                <w:szCs w:val="18"/>
              </w:rPr>
              <w:t xml:space="preserve"> za podršku obuci novih kadrova u sektorima zapošljavanja i socijalne zaštite/</w:t>
            </w:r>
            <w:r>
              <w:rPr>
                <w:sz w:val="18"/>
                <w:szCs w:val="18"/>
              </w:rPr>
              <w:t>zaštite životne okoline</w:t>
            </w:r>
            <w:r w:rsidRPr="0032467D">
              <w:rPr>
                <w:sz w:val="18"/>
                <w:szCs w:val="18"/>
              </w:rPr>
              <w:t xml:space="preserve">.  </w:t>
            </w:r>
          </w:p>
          <w:p w14:paraId="738E370D" w14:textId="3BEDF5F5" w:rsidR="000D076B" w:rsidRPr="003864AC" w:rsidRDefault="0032467D" w:rsidP="0032467D">
            <w:pPr>
              <w:rPr>
                <w:sz w:val="18"/>
                <w:szCs w:val="18"/>
                <w:highlight w:val="yellow"/>
              </w:rPr>
            </w:pPr>
            <w:r w:rsidRPr="0032467D">
              <w:rPr>
                <w:sz w:val="18"/>
                <w:szCs w:val="18"/>
              </w:rPr>
              <w:t>Pilot-projekt kaskadne obuke/mentors</w:t>
            </w:r>
            <w:r w:rsidR="00655711">
              <w:rPr>
                <w:sz w:val="18"/>
                <w:szCs w:val="18"/>
              </w:rPr>
              <w:t>kog rada sa kolegama</w:t>
            </w:r>
            <w:r w:rsidRPr="0032467D">
              <w:rPr>
                <w:sz w:val="18"/>
                <w:szCs w:val="18"/>
              </w:rPr>
              <w:t xml:space="preserve"> planiran je za 2025. godinu kroz podršku PPF-a u okviru projekta </w:t>
            </w:r>
            <w:r w:rsidR="00F6773D">
              <w:rPr>
                <w:sz w:val="18"/>
                <w:szCs w:val="18"/>
              </w:rPr>
              <w:t>Tehničke pomoći</w:t>
            </w:r>
            <w:r w:rsidRPr="0032467D">
              <w:rPr>
                <w:sz w:val="18"/>
                <w:szCs w:val="18"/>
              </w:rPr>
              <w:t xml:space="preserve"> </w:t>
            </w:r>
            <w:r w:rsidR="0086543E" w:rsidRPr="0086543E">
              <w:rPr>
                <w:sz w:val="18"/>
                <w:szCs w:val="18"/>
              </w:rPr>
              <w:t>NIPAK</w:t>
            </w:r>
            <w:r w:rsidRPr="0032467D">
              <w:rPr>
                <w:sz w:val="18"/>
                <w:szCs w:val="18"/>
              </w:rPr>
              <w:t>-u.</w:t>
            </w:r>
          </w:p>
        </w:tc>
      </w:tr>
    </w:tbl>
    <w:p w14:paraId="690DD76F" w14:textId="77777777" w:rsidR="000D076B" w:rsidRPr="00B83578" w:rsidRDefault="000D076B" w:rsidP="000D076B"/>
    <w:p w14:paraId="545B7119" w14:textId="73ADB50F" w:rsidR="00DB103E" w:rsidRDefault="00DB103E" w:rsidP="00DB103E">
      <w:r>
        <w:t xml:space="preserve">Shodno tome, razvijena su tri programa </w:t>
      </w:r>
      <w:r w:rsidR="00C30F51" w:rsidRPr="00C30F51">
        <w:t>jačanja kapaciteta</w:t>
      </w:r>
      <w:r>
        <w:t xml:space="preserve"> koja će se početi realizovati krajem 2024. godine:  </w:t>
      </w:r>
    </w:p>
    <w:p w14:paraId="73CAB9E7" w14:textId="77777777" w:rsidR="00DB103E" w:rsidRDefault="00DB103E" w:rsidP="00D15218">
      <w:pPr>
        <w:pStyle w:val="ListParagraph"/>
        <w:numPr>
          <w:ilvl w:val="0"/>
          <w:numId w:val="34"/>
        </w:numPr>
      </w:pPr>
      <w:r>
        <w:t xml:space="preserve">IPA III program uvodne obuke  </w:t>
      </w:r>
    </w:p>
    <w:p w14:paraId="1AE6B0E8" w14:textId="77777777" w:rsidR="00DB103E" w:rsidRDefault="00DB103E" w:rsidP="00D15218">
      <w:pPr>
        <w:pStyle w:val="ListParagraph"/>
        <w:numPr>
          <w:ilvl w:val="0"/>
          <w:numId w:val="34"/>
        </w:numPr>
      </w:pPr>
      <w:r>
        <w:t xml:space="preserve">IPA III napredni program obuke  </w:t>
      </w:r>
    </w:p>
    <w:p w14:paraId="3FBCEFB9" w14:textId="4A8BFC53" w:rsidR="00DB103E" w:rsidRDefault="00DB103E" w:rsidP="00D15218">
      <w:pPr>
        <w:pStyle w:val="ListParagraph"/>
        <w:numPr>
          <w:ilvl w:val="0"/>
          <w:numId w:val="34"/>
        </w:numPr>
      </w:pPr>
      <w:r>
        <w:t xml:space="preserve">Program uvodne obuke o Kohezionoj politici  </w:t>
      </w:r>
    </w:p>
    <w:p w14:paraId="56D332C1" w14:textId="77777777" w:rsidR="00DB103E" w:rsidRDefault="00DB103E" w:rsidP="00DB103E">
      <w:r>
        <w:t>Detalji o ovim programima dati su u Aneksu III.</w:t>
      </w:r>
    </w:p>
    <w:p w14:paraId="7DEEA6FA" w14:textId="09393060" w:rsidR="00DB103E" w:rsidRDefault="00DB103E" w:rsidP="00DB103E">
      <w:r>
        <w:t xml:space="preserve">U izradi je i Upitnik za procjenu kapaciteta u oblasti </w:t>
      </w:r>
      <w:r w:rsidR="00FA47C6">
        <w:t>Kohezione</w:t>
      </w:r>
      <w:r>
        <w:t xml:space="preserve"> politike</w:t>
      </w:r>
      <w:r w:rsidR="00FA47C6">
        <w:t xml:space="preserve"> usmjeren ka budućnosti</w:t>
      </w:r>
      <w:r>
        <w:t xml:space="preserve">, koji će se administrirati zaposlenima van IPA sistema, a koji rade u državnim organima s relevantnim nadležnostima za </w:t>
      </w:r>
      <w:r w:rsidR="00FA47C6">
        <w:t>K</w:t>
      </w:r>
      <w:r>
        <w:t xml:space="preserve">ohezionu politiku. Time će se obezbijediti potpuni pregled kapaciteta u nadležnim institucijama i stvoriti osnova za izradu Mape puta za </w:t>
      </w:r>
      <w:r w:rsidR="000744D1">
        <w:t>jačanje</w:t>
      </w:r>
      <w:r>
        <w:t xml:space="preserve"> administrativnih kapaciteta, kao i za posebne, naprednije programe </w:t>
      </w:r>
      <w:r w:rsidR="00C30F51" w:rsidRPr="00C30F51">
        <w:t>jačanja kapaciteta</w:t>
      </w:r>
      <w:r>
        <w:t xml:space="preserve">. Projekat </w:t>
      </w:r>
      <w:r w:rsidR="00F6773D">
        <w:t>tehničke pomoći</w:t>
      </w:r>
      <w:r>
        <w:t xml:space="preserve"> PPF sa </w:t>
      </w:r>
      <w:r w:rsidR="0086543E" w:rsidRPr="0086543E">
        <w:t>NIPAK</w:t>
      </w:r>
      <w:r>
        <w:t xml:space="preserve">-om će, nakon odabira partnera, takođe kreirati Program </w:t>
      </w:r>
      <w:r w:rsidR="00C30F51" w:rsidRPr="00C30F51">
        <w:t>jačanja kapaciteta</w:t>
      </w:r>
      <w:r>
        <w:t xml:space="preserve"> za učesnike u ekosistemu </w:t>
      </w:r>
      <w:r w:rsidR="00FA47C6">
        <w:t>Kohezione</w:t>
      </w:r>
      <w:r>
        <w:t xml:space="preserve"> politike.</w:t>
      </w:r>
    </w:p>
    <w:p w14:paraId="50973A05" w14:textId="58F55AB1" w:rsidR="000D076B" w:rsidRPr="00B83578" w:rsidRDefault="00543023" w:rsidP="003C2962">
      <w:pPr>
        <w:pStyle w:val="Heading3"/>
      </w:pPr>
      <w:bookmarkStart w:id="131" w:name="_Toc201700392"/>
      <w:r>
        <w:t>Kapaciteti aplikanata/korisnika EU Fondova</w:t>
      </w:r>
      <w:bookmarkEnd w:id="131"/>
      <w:r w:rsidR="000D076B" w:rsidRPr="00B83578">
        <w:t xml:space="preserve"> </w:t>
      </w:r>
    </w:p>
    <w:p w14:paraId="515A4A94" w14:textId="52646619" w:rsidR="009B61FA" w:rsidRDefault="009B61FA" w:rsidP="009B61FA">
      <w:r>
        <w:t>Iskustvo aplikanata/korisnika EU fondova u pripremi i sprovođenju grantova uglavnom je ograničeno na programe Teritorijalne saradnje, iako postoji, doduše vrlo ograničeno, iskustvo u učešću u grant-šemama u okviru nacionalnih akcionih programa</w:t>
      </w:r>
      <w:r w:rsidRPr="00B83578">
        <w:rPr>
          <w:rFonts w:eastAsia="Times New Roman" w:cs="Arial"/>
          <w:bCs/>
          <w:color w:val="000000"/>
          <w:vertAlign w:val="superscript"/>
        </w:rPr>
        <w:footnoteReference w:id="127"/>
      </w:r>
      <w:r>
        <w:t>. Nadalje, velika infrastrukturna ulaganja su se najčešće finansirala kroz WBIF, pa ih u mnogim slučajevima krajnji korisnici/vlasnici – poput opština – nijesu direktno sprovodili, već su se primjenjivale nabavke prema procedurama međunarodnih finansijskih institucija (</w:t>
      </w:r>
      <w:r w:rsidR="003D7057">
        <w:t>MFI</w:t>
      </w:r>
      <w:r>
        <w:t>). Zbog toga dosadašnje iskustvo ne odražava u potpunosti obimnu primjenu, širok opseg i različitu tipologiju aplikanata i korisnika grant-šema koje se mogu predvidjeti u okviru programa Kohezione politike, posebno kada je riječ o privatnom sektoru, velikim infrastrukturnim projektima i ESF+.</w:t>
      </w:r>
    </w:p>
    <w:p w14:paraId="6B44F042" w14:textId="33BB76A6" w:rsidR="009B61FA" w:rsidRDefault="009B61FA" w:rsidP="009B61FA">
      <w:r>
        <w:t xml:space="preserve">Kapaciteti lokalnih samouprava vrlo su raznoliki. </w:t>
      </w:r>
      <w:r w:rsidR="000270DD">
        <w:t>UZLJK</w:t>
      </w:r>
      <w:r>
        <w:t xml:space="preserve"> i Zajednica opština pripremaju zajedničke programe obuke prilagođene njihovim specifičnim potrebama, zasnovane na kontinuiranoj analizi potreba </w:t>
      </w:r>
      <w:r>
        <w:lastRenderedPageBreak/>
        <w:t xml:space="preserve">koju sprovodi Zajednica opština. Program obuke realizuje se uživo, </w:t>
      </w:r>
      <w:proofErr w:type="gramStart"/>
      <w:r>
        <w:t>a</w:t>
      </w:r>
      <w:proofErr w:type="gramEnd"/>
      <w:r>
        <w:t xml:space="preserve"> opštinama se na zahtjev nude ad-hok obuke; mogućnosti za međusobno mentorstvo i razmjenu iskustava maksimalno se koriste kroz aktivno učešće Zajednice opština.</w:t>
      </w:r>
    </w:p>
    <w:p w14:paraId="05762715" w14:textId="709372CA" w:rsidR="009B61FA" w:rsidRDefault="009B61FA" w:rsidP="009B61FA">
      <w:r>
        <w:t xml:space="preserve">Zajednica opština aktivno promoviše mogućnosti finansiranja opštinama, uključujući programe EU teritorijalne saradnje poput URBACT-a, i podstiče rad Mreže EU menadžera projekata. Uspostavljanje EU jedinica u opštinama – predviđeno nacrtom novog Zakona o lokalnoj samoupravi – obezbijediće „one-stop </w:t>
      </w:r>
      <w:proofErr w:type="gramStart"/>
      <w:r>
        <w:t>shop“ za</w:t>
      </w:r>
      <w:proofErr w:type="gramEnd"/>
      <w:r>
        <w:t xml:space="preserve"> informacije o izvorima finansiranja i može predstavljati efikasan kanal na teritorijalnom nivou i za druge aplikante/korisnike. Projekat „Opštine 4 EU – Osnaživanje lokalnih zajednica u procesu evropske integracije Crne </w:t>
      </w:r>
      <w:proofErr w:type="gramStart"/>
      <w:r>
        <w:t>Gore“ sprovešće</w:t>
      </w:r>
      <w:proofErr w:type="gramEnd"/>
      <w:r>
        <w:t xml:space="preserve"> posebnu analizu potreba, a koordinacija sa PPF tehničkom </w:t>
      </w:r>
      <w:r w:rsidR="00477A44">
        <w:t>podrškom</w:t>
      </w:r>
      <w:r>
        <w:t xml:space="preserve"> sa </w:t>
      </w:r>
      <w:r w:rsidR="0086543E" w:rsidRPr="0086543E">
        <w:t>NIPAK</w:t>
      </w:r>
      <w:r>
        <w:t xml:space="preserve">-om već je uspostavljena radi komplementarnosti pristupa i aktivnosti </w:t>
      </w:r>
      <w:r w:rsidR="00C30F51" w:rsidRPr="00C30F51">
        <w:t>jačanja kapaciteta</w:t>
      </w:r>
      <w:r>
        <w:t xml:space="preserve">. U tom smislu, predstavnici Zajednice opština biće pozvani da pohađaju Program uvodne obuke o kohezionoj politici koji će PPF sa </w:t>
      </w:r>
      <w:r w:rsidR="0086543E" w:rsidRPr="0086543E">
        <w:t>NIPAK</w:t>
      </w:r>
      <w:r>
        <w:t>-om realizovati od marta 2025</w:t>
      </w:r>
      <w:r w:rsidRPr="003C2962">
        <w:rPr>
          <w:vertAlign w:val="superscript"/>
        </w:rPr>
        <w:footnoteReference w:id="128"/>
      </w:r>
      <w:r>
        <w:t>.</w:t>
      </w:r>
    </w:p>
    <w:p w14:paraId="11925A95" w14:textId="40B6EEEB" w:rsidR="009B61FA" w:rsidRDefault="009B61FA" w:rsidP="009B61FA">
      <w:r>
        <w:t xml:space="preserve">S obzirom na navedeno, biće razvijen poseban Program </w:t>
      </w:r>
      <w:r w:rsidR="00C30F51" w:rsidRPr="00C30F51">
        <w:t>jačanja kapaciteta</w:t>
      </w:r>
      <w:r>
        <w:t xml:space="preserve"> za aplikante/korisnike sredstava EU fondova Kohezione politike, kako je opisano u nastavku, nakon sprovedene Analize potreba za </w:t>
      </w:r>
      <w:r w:rsidR="00671D09">
        <w:t>obukama</w:t>
      </w:r>
      <w:r>
        <w:t xml:space="preserve"> i uzimajući u obzir naučene lekcije, relevantna zapažanja i preporuke projektno-pripremnih fondova i druge </w:t>
      </w:r>
      <w:r w:rsidR="00F6773D">
        <w:t>tehničke pomoći</w:t>
      </w:r>
      <w:r>
        <w:t xml:space="preserve"> – uključujući one namijenjene opštinama, kao i nalaze revizija, evaluacija i programa teritorijalne saradnje.</w:t>
      </w:r>
    </w:p>
    <w:p w14:paraId="3299BF30" w14:textId="736C2EDF" w:rsidR="000D076B" w:rsidRPr="00B83578" w:rsidRDefault="00017758" w:rsidP="003C2962">
      <w:pPr>
        <w:pStyle w:val="Heading2"/>
      </w:pPr>
      <w:bookmarkStart w:id="132" w:name="_Toc201700393"/>
      <w:bookmarkEnd w:id="129"/>
      <w:r>
        <w:t>Planirane akcije</w:t>
      </w:r>
      <w:bookmarkEnd w:id="132"/>
      <w:r w:rsidR="000D076B" w:rsidRPr="00B83578">
        <w:t xml:space="preserve"> </w:t>
      </w:r>
    </w:p>
    <w:p w14:paraId="350A79FC" w14:textId="762DF30D" w:rsidR="009B61FA" w:rsidRDefault="009B61FA" w:rsidP="009B61FA">
      <w:r>
        <w:t>Administrativni kapacitet</w:t>
      </w:r>
      <w:r w:rsidR="00A33F18">
        <w:t>i</w:t>
      </w:r>
      <w:r>
        <w:t xml:space="preserve"> nalaz</w:t>
      </w:r>
      <w:r w:rsidR="00A33F18">
        <w:t>e</w:t>
      </w:r>
      <w:r>
        <w:t xml:space="preserve"> se u središtu rasprava o djelotvornosti Kohezi</w:t>
      </w:r>
      <w:r w:rsidR="00A33F18">
        <w:t>one</w:t>
      </w:r>
      <w:r>
        <w:t xml:space="preserve"> politike. On podrazumijeva uspostavljanje odgovarajućih organizacionih struktura, kao i efikasnih sistema i alata</w:t>
      </w:r>
      <w:r w:rsidR="00A33F18">
        <w:t>,</w:t>
      </w:r>
      <w:r>
        <w:t xml:space="preserve"> uključujući strateško planiranje, koordinaciju i prakse sprovođenja</w:t>
      </w:r>
      <w:r w:rsidR="00A33F18">
        <w:t>,</w:t>
      </w:r>
      <w:r>
        <w:t xml:space="preserve"> koji </w:t>
      </w:r>
      <w:r w:rsidR="00A33F18">
        <w:t>administraciji</w:t>
      </w:r>
      <w:r>
        <w:t xml:space="preserve"> omogućava transparentan i učinkovit rad. Osim toga, </w:t>
      </w:r>
      <w:r w:rsidR="00C30F51" w:rsidRPr="00C30F51">
        <w:t>jačanje kapaciteta</w:t>
      </w:r>
      <w:r>
        <w:t xml:space="preserve"> korisnika kroz cjelokupan investicioni ciklus ključna je za pravilno i efikasno korišćenje raspoloživih sredstava. Neophodno je, takođe, obezbijediti odgovarajuće </w:t>
      </w:r>
      <w:r w:rsidR="00A33F18">
        <w:t>omogućavajuće</w:t>
      </w:r>
      <w:r>
        <w:t xml:space="preserve"> (okvir) uslove (vidi </w:t>
      </w:r>
      <w:r w:rsidR="00A33F18">
        <w:t>Akciju</w:t>
      </w:r>
      <w:r>
        <w:t xml:space="preserve"> 1.4). Predložene akcije namijenjene su da upotpune </w:t>
      </w:r>
      <w:r w:rsidR="00A33F18">
        <w:t>akcije</w:t>
      </w:r>
      <w:r>
        <w:t xml:space="preserve"> planirane u drugim poglavljima.</w:t>
      </w:r>
    </w:p>
    <w:p w14:paraId="283247F0" w14:textId="639F26BB" w:rsidR="009B61FA" w:rsidRDefault="009B61FA" w:rsidP="009B61FA">
      <w:r>
        <w:t xml:space="preserve">Za </w:t>
      </w:r>
      <w:r w:rsidR="00A80895">
        <w:t>implementaciju</w:t>
      </w:r>
      <w:r>
        <w:t xml:space="preserve"> ove politike presudni su kompetentni, kvalifikovani i brojčano dovoljni ljudski i materijalni resursi. Pristup zajedničkog upravljanja, višeslojna priroda i operativni principi podrazumijevaju da državni službenici moraju posjedovati sposobnost vertikalne i horizontalne koordinacije, vještine posredovanja i komunikacije te umijeće integrisanja različitih vizija regionalnog razvoja. Oni koji rade na kreiranju i sprovođenju Kohezi</w:t>
      </w:r>
      <w:r w:rsidR="00A33F18">
        <w:t>one</w:t>
      </w:r>
      <w:r>
        <w:t xml:space="preserve"> politike moraju razmišljati međusektorski i sarađivati unutar i između upravnih struktura. Potrebno je da raspolažu složenim skupom vještina za djelotvorno oblikovanje i primjenu integrisanih politika, ali i vizijom i kompetencijama za suočavanje s neprestano promjenjivim globalnim izazovima na lokalnom nivou, uz razumijevanje složenosti finansijskog upravljanja, javnih nabavki i drugih pravila za realizaciju.</w:t>
      </w:r>
    </w:p>
    <w:p w14:paraId="6152CE9C" w14:textId="1DD2C70E" w:rsidR="009B61FA" w:rsidRDefault="00975088" w:rsidP="009B61FA">
      <w:r>
        <w:t>Regulativa</w:t>
      </w:r>
      <w:r w:rsidR="009B61FA">
        <w:t xml:space="preserve"> o zajedničkim odredbama (</w:t>
      </w:r>
      <w:r w:rsidR="00CD0020">
        <w:t>RZO</w:t>
      </w:r>
      <w:r w:rsidR="009B61FA">
        <w:t>) za period 2021–2027 stavlja veći naglasak na jačanje kapaciteta nego prethodni programski ciklusi, podstičući strateškiju upotrebu sredstava u tu svrhu. Administrativni kapacitet</w:t>
      </w:r>
      <w:r w:rsidR="00A33F18">
        <w:t>o</w:t>
      </w:r>
      <w:r w:rsidR="009B61FA">
        <w:t xml:space="preserve"> prepoznat</w:t>
      </w:r>
      <w:r w:rsidR="00A33F18">
        <w:t>i</w:t>
      </w:r>
      <w:r w:rsidR="009B61FA">
        <w:t xml:space="preserve"> </w:t>
      </w:r>
      <w:r w:rsidR="00A33F18">
        <w:t>su</w:t>
      </w:r>
      <w:r w:rsidR="009B61FA">
        <w:t xml:space="preserve"> kao ključ</w:t>
      </w:r>
      <w:r w:rsidR="00A33F18">
        <w:t>ni</w:t>
      </w:r>
      <w:r w:rsidR="009B61FA">
        <w:t xml:space="preserve"> za efikasnu realizaciju fondova, naročito u investicionim smjernicama iz izvještaja Evropskog semestra za 2019.</w:t>
      </w:r>
      <w:r w:rsidR="00A33F18">
        <w:t xml:space="preserve"> godinu, adresiranih na svaku državu članicu</w:t>
      </w:r>
      <w:r w:rsidR="009B61FA">
        <w:t xml:space="preserve"> (Aneks D).</w:t>
      </w:r>
    </w:p>
    <w:p w14:paraId="19AE18D8" w14:textId="1F92A364" w:rsidR="009B61FA" w:rsidRDefault="009B61FA" w:rsidP="009B61FA">
      <w:r>
        <w:t xml:space="preserve">Izgradnja administrativnih kapaciteta u Crnoj Gori predstavlja kontinuiran i dugoročan proces koji prati pripreme za Poglavlje 22 i za samu pripremu i </w:t>
      </w:r>
      <w:r w:rsidR="00A80895">
        <w:t>implementaciju</w:t>
      </w:r>
      <w:r>
        <w:t xml:space="preserve"> Kohezijske politike. Istovremeno, partneri i relevantni akteri moraju razumjeti svoju ulogu u tom procesu, u skladu s pristupom višeslojnog upravljanja.</w:t>
      </w:r>
    </w:p>
    <w:p w14:paraId="74BB5267" w14:textId="07308BC8" w:rsidR="00A33F18" w:rsidRDefault="009B61FA" w:rsidP="009B61FA">
      <w:r>
        <w:t>Na osnovu procjene trenutne situacije i u sv</w:t>
      </w:r>
      <w:r w:rsidR="00A33F18">
        <w:t>i</w:t>
      </w:r>
      <w:r>
        <w:t>jetlu relevantnih zahtjeva Kohezi</w:t>
      </w:r>
      <w:r w:rsidR="00A33F18">
        <w:t>one</w:t>
      </w:r>
      <w:r>
        <w:t xml:space="preserve"> politike, planiraju se sljedeće mjere:</w:t>
      </w:r>
    </w:p>
    <w:p w14:paraId="448F0E53" w14:textId="65D776BF" w:rsidR="000D076B" w:rsidRPr="00B83578" w:rsidRDefault="00543023" w:rsidP="003C2962">
      <w:pPr>
        <w:pStyle w:val="Heading3"/>
      </w:pPr>
      <w:bookmarkStart w:id="133" w:name="_Toc201700394"/>
      <w:r>
        <w:lastRenderedPageBreak/>
        <w:t>Akcija</w:t>
      </w:r>
      <w:r w:rsidR="000D076B" w:rsidRPr="00B83578">
        <w:t xml:space="preserve"> 3.1. </w:t>
      </w:r>
      <w:r>
        <w:t xml:space="preserve">Koncept i metodologija za Razvoj mape puta za </w:t>
      </w:r>
      <w:r w:rsidR="000744D1">
        <w:t>jačanje</w:t>
      </w:r>
      <w:r>
        <w:t xml:space="preserve"> administrativnih kapaciteta</w:t>
      </w:r>
      <w:r w:rsidR="000D076B" w:rsidRPr="00B83578">
        <w:t>.</w:t>
      </w:r>
      <w:bookmarkEnd w:id="133"/>
    </w:p>
    <w:p w14:paraId="056CF50B" w14:textId="1E3D58EB" w:rsidR="00A33F18" w:rsidRDefault="00A33F18" w:rsidP="00A33F18">
      <w:r>
        <w:t xml:space="preserve">Nadovezujući se na pilot akciju o unaprjeđenju </w:t>
      </w:r>
      <w:r w:rsidR="000744D1">
        <w:t>jačanja</w:t>
      </w:r>
      <w:r>
        <w:t xml:space="preserve"> administrativnih kapaciteta radi pripreme za programski period nakon 2020. godine, koju je OECD sproveo u ime i u bliskoj saradnji sa DG REGIO, te set alata</w:t>
      </w:r>
      <w:r w:rsidRPr="00B83578">
        <w:rPr>
          <w:rFonts w:eastAsia="Calibri"/>
          <w:vertAlign w:val="superscript"/>
        </w:rPr>
        <w:footnoteReference w:id="129"/>
      </w:r>
      <w:r>
        <w:t xml:space="preserve"> koji su pripremili sektori Evropske komisije i dobre prakse država članica, biće razvijen koncept i metodologija za izradu mape puta o </w:t>
      </w:r>
      <w:r w:rsidR="000744D1">
        <w:t>jačanju</w:t>
      </w:r>
      <w:r>
        <w:t xml:space="preserve"> administrativnih kapaciteta neophodnih za efikasnu administraciju i implementaciju fondova EU</w:t>
      </w:r>
      <w:r w:rsidR="004141C4" w:rsidRPr="00B83578">
        <w:rPr>
          <w:rFonts w:eastAsia="Times New Roman" w:cs="Arial"/>
          <w:color w:val="000000"/>
          <w:vertAlign w:val="superscript"/>
        </w:rPr>
        <w:footnoteReference w:id="130"/>
      </w:r>
      <w:r>
        <w:t>. Nadalje, biće uzeta u obzir iskustva država članica koje su već razvile mape puta. Metodologija će se zasnivati na razumijevanju da će predstavnici svih zainteresovanih strana biti uključeni u analizu, razvoj i implementaciju mape puta, što zaht</w:t>
      </w:r>
      <w:r w:rsidR="004141C4">
        <w:t>ij</w:t>
      </w:r>
      <w:r>
        <w:t>eva puno vlasništvo c</w:t>
      </w:r>
      <w:r w:rsidR="004141C4">
        <w:t>ij</w:t>
      </w:r>
      <w:r>
        <w:t>elog ekosistema Kohezione politike. Metodologija će obezb</w:t>
      </w:r>
      <w:r w:rsidR="004141C4">
        <w:t>ij</w:t>
      </w:r>
      <w:r>
        <w:t>editi detaljan vremenski okvir za razvoj mape puta i pružiti jasne informacije o tome kako će zainteresovane strane biti aktivno uključene tokom njenog razvoja.</w:t>
      </w:r>
    </w:p>
    <w:p w14:paraId="0D019C44" w14:textId="2F7EA322" w:rsidR="00A33F18" w:rsidRDefault="00A33F18" w:rsidP="00A33F18">
      <w:r>
        <w:t>Metodologija će uzeti u obzir instrument za samoproc</w:t>
      </w:r>
      <w:r w:rsidR="004141C4">
        <w:t>j</w:t>
      </w:r>
      <w:r>
        <w:t>enu za upravljačka t</w:t>
      </w:r>
      <w:r w:rsidR="004141C4">
        <w:t>ij</w:t>
      </w:r>
      <w:r>
        <w:t>ela</w:t>
      </w:r>
      <w:r w:rsidR="004141C4" w:rsidRPr="00B83578">
        <w:rPr>
          <w:vertAlign w:val="superscript"/>
        </w:rPr>
        <w:footnoteReference w:id="131"/>
      </w:r>
      <w:r w:rsidR="004141C4" w:rsidRPr="00B83578">
        <w:t xml:space="preserve"> </w:t>
      </w:r>
      <w:r>
        <w:t xml:space="preserve"> koji su razvili OECD i EK, i pružiti sm</w:t>
      </w:r>
      <w:r w:rsidR="004141C4">
        <w:t>j</w:t>
      </w:r>
      <w:r>
        <w:t>ernice o tome kako ga koristiti, s obzirom na to da su iskustva upravljačkih t</w:t>
      </w:r>
      <w:r w:rsidR="004141C4">
        <w:t>ij</w:t>
      </w:r>
      <w:r>
        <w:t>ela IPA značajno ograničena u poređenju sa odgovornostima upravljačkih t</w:t>
      </w:r>
      <w:r w:rsidR="004141C4">
        <w:t>ij</w:t>
      </w:r>
      <w:r>
        <w:t>ela za Kohezionu politiku.</w:t>
      </w:r>
    </w:p>
    <w:p w14:paraId="6E529DE3" w14:textId="0FBA3F0C" w:rsidR="00A33F18" w:rsidRDefault="00A33F18" w:rsidP="00A33F18">
      <w:r>
        <w:t>Metodologija će uključivati predloženi šablon za strategije organizacionog razvoja za institucije koje su identifikovane kao buduć</w:t>
      </w:r>
      <w:r w:rsidR="005F0E1C">
        <w:t>a</w:t>
      </w:r>
      <w:r>
        <w:t xml:space="preserve"> Programsk</w:t>
      </w:r>
      <w:r w:rsidR="005F0E1C">
        <w:t>a tijela</w:t>
      </w:r>
      <w:r>
        <w:t xml:space="preserve"> Kohezione politike (Završn</w:t>
      </w:r>
      <w:r w:rsidR="004141C4">
        <w:t>o mjerilo</w:t>
      </w:r>
      <w:r>
        <w:t xml:space="preserve"> 5).</w:t>
      </w:r>
    </w:p>
    <w:p w14:paraId="51D92BF7" w14:textId="0EBD0A4B" w:rsidR="000D076B" w:rsidRPr="00B83578" w:rsidRDefault="00543023" w:rsidP="003C2962">
      <w:pPr>
        <w:pStyle w:val="Heading3"/>
      </w:pPr>
      <w:bookmarkStart w:id="134" w:name="_Toc201700395"/>
      <w:r>
        <w:t>Akcija</w:t>
      </w:r>
      <w:r w:rsidR="000D076B" w:rsidRPr="00B83578">
        <w:t xml:space="preserve"> 3.2. </w:t>
      </w:r>
      <w:r>
        <w:t>Analiza potreba za obukom za Ekosistem Kohezione politike</w:t>
      </w:r>
      <w:bookmarkEnd w:id="134"/>
    </w:p>
    <w:p w14:paraId="0CBE9AAE" w14:textId="4CC3CF4F" w:rsidR="004141C4" w:rsidRDefault="004141C4" w:rsidP="004141C4">
      <w:r>
        <w:t xml:space="preserve">Analize potreba za </w:t>
      </w:r>
      <w:r w:rsidR="00671D09">
        <w:t>obukama</w:t>
      </w:r>
      <w:r>
        <w:t xml:space="preserve"> biće sprovedene za ekosistem Kohezione politike, koji se sastoji od tri grupe:</w:t>
      </w:r>
    </w:p>
    <w:p w14:paraId="3BE1D116" w14:textId="3785B480" w:rsidR="004141C4" w:rsidRDefault="004141C4" w:rsidP="00D15218">
      <w:pPr>
        <w:pStyle w:val="ListParagraph"/>
        <w:numPr>
          <w:ilvl w:val="0"/>
          <w:numId w:val="35"/>
        </w:numPr>
      </w:pPr>
      <w:r>
        <w:t xml:space="preserve">Institucije uključene u upravljanje fondovima Kohezione politike (buduća </w:t>
      </w:r>
      <w:r w:rsidR="005B55A5">
        <w:t>tijela programa</w:t>
      </w:r>
      <w:r>
        <w:t>, uključujući posrednička tijela)</w:t>
      </w:r>
    </w:p>
    <w:p w14:paraId="0F0A9576" w14:textId="77777777" w:rsidR="004141C4" w:rsidRDefault="004141C4" w:rsidP="00D15218">
      <w:pPr>
        <w:pStyle w:val="ListParagraph"/>
        <w:numPr>
          <w:ilvl w:val="0"/>
          <w:numId w:val="35"/>
        </w:numPr>
      </w:pPr>
      <w:r>
        <w:t>Partneri</w:t>
      </w:r>
    </w:p>
    <w:p w14:paraId="3CCD965E" w14:textId="75F81932" w:rsidR="004141C4" w:rsidRDefault="004141C4" w:rsidP="00D15218">
      <w:pPr>
        <w:pStyle w:val="ListParagraph"/>
        <w:numPr>
          <w:ilvl w:val="0"/>
          <w:numId w:val="35"/>
        </w:numPr>
      </w:pPr>
      <w:r>
        <w:t>(Potencijalni) korisnici fondova Kohezione politike.</w:t>
      </w:r>
    </w:p>
    <w:p w14:paraId="360E7AA7" w14:textId="0C5F8031" w:rsidR="004141C4" w:rsidRDefault="004141C4" w:rsidP="004141C4">
      <w:r>
        <w:t xml:space="preserve">Koristeći pristup zasnovan na kompetencijama i oslanjajući se na pilot akciju već sprovedenu za IPA institucije u okviru PPF sa projektom </w:t>
      </w:r>
      <w:r w:rsidR="00F6773D">
        <w:t>tehničke pomoći</w:t>
      </w:r>
      <w:r>
        <w:t xml:space="preserve"> </w:t>
      </w:r>
      <w:r w:rsidR="0086543E" w:rsidRPr="0086543E">
        <w:t>NIPAK</w:t>
      </w:r>
      <w:r>
        <w:t xml:space="preserve">-u, analize potreba za </w:t>
      </w:r>
      <w:r w:rsidR="00671D09">
        <w:t>obukama</w:t>
      </w:r>
      <w:r>
        <w:t xml:space="preserve"> biće sprovedene za institucije uključene u upravljanje fondovima Kohezione politike.</w:t>
      </w:r>
    </w:p>
    <w:p w14:paraId="64841EB9" w14:textId="618305BA" w:rsidR="004141C4" w:rsidRDefault="004141C4" w:rsidP="004141C4">
      <w:r>
        <w:t>Sprovedena pilot Analiza potreba za obuk</w:t>
      </w:r>
      <w:r w:rsidR="00671D09">
        <w:t>a</w:t>
      </w:r>
      <w:r>
        <w:t>m</w:t>
      </w:r>
      <w:r w:rsidR="00671D09">
        <w:t>a</w:t>
      </w:r>
      <w:r>
        <w:t xml:space="preserve"> (TNA) biće prilagođena i proširena na dodatna tijela identifikovana kao relevantna za upravljanje fondovima Kohezione politike (vidjeti Akciju 1.3 Zaključak Vlade o imenovanju programskih tijela i budućeg Koordinacionog tijela) i na novozaposlene u relevantnim IPA institucijama.</w:t>
      </w:r>
    </w:p>
    <w:p w14:paraId="3B9B990B" w14:textId="35CAF594" w:rsidR="004141C4" w:rsidRDefault="004141C4" w:rsidP="004141C4">
      <w:r>
        <w:t>Pored toga, analiza potreba za obuk</w:t>
      </w:r>
      <w:r w:rsidR="00671D09">
        <w:t>a</w:t>
      </w:r>
      <w:r>
        <w:t>m</w:t>
      </w:r>
      <w:r w:rsidR="00671D09">
        <w:t>a</w:t>
      </w:r>
      <w:r>
        <w:t xml:space="preserve"> (onlajn upitnik) biće sprovedena i za partnere, nakon njihovog odabira (Akcija 1.1).</w:t>
      </w:r>
    </w:p>
    <w:p w14:paraId="0F341C60" w14:textId="22BF3D01" w:rsidR="004141C4" w:rsidRDefault="004141C4" w:rsidP="004141C4">
      <w:r>
        <w:t>Što se tiče (potencijalnih) korisnika, analiza potreba za obuk</w:t>
      </w:r>
      <w:r w:rsidR="00671D09">
        <w:t>ama</w:t>
      </w:r>
      <w:r>
        <w:t xml:space="preserve"> biće sprovedena tokom programiranja Kohezione politike, što će omogućiti precizniju identifikaciju potencijalnih korisnika i najveću efikasnost i efektivnost</w:t>
      </w:r>
      <w:r w:rsidRPr="00B83578">
        <w:rPr>
          <w:vertAlign w:val="superscript"/>
        </w:rPr>
        <w:footnoteReference w:id="132"/>
      </w:r>
      <w:r>
        <w:t xml:space="preserve">. Ona će uzimati u obzir izvještaje o reviziji, gdje je to primjenjivo, ROM i nalaze i preporuke evaluacija, kao i relevantne preporuke iz projekata </w:t>
      </w:r>
      <w:r w:rsidR="00F6773D">
        <w:t>tehničke pomoći</w:t>
      </w:r>
      <w:r>
        <w:t>, kao što su oni koji podržavaju projektnu liniju. Indikativno, ovo će biti implementirano u drugoj polovini 2027. godine.</w:t>
      </w:r>
    </w:p>
    <w:p w14:paraId="02E12644" w14:textId="5E36CA6A" w:rsidR="000D076B" w:rsidRPr="00B83578" w:rsidRDefault="00543023" w:rsidP="003C2962">
      <w:pPr>
        <w:pStyle w:val="Heading3"/>
      </w:pPr>
      <w:bookmarkStart w:id="135" w:name="_Toc201700396"/>
      <w:r>
        <w:lastRenderedPageBreak/>
        <w:t>Akcija</w:t>
      </w:r>
      <w:r w:rsidR="000D076B" w:rsidRPr="00B83578">
        <w:t xml:space="preserve"> 3.3. </w:t>
      </w:r>
      <w:r>
        <w:t>Dizajn i isporuka Programa za jačanje kapaciteta za Kohezionu politiku</w:t>
      </w:r>
      <w:r w:rsidR="000D076B" w:rsidRPr="00B83578">
        <w:t>.</w:t>
      </w:r>
      <w:bookmarkEnd w:id="135"/>
      <w:r w:rsidR="000D076B" w:rsidRPr="00B83578">
        <w:t xml:space="preserve"> </w:t>
      </w:r>
    </w:p>
    <w:p w14:paraId="1C98F50C" w14:textId="385404F8" w:rsidR="004141C4" w:rsidRDefault="004141C4" w:rsidP="004141C4">
      <w:pPr>
        <w:spacing w:after="0"/>
      </w:pPr>
      <w:r>
        <w:t>Nakon analize potreba za obuk</w:t>
      </w:r>
      <w:r w:rsidR="00671D09">
        <w:t>ama</w:t>
      </w:r>
      <w:r>
        <w:t xml:space="preserve"> (onlajn istraživanje </w:t>
      </w:r>
      <w:r w:rsidR="0095190B">
        <w:t>fokusirano</w:t>
      </w:r>
      <w:r>
        <w:t xml:space="preserve"> na kompetencij</w:t>
      </w:r>
      <w:r w:rsidR="0095190B">
        <w:t>e</w:t>
      </w:r>
      <w:r>
        <w:t>) institucija identifikovanih kao uključenih u upravljanje programima Kohezi</w:t>
      </w:r>
      <w:r w:rsidR="0095190B">
        <w:t>one</w:t>
      </w:r>
      <w:r>
        <w:t xml:space="preserve"> politike (odnosno programskih t</w:t>
      </w:r>
      <w:r w:rsidR="0095190B">
        <w:t>ij</w:t>
      </w:r>
      <w:r>
        <w:t>ela</w:t>
      </w:r>
      <w:r w:rsidR="0095190B" w:rsidRPr="00B83578">
        <w:rPr>
          <w:rFonts w:cs="Arial"/>
          <w:vertAlign w:val="superscript"/>
        </w:rPr>
        <w:footnoteReference w:id="133"/>
      </w:r>
      <w:r>
        <w:t>), rezultata fokus grupa na temu tih nalaza i uzimajući u obzir druge raspoložive informacije (uključujući izv</w:t>
      </w:r>
      <w:r w:rsidR="0095190B">
        <w:t>j</w:t>
      </w:r>
      <w:r>
        <w:t xml:space="preserve">eštaje o reviziji, evaluacije itd.), biće dizajniran Program </w:t>
      </w:r>
      <w:r w:rsidR="00C30F51" w:rsidRPr="00C30F51">
        <w:t>jačanja kapaciteta</w:t>
      </w:r>
      <w:r>
        <w:t xml:space="preserve"> kao srednjoročni program koji je okvirno predviđen do privremenog zatvaranja Poglavlja 22; međutim, program će se ažurirati i predstavljaće osnovu za godišnje planove obuka u okviru Mape puta za </w:t>
      </w:r>
      <w:r w:rsidR="000744D1">
        <w:t>jačanje</w:t>
      </w:r>
      <w:r>
        <w:t xml:space="preserve"> administrativnih kapaciteta (Akcija 3.3). Program će se nadovezati na Uvodni program za Kohezionu politiku, koji je već razvijen i biće realizovan 2025. godine.</w:t>
      </w:r>
    </w:p>
    <w:p w14:paraId="32FD8136" w14:textId="77777777" w:rsidR="004141C4" w:rsidRDefault="004141C4" w:rsidP="004141C4">
      <w:pPr>
        <w:spacing w:after="0"/>
      </w:pPr>
    </w:p>
    <w:p w14:paraId="4252C2C5" w14:textId="5B67640B" w:rsidR="004141C4" w:rsidRDefault="004141C4" w:rsidP="004141C4">
      <w:pPr>
        <w:spacing w:after="0"/>
      </w:pPr>
      <w:r>
        <w:t xml:space="preserve">Dodatno, na osnovu analize potreba za </w:t>
      </w:r>
      <w:r w:rsidR="00671D09">
        <w:t>obukama</w:t>
      </w:r>
      <w:r>
        <w:t xml:space="preserve"> sprovedene za partnere, nakon njihovog odabira (Akcija 1.1), biće razvijen i sproveden srednjoročni program </w:t>
      </w:r>
      <w:r w:rsidR="00C30F51" w:rsidRPr="00C30F51">
        <w:t>jačanja kapaciteta</w:t>
      </w:r>
      <w:r>
        <w:t xml:space="preserve"> koji pokriva potrebe za </w:t>
      </w:r>
      <w:r w:rsidR="00671D09">
        <w:t>obukama</w:t>
      </w:r>
      <w:r>
        <w:t xml:space="preserve"> partnera za fondove Kohezi</w:t>
      </w:r>
      <w:r w:rsidR="0095190B">
        <w:t>one</w:t>
      </w:r>
      <w:r>
        <w:t xml:space="preserve"> politike, počev od početka 2026. godine.</w:t>
      </w:r>
    </w:p>
    <w:p w14:paraId="7C06C459" w14:textId="77777777" w:rsidR="004141C4" w:rsidRDefault="004141C4" w:rsidP="004141C4">
      <w:pPr>
        <w:spacing w:after="0"/>
      </w:pPr>
    </w:p>
    <w:p w14:paraId="2AA780CC" w14:textId="4C8E7BEE" w:rsidR="004141C4" w:rsidRDefault="004141C4" w:rsidP="004141C4">
      <w:pPr>
        <w:spacing w:after="0"/>
      </w:pPr>
      <w:r>
        <w:t xml:space="preserve">Na kraju, na osnovu rezultata analize potreba za </w:t>
      </w:r>
      <w:r w:rsidR="00671D09">
        <w:t>obukama</w:t>
      </w:r>
      <w:r>
        <w:t xml:space="preserve"> (potencijalnih) korisnika, biće razvijen i implementiran Program </w:t>
      </w:r>
      <w:r w:rsidR="00C30F51" w:rsidRPr="00C30F51">
        <w:t>jačanja kapaciteta</w:t>
      </w:r>
      <w:r>
        <w:t xml:space="preserve">. On će takođe obuhvatati obuke za pripremu projekata </w:t>
      </w:r>
      <w:r w:rsidR="0095190B">
        <w:t>iz</w:t>
      </w:r>
      <w:r>
        <w:t xml:space="preserve"> sektor</w:t>
      </w:r>
      <w:r w:rsidR="0095190B">
        <w:t>a</w:t>
      </w:r>
      <w:r>
        <w:t xml:space="preserve"> kohezije za jedinstvenu projektnu liniju kapitalnog budžeta koja je sada uspostavljena. U tom smislu, početne obuke za pripremu projekata biće razvijene, uključujući i kroz sektorske PPF u transportu i zaštiti životne sredine finansirane putem IPA; prema potrebi, obuka će biti sprovedena za relevantne centralne državne institucije i opštine od 2026. godine; program će potom biti proširen kako bi obuhvatio druge potrebe za </w:t>
      </w:r>
      <w:r w:rsidR="00671D09">
        <w:t>obukama</w:t>
      </w:r>
      <w:r>
        <w:t xml:space="preserve"> u skladu sa programskim rasporedom i datumom pristupanja, okvirno u 2027. godini</w:t>
      </w:r>
      <w:r w:rsidR="0095190B" w:rsidRPr="00B83578">
        <w:rPr>
          <w:vertAlign w:val="superscript"/>
        </w:rPr>
        <w:footnoteReference w:id="134"/>
      </w:r>
      <w:r>
        <w:t>.</w:t>
      </w:r>
    </w:p>
    <w:p w14:paraId="5EB650B2" w14:textId="40BEA57D" w:rsidR="004141C4" w:rsidRDefault="004141C4" w:rsidP="004141C4">
      <w:pPr>
        <w:spacing w:after="0"/>
      </w:pPr>
      <w:r>
        <w:t xml:space="preserve">Programi </w:t>
      </w:r>
      <w:r w:rsidR="00C30F51" w:rsidRPr="00C30F51">
        <w:t>jačanja kapaciteta</w:t>
      </w:r>
      <w:r>
        <w:t xml:space="preserve"> uzeće u obzir potrebe za </w:t>
      </w:r>
      <w:r w:rsidR="00671D09">
        <w:t>obukama</w:t>
      </w:r>
      <w:r>
        <w:t xml:space="preserve"> lokalnih samouprava (kako u okviru višeslojnog upravljanja, tako i kao potencijalnih korisnika), u koordinaciji sa </w:t>
      </w:r>
      <w:r w:rsidR="0095190B">
        <w:t xml:space="preserve">Zajednicom </w:t>
      </w:r>
      <w:r>
        <w:t>opština.</w:t>
      </w:r>
    </w:p>
    <w:p w14:paraId="075070E9" w14:textId="77777777" w:rsidR="00A35E9A" w:rsidRPr="00B83578" w:rsidRDefault="00A35E9A" w:rsidP="00A35E9A">
      <w:pPr>
        <w:spacing w:after="0"/>
      </w:pPr>
    </w:p>
    <w:p w14:paraId="6AE83BB8" w14:textId="5E9690EB" w:rsidR="000D076B" w:rsidRPr="00B83578" w:rsidRDefault="00543023" w:rsidP="003C2962">
      <w:pPr>
        <w:pStyle w:val="Heading3"/>
      </w:pPr>
      <w:bookmarkStart w:id="136" w:name="_Toc201700397"/>
      <w:r>
        <w:t>Akcija</w:t>
      </w:r>
      <w:r w:rsidR="000D076B" w:rsidRPr="00B83578">
        <w:t xml:space="preserve"> 3.4.  </w:t>
      </w:r>
      <w:r>
        <w:t>Izrada i usvajanje individualnih strategija organizacionog razvoja za buduća Tijela programa Kohezione politike</w:t>
      </w:r>
      <w:bookmarkEnd w:id="136"/>
      <w:r w:rsidR="000D076B" w:rsidRPr="00B83578">
        <w:t xml:space="preserve"> </w:t>
      </w:r>
    </w:p>
    <w:p w14:paraId="1930601C" w14:textId="77777777" w:rsidR="00A35E9A" w:rsidRPr="00B83578" w:rsidRDefault="00A35E9A" w:rsidP="00A35E9A">
      <w:pPr>
        <w:spacing w:after="0"/>
      </w:pPr>
    </w:p>
    <w:p w14:paraId="07F10B3C" w14:textId="24BEC8C0" w:rsidR="0095190B" w:rsidRDefault="0095190B" w:rsidP="00A35E9A">
      <w:pPr>
        <w:spacing w:after="0"/>
      </w:pPr>
      <w:r w:rsidRPr="00655711">
        <w:t xml:space="preserve">Izrada individualnih strategija organizacionog razvoja za buduća Upravljačka tijela za Kohezionu politiku (Završno mjerilo 5) biće sastavni dio Mape puta za </w:t>
      </w:r>
      <w:r w:rsidR="000744D1">
        <w:t>jačanje</w:t>
      </w:r>
      <w:r w:rsidRPr="00655711">
        <w:t xml:space="preserve"> administrativnih kapaciteta. Izradiće se individualne strategije organizacionog razvoja (</w:t>
      </w:r>
      <w:r w:rsidR="00C17022">
        <w:t>SOR</w:t>
      </w:r>
      <w:r w:rsidRPr="00655711">
        <w:t xml:space="preserve">) za sve ključne organizacije uključene u upravljanje/implementaciju budućih ESI fondova (uključujući analizu snaga, slabosti, prilika i prijetnji, procjenu potreba za </w:t>
      </w:r>
      <w:r w:rsidR="00671D09" w:rsidRPr="00655711">
        <w:t>obukama</w:t>
      </w:r>
      <w:r w:rsidRPr="00655711">
        <w:t>, planove zapošljavanja, plan obuke/</w:t>
      </w:r>
      <w:r w:rsidR="00C30F51" w:rsidRPr="00655711">
        <w:t>jačanja kapaciteta</w:t>
      </w:r>
      <w:r w:rsidRPr="00655711">
        <w:t xml:space="preserve">), kao i sveobuhvatna strategija institucionalnog razvoja i </w:t>
      </w:r>
      <w:r w:rsidR="00C30F51" w:rsidRPr="00655711">
        <w:t>jačanja kapaciteta</w:t>
      </w:r>
      <w:r w:rsidRPr="00655711">
        <w:t xml:space="preserve">/obuke, zasnovana na adekvatnoj procjeni rizika svih uključenih tijela (uključujući korisnike gdje su već identifikovani). Standardni šablon za </w:t>
      </w:r>
      <w:r w:rsidR="00C17022">
        <w:t>SOR</w:t>
      </w:r>
      <w:r w:rsidRPr="00655711">
        <w:t xml:space="preserve"> biće razvijen u okviru Akcije 3.1. Odgovarajući elementi iz Akcija 3.2 i 3.3 biće integrisani u ove </w:t>
      </w:r>
      <w:r w:rsidR="00C17022">
        <w:t>SOR</w:t>
      </w:r>
      <w:r w:rsidRPr="00655711">
        <w:t xml:space="preserve">. Planovi zapošljavanja će uzeti u obzir predloženi Model finansijskih nedostataka (Akcija 2.3). Individualne </w:t>
      </w:r>
      <w:r w:rsidR="00C17022">
        <w:t>SOR</w:t>
      </w:r>
      <w:r w:rsidRPr="00655711">
        <w:t xml:space="preserve"> će usvojiti relevantne institucije do sredine 2026. godine.</w:t>
      </w:r>
    </w:p>
    <w:p w14:paraId="0CF5A704" w14:textId="77777777" w:rsidR="00A35E9A" w:rsidRPr="00B83578" w:rsidRDefault="00A35E9A" w:rsidP="00A35E9A">
      <w:pPr>
        <w:spacing w:after="0"/>
        <w:rPr>
          <w:b/>
          <w:bCs/>
        </w:rPr>
      </w:pPr>
    </w:p>
    <w:p w14:paraId="6516740A" w14:textId="566DA954" w:rsidR="000D076B" w:rsidRPr="00B83578" w:rsidRDefault="00543023" w:rsidP="003C2962">
      <w:pPr>
        <w:pStyle w:val="Heading3"/>
      </w:pPr>
      <w:bookmarkStart w:id="137" w:name="_Toc201700398"/>
      <w:r>
        <w:t>Akcija</w:t>
      </w:r>
      <w:r w:rsidR="000D076B" w:rsidRPr="00B83578">
        <w:t xml:space="preserve"> 3.5 </w:t>
      </w:r>
      <w:r w:rsidR="006D6E25">
        <w:t>Izrada i implementacije Mape puta za jačanje administrativnih kapaciteta</w:t>
      </w:r>
      <w:r w:rsidR="000D076B" w:rsidRPr="00B83578">
        <w:t>.</w:t>
      </w:r>
      <w:bookmarkEnd w:id="137"/>
      <w:r w:rsidR="000D076B" w:rsidRPr="00B83578">
        <w:t xml:space="preserve"> </w:t>
      </w:r>
    </w:p>
    <w:p w14:paraId="2C86D3D5" w14:textId="52B0BE9A" w:rsidR="0095190B" w:rsidRDefault="0095190B" w:rsidP="003C2962">
      <w:r w:rsidRPr="0095190B">
        <w:t xml:space="preserve">Mapa puta za </w:t>
      </w:r>
      <w:r w:rsidR="0032369C">
        <w:t>jačanje</w:t>
      </w:r>
      <w:r w:rsidRPr="0095190B">
        <w:t xml:space="preserve"> administrativnih kapaciteta (</w:t>
      </w:r>
      <w:r w:rsidR="0032369C">
        <w:t>MPJAK</w:t>
      </w:r>
      <w:r w:rsidRPr="0095190B">
        <w:t>) je živi strateški dokument koji uzima u obzir c</w:t>
      </w:r>
      <w:r>
        <w:t>i</w:t>
      </w:r>
      <w:r w:rsidRPr="0095190B">
        <w:t>o ekosistem Kohezione politike, odnosno institucije uključene u upravljanje, partnere i podnosioce zaht</w:t>
      </w:r>
      <w:r w:rsidR="00916167">
        <w:t>j</w:t>
      </w:r>
      <w:r w:rsidRPr="0095190B">
        <w:t xml:space="preserve">eva/korisnike. </w:t>
      </w:r>
      <w:r w:rsidR="0032369C">
        <w:t>MPJAK</w:t>
      </w:r>
      <w:r w:rsidRPr="0095190B">
        <w:t xml:space="preserve"> će biti izrađen u konsultaciji sa relevantnim zainteresovanim stranama. Ovo će uključivati osmišljavanje i </w:t>
      </w:r>
      <w:r w:rsidR="00A80895">
        <w:t>implementaciju</w:t>
      </w:r>
      <w:r w:rsidRPr="0095190B">
        <w:t xml:space="preserve"> relevantnih programa za </w:t>
      </w:r>
      <w:r w:rsidR="00C30F51" w:rsidRPr="00C30F51">
        <w:t>jačanje kapaciteta</w:t>
      </w:r>
      <w:r w:rsidRPr="0095190B">
        <w:t xml:space="preserve"> u skladu sa </w:t>
      </w:r>
      <w:r w:rsidRPr="0095190B">
        <w:lastRenderedPageBreak/>
        <w:t>identifikovanim potrebama i blagovremenim i odgovarajućim planiranjem u kontekstu programskog ciklusa, kao i m</w:t>
      </w:r>
      <w:r w:rsidR="00916167">
        <w:t>j</w:t>
      </w:r>
      <w:r w:rsidRPr="0095190B">
        <w:t>ere osmišljene da otklone sve slabosti i nedostatke identifikovane instrumentom za samoproc</w:t>
      </w:r>
      <w:r w:rsidR="00916167">
        <w:t>j</w:t>
      </w:r>
      <w:r w:rsidRPr="0095190B">
        <w:t xml:space="preserve">enu razvijenim u okviru pilot akcije na </w:t>
      </w:r>
      <w:r w:rsidR="0032369C">
        <w:t>MPJAK</w:t>
      </w:r>
      <w:r w:rsidRPr="0095190B">
        <w:t xml:space="preserve"> mapama puta, kao i tekućim projektima </w:t>
      </w:r>
      <w:r w:rsidR="00F6773D">
        <w:t>tehničke pomoći</w:t>
      </w:r>
      <w:r w:rsidRPr="0095190B">
        <w:t>, imajući u vidu ograničeno iskustvo Upravljačkih t</w:t>
      </w:r>
      <w:r w:rsidR="00916167">
        <w:t>ij</w:t>
      </w:r>
      <w:r w:rsidRPr="0095190B">
        <w:t>ela IPA III u pogledu mnogih aspekata obuhvaćenih instrumentom za samoproc</w:t>
      </w:r>
      <w:r w:rsidR="00916167">
        <w:t>j</w:t>
      </w:r>
      <w:r w:rsidRPr="0095190B">
        <w:t xml:space="preserve">enu. </w:t>
      </w:r>
      <w:r w:rsidR="00C17022">
        <w:t>SOR</w:t>
      </w:r>
      <w:r w:rsidRPr="0095190B">
        <w:t xml:space="preserve">-ovi razvijeni u okviru Akcije 3.4 biće aneksi </w:t>
      </w:r>
      <w:r w:rsidR="0032369C">
        <w:t>MPJAK</w:t>
      </w:r>
      <w:r w:rsidRPr="0095190B">
        <w:t>.</w:t>
      </w:r>
    </w:p>
    <w:p w14:paraId="0FF267F2" w14:textId="3EAC5FC3" w:rsidR="002773A0" w:rsidRPr="00A35E9A" w:rsidRDefault="001D692B" w:rsidP="002773A0">
      <w:pPr>
        <w:keepNext/>
        <w:spacing w:before="200" w:after="0"/>
        <w:rPr>
          <w:rFonts w:cs="Arial"/>
          <w:i/>
          <w:iCs/>
          <w:color w:val="0E2841" w:themeColor="text2"/>
          <w:sz w:val="18"/>
          <w:szCs w:val="18"/>
        </w:rPr>
      </w:pPr>
      <w:bookmarkStart w:id="138" w:name="_Toc181860467"/>
      <w:bookmarkStart w:id="139" w:name="_Toc193895454"/>
      <w:r>
        <w:rPr>
          <w:rFonts w:cs="Arial"/>
          <w:i/>
          <w:iCs/>
          <w:color w:val="0E2841" w:themeColor="text2"/>
          <w:sz w:val="18"/>
          <w:szCs w:val="18"/>
        </w:rPr>
        <w:t>Tabela</w:t>
      </w:r>
      <w:r w:rsidR="002773A0" w:rsidRPr="00A35E9A">
        <w:rPr>
          <w:rFonts w:cs="Arial"/>
          <w:i/>
          <w:iCs/>
          <w:color w:val="0E2841" w:themeColor="text2"/>
          <w:sz w:val="18"/>
          <w:szCs w:val="18"/>
        </w:rPr>
        <w:t xml:space="preserve"> </w:t>
      </w:r>
      <w:r w:rsidR="002773A0" w:rsidRPr="00A35E9A">
        <w:rPr>
          <w:rFonts w:cs="Arial"/>
          <w:i/>
          <w:iCs/>
          <w:color w:val="0E2841" w:themeColor="text2"/>
          <w:sz w:val="18"/>
          <w:szCs w:val="18"/>
        </w:rPr>
        <w:fldChar w:fldCharType="begin"/>
      </w:r>
      <w:r w:rsidR="002773A0" w:rsidRPr="00A35E9A">
        <w:rPr>
          <w:rFonts w:cs="Arial"/>
          <w:i/>
          <w:iCs/>
          <w:color w:val="0E2841" w:themeColor="text2"/>
          <w:sz w:val="18"/>
          <w:szCs w:val="18"/>
        </w:rPr>
        <w:instrText xml:space="preserve"> SEQ Table \* ARABIC </w:instrText>
      </w:r>
      <w:r w:rsidR="002773A0" w:rsidRPr="00A35E9A">
        <w:rPr>
          <w:rFonts w:cs="Arial"/>
          <w:i/>
          <w:iCs/>
          <w:color w:val="0E2841" w:themeColor="text2"/>
          <w:sz w:val="18"/>
          <w:szCs w:val="18"/>
        </w:rPr>
        <w:fldChar w:fldCharType="separate"/>
      </w:r>
      <w:r w:rsidR="003C2962">
        <w:rPr>
          <w:rFonts w:cs="Arial"/>
          <w:i/>
          <w:iCs/>
          <w:noProof/>
          <w:color w:val="0E2841" w:themeColor="text2"/>
          <w:sz w:val="18"/>
          <w:szCs w:val="18"/>
        </w:rPr>
        <w:t>10</w:t>
      </w:r>
      <w:r w:rsidR="002773A0" w:rsidRPr="00A35E9A">
        <w:rPr>
          <w:rFonts w:cs="Arial"/>
          <w:i/>
          <w:iCs/>
          <w:color w:val="0E2841" w:themeColor="text2"/>
          <w:sz w:val="18"/>
          <w:szCs w:val="18"/>
        </w:rPr>
        <w:fldChar w:fldCharType="end"/>
      </w:r>
      <w:r w:rsidR="002773A0" w:rsidRPr="00A35E9A">
        <w:rPr>
          <w:rFonts w:cs="Arial"/>
          <w:i/>
          <w:iCs/>
          <w:color w:val="0E2841" w:themeColor="text2"/>
          <w:sz w:val="18"/>
          <w:szCs w:val="18"/>
        </w:rPr>
        <w:t xml:space="preserve">: </w:t>
      </w:r>
      <w:r w:rsidRPr="001D692B">
        <w:rPr>
          <w:rFonts w:cs="Arial"/>
          <w:i/>
          <w:iCs/>
          <w:color w:val="0E2841" w:themeColor="text2"/>
          <w:sz w:val="18"/>
          <w:szCs w:val="18"/>
        </w:rPr>
        <w:t>Planirane akcije u okviru Poglavlja Administrativni kapaciteti</w:t>
      </w:r>
      <w:bookmarkEnd w:id="138"/>
      <w:bookmarkEnd w:id="139"/>
    </w:p>
    <w:tbl>
      <w:tblPr>
        <w:tblStyle w:val="GridTable5Dark-Accent11"/>
        <w:tblW w:w="5000" w:type="pct"/>
        <w:tblInd w:w="0" w:type="dxa"/>
        <w:tblLook w:val="04A0" w:firstRow="1" w:lastRow="0" w:firstColumn="1" w:lastColumn="0" w:noHBand="0" w:noVBand="1"/>
      </w:tblPr>
      <w:tblGrid>
        <w:gridCol w:w="901"/>
        <w:gridCol w:w="1146"/>
        <w:gridCol w:w="1200"/>
        <w:gridCol w:w="862"/>
        <w:gridCol w:w="1332"/>
        <w:gridCol w:w="868"/>
        <w:gridCol w:w="850"/>
        <w:gridCol w:w="1340"/>
        <w:gridCol w:w="851"/>
      </w:tblGrid>
      <w:tr w:rsidR="0078451F" w:rsidRPr="0078451F" w14:paraId="774189B4" w14:textId="77777777" w:rsidTr="0078451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7" w:type="pct"/>
            <w:hideMark/>
          </w:tcPr>
          <w:p w14:paraId="2F140BFF" w14:textId="63FEEE91" w:rsidR="0078451F" w:rsidRPr="0078451F" w:rsidRDefault="00543023" w:rsidP="0078451F">
            <w:pPr>
              <w:spacing w:after="0"/>
              <w:jc w:val="left"/>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Kod akcije</w:t>
            </w:r>
          </w:p>
        </w:tc>
        <w:tc>
          <w:tcPr>
            <w:tcW w:w="614" w:type="pct"/>
            <w:hideMark/>
          </w:tcPr>
          <w:p w14:paraId="2F1CFC5F" w14:textId="630D5F67" w:rsidR="0078451F" w:rsidRPr="0078451F" w:rsidRDefault="00543023"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Naziv akcije</w:t>
            </w:r>
          </w:p>
        </w:tc>
        <w:tc>
          <w:tcPr>
            <w:tcW w:w="614" w:type="pct"/>
            <w:hideMark/>
          </w:tcPr>
          <w:p w14:paraId="060A8DF9" w14:textId="3D71DFA0"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Nadležnost</w:t>
            </w:r>
          </w:p>
        </w:tc>
        <w:tc>
          <w:tcPr>
            <w:tcW w:w="460" w:type="pct"/>
            <w:hideMark/>
          </w:tcPr>
          <w:p w14:paraId="5DF54B8B" w14:textId="258EFCEE"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Raspored</w:t>
            </w:r>
          </w:p>
        </w:tc>
        <w:tc>
          <w:tcPr>
            <w:tcW w:w="722" w:type="pct"/>
            <w:hideMark/>
          </w:tcPr>
          <w:p w14:paraId="265FF548" w14:textId="56E23086" w:rsidR="0078451F" w:rsidRPr="0078451F" w:rsidRDefault="0013334C"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13334C">
              <w:rPr>
                <w:rFonts w:eastAsia="Times New Roman"/>
                <w:color w:val="FFFFFF"/>
                <w:kern w:val="0"/>
                <w:sz w:val="14"/>
                <w:szCs w:val="14"/>
                <w:lang w:eastAsia="en-GB"/>
                <w14:ligatures w14:val="none"/>
              </w:rPr>
              <w:t>Indikator</w:t>
            </w:r>
          </w:p>
        </w:tc>
        <w:tc>
          <w:tcPr>
            <w:tcW w:w="460" w:type="pct"/>
            <w:hideMark/>
          </w:tcPr>
          <w:p w14:paraId="4A518035" w14:textId="2E59EF3C"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Vrsta</w:t>
            </w:r>
          </w:p>
        </w:tc>
        <w:tc>
          <w:tcPr>
            <w:tcW w:w="460" w:type="pct"/>
            <w:hideMark/>
          </w:tcPr>
          <w:p w14:paraId="33B03BCF" w14:textId="2CAD854E"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Resurs</w:t>
            </w:r>
          </w:p>
        </w:tc>
        <w:tc>
          <w:tcPr>
            <w:tcW w:w="722" w:type="pct"/>
            <w:hideMark/>
          </w:tcPr>
          <w:p w14:paraId="0AF343C7" w14:textId="4F3A8F48" w:rsidR="0078451F" w:rsidRPr="0078451F" w:rsidRDefault="00683B6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sidRPr="00683B6B">
              <w:rPr>
                <w:rFonts w:eastAsia="Times New Roman"/>
                <w:color w:val="FFFFFF"/>
                <w:kern w:val="0"/>
                <w:sz w:val="14"/>
                <w:szCs w:val="14"/>
                <w:lang w:eastAsia="en-GB"/>
                <w14:ligatures w14:val="none"/>
              </w:rPr>
              <w:t>Napomena</w:t>
            </w:r>
          </w:p>
        </w:tc>
        <w:tc>
          <w:tcPr>
            <w:tcW w:w="460" w:type="pct"/>
            <w:hideMark/>
          </w:tcPr>
          <w:p w14:paraId="317BD906" w14:textId="779359E6" w:rsidR="0078451F" w:rsidRPr="0078451F" w:rsidRDefault="00163D4B" w:rsidP="0078451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olor w:val="FFFFFF"/>
                <w:kern w:val="0"/>
                <w:sz w:val="14"/>
                <w:szCs w:val="14"/>
                <w:lang w:eastAsia="en-GB"/>
                <w14:ligatures w14:val="none"/>
              </w:rPr>
            </w:pPr>
            <w:r>
              <w:rPr>
                <w:rFonts w:eastAsia="Times New Roman"/>
                <w:color w:val="FFFFFF"/>
                <w:kern w:val="0"/>
                <w:sz w:val="14"/>
                <w:szCs w:val="14"/>
                <w:lang w:eastAsia="en-GB"/>
                <w14:ligatures w14:val="none"/>
              </w:rPr>
              <w:t xml:space="preserve">Oznaka </w:t>
            </w:r>
            <w:r w:rsidR="0032369C">
              <w:rPr>
                <w:rFonts w:eastAsia="Times New Roman"/>
                <w:color w:val="FFFFFF"/>
                <w:kern w:val="0"/>
                <w:sz w:val="14"/>
                <w:szCs w:val="14"/>
                <w:lang w:eastAsia="en-GB"/>
                <w14:ligatures w14:val="none"/>
              </w:rPr>
              <w:t>ZM</w:t>
            </w:r>
          </w:p>
        </w:tc>
      </w:tr>
      <w:tr w:rsidR="0078451F" w:rsidRPr="0078451F" w14:paraId="63D18978" w14:textId="77777777" w:rsidTr="0078451F">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284CA605"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3.01.</w:t>
            </w:r>
          </w:p>
        </w:tc>
        <w:tc>
          <w:tcPr>
            <w:tcW w:w="614" w:type="pct"/>
            <w:hideMark/>
          </w:tcPr>
          <w:p w14:paraId="1F89C963" w14:textId="0E7B09A1" w:rsidR="0078451F" w:rsidRPr="0078451F" w:rsidRDefault="00543023"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Koncept i metodologija za Razvoj mape puta za </w:t>
            </w:r>
            <w:r w:rsidR="000744D1">
              <w:rPr>
                <w:rFonts w:ascii="Aptos" w:eastAsia="Times New Roman" w:hAnsi="Aptos"/>
                <w:kern w:val="0"/>
                <w:sz w:val="14"/>
                <w:szCs w:val="14"/>
                <w:lang w:eastAsia="en-GB"/>
                <w14:ligatures w14:val="none"/>
              </w:rPr>
              <w:t>jačanje</w:t>
            </w:r>
            <w:r>
              <w:rPr>
                <w:rFonts w:ascii="Aptos" w:eastAsia="Times New Roman" w:hAnsi="Aptos"/>
                <w:kern w:val="0"/>
                <w:sz w:val="14"/>
                <w:szCs w:val="14"/>
                <w:lang w:eastAsia="en-GB"/>
                <w14:ligatures w14:val="none"/>
              </w:rPr>
              <w:t xml:space="preserve"> administrativnih kapaciteta</w:t>
            </w:r>
          </w:p>
        </w:tc>
        <w:tc>
          <w:tcPr>
            <w:tcW w:w="614" w:type="pct"/>
            <w:hideMark/>
          </w:tcPr>
          <w:p w14:paraId="03FF9DF4" w14:textId="6B4344E0"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78451F" w:rsidRPr="0078451F">
              <w:rPr>
                <w:rFonts w:ascii="Aptos" w:eastAsia="Times New Roman" w:hAnsi="Aptos"/>
                <w:kern w:val="0"/>
                <w:sz w:val="14"/>
                <w:szCs w:val="14"/>
                <w:lang w:eastAsia="en-GB"/>
                <w14:ligatures w14:val="none"/>
              </w:rPr>
              <w:t>;</w:t>
            </w:r>
            <w:proofErr w:type="gramEnd"/>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460" w:type="pct"/>
            <w:hideMark/>
          </w:tcPr>
          <w:p w14:paraId="005B5BF5" w14:textId="311FF721"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4BE36FF7" w14:textId="3EF8F1B7" w:rsidR="0078451F" w:rsidRPr="0078451F" w:rsidRDefault="007029B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Koncept i metodologija su razmatrani i usvojeni od strane Radne grupe za Poglavlje 22.</w:t>
            </w:r>
          </w:p>
        </w:tc>
        <w:tc>
          <w:tcPr>
            <w:tcW w:w="460" w:type="pct"/>
            <w:hideMark/>
          </w:tcPr>
          <w:p w14:paraId="6F4B25C7" w14:textId="0871F72A"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60" w:type="pct"/>
            <w:hideMark/>
          </w:tcPr>
          <w:p w14:paraId="30F543B9" w14:textId="03F5EE7D"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4C33D092"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kern w:val="0"/>
                <w:sz w:val="14"/>
                <w:szCs w:val="14"/>
                <w:lang w:eastAsia="en-GB"/>
                <w14:ligatures w14:val="none"/>
              </w:rPr>
            </w:pPr>
            <w:r w:rsidRPr="0078451F">
              <w:rPr>
                <w:rFonts w:eastAsia="Times New Roman"/>
                <w:kern w:val="0"/>
                <w:sz w:val="14"/>
                <w:szCs w:val="14"/>
                <w:lang w:eastAsia="en-GB"/>
                <w14:ligatures w14:val="none"/>
              </w:rPr>
              <w:t> </w:t>
            </w:r>
          </w:p>
        </w:tc>
        <w:tc>
          <w:tcPr>
            <w:tcW w:w="460" w:type="pct"/>
            <w:hideMark/>
          </w:tcPr>
          <w:p w14:paraId="7AD54C00" w14:textId="19050566" w:rsidR="0078451F" w:rsidRPr="0078451F" w:rsidRDefault="0032369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.5.01.</w:t>
            </w:r>
          </w:p>
        </w:tc>
      </w:tr>
      <w:tr w:rsidR="0078451F" w:rsidRPr="0078451F" w14:paraId="22E5F64A" w14:textId="77777777" w:rsidTr="0078451F">
        <w:trPr>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7893A8F7"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3.02.</w:t>
            </w:r>
          </w:p>
        </w:tc>
        <w:tc>
          <w:tcPr>
            <w:tcW w:w="614" w:type="pct"/>
            <w:hideMark/>
          </w:tcPr>
          <w:p w14:paraId="53C60CE8" w14:textId="1A9705E1" w:rsidR="0078451F" w:rsidRPr="0078451F" w:rsidRDefault="00543023"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Analiza potreba za obukom za Ekosistem Kohezione politike</w:t>
            </w:r>
          </w:p>
        </w:tc>
        <w:tc>
          <w:tcPr>
            <w:tcW w:w="614" w:type="pct"/>
            <w:hideMark/>
          </w:tcPr>
          <w:p w14:paraId="6FE9FFD0" w14:textId="7FCC2533"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
        </w:tc>
        <w:tc>
          <w:tcPr>
            <w:tcW w:w="460" w:type="pct"/>
            <w:hideMark/>
          </w:tcPr>
          <w:p w14:paraId="7F07BF1A" w14:textId="076A7983"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1</w:t>
            </w:r>
          </w:p>
        </w:tc>
        <w:tc>
          <w:tcPr>
            <w:tcW w:w="722" w:type="pct"/>
            <w:hideMark/>
          </w:tcPr>
          <w:p w14:paraId="673B420D" w14:textId="39E1228D" w:rsidR="0078451F" w:rsidRPr="0078451F" w:rsidRDefault="007029B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TNA izvještaj za partnere.</w:t>
            </w:r>
          </w:p>
        </w:tc>
        <w:tc>
          <w:tcPr>
            <w:tcW w:w="460" w:type="pct"/>
            <w:hideMark/>
          </w:tcPr>
          <w:p w14:paraId="6761E56E" w14:textId="61C89F94"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31AB9EB4" w14:textId="5D209CA1"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1FF42EE4" w14:textId="56C8D29E" w:rsidR="0078451F" w:rsidRPr="0078451F" w:rsidRDefault="007029B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Ekosistem se sastoji od 3 grupe: 1) Institucije uključene u upravljanje sredstvima (buduća Tijela progrma) 2) Partneri; 3) Korisnici.</w:t>
            </w:r>
          </w:p>
        </w:tc>
        <w:tc>
          <w:tcPr>
            <w:tcW w:w="460" w:type="pct"/>
            <w:hideMark/>
          </w:tcPr>
          <w:p w14:paraId="75B7AFF3" w14:textId="33078D0A" w:rsidR="0078451F" w:rsidRPr="0078451F" w:rsidRDefault="0032369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.2.07.</w:t>
            </w:r>
          </w:p>
        </w:tc>
      </w:tr>
      <w:tr w:rsidR="0078451F" w:rsidRPr="0078451F" w14:paraId="7155E005" w14:textId="77777777" w:rsidTr="0078451F">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6B2635D8"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3.02.</w:t>
            </w:r>
          </w:p>
        </w:tc>
        <w:tc>
          <w:tcPr>
            <w:tcW w:w="614" w:type="pct"/>
            <w:hideMark/>
          </w:tcPr>
          <w:p w14:paraId="33EC8BD1" w14:textId="7C1FF8BB" w:rsidR="0078451F" w:rsidRPr="0078451F" w:rsidRDefault="00543023"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Analiza potreba za obukom za Ekosistem Kohezione politike</w:t>
            </w:r>
          </w:p>
        </w:tc>
        <w:tc>
          <w:tcPr>
            <w:tcW w:w="614" w:type="pct"/>
            <w:hideMark/>
          </w:tcPr>
          <w:p w14:paraId="14BC9D95" w14:textId="2DA88117"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
        </w:tc>
        <w:tc>
          <w:tcPr>
            <w:tcW w:w="460" w:type="pct"/>
            <w:hideMark/>
          </w:tcPr>
          <w:p w14:paraId="22F609A3" w14:textId="78FB0D18"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1</w:t>
            </w:r>
          </w:p>
        </w:tc>
        <w:tc>
          <w:tcPr>
            <w:tcW w:w="722" w:type="pct"/>
            <w:hideMark/>
          </w:tcPr>
          <w:p w14:paraId="53DC8802" w14:textId="6510DC08" w:rsidR="0078451F" w:rsidRPr="0078451F" w:rsidRDefault="00130A44"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TNA izvještaj za Tijela programa.</w:t>
            </w:r>
          </w:p>
        </w:tc>
        <w:tc>
          <w:tcPr>
            <w:tcW w:w="460" w:type="pct"/>
            <w:hideMark/>
          </w:tcPr>
          <w:p w14:paraId="4E5A8DBE" w14:textId="2F4B086C"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02FC83C6" w14:textId="0C6D3F0B"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2C57FCED" w14:textId="7C82B022" w:rsidR="0078451F" w:rsidRPr="0078451F" w:rsidRDefault="007029B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Ekosistem se sastoji od 3 grupe: 1) Institucije uključene u upravljanje sredstvima (buduća Tijela progrma) 2) Partneri; 3) Korisnici.</w:t>
            </w:r>
          </w:p>
        </w:tc>
        <w:tc>
          <w:tcPr>
            <w:tcW w:w="460" w:type="pct"/>
            <w:hideMark/>
          </w:tcPr>
          <w:p w14:paraId="468EDA34" w14:textId="68C86FA9" w:rsidR="0078451F" w:rsidRPr="0078451F" w:rsidRDefault="0032369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.5.03.</w:t>
            </w:r>
          </w:p>
        </w:tc>
      </w:tr>
      <w:tr w:rsidR="0078451F" w:rsidRPr="0078451F" w14:paraId="6518B10A" w14:textId="77777777" w:rsidTr="0078451F">
        <w:trPr>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06800593"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3.03.</w:t>
            </w:r>
          </w:p>
        </w:tc>
        <w:tc>
          <w:tcPr>
            <w:tcW w:w="614" w:type="pct"/>
            <w:hideMark/>
          </w:tcPr>
          <w:p w14:paraId="78627F49" w14:textId="5D988B79" w:rsidR="0078451F" w:rsidRPr="0078451F" w:rsidRDefault="00543023"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Dizajn i isporuka Programa za jačanje kapaciteta za Kohezionu politiku</w:t>
            </w:r>
            <w:r w:rsidR="0078451F" w:rsidRPr="0078451F">
              <w:rPr>
                <w:rFonts w:ascii="Aptos" w:eastAsia="Times New Roman" w:hAnsi="Aptos"/>
                <w:kern w:val="0"/>
                <w:sz w:val="14"/>
                <w:szCs w:val="14"/>
                <w:lang w:eastAsia="en-GB"/>
                <w14:ligatures w14:val="none"/>
              </w:rPr>
              <w:t xml:space="preserve"> </w:t>
            </w:r>
          </w:p>
        </w:tc>
        <w:tc>
          <w:tcPr>
            <w:tcW w:w="614" w:type="pct"/>
            <w:hideMark/>
          </w:tcPr>
          <w:p w14:paraId="75BA1E22" w14:textId="590EE924"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78451F" w:rsidRPr="0078451F">
              <w:rPr>
                <w:rFonts w:ascii="Aptos" w:eastAsia="Times New Roman" w:hAnsi="Aptos"/>
                <w:kern w:val="0"/>
                <w:sz w:val="14"/>
                <w:szCs w:val="14"/>
                <w:lang w:eastAsia="en-GB"/>
                <w14:ligatures w14:val="none"/>
              </w:rPr>
              <w:t>;</w:t>
            </w:r>
            <w:proofErr w:type="gramEnd"/>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460" w:type="pct"/>
            <w:hideMark/>
          </w:tcPr>
          <w:p w14:paraId="0023000F" w14:textId="6C1C637B"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59C5DCBF" w14:textId="028E619F" w:rsidR="0078451F" w:rsidRPr="0078451F" w:rsidRDefault="007029BB"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Programi jačanja kapaciteta za partnere.</w:t>
            </w:r>
          </w:p>
        </w:tc>
        <w:tc>
          <w:tcPr>
            <w:tcW w:w="460" w:type="pct"/>
            <w:hideMark/>
          </w:tcPr>
          <w:p w14:paraId="16B2660E" w14:textId="3F22C159"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5501E0B4"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78451F">
              <w:rPr>
                <w:rFonts w:eastAsia="Times New Roman"/>
                <w:kern w:val="0"/>
                <w:sz w:val="14"/>
                <w:szCs w:val="14"/>
                <w:lang w:eastAsia="en-GB"/>
                <w14:ligatures w14:val="none"/>
              </w:rPr>
              <w:t> </w:t>
            </w:r>
          </w:p>
        </w:tc>
        <w:tc>
          <w:tcPr>
            <w:tcW w:w="722" w:type="pct"/>
            <w:hideMark/>
          </w:tcPr>
          <w:p w14:paraId="44164D61"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78451F">
              <w:rPr>
                <w:rFonts w:eastAsia="Times New Roman"/>
                <w:kern w:val="0"/>
                <w:sz w:val="14"/>
                <w:szCs w:val="14"/>
                <w:lang w:eastAsia="en-GB"/>
                <w14:ligatures w14:val="none"/>
              </w:rPr>
              <w:t> </w:t>
            </w:r>
          </w:p>
        </w:tc>
        <w:tc>
          <w:tcPr>
            <w:tcW w:w="460" w:type="pct"/>
            <w:hideMark/>
          </w:tcPr>
          <w:p w14:paraId="26A362F9" w14:textId="352D75DD" w:rsidR="0078451F" w:rsidRPr="0078451F" w:rsidRDefault="0032369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.2.08.</w:t>
            </w:r>
          </w:p>
        </w:tc>
      </w:tr>
      <w:tr w:rsidR="0078451F" w:rsidRPr="0078451F" w14:paraId="5CB3976E" w14:textId="77777777" w:rsidTr="0078451F">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7F4CAA84"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3.03.</w:t>
            </w:r>
          </w:p>
        </w:tc>
        <w:tc>
          <w:tcPr>
            <w:tcW w:w="614" w:type="pct"/>
            <w:hideMark/>
          </w:tcPr>
          <w:p w14:paraId="3B367AA5" w14:textId="60D8E159" w:rsidR="0078451F" w:rsidRPr="0078451F" w:rsidRDefault="00543023"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Dizajn i isporuka Programa za jačanje kapaciteta za Kohezionu politiku</w:t>
            </w:r>
            <w:r w:rsidR="0078451F" w:rsidRPr="0078451F">
              <w:rPr>
                <w:rFonts w:ascii="Aptos" w:eastAsia="Times New Roman" w:hAnsi="Aptos"/>
                <w:kern w:val="0"/>
                <w:sz w:val="14"/>
                <w:szCs w:val="14"/>
                <w:lang w:eastAsia="en-GB"/>
                <w14:ligatures w14:val="none"/>
              </w:rPr>
              <w:t xml:space="preserve"> </w:t>
            </w:r>
          </w:p>
        </w:tc>
        <w:tc>
          <w:tcPr>
            <w:tcW w:w="614" w:type="pct"/>
            <w:hideMark/>
          </w:tcPr>
          <w:p w14:paraId="340BECF9" w14:textId="6AE6E9BD"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78451F" w:rsidRPr="0078451F">
              <w:rPr>
                <w:rFonts w:ascii="Aptos" w:eastAsia="Times New Roman" w:hAnsi="Aptos"/>
                <w:kern w:val="0"/>
                <w:sz w:val="14"/>
                <w:szCs w:val="14"/>
                <w:lang w:eastAsia="en-GB"/>
                <w14:ligatures w14:val="none"/>
              </w:rPr>
              <w:t>;</w:t>
            </w:r>
            <w:proofErr w:type="gramEnd"/>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460" w:type="pct"/>
            <w:hideMark/>
          </w:tcPr>
          <w:p w14:paraId="488EEEEA" w14:textId="527FBC1B"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2E705469" w14:textId="17611723" w:rsidR="0078451F" w:rsidRPr="0078451F" w:rsidRDefault="007029BB"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Programi jačanja kapaciteta za Tijela programa.</w:t>
            </w:r>
          </w:p>
        </w:tc>
        <w:tc>
          <w:tcPr>
            <w:tcW w:w="460" w:type="pct"/>
            <w:hideMark/>
          </w:tcPr>
          <w:p w14:paraId="26630BF9" w14:textId="0EB1775A"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40CF2267"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722" w:type="pct"/>
            <w:hideMark/>
          </w:tcPr>
          <w:p w14:paraId="6567A62D" w14:textId="77777777"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Cs w:val="20"/>
                <w:lang w:eastAsia="en-GB"/>
                <w14:ligatures w14:val="none"/>
              </w:rPr>
            </w:pPr>
          </w:p>
        </w:tc>
        <w:tc>
          <w:tcPr>
            <w:tcW w:w="460" w:type="pct"/>
            <w:hideMark/>
          </w:tcPr>
          <w:p w14:paraId="545F079B" w14:textId="6708A4EB" w:rsidR="0078451F" w:rsidRPr="0078451F" w:rsidRDefault="0032369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.5.04.</w:t>
            </w:r>
          </w:p>
        </w:tc>
      </w:tr>
      <w:tr w:rsidR="0078451F" w:rsidRPr="0078451F" w14:paraId="62080501" w14:textId="77777777" w:rsidTr="0078451F">
        <w:trPr>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70C533CB"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3.04.</w:t>
            </w:r>
          </w:p>
        </w:tc>
        <w:tc>
          <w:tcPr>
            <w:tcW w:w="614" w:type="pct"/>
            <w:hideMark/>
          </w:tcPr>
          <w:p w14:paraId="5860F4F8" w14:textId="448284E5" w:rsidR="0078451F" w:rsidRPr="0078451F" w:rsidRDefault="00130A44"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Izrada nacrta i usvajanje pojedinačnih strategija organizacionog razvoja od strane budućih Tijela programa.            </w:t>
            </w:r>
          </w:p>
        </w:tc>
        <w:tc>
          <w:tcPr>
            <w:tcW w:w="614" w:type="pct"/>
            <w:hideMark/>
          </w:tcPr>
          <w:p w14:paraId="1AA2C29C" w14:textId="7A709C81"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p>
        </w:tc>
        <w:tc>
          <w:tcPr>
            <w:tcW w:w="460" w:type="pct"/>
            <w:hideMark/>
          </w:tcPr>
          <w:p w14:paraId="71109F74" w14:textId="4E14F42B"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25C21B9B" w14:textId="7EFE73E9" w:rsidR="0078451F" w:rsidRPr="0078451F" w:rsidRDefault="00130A44"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Izrada nacrta strategija organizacionog razvoja od strane relevantnih institucija.          </w:t>
            </w:r>
          </w:p>
        </w:tc>
        <w:tc>
          <w:tcPr>
            <w:tcW w:w="460" w:type="pct"/>
            <w:hideMark/>
          </w:tcPr>
          <w:p w14:paraId="22A9C388" w14:textId="2EEAFD05"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60" w:type="pct"/>
            <w:hideMark/>
          </w:tcPr>
          <w:p w14:paraId="65BEF10D" w14:textId="79732F88"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693265D9" w14:textId="02F86A9D" w:rsidR="0078451F" w:rsidRPr="0078451F" w:rsidRDefault="00130A44"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Ovo će biti priloženo u vidu Aneksa kao sastavni dio Mape puta </w:t>
            </w:r>
            <w:r w:rsidR="0032369C">
              <w:rPr>
                <w:rFonts w:ascii="Aptos" w:eastAsia="Times New Roman" w:hAnsi="Aptos"/>
                <w:kern w:val="0"/>
                <w:sz w:val="14"/>
                <w:szCs w:val="14"/>
                <w:lang w:eastAsia="en-GB"/>
                <w14:ligatures w14:val="none"/>
              </w:rPr>
              <w:t>jačanja administrativnih kapaciteta</w:t>
            </w:r>
            <w:r>
              <w:rPr>
                <w:rFonts w:ascii="Aptos" w:eastAsia="Times New Roman" w:hAnsi="Aptos"/>
                <w:kern w:val="0"/>
                <w:sz w:val="14"/>
                <w:szCs w:val="14"/>
                <w:lang w:eastAsia="en-GB"/>
                <w14:ligatures w14:val="none"/>
              </w:rPr>
              <w:t xml:space="preserve">.         </w:t>
            </w:r>
          </w:p>
        </w:tc>
        <w:tc>
          <w:tcPr>
            <w:tcW w:w="460" w:type="pct"/>
            <w:hideMark/>
          </w:tcPr>
          <w:p w14:paraId="4D7A25C6" w14:textId="29AB79D6" w:rsidR="0078451F" w:rsidRPr="0078451F" w:rsidRDefault="0032369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.5.07.</w:t>
            </w:r>
          </w:p>
        </w:tc>
      </w:tr>
      <w:tr w:rsidR="0078451F" w:rsidRPr="0078451F" w14:paraId="17F00F22" w14:textId="77777777" w:rsidTr="0078451F">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68B4DCAA"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lastRenderedPageBreak/>
              <w:t>3.04.</w:t>
            </w:r>
          </w:p>
        </w:tc>
        <w:tc>
          <w:tcPr>
            <w:tcW w:w="614" w:type="pct"/>
            <w:hideMark/>
          </w:tcPr>
          <w:p w14:paraId="7D8255C6" w14:textId="1F0CF5BC" w:rsidR="0078451F" w:rsidRPr="0078451F" w:rsidRDefault="00130A44"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Izrada nacrta i usvajanje pojedinačnih strategija organizacionog razvoja od strane budućih Tijela programa.            </w:t>
            </w:r>
          </w:p>
        </w:tc>
        <w:tc>
          <w:tcPr>
            <w:tcW w:w="614" w:type="pct"/>
            <w:hideMark/>
          </w:tcPr>
          <w:p w14:paraId="0C217BFA" w14:textId="686DC41A" w:rsidR="0078451F" w:rsidRPr="0078451F" w:rsidRDefault="006D6E25"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Buduća posrednička tijela</w:t>
            </w:r>
          </w:p>
        </w:tc>
        <w:tc>
          <w:tcPr>
            <w:tcW w:w="460" w:type="pct"/>
            <w:hideMark/>
          </w:tcPr>
          <w:p w14:paraId="7B9DE0C9" w14:textId="235596F6" w:rsidR="0078451F" w:rsidRPr="0078451F" w:rsidRDefault="0078451F"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2</w:t>
            </w:r>
          </w:p>
        </w:tc>
        <w:tc>
          <w:tcPr>
            <w:tcW w:w="722" w:type="pct"/>
            <w:hideMark/>
          </w:tcPr>
          <w:p w14:paraId="72C57D59" w14:textId="059B39B4" w:rsidR="0078451F" w:rsidRPr="0078451F" w:rsidRDefault="00130A44"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Strategije organizacionog razvoja usvojene od strane relevantnih institucija.   </w:t>
            </w:r>
          </w:p>
        </w:tc>
        <w:tc>
          <w:tcPr>
            <w:tcW w:w="460" w:type="pct"/>
            <w:hideMark/>
          </w:tcPr>
          <w:p w14:paraId="1D66A2C4" w14:textId="5070F4C7" w:rsidR="0078451F" w:rsidRPr="0078451F" w:rsidRDefault="0013334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60" w:type="pct"/>
            <w:hideMark/>
          </w:tcPr>
          <w:p w14:paraId="057EEE2E" w14:textId="61F5692C" w:rsidR="0078451F" w:rsidRPr="0078451F" w:rsidRDefault="00720740"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71841E4B" w14:textId="41D42823" w:rsidR="0078451F" w:rsidRPr="0078451F" w:rsidRDefault="00130A44"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Ovo će biti priloženo u vidu Aneksa kao sastavni dio Mape puta </w:t>
            </w:r>
            <w:r w:rsidR="0032369C">
              <w:rPr>
                <w:rFonts w:ascii="Aptos" w:eastAsia="Times New Roman" w:hAnsi="Aptos"/>
                <w:kern w:val="0"/>
                <w:sz w:val="14"/>
                <w:szCs w:val="14"/>
                <w:lang w:eastAsia="en-GB"/>
                <w14:ligatures w14:val="none"/>
              </w:rPr>
              <w:t>za jačanje administrativnih kapaciteta</w:t>
            </w:r>
            <w:r>
              <w:rPr>
                <w:rFonts w:ascii="Aptos" w:eastAsia="Times New Roman" w:hAnsi="Aptos"/>
                <w:kern w:val="0"/>
                <w:sz w:val="14"/>
                <w:szCs w:val="14"/>
                <w:lang w:eastAsia="en-GB"/>
                <w14:ligatures w14:val="none"/>
              </w:rPr>
              <w:t xml:space="preserve">.         </w:t>
            </w:r>
          </w:p>
        </w:tc>
        <w:tc>
          <w:tcPr>
            <w:tcW w:w="460" w:type="pct"/>
            <w:hideMark/>
          </w:tcPr>
          <w:p w14:paraId="748B1D4D" w14:textId="46ED9573" w:rsidR="0078451F" w:rsidRPr="0078451F" w:rsidRDefault="0032369C" w:rsidP="0078451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78451F" w:rsidRPr="0078451F">
              <w:rPr>
                <w:rFonts w:ascii="Aptos" w:eastAsia="Times New Roman" w:hAnsi="Aptos"/>
                <w:kern w:val="0"/>
                <w:sz w:val="14"/>
                <w:szCs w:val="14"/>
                <w:lang w:eastAsia="en-GB"/>
                <w14:ligatures w14:val="none"/>
              </w:rPr>
              <w:t>.5.08.</w:t>
            </w:r>
          </w:p>
        </w:tc>
      </w:tr>
      <w:tr w:rsidR="0078451F" w:rsidRPr="0078451F" w14:paraId="6FF02BB7" w14:textId="77777777" w:rsidTr="0078451F">
        <w:trPr>
          <w:trHeight w:val="1508"/>
        </w:trPr>
        <w:tc>
          <w:tcPr>
            <w:cnfStyle w:val="001000000000" w:firstRow="0" w:lastRow="0" w:firstColumn="1" w:lastColumn="0" w:oddVBand="0" w:evenVBand="0" w:oddHBand="0" w:evenHBand="0" w:firstRowFirstColumn="0" w:firstRowLastColumn="0" w:lastRowFirstColumn="0" w:lastRowLastColumn="0"/>
            <w:tcW w:w="487" w:type="pct"/>
            <w:hideMark/>
          </w:tcPr>
          <w:p w14:paraId="6F813E13" w14:textId="77777777" w:rsidR="0078451F" w:rsidRPr="0078451F" w:rsidRDefault="0078451F" w:rsidP="0078451F">
            <w:pPr>
              <w:spacing w:after="0"/>
              <w:jc w:val="left"/>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3.05.</w:t>
            </w:r>
          </w:p>
        </w:tc>
        <w:tc>
          <w:tcPr>
            <w:tcW w:w="614" w:type="pct"/>
            <w:hideMark/>
          </w:tcPr>
          <w:p w14:paraId="4C375DFB" w14:textId="521BC2FA"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Izrada i implementacije Mape puta za jačanje administrativnih kapaciteta</w:t>
            </w:r>
            <w:r w:rsidR="0078451F" w:rsidRPr="0078451F">
              <w:rPr>
                <w:rFonts w:ascii="Aptos" w:eastAsia="Times New Roman" w:hAnsi="Aptos"/>
                <w:kern w:val="0"/>
                <w:sz w:val="14"/>
                <w:szCs w:val="14"/>
                <w:lang w:eastAsia="en-GB"/>
                <w14:ligatures w14:val="none"/>
              </w:rPr>
              <w:t xml:space="preserve"> (</w:t>
            </w:r>
            <w:r w:rsidR="0032369C">
              <w:rPr>
                <w:rFonts w:ascii="Aptos" w:eastAsia="Times New Roman" w:hAnsi="Aptos"/>
                <w:kern w:val="0"/>
                <w:sz w:val="14"/>
                <w:szCs w:val="14"/>
                <w:lang w:eastAsia="en-GB"/>
                <w14:ligatures w14:val="none"/>
              </w:rPr>
              <w:t>MPJAK</w:t>
            </w:r>
            <w:r w:rsidR="0078451F" w:rsidRPr="0078451F">
              <w:rPr>
                <w:rFonts w:ascii="Aptos" w:eastAsia="Times New Roman" w:hAnsi="Aptos"/>
                <w:kern w:val="0"/>
                <w:sz w:val="14"/>
                <w:szCs w:val="14"/>
                <w:lang w:eastAsia="en-GB"/>
                <w14:ligatures w14:val="none"/>
              </w:rPr>
              <w:t>)</w:t>
            </w:r>
          </w:p>
        </w:tc>
        <w:tc>
          <w:tcPr>
            <w:tcW w:w="614" w:type="pct"/>
            <w:hideMark/>
          </w:tcPr>
          <w:p w14:paraId="031D426D" w14:textId="5BF0C822" w:rsidR="0078451F" w:rsidRPr="0078451F" w:rsidRDefault="006D6E25"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78451F" w:rsidRPr="0078451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78451F" w:rsidRPr="0078451F">
              <w:rPr>
                <w:rFonts w:ascii="Aptos" w:eastAsia="Times New Roman" w:hAnsi="Aptos"/>
                <w:kern w:val="0"/>
                <w:sz w:val="14"/>
                <w:szCs w:val="14"/>
                <w:lang w:eastAsia="en-GB"/>
                <w14:ligatures w14:val="none"/>
              </w:rPr>
              <w:t>;</w:t>
            </w:r>
            <w:proofErr w:type="gramEnd"/>
            <w:r w:rsidR="0078451F" w:rsidRPr="0078451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460" w:type="pct"/>
            <w:hideMark/>
          </w:tcPr>
          <w:p w14:paraId="1489F3B7" w14:textId="30EC55B8"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722" w:type="pct"/>
            <w:hideMark/>
          </w:tcPr>
          <w:p w14:paraId="0B577C18" w14:textId="2C93114D" w:rsidR="0078451F" w:rsidRPr="0078451F" w:rsidRDefault="0032369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MPJAK</w:t>
            </w:r>
            <w:r w:rsidR="00163D4B">
              <w:rPr>
                <w:rFonts w:ascii="Aptos" w:eastAsia="Times New Roman" w:hAnsi="Aptos"/>
                <w:kern w:val="0"/>
                <w:sz w:val="14"/>
                <w:szCs w:val="14"/>
                <w:lang w:eastAsia="en-GB"/>
                <w14:ligatures w14:val="none"/>
              </w:rPr>
              <w:t xml:space="preserve"> razmatrana i usvojena od strane Radne grupe za Poglavlje 22.</w:t>
            </w:r>
          </w:p>
        </w:tc>
        <w:tc>
          <w:tcPr>
            <w:tcW w:w="460" w:type="pct"/>
            <w:hideMark/>
          </w:tcPr>
          <w:p w14:paraId="36404936" w14:textId="6AC2596E" w:rsidR="0078451F" w:rsidRPr="0078451F" w:rsidRDefault="0013334C"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60" w:type="pct"/>
            <w:hideMark/>
          </w:tcPr>
          <w:p w14:paraId="5B4561B3" w14:textId="3111192D" w:rsidR="0078451F" w:rsidRPr="0078451F" w:rsidRDefault="00720740"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22" w:type="pct"/>
            <w:hideMark/>
          </w:tcPr>
          <w:p w14:paraId="0FC1FC01" w14:textId="446B0F92"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78451F">
              <w:rPr>
                <w:rFonts w:ascii="Aptos" w:eastAsia="Times New Roman" w:hAnsi="Aptos"/>
                <w:kern w:val="0"/>
                <w:sz w:val="14"/>
                <w:szCs w:val="14"/>
                <w:lang w:eastAsia="en-GB"/>
                <w14:ligatures w14:val="none"/>
              </w:rPr>
              <w:t>Implementa</w:t>
            </w:r>
            <w:r w:rsidR="00163D4B">
              <w:rPr>
                <w:rFonts w:ascii="Aptos" w:eastAsia="Times New Roman" w:hAnsi="Aptos"/>
                <w:kern w:val="0"/>
                <w:sz w:val="14"/>
                <w:szCs w:val="14"/>
                <w:lang w:eastAsia="en-GB"/>
                <w14:ligatures w14:val="none"/>
              </w:rPr>
              <w:t>cija od</w:t>
            </w:r>
            <w:r w:rsidRPr="0078451F">
              <w:rPr>
                <w:rFonts w:ascii="Aptos" w:eastAsia="Times New Roman" w:hAnsi="Aptos"/>
                <w:kern w:val="0"/>
                <w:sz w:val="14"/>
                <w:szCs w:val="14"/>
                <w:lang w:eastAsia="en-GB"/>
                <w14:ligatures w14:val="none"/>
              </w:rPr>
              <w:t xml:space="preserve"> 2026-</w:t>
            </w:r>
            <w:r w:rsidR="000744D1">
              <w:rPr>
                <w:rFonts w:ascii="Aptos" w:eastAsia="Times New Roman" w:hAnsi="Aptos"/>
                <w:kern w:val="0"/>
                <w:sz w:val="14"/>
                <w:szCs w:val="14"/>
                <w:lang w:eastAsia="en-GB"/>
                <w14:ligatures w14:val="none"/>
              </w:rPr>
              <w:t>Kvartal</w:t>
            </w:r>
            <w:r w:rsidRPr="0078451F">
              <w:rPr>
                <w:rFonts w:ascii="Aptos" w:eastAsia="Times New Roman" w:hAnsi="Aptos"/>
                <w:kern w:val="0"/>
                <w:sz w:val="14"/>
                <w:szCs w:val="14"/>
                <w:lang w:eastAsia="en-GB"/>
                <w14:ligatures w14:val="none"/>
              </w:rPr>
              <w:t>4</w:t>
            </w:r>
          </w:p>
        </w:tc>
        <w:tc>
          <w:tcPr>
            <w:tcW w:w="460" w:type="pct"/>
            <w:hideMark/>
          </w:tcPr>
          <w:p w14:paraId="1FED5C07" w14:textId="77777777" w:rsidR="0078451F" w:rsidRPr="0078451F" w:rsidRDefault="0078451F" w:rsidP="0078451F">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78451F">
              <w:rPr>
                <w:rFonts w:eastAsia="Times New Roman"/>
                <w:kern w:val="0"/>
                <w:sz w:val="14"/>
                <w:szCs w:val="14"/>
                <w:lang w:eastAsia="en-GB"/>
                <w14:ligatures w14:val="none"/>
              </w:rPr>
              <w:t> </w:t>
            </w:r>
          </w:p>
        </w:tc>
      </w:tr>
    </w:tbl>
    <w:p w14:paraId="7C675E61" w14:textId="77777777" w:rsidR="002773A0" w:rsidRPr="00A35E9A" w:rsidRDefault="002773A0" w:rsidP="002773A0">
      <w:pPr>
        <w:rPr>
          <w:rFonts w:eastAsiaTheme="majorEastAsia" w:cs="Arial"/>
          <w:szCs w:val="20"/>
        </w:rPr>
      </w:pPr>
    </w:p>
    <w:p w14:paraId="497D6CC5" w14:textId="3344E1F6" w:rsidR="00010321" w:rsidRPr="00B83578" w:rsidRDefault="00206BD1" w:rsidP="003C2962">
      <w:pPr>
        <w:pStyle w:val="Heading1"/>
      </w:pPr>
      <w:bookmarkStart w:id="140" w:name="_Toc201700399"/>
      <w:r>
        <w:t>Strateški okvir i Programiranje</w:t>
      </w:r>
      <w:bookmarkEnd w:id="140"/>
      <w:r w:rsidR="00010321" w:rsidRPr="00B83578">
        <w:t xml:space="preserve"> </w:t>
      </w:r>
    </w:p>
    <w:p w14:paraId="6BC2A24C" w14:textId="0C9B89B9" w:rsidR="00010321" w:rsidRPr="00B83578" w:rsidRDefault="009E36FF" w:rsidP="003C2962">
      <w:pPr>
        <w:pStyle w:val="Heading2"/>
      </w:pPr>
      <w:bookmarkStart w:id="141" w:name="_Toc201700400"/>
      <w:r>
        <w:t>Relevantni zahtjevi Kohezione politike</w:t>
      </w:r>
      <w:bookmarkEnd w:id="141"/>
    </w:p>
    <w:p w14:paraId="0E0AA412" w14:textId="21D20562" w:rsidR="00916167" w:rsidRDefault="00CD0020" w:rsidP="003C2962">
      <w:r>
        <w:rPr>
          <w:b/>
        </w:rPr>
        <w:t>RZO</w:t>
      </w:r>
      <w:r w:rsidR="00916167" w:rsidRPr="00916167">
        <w:t xml:space="preserve"> utvrđuje opšte zaht</w:t>
      </w:r>
      <w:r w:rsidR="00916167">
        <w:t>j</w:t>
      </w:r>
      <w:r w:rsidR="00916167" w:rsidRPr="00916167">
        <w:t xml:space="preserve">eve za programiranje fondova </w:t>
      </w:r>
      <w:r w:rsidR="00916167">
        <w:t>K</w:t>
      </w:r>
      <w:r w:rsidR="00916167" w:rsidRPr="00916167">
        <w:t>ohezione politike, uključujući šablone za Sporazum o partnerstvu i Programe (osim za INTERREG Programe</w:t>
      </w:r>
      <w:r w:rsidR="00916167" w:rsidRPr="00B83578">
        <w:rPr>
          <w:rFonts w:cs="Arial"/>
          <w:vertAlign w:val="superscript"/>
        </w:rPr>
        <w:footnoteReference w:id="135"/>
      </w:r>
      <w:r w:rsidR="00916167" w:rsidRPr="00916167">
        <w:t>). Dodatni zaht</w:t>
      </w:r>
      <w:r w:rsidR="00916167">
        <w:t>j</w:t>
      </w:r>
      <w:r w:rsidR="00916167" w:rsidRPr="00916167">
        <w:t xml:space="preserve">evi specifični za svaki fond utvrđeni su u </w:t>
      </w:r>
      <w:r w:rsidR="00975088">
        <w:t>Regulativa</w:t>
      </w:r>
      <w:r w:rsidR="00916167" w:rsidRPr="00916167">
        <w:t xml:space="preserve">ma za svaki fond. Partnerstvo (kao što je predviđeno u Poglavlju 1) imaće fundamentalnu ulogu u programiranju </w:t>
      </w:r>
      <w:r w:rsidR="00916167">
        <w:t>K</w:t>
      </w:r>
      <w:r w:rsidR="00916167" w:rsidRPr="00916167">
        <w:t xml:space="preserve">ohezione politike, jer se i Sporazumi o partnerstvu i Programi pripremaju uz sveobuhvatno partnerstvo uspostavljeno u skladu sa Evropskim kodeksom ponašanja </w:t>
      </w:r>
      <w:r w:rsidR="004B7ADD">
        <w:t xml:space="preserve">za </w:t>
      </w:r>
      <w:r w:rsidR="00916167" w:rsidRPr="00916167">
        <w:t>partnerstv</w:t>
      </w:r>
      <w:r w:rsidR="004B7ADD">
        <w:t>o</w:t>
      </w:r>
      <w:r w:rsidR="00916167" w:rsidRPr="00916167">
        <w:t xml:space="preserve">. Štaviše, države članice i Komisija </w:t>
      </w:r>
      <w:r w:rsidR="00916167">
        <w:t>osiguravaju</w:t>
      </w:r>
      <w:r w:rsidR="00916167" w:rsidRPr="00916167">
        <w:t xml:space="preserve"> da se jednakost između muškaraca i žena, uključivanje rodne perspektive i integracija rodne ravnopravnosti uzmu u obzir tokom pripreme programa; preduzimaju odgovarajuće korake da spr</w:t>
      </w:r>
      <w:r w:rsidR="00916167">
        <w:t>ij</w:t>
      </w:r>
      <w:r w:rsidR="00916167" w:rsidRPr="00916167">
        <w:t>eče svaku diskriminaciju zasnovanu na polu, rasnom ili etničkom por</w:t>
      </w:r>
      <w:r w:rsidR="00916167">
        <w:t>ij</w:t>
      </w:r>
      <w:r w:rsidR="00916167" w:rsidRPr="00916167">
        <w:t>eklu, v</w:t>
      </w:r>
      <w:r w:rsidR="00916167">
        <w:t>j</w:t>
      </w:r>
      <w:r w:rsidR="00916167" w:rsidRPr="00916167">
        <w:t>eroispovesti ili uv</w:t>
      </w:r>
      <w:r w:rsidR="00916167">
        <w:t>j</w:t>
      </w:r>
      <w:r w:rsidR="00916167" w:rsidRPr="00916167">
        <w:t>erenju, invaliditetu, starosnoj dobi ili seksualnoj orijentaciji tokom pripreme programa, a posebno da uzmu u obzir pristupačnost za osobe sa invaliditetom.</w:t>
      </w:r>
    </w:p>
    <w:p w14:paraId="62D1454A" w14:textId="5EFA8A84" w:rsidR="00916167" w:rsidRDefault="00700FF9" w:rsidP="00916167">
      <w:r>
        <w:t>Sporazum o partnerstvu</w:t>
      </w:r>
      <w:r w:rsidR="00916167">
        <w:t xml:space="preserve"> je strateški i sažet dokument koji bi, okvirno, trebalo da ima najviše 35 strana. Priprema se u skladu sa Evropskim kodeksom ponašanja </w:t>
      </w:r>
      <w:r w:rsidR="004B7ADD">
        <w:t>za</w:t>
      </w:r>
      <w:r w:rsidR="00916167">
        <w:t xml:space="preserve"> partnerstv</w:t>
      </w:r>
      <w:r w:rsidR="004B7ADD">
        <w:t>o</w:t>
      </w:r>
      <w:r w:rsidR="00916167">
        <w:t xml:space="preserve">. Član 11 definiše sadržaj </w:t>
      </w:r>
      <w:r>
        <w:t>Sporazuma o partnerstvu</w:t>
      </w:r>
      <w:r w:rsidR="00916167">
        <w:t xml:space="preserve">. Šablon je dat u </w:t>
      </w:r>
      <w:r w:rsidR="00916167" w:rsidRPr="00916167">
        <w:rPr>
          <w:b/>
        </w:rPr>
        <w:t xml:space="preserve">ANEKSU II </w:t>
      </w:r>
      <w:r w:rsidR="00CD0020">
        <w:rPr>
          <w:b/>
        </w:rPr>
        <w:t>RZO</w:t>
      </w:r>
      <w:r w:rsidR="00916167" w:rsidRPr="00916167">
        <w:rPr>
          <w:b/>
        </w:rPr>
        <w:t>-a.</w:t>
      </w:r>
      <w:r w:rsidR="00916167">
        <w:t xml:space="preserve">  </w:t>
      </w:r>
    </w:p>
    <w:p w14:paraId="115C24F1" w14:textId="52D9A27F" w:rsidR="00916167" w:rsidRDefault="00916167" w:rsidP="00916167">
      <w:r>
        <w:t xml:space="preserve">Šablon za sve programe, osim INTERREG programa, dat je u </w:t>
      </w:r>
      <w:r w:rsidRPr="00916167">
        <w:rPr>
          <w:b/>
        </w:rPr>
        <w:t xml:space="preserve">ANEKSU V </w:t>
      </w:r>
      <w:r w:rsidR="00CD0020">
        <w:rPr>
          <w:b/>
        </w:rPr>
        <w:t>RZO</w:t>
      </w:r>
      <w:r w:rsidRPr="00916167">
        <w:rPr>
          <w:b/>
        </w:rPr>
        <w:t>-a.</w:t>
      </w:r>
      <w:r>
        <w:t xml:space="preserve">  </w:t>
      </w:r>
    </w:p>
    <w:p w14:paraId="1701F690" w14:textId="77777777" w:rsidR="00916167" w:rsidRDefault="00916167" w:rsidP="00916167">
      <w:r>
        <w:t xml:space="preserve">Integrisani teritorijalni razvoj može biti podržan kroz Fondove putem teritorijalnih ili lokalnih razvojnih strategija.  </w:t>
      </w:r>
    </w:p>
    <w:p w14:paraId="415CB0F4" w14:textId="7E2D40F5" w:rsidR="00916167" w:rsidRDefault="00916167" w:rsidP="00916167">
      <w:r>
        <w:t xml:space="preserve">Upravljačka tijela mogu obezbijediti doprinos programa, iz jednog ili više programa, postojećim ili novoosnovanim finansijskim instrumentima uspostavljenim na nacionalnom, regionalnom, transnacionalnom ili prekograničnom nivou i koje sprovodi direktno, ili pod odgovornošću, Upravljačko tijelo koje doprinosi ostvarivanju specifičnih ciljeva. Ovo se zasniva na ex-ante procjeni koju sastavlja Upravljačko tijelo.  </w:t>
      </w:r>
    </w:p>
    <w:p w14:paraId="076AF6C3" w14:textId="6FB2AE00" w:rsidR="00916167" w:rsidRDefault="00916167" w:rsidP="00916167">
      <w:r>
        <w:t>Regulative koje se bave fondovima takođe sadrže relevantne odredbe za programiranje.</w:t>
      </w:r>
    </w:p>
    <w:p w14:paraId="3C30686A" w14:textId="1EC39CDC" w:rsidR="00916167" w:rsidRPr="00916167" w:rsidRDefault="00916167" w:rsidP="00916167">
      <w:pPr>
        <w:rPr>
          <w:color w:val="000000"/>
          <w:kern w:val="0"/>
        </w:rPr>
      </w:pPr>
      <w:r w:rsidRPr="00916167">
        <w:rPr>
          <w:color w:val="000000"/>
          <w:kern w:val="0"/>
        </w:rPr>
        <w:t>Evropski fond za regionalni razvoj (</w:t>
      </w:r>
      <w:r w:rsidR="003D7057">
        <w:rPr>
          <w:color w:val="000000"/>
          <w:kern w:val="0"/>
        </w:rPr>
        <w:t>EFRR</w:t>
      </w:r>
      <w:r w:rsidRPr="00916167">
        <w:rPr>
          <w:color w:val="000000"/>
          <w:kern w:val="0"/>
        </w:rPr>
        <w:t>) može podržati integrisani teritorijalni razvoj i posvetiće posebnu pažnju r</w:t>
      </w:r>
      <w:r>
        <w:rPr>
          <w:color w:val="000000"/>
          <w:kern w:val="0"/>
        </w:rPr>
        <w:t>j</w:t>
      </w:r>
      <w:r w:rsidRPr="00916167">
        <w:rPr>
          <w:color w:val="000000"/>
          <w:kern w:val="0"/>
        </w:rPr>
        <w:t xml:space="preserve">ešavanju izazova nerazvijenih regiona i područja, naročito ruralnih oblasti i područja koja su pogođena ozbiljnim i trajnim prirodnim ili demografskim nepogodama. Član 11 o Održivom urbanom razvoju utvrđuje da najmanje 8% </w:t>
      </w:r>
      <w:r w:rsidR="003D7057">
        <w:rPr>
          <w:color w:val="000000"/>
          <w:kern w:val="0"/>
        </w:rPr>
        <w:t>EFRR</w:t>
      </w:r>
      <w:r w:rsidRPr="00916167">
        <w:rPr>
          <w:color w:val="000000"/>
          <w:kern w:val="0"/>
        </w:rPr>
        <w:t xml:space="preserve"> sredstava na nacionalnom nivou, u okviru cilja Investicije za radna m</w:t>
      </w:r>
      <w:r>
        <w:rPr>
          <w:color w:val="000000"/>
          <w:kern w:val="0"/>
        </w:rPr>
        <w:t>j</w:t>
      </w:r>
      <w:r w:rsidRPr="00916167">
        <w:rPr>
          <w:color w:val="000000"/>
          <w:kern w:val="0"/>
        </w:rPr>
        <w:t xml:space="preserve">esta i rast, osim za </w:t>
      </w:r>
      <w:r w:rsidR="00F6773D">
        <w:rPr>
          <w:color w:val="000000"/>
          <w:kern w:val="0"/>
        </w:rPr>
        <w:t>tehničku pomoć</w:t>
      </w:r>
      <w:r w:rsidRPr="00163D4B">
        <w:rPr>
          <w:color w:val="000000"/>
          <w:kern w:val="0"/>
        </w:rPr>
        <w:t xml:space="preserve">, mora biti dodijeljeno održivom urbanom razvoju, na osnovu teritorijalnih ili </w:t>
      </w:r>
      <w:r w:rsidR="00163D4B" w:rsidRPr="00163D4B">
        <w:rPr>
          <w:color w:val="000000"/>
          <w:kern w:val="0"/>
        </w:rPr>
        <w:t>strategija za razvoj</w:t>
      </w:r>
      <w:r w:rsidRPr="00163D4B">
        <w:rPr>
          <w:color w:val="000000"/>
          <w:kern w:val="0"/>
        </w:rPr>
        <w:t xml:space="preserve"> </w:t>
      </w:r>
      <w:r w:rsidR="00C8498D" w:rsidRPr="00163D4B">
        <w:rPr>
          <w:color w:val="000000"/>
          <w:kern w:val="0"/>
        </w:rPr>
        <w:t>pod vođstvom</w:t>
      </w:r>
      <w:r w:rsidRPr="00163D4B">
        <w:rPr>
          <w:color w:val="000000"/>
          <w:kern w:val="0"/>
        </w:rPr>
        <w:t xml:space="preserve"> zajednic</w:t>
      </w:r>
      <w:r w:rsidR="00C8498D" w:rsidRPr="00163D4B">
        <w:rPr>
          <w:color w:val="000000"/>
          <w:kern w:val="0"/>
        </w:rPr>
        <w:t>e</w:t>
      </w:r>
      <w:r w:rsidRPr="00163D4B">
        <w:rPr>
          <w:color w:val="000000"/>
          <w:kern w:val="0"/>
        </w:rPr>
        <w:t>, fokusiranih na urbana područja, uključujući funkcionalna urbana područja.</w:t>
      </w:r>
    </w:p>
    <w:p w14:paraId="043144D3" w14:textId="228590B0" w:rsidR="00622DA1" w:rsidRDefault="00622DA1" w:rsidP="00622DA1">
      <w:r w:rsidRPr="00622DA1">
        <w:rPr>
          <w:b/>
        </w:rPr>
        <w:lastRenderedPageBreak/>
        <w:t>Fond za pravednu tranziciju</w:t>
      </w:r>
      <w:r>
        <w:t>, uspostavljen prvi put za perspektivu 2021–2027, doprinosi specifičnom cilju omogućavanja regionima i ljudima da se nose sa socijalnim, ekonomskim, ekološkim uticajima i uticajima na zapošljavanje usljed tranzicije ka ciljevima Unije za energiju i klimu do 2030. godine i klimatski neutralne ekonomije Unije do 2050. godine, zasnovane na Pariškom sporazumu. Fond za pravednu tranziciju podržavaće samo aktivnosti koje doprinose sprovođenju teritorijalnih planova za pravednu tranziciju. Države članice pripremaju, zajedno sa relevantnim lokalnim i regionalnim vlastima pogođenih teritorija, jedan ili više teritorijalnih planova za pravednu tranziciju koji obuhvataju jednu ili više teritorija koje su najnegativnije pogođene, na osnovu ekonomskih i socijalnih uticaja koji proizilaze iz tranzicije.</w:t>
      </w:r>
    </w:p>
    <w:p w14:paraId="3C1D9F0A" w14:textId="146848BD" w:rsidR="00622DA1" w:rsidRDefault="00975088" w:rsidP="00622DA1">
      <w:r>
        <w:rPr>
          <w:b/>
        </w:rPr>
        <w:t>Regulativa</w:t>
      </w:r>
      <w:r w:rsidR="00622DA1" w:rsidRPr="00622DA1">
        <w:rPr>
          <w:b/>
        </w:rPr>
        <w:t xml:space="preserve"> o ESF+</w:t>
      </w:r>
      <w:r w:rsidR="00622DA1">
        <w:t xml:space="preserve"> spaja tri fonda iz perioda 2014–2020</w:t>
      </w:r>
      <w:r w:rsidR="00622DA1" w:rsidRPr="00B83578">
        <w:rPr>
          <w:rFonts w:cs="Arial"/>
          <w:color w:val="000000"/>
          <w:kern w:val="0"/>
          <w:vertAlign w:val="superscript"/>
        </w:rPr>
        <w:footnoteReference w:id="136"/>
      </w:r>
      <w:r w:rsidR="00622DA1" w:rsidRPr="00B83578">
        <w:t xml:space="preserve"> </w:t>
      </w:r>
      <w:r w:rsidR="00622DA1">
        <w:t xml:space="preserve"> u oblasti zapošljavanja i socijalne politike</w:t>
      </w:r>
      <w:r w:rsidR="00622DA1" w:rsidRPr="00B83578">
        <w:rPr>
          <w:rFonts w:cs="Arial"/>
          <w:color w:val="000000"/>
          <w:kern w:val="0"/>
          <w:vertAlign w:val="superscript"/>
        </w:rPr>
        <w:footnoteReference w:id="137"/>
      </w:r>
      <w:r w:rsidR="00622DA1">
        <w:t>.</w:t>
      </w:r>
    </w:p>
    <w:p w14:paraId="166B2F38" w14:textId="0312D27D" w:rsidR="00622DA1" w:rsidRDefault="00622DA1" w:rsidP="00622DA1">
      <w:r>
        <w:t xml:space="preserve">Specifični ciljevi ESF+ u oblastima politike zapošljavanja i mobilnosti radne snage, obrazovanja, socijalne uključenosti, uključujući doprinos iskorjenjivanju siromaštva, doprinos cilju politike „socijalnija i inkluzivnija Evropa koja sprovodi Evropski stub socijalnih </w:t>
      </w:r>
      <w:proofErr w:type="gramStart"/>
      <w:r>
        <w:t>prava“</w:t>
      </w:r>
      <w:proofErr w:type="gramEnd"/>
      <w:r>
        <w:t xml:space="preserve">. Uspostavlja minimalne zahtjeve za raspodjelu sredstava ESF+ za </w:t>
      </w:r>
      <w:r w:rsidRPr="00A04B46">
        <w:t>socijalnu uključenost (25%) i podršku najugroženijima (3%), kao i odgovarajuća sredstva za rješavanje problema dječijeg siromaštva</w:t>
      </w:r>
      <w:r w:rsidRPr="00A04B46">
        <w:rPr>
          <w:rFonts w:cs="Arial"/>
          <w:color w:val="000000"/>
          <w:kern w:val="0"/>
          <w:vertAlign w:val="superscript"/>
        </w:rPr>
        <w:footnoteReference w:id="138"/>
      </w:r>
      <w:r w:rsidRPr="00A04B46">
        <w:rPr>
          <w:color w:val="000000"/>
          <w:kern w:val="0"/>
        </w:rPr>
        <w:t xml:space="preserve"> </w:t>
      </w:r>
      <w:r w:rsidRPr="00A04B46">
        <w:t xml:space="preserve"> i zapošljavanja mladih</w:t>
      </w:r>
      <w:r w:rsidRPr="00A04B46">
        <w:rPr>
          <w:rFonts w:cs="Arial"/>
          <w:color w:val="000000"/>
          <w:kern w:val="0"/>
          <w:vertAlign w:val="superscript"/>
        </w:rPr>
        <w:footnoteReference w:id="139"/>
      </w:r>
      <w:r w:rsidRPr="00A04B46">
        <w:t>. Takođe uključuje podršku ESF+ za rješavanje materijalne deprivacije.</w:t>
      </w:r>
    </w:p>
    <w:p w14:paraId="76887E20" w14:textId="387D4D2F" w:rsidR="00622DA1" w:rsidRDefault="00975088" w:rsidP="00622DA1">
      <w:r>
        <w:rPr>
          <w:b/>
        </w:rPr>
        <w:t>Regulativa</w:t>
      </w:r>
      <w:r w:rsidR="00622DA1" w:rsidRPr="00622DA1">
        <w:rPr>
          <w:b/>
        </w:rPr>
        <w:t xml:space="preserve"> o </w:t>
      </w:r>
      <w:r w:rsidR="003D7057">
        <w:rPr>
          <w:b/>
        </w:rPr>
        <w:t>ETS</w:t>
      </w:r>
      <w:r w:rsidR="00622DA1">
        <w:t xml:space="preserve"> pokriva pripremu, odobravanje i izmjenu Interreg programa. Član 16. obuhvata pripremu Interreg programa od strane država članica učesnica, trećih zemalja i zemalja partnera</w:t>
      </w:r>
      <w:r w:rsidR="00622DA1" w:rsidRPr="00B83578">
        <w:rPr>
          <w:rFonts w:cs="Arial"/>
          <w:vertAlign w:val="superscript"/>
        </w:rPr>
        <w:footnoteReference w:id="140"/>
      </w:r>
      <w:r w:rsidR="00622DA1">
        <w:t xml:space="preserve">, u saradnji sa partnerima programa. Države članice učesnice, treće zemlje i zemlje partneri pismeno potvrđuju svoju saglasnost sa sadržajem Interreg programa prije njegovog podnošenja Komisiji. Sadržaj INTERREG programa je utvrđen u članu 17, a šablon je aneks </w:t>
      </w:r>
      <w:r w:rsidR="00420726">
        <w:t>Regulative</w:t>
      </w:r>
      <w:r w:rsidR="00622DA1">
        <w:t>.</w:t>
      </w:r>
    </w:p>
    <w:p w14:paraId="4D3201E3" w14:textId="213CE4F4" w:rsidR="00010321" w:rsidRPr="00B83578" w:rsidRDefault="00017758" w:rsidP="003C2962">
      <w:pPr>
        <w:pStyle w:val="Heading2"/>
      </w:pPr>
      <w:bookmarkStart w:id="142" w:name="_Toc181860719"/>
      <w:bookmarkStart w:id="143" w:name="_Toc201700401"/>
      <w:r>
        <w:t>Procjena trenutne situacije</w:t>
      </w:r>
      <w:r w:rsidR="00010321" w:rsidRPr="00B83578">
        <w:rPr>
          <w:vertAlign w:val="superscript"/>
        </w:rPr>
        <w:footnoteReference w:id="141"/>
      </w:r>
      <w:bookmarkEnd w:id="142"/>
      <w:bookmarkEnd w:id="143"/>
      <w:r w:rsidR="00010321" w:rsidRPr="00B83578">
        <w:t xml:space="preserve"> </w:t>
      </w:r>
    </w:p>
    <w:p w14:paraId="127F42E0" w14:textId="2C78C581" w:rsidR="00010321" w:rsidRPr="00B83578" w:rsidRDefault="00206BD1" w:rsidP="003C2962">
      <w:pPr>
        <w:pStyle w:val="Heading3"/>
      </w:pPr>
      <w:bookmarkStart w:id="144" w:name="_Toc201700402"/>
      <w:r>
        <w:t>Procesi strateškog programiranja i konsultacija</w:t>
      </w:r>
      <w:bookmarkEnd w:id="144"/>
      <w:r w:rsidR="00010321" w:rsidRPr="00B83578">
        <w:t xml:space="preserve"> </w:t>
      </w:r>
    </w:p>
    <w:p w14:paraId="7B63A8A8" w14:textId="314F5CAB" w:rsidR="00622DA1" w:rsidRDefault="00622DA1" w:rsidP="003C2962">
      <w:r w:rsidRPr="00622DA1">
        <w:t xml:space="preserve">Crna Gora je uspostavila </w:t>
      </w:r>
      <w:r w:rsidRPr="006F5BD2">
        <w:rPr>
          <w:b/>
        </w:rPr>
        <w:t>čvrst pravni okvir</w:t>
      </w:r>
      <w:r w:rsidRPr="00622DA1">
        <w:t xml:space="preserve"> za planiranje javnih politika, usklađen sa zaht</w:t>
      </w:r>
      <w:r w:rsidR="006F5BD2">
        <w:t>j</w:t>
      </w:r>
      <w:r w:rsidRPr="00622DA1">
        <w:t>evima EU</w:t>
      </w:r>
      <w:r w:rsidR="006F5BD2" w:rsidRPr="00B83578">
        <w:rPr>
          <w:vertAlign w:val="superscript"/>
        </w:rPr>
        <w:footnoteReference w:id="142"/>
      </w:r>
      <w:r w:rsidRPr="00622DA1">
        <w:t>. Zakon o državnoj upravi (Službeni list Crne Gore, br. 78/2018, 70/2021 i 52/2022) pruža osnovu za strukturisano planiranje i koordinaciju politika na različitim nivoima vlasti, obezb</w:t>
      </w:r>
      <w:r w:rsidR="006F5BD2">
        <w:t>j</w:t>
      </w:r>
      <w:r w:rsidRPr="00622DA1">
        <w:t>eđujući usklađenost između nacionalnih strategija i lokalnih razvojnih planova, što unapr</w:t>
      </w:r>
      <w:r w:rsidR="006F5BD2">
        <w:t>j</w:t>
      </w:r>
      <w:r w:rsidRPr="00622DA1">
        <w:t xml:space="preserve">eđuje </w:t>
      </w:r>
      <w:r w:rsidR="00A80895">
        <w:t>implementaciju</w:t>
      </w:r>
      <w:r w:rsidRPr="00622DA1">
        <w:t xml:space="preserve"> i efikasnost politika. Institucionalne strukture za koherentan sistem kreiranja politika su uspostavljene, a Generalni sekretarijat Vlade obezb</w:t>
      </w:r>
      <w:r w:rsidR="006F5BD2">
        <w:t>j</w:t>
      </w:r>
      <w:r w:rsidRPr="00622DA1">
        <w:t>eđuje da su principi rodne ravnopravnosti i zaštite životne sredine integrisani u sve politike.</w:t>
      </w:r>
    </w:p>
    <w:p w14:paraId="0BB660AF" w14:textId="4B111D14" w:rsidR="006F5BD2" w:rsidRDefault="006F5BD2" w:rsidP="00010321">
      <w:r w:rsidRPr="006F5BD2">
        <w:t xml:space="preserve">Crna Gora je uspostavila </w:t>
      </w:r>
      <w:r w:rsidRPr="006F5BD2">
        <w:rPr>
          <w:b/>
        </w:rPr>
        <w:t>relativno sveobuhvatan okvir za višeslojno upravljanje</w:t>
      </w:r>
      <w:r w:rsidRPr="006F5BD2">
        <w:t xml:space="preserve">, čime se obezbjeđuje uključivanje lokalnih vlasti u nacionalno strateško planiranje. Zakon o lokalnoj samoupravi (Službeni list Crne Gore, br. 002/18, 034/19, 038/20, 050/22, 084/22) propisuje učešće lokalnih vlasti u izradi nacionalnih strategija. Ovim zakonom se podstiče saradnja na različitim nivoima vlasti, kako bi se potrebe i prioriteti lokalnih zajednica integrisali u nacionalne razvojne planove. Lokalne vlasti aktivno učestvuju u izradi, konsultacijama i sprovođenju strategija, doprinoseći kohezivnom i inkluzivnom procesu kreiranja politika. Ministarstvo javne uprave je nadležni organ za lokalnu samoupravu, a Zajednica opština ima ulogu </w:t>
      </w:r>
      <w:r w:rsidRPr="006F5BD2">
        <w:lastRenderedPageBreak/>
        <w:t xml:space="preserve">predstavljanja lokalnih samouprava pred centralnom vlašću i na međunarodnom nivou. Zajednica opština predstavlja sve lokalne samouprave, a finansira se iz njihovih članarina i projektnih sredstava. Upravni odbor Zajednice opština čine predsjednici svih opština. Zajednica opština, u skladu sa svojom statutarnom misijom, olakšava višeslojno upravljanje tako što komunicira sa lokalnim vlastima radi prikupljanja njihovih doprinosa i objedinjavanja istih; napominje se da </w:t>
      </w:r>
      <w:r w:rsidR="00E136F2">
        <w:t>nijesu</w:t>
      </w:r>
      <w:r w:rsidRPr="006F5BD2">
        <w:t xml:space="preserve"> sve lokalne samouprave nužno reaktivne. Generalno, prema navodima Zajednice opština, obezbjeđuje se dovoljno vremena za konsultativni proces. Ipak, u najnovijem SIGMA Izvještaju (2024)</w:t>
      </w:r>
      <w:r w:rsidRPr="006F5BD2">
        <w:rPr>
          <w:vertAlign w:val="superscript"/>
        </w:rPr>
        <w:t xml:space="preserve"> </w:t>
      </w:r>
      <w:r w:rsidRPr="00B83578">
        <w:rPr>
          <w:vertAlign w:val="superscript"/>
        </w:rPr>
        <w:footnoteReference w:id="143"/>
      </w:r>
      <w:r w:rsidRPr="00B83578">
        <w:t xml:space="preserve"> </w:t>
      </w:r>
      <w:r w:rsidRPr="006F5BD2">
        <w:t xml:space="preserve"> navodi se da se ovakve konsultacije u mnogim slučajevima nijesu sprovodile u prethodnim godinama.</w:t>
      </w:r>
    </w:p>
    <w:p w14:paraId="264BFD37" w14:textId="7B4ADFAF" w:rsidR="006F5BD2" w:rsidRDefault="006F5BD2" w:rsidP="00010321">
      <w:r w:rsidRPr="006F5BD2">
        <w:t>Dalji razvoj više</w:t>
      </w:r>
      <w:r>
        <w:t>slojnog</w:t>
      </w:r>
      <w:r w:rsidRPr="006F5BD2">
        <w:t xml:space="preserve"> upravljanja definisan je u Strategiji reforme javne uprave (PAR) 2022-2026</w:t>
      </w:r>
      <w:r w:rsidRPr="00B83578">
        <w:rPr>
          <w:vertAlign w:val="superscript"/>
        </w:rPr>
        <w:footnoteReference w:id="144"/>
      </w:r>
      <w:r w:rsidRPr="00B83578">
        <w:t xml:space="preserve"> </w:t>
      </w:r>
      <w:r w:rsidRPr="006F5BD2">
        <w:t xml:space="preserve"> i Strategiji regionalnog razvoja 2023-2027</w:t>
      </w:r>
      <w:r w:rsidRPr="00B83578">
        <w:rPr>
          <w:vertAlign w:val="superscript"/>
        </w:rPr>
        <w:footnoteReference w:id="145"/>
      </w:r>
      <w:r w:rsidRPr="006F5BD2">
        <w:t xml:space="preserve">. </w:t>
      </w:r>
    </w:p>
    <w:p w14:paraId="744D4F6E" w14:textId="1C8B8C03" w:rsidR="006F5BD2" w:rsidRDefault="006F5BD2" w:rsidP="00010321">
      <w:r w:rsidRPr="006F5BD2">
        <w:t>Trenutno, lokalna samouprava ne igra značajnu ulogu u prostornom planiranju i razvoju gradova, u primarnoj zdravstvenoj zaštiti i bolnicama, niti u predškolskom, osnovnom i srednjem obrazovanju. Novi Zakon o lokalnoj samoupravi je trenutno u poodmakloj fazi i postaviće okvir za asimetričnu decentralizaciju i polimorfni model organizacije lokalne samouprave, u skladu sa preporukama Analize funkcionisanja sistema lokalne samouprave. Ovo podrazum</w:t>
      </w:r>
      <w:r>
        <w:t>ij</w:t>
      </w:r>
      <w:r w:rsidRPr="006F5BD2">
        <w:t>eva uvođenje gradova kao jedinica lokalne samouprave, koje će preuzeti šira ovlašćenja u oblastima kao što su predškolsko vaspitanje, primarna zdravstvena zaštita, socijalna i d</w:t>
      </w:r>
      <w:r>
        <w:t>j</w:t>
      </w:r>
      <w:r w:rsidRPr="006F5BD2">
        <w:t>ečija zaštita, kao i prostorno planiranje. Pored toga, predloženi su precizni i m</w:t>
      </w:r>
      <w:r>
        <w:t>j</w:t>
      </w:r>
      <w:r w:rsidRPr="006F5BD2">
        <w:t>erljivi kriterijumi za sticanje statusa grada. Ovakav sistem postavlja snažne temelje za unapr</w:t>
      </w:r>
      <w:r>
        <w:t>j</w:t>
      </w:r>
      <w:r w:rsidRPr="006F5BD2">
        <w:t>eđenje decentralizacije zasnovane na zaslugama, odgovornosti i dobrom upravljanju. Treba napomenuti da je Analiza funkcionisanja sistema lokalne samouprave pokazala da ni</w:t>
      </w:r>
      <w:r>
        <w:t>je</w:t>
      </w:r>
      <w:r w:rsidRPr="006F5BD2">
        <w:t xml:space="preserve">su sve jedinice lokalne samouprave spremne za dalju decentralizaciju. Takođe, Nacrt zakona ističe značaj procesa evropskih integracija na lokalnom nivou, međuopštinsku saradnju, saradnju između centralnih i lokalnih vlasti, kao i nadzor nad </w:t>
      </w:r>
      <w:r w:rsidR="00A80895">
        <w:t>implementacijo</w:t>
      </w:r>
      <w:r w:rsidRPr="006F5BD2">
        <w:t>m propisa na lokalnom nivou.</w:t>
      </w:r>
    </w:p>
    <w:p w14:paraId="4554B714" w14:textId="4DF89737" w:rsidR="006F5BD2" w:rsidRDefault="006F5BD2" w:rsidP="006F5BD2">
      <w:r w:rsidRPr="006F5BD2">
        <w:rPr>
          <w:i/>
        </w:rPr>
        <w:t>Uredba o metodologiji i postupku izrade, usklađivanja i praćenja sprovođenja strateških dokumenata</w:t>
      </w:r>
      <w:r>
        <w:t xml:space="preserve"> (Službeni list Crne Gore, br. 54/2018) utvrđuje minimalne kriterijume kvaliteta za sve strateške dokumente koje usvaja Vlada Crne Gore. Ova uredba definiše postupak izrade strategija i programa koji predlažu unutrašnje i spoljne politike u određenoj oblasti, a koje usvaja Vlada Crne Gore. Takođe, određuje aktivnosti </w:t>
      </w:r>
      <w:r w:rsidR="00A80895">
        <w:t xml:space="preserve">na implementaciji </w:t>
      </w:r>
      <w:r>
        <w:t xml:space="preserve">strateških dokumenata, procedure za provjeru njihove međusobne usklađenosti i usklađenosti sa planskim i strateškim dokumentima kojima se utvrđuju opšti pravci razvoja Crne Gore, kao i sa finansijskim strateškim dokumentima. Uredba definiše načine praćenja sprovođenja strateških dokumenata i druga pitanja vezana za njihovu izradu i </w:t>
      </w:r>
      <w:r w:rsidR="002F2D68">
        <w:t>implementaciju</w:t>
      </w:r>
      <w:r w:rsidRPr="00B83578">
        <w:rPr>
          <w:rFonts w:cs="Arial"/>
          <w:vertAlign w:val="superscript"/>
        </w:rPr>
        <w:footnoteReference w:id="146"/>
      </w:r>
      <w:r>
        <w:t>. Ključni principi na kojima se zasniva izrada politika, prema ovoj Uredbi, uključuju: princip usklađenosti, princip finansijske održivosti, princip odgovornosti, princip saradnje, princip transparentnosti, princip kontinuiteta i princip ekonomičnosti i racionalnog planiranja.</w:t>
      </w:r>
    </w:p>
    <w:p w14:paraId="3D01BC25" w14:textId="1FB654DB" w:rsidR="006F5BD2" w:rsidRDefault="006F5BD2" w:rsidP="006F5BD2">
      <w:r>
        <w:t xml:space="preserve">Uz Uredbu se donosi i detaljnije razrađuje Metodologija za izradu, pripremu i </w:t>
      </w:r>
      <w:r w:rsidR="00A80895" w:rsidRPr="00A80895">
        <w:t>monitoring</w:t>
      </w:r>
      <w:r>
        <w:t xml:space="preserve"> sprovođenja strateških dokumenata, koju implementira Generalni sekretarijat Vlade</w:t>
      </w:r>
      <w:r w:rsidR="00BA68E6" w:rsidRPr="00B83578">
        <w:rPr>
          <w:vertAlign w:val="superscript"/>
        </w:rPr>
        <w:footnoteReference w:id="147"/>
      </w:r>
      <w:r>
        <w:t xml:space="preserve">. Procjena predloženih strateških dokumenata obuhvata ocjenu njihove usklađenosti sa procesom evropskih integracija i ključnim politikama Evropske unije. Metodologija je nedavno dopunjena instrumentima za </w:t>
      </w:r>
      <w:r w:rsidR="00A80895" w:rsidRPr="00A80895">
        <w:t>monitoring</w:t>
      </w:r>
      <w:r>
        <w:t xml:space="preserve"> rodne ravnopravnosti (2023)</w:t>
      </w:r>
      <w:r w:rsidR="00BA68E6" w:rsidRPr="00BA68E6">
        <w:rPr>
          <w:rFonts w:cs="Arial"/>
          <w:vertAlign w:val="superscript"/>
        </w:rPr>
        <w:t xml:space="preserve"> </w:t>
      </w:r>
      <w:r w:rsidR="00BA68E6" w:rsidRPr="00B83578">
        <w:rPr>
          <w:rFonts w:cs="Arial"/>
          <w:vertAlign w:val="superscript"/>
        </w:rPr>
        <w:footnoteReference w:id="148"/>
      </w:r>
      <w:r>
        <w:t xml:space="preserve">, uključujući posebnu razradu pokazatelja praćenja po polu, </w:t>
      </w:r>
      <w:r w:rsidR="00671D09">
        <w:t>gdje</w:t>
      </w:r>
      <w:r>
        <w:t xml:space="preserve"> je primjenjivo, kao i procjenu eventualnih prepreka ili rizika iz rodne perspektive u procesu sprovođenja. Kriterijumi za uključivanje zainteresovanih strana i javne konsultacije u pripremi strateških dokumenata i programa definisani su Metodologijom</w:t>
      </w:r>
      <w:r w:rsidR="00BA68E6" w:rsidRPr="00B83578">
        <w:rPr>
          <w:rFonts w:cs="Arial"/>
          <w:vertAlign w:val="superscript"/>
        </w:rPr>
        <w:footnoteReference w:id="149"/>
      </w:r>
      <w:r>
        <w:t xml:space="preserve">. Poseban program obuke za strateško planiranje – koji se sastoji od šest modula – razvijen je u saradnji sa </w:t>
      </w:r>
      <w:r w:rsidR="000270DD">
        <w:t>UZLJK</w:t>
      </w:r>
      <w:r>
        <w:t>; do sada je obuku pohađalo 120 državnih službenika.</w:t>
      </w:r>
    </w:p>
    <w:p w14:paraId="40615516" w14:textId="4B62DB3B" w:rsidR="00BA68E6" w:rsidRDefault="00BA68E6" w:rsidP="00BA68E6">
      <w:r>
        <w:lastRenderedPageBreak/>
        <w:t xml:space="preserve">Međutim, iako su konsultacije sa zainteresovanim stranama i javnošću sastavni dio strateškog programiranja Crne Gore kako bi se obezbijedilo uvažavanje različitih perspektiva, jačala transparentnost i odgovornost, u Godišnjem </w:t>
      </w:r>
      <w:r w:rsidR="00671D09">
        <w:t>izvještaj</w:t>
      </w:r>
      <w:r>
        <w:t xml:space="preserve">u EK za 2024. godinu (str. 25) navodi se: „Izvještaj Vlade iz avgusta 2023. godine ukazuje na to da ministarstva ne sprovode redovno javne konsultacije i da se široko koriste izuzeća. Takođe, državna uprava ne ispunjava obavezu da objavi godišnju listu zakona i strategija predviđenih za javne konsultacije, a portal za e-učešće ne koriste građani i zainteresovane </w:t>
      </w:r>
      <w:proofErr w:type="gramStart"/>
      <w:r>
        <w:t>strane.“</w:t>
      </w:r>
      <w:proofErr w:type="gramEnd"/>
    </w:p>
    <w:p w14:paraId="45BE7312" w14:textId="52B90BBD" w:rsidR="00BA68E6" w:rsidRDefault="00BA68E6" w:rsidP="00BA68E6">
      <w:r w:rsidRPr="00BA68E6">
        <w:rPr>
          <w:b/>
        </w:rPr>
        <w:t>Program ekonomskih reformi (PER)</w:t>
      </w:r>
      <w:r>
        <w:t xml:space="preserve"> ima ključnu ulogu u procesu pristupanja Crne Gore EU. Priprema PER-a uključuje sveobuhvatne konsultacije sa relevantnim zainteresovanim stranama</w:t>
      </w:r>
      <w:r w:rsidRPr="00B83578">
        <w:rPr>
          <w:rFonts w:cs="Arial"/>
          <w:vertAlign w:val="superscript"/>
        </w:rPr>
        <w:footnoteReference w:id="150"/>
      </w:r>
      <w:r>
        <w:t>, kako bi se osiguralo da ekonomske politike budu inkluzivne, da odražavaju razvojne potrebe zemlje i uzimaju u obzir i odgovaraju na sugestije i komentare zainteresovanih strana.</w:t>
      </w:r>
    </w:p>
    <w:p w14:paraId="7749D81E" w14:textId="73FC6A30" w:rsidR="00BA68E6" w:rsidRDefault="00BA68E6" w:rsidP="00BA68E6">
      <w:r>
        <w:t>Reformska agenda predstavljala je dodatni izazov u programiranju za Crnu Goru, s obzirom na strogi okvir programiranja koji je postavilo DG NEAR</w:t>
      </w:r>
      <w:r w:rsidRPr="00B83578">
        <w:rPr>
          <w:rFonts w:cs="Arial"/>
          <w:vertAlign w:val="superscript"/>
        </w:rPr>
        <w:footnoteReference w:id="151"/>
      </w:r>
      <w:r>
        <w:t>, nedostatak regulatorne jasnoće</w:t>
      </w:r>
      <w:r w:rsidRPr="00B83578">
        <w:rPr>
          <w:rFonts w:cs="Arial"/>
          <w:vertAlign w:val="superscript"/>
        </w:rPr>
        <w:footnoteReference w:id="152"/>
      </w:r>
      <w:r w:rsidRPr="00B83578">
        <w:t xml:space="preserve"> </w:t>
      </w:r>
      <w:r>
        <w:t xml:space="preserve"> i donekle kontradiktorna uputstva i informacije koje su tokom procesa dostavljane </w:t>
      </w:r>
      <w:r w:rsidR="0086543E" w:rsidRPr="0086543E">
        <w:t>NIPAK</w:t>
      </w:r>
      <w:r>
        <w:t>-u</w:t>
      </w:r>
      <w:r w:rsidRPr="00B83578">
        <w:rPr>
          <w:rFonts w:cs="Arial"/>
          <w:vertAlign w:val="superscript"/>
        </w:rPr>
        <w:footnoteReference w:id="153"/>
      </w:r>
      <w:r>
        <w:t xml:space="preserve">. Uprkos tome, </w:t>
      </w:r>
      <w:r w:rsidR="0086543E" w:rsidRPr="0086543E">
        <w:t>NIPAK</w:t>
      </w:r>
      <w:r>
        <w:t xml:space="preserve"> je uložio značajne napore u koordinaciju pripreme Reformske agende i obezbjeđivanje adekvatnih konsultacija sa zainteresovanim stranama. Formirana je institucionalna radna grupa za pripremu Reformske agende, koja uključuje relevantne javne institucije iz utvrđenih oblasti politika. U okviru Radne grupe imenovana su 4 koordinatora za pojedinačne oblasti politika, po jedan za svaku oblast, sa podređenim koordinatorima na sektorskom nivou koji su identifikovani za svaki sektor Reformske agende; ovi poslednji su bili odgovorni za koordinaciju pripreme više reformi u svom sektoru. Planirane su ciljane konsultacije sa zainteresovanim stranama kako bi se podržala izrada Reformske agende i osiguralo da su relevantni akteri – lokalne vlasti, ekonomski i socijalni partneri i civilno društvo – u Crnoj Gori adekvatno konsultovani tokom razvoja Reformske agende zemlje</w:t>
      </w:r>
      <w:r w:rsidRPr="00B83578">
        <w:rPr>
          <w:rFonts w:cs="Arial"/>
          <w:vertAlign w:val="superscript"/>
        </w:rPr>
        <w:footnoteReference w:id="154"/>
      </w:r>
      <w:r>
        <w:t>.</w:t>
      </w:r>
    </w:p>
    <w:p w14:paraId="7D89F2E8" w14:textId="32AA091D" w:rsidR="00BA68E6" w:rsidRDefault="00BA68E6" w:rsidP="00BA68E6">
      <w:r>
        <w:t xml:space="preserve">Identifikacija zainteresovanih strana zasnivala se na principu partnerstva utvrđenom za Kohezionu politiku, u skladu sa Delegiranom </w:t>
      </w:r>
      <w:r w:rsidR="00765DC1">
        <w:t>regulativom</w:t>
      </w:r>
      <w:r>
        <w:t xml:space="preserve"> Komisije (EU) br. 240/2014 od 7. januara 2014. godine o Evropskom kodeksu ponašanja </w:t>
      </w:r>
      <w:r w:rsidR="004B7ADD">
        <w:t>za</w:t>
      </w:r>
      <w:r>
        <w:t xml:space="preserve"> partnerstv</w:t>
      </w:r>
      <w:r w:rsidR="004B7ADD">
        <w:t>o</w:t>
      </w:r>
      <w:r>
        <w:t xml:space="preserve"> u okviru Evropskih strukturnih i investicionih fondova, u daljem tekstu </w:t>
      </w:r>
      <w:r w:rsidR="00CD0020">
        <w:t>EKPP</w:t>
      </w:r>
      <w:r>
        <w:t>, kako bi se obezbijedila uravnotežena zastupljenost svih aktera. Pripremljena je onlajn anketa koja je poslata svim zainteresovanim stranama radi prikupljanja njihovih mišljenja u procesu finalizacije prvog nacrta. Ipak, uprkos namjeri crnogorskih vlasti da sprovedu konsultativni proces sa svim zainteresovanim stranama, dinamičan proces, kratki rokovi i instrukcije iz službi Komisije ograničili su konsultacije na privredu, akademsku zajednicu i nevladine organizacije.</w:t>
      </w:r>
    </w:p>
    <w:p w14:paraId="23A187BF" w14:textId="2830B673" w:rsidR="0017479D" w:rsidRDefault="0017479D" w:rsidP="00010321">
      <w:r w:rsidRPr="0017479D">
        <w:t xml:space="preserve">Programiranje godišnjih i višegodišnjih programa koje finansira EU kroz Instrument za pretpristupnu </w:t>
      </w:r>
      <w:r w:rsidR="00477A44">
        <w:t>podršku</w:t>
      </w:r>
      <w:r w:rsidRPr="0017479D">
        <w:t xml:space="preserve"> detaljno je prikazano u odeljku 2.4.3.4 ispod.</w:t>
      </w:r>
    </w:p>
    <w:p w14:paraId="52C05834" w14:textId="16E1D7F2" w:rsidR="0017479D" w:rsidRDefault="0017479D" w:rsidP="00010321">
      <w:r w:rsidRPr="0017479D">
        <w:t xml:space="preserve">Međutim, uprkos </w:t>
      </w:r>
      <w:r>
        <w:t>sve</w:t>
      </w:r>
      <w:r w:rsidRPr="0017479D">
        <w:t xml:space="preserve">obuhvatnom pravnom okviru, Crna Gora </w:t>
      </w:r>
      <w:r>
        <w:t xml:space="preserve">se </w:t>
      </w:r>
      <w:r w:rsidRPr="0017479D">
        <w:t xml:space="preserve">suočava sa </w:t>
      </w:r>
      <w:r w:rsidRPr="0017479D">
        <w:rPr>
          <w:b/>
        </w:rPr>
        <w:t>nekoliko izazova u pogledu razvoja i koordinacije politika</w:t>
      </w:r>
      <w:r w:rsidRPr="0017479D">
        <w:t>. Kako je navedeno u Godišnjem izv</w:t>
      </w:r>
      <w:r>
        <w:t>j</w:t>
      </w:r>
      <w:r w:rsidRPr="0017479D">
        <w:t>eštaju EK za 2024. godinu, potreban je dodatni rad kako bi se integracija rodne ravnopravnosti</w:t>
      </w:r>
      <w:r w:rsidRPr="00B83578">
        <w:rPr>
          <w:rFonts w:cs="Arial"/>
          <w:vertAlign w:val="superscript"/>
        </w:rPr>
        <w:footnoteReference w:id="155"/>
      </w:r>
      <w:r w:rsidRPr="00B83578">
        <w:t xml:space="preserve"> </w:t>
      </w:r>
      <w:r w:rsidRPr="0017479D">
        <w:t xml:space="preserve"> učinila d</w:t>
      </w:r>
      <w:r>
        <w:t>j</w:t>
      </w:r>
      <w:r w:rsidRPr="0017479D">
        <w:t>elotvornijom i praktičnijom, uključujući obuku svih zainteresovanih strana. Kada je r</w:t>
      </w:r>
      <w:r>
        <w:t>ij</w:t>
      </w:r>
      <w:r w:rsidRPr="0017479D">
        <w:t>eč o životnoj sredini (str. 82), „Crna Gora bi trebalo da obezb</w:t>
      </w:r>
      <w:r>
        <w:t>ij</w:t>
      </w:r>
      <w:r w:rsidRPr="0017479D">
        <w:t xml:space="preserve">edi postojanje institucionalne strukture za koordinisano i strateško planiranje investicija u životnu </w:t>
      </w:r>
      <w:r w:rsidRPr="0017479D">
        <w:lastRenderedPageBreak/>
        <w:t>sredinu i klimatske prom</w:t>
      </w:r>
      <w:r>
        <w:t>j</w:t>
      </w:r>
      <w:r w:rsidRPr="0017479D">
        <w:t>ene, uključujući kvalitet pripreme i sprovođenja investicija. … Crna Gora je podstaknuta da unapr</w:t>
      </w:r>
      <w:r>
        <w:t>ij</w:t>
      </w:r>
      <w:r w:rsidRPr="0017479D">
        <w:t>edi sinergiju i koordinaciju između strateških proc</w:t>
      </w:r>
      <w:r>
        <w:t>j</w:t>
      </w:r>
      <w:r w:rsidRPr="0017479D">
        <w:t>ena uticaja na životnu sredinu i proc</w:t>
      </w:r>
      <w:r>
        <w:t>j</w:t>
      </w:r>
      <w:r w:rsidRPr="0017479D">
        <w:t>ena uticaja na životnu sredinu, kako bi se ti dokumenti bolje koristili u planiranju i implementaciji. Takođe, Crna Gora treba da obezb</w:t>
      </w:r>
      <w:r>
        <w:t>ij</w:t>
      </w:r>
      <w:r w:rsidRPr="0017479D">
        <w:t xml:space="preserve">edi da monitoring životne sredine ispunjava standarde EU i da sve infrastrukturne investicije budu u skladu sa </w:t>
      </w:r>
      <w:r w:rsidRPr="0017479D">
        <w:rPr>
          <w:i/>
        </w:rPr>
        <w:t>acquis-em</w:t>
      </w:r>
      <w:r w:rsidRPr="0017479D">
        <w:t xml:space="preserve"> EU o životnoj sredini i klimi, kao i da se obezb</w:t>
      </w:r>
      <w:r>
        <w:t>ij</w:t>
      </w:r>
      <w:r w:rsidRPr="0017479D">
        <w:t>edi učešće javnosti." U tom smislu, usklađivanje nacionalnih politika sa EU Taksonomijom i obezb</w:t>
      </w:r>
      <w:r>
        <w:t>j</w:t>
      </w:r>
      <w:r w:rsidRPr="0017479D">
        <w:t xml:space="preserve">eđivanje usklađenosti sa načelom „ne nanosi značajnu </w:t>
      </w:r>
      <w:proofErr w:type="gramStart"/>
      <w:r w:rsidRPr="0017479D">
        <w:t>štetu“ (</w:t>
      </w:r>
      <w:proofErr w:type="gramEnd"/>
      <w:r w:rsidR="00CD0020">
        <w:t>NNZŠ</w:t>
      </w:r>
      <w:r w:rsidRPr="0017479D">
        <w:t>) zaht</w:t>
      </w:r>
      <w:r>
        <w:t>ij</w:t>
      </w:r>
      <w:r w:rsidRPr="0017479D">
        <w:t>evaće značajnu tehničku stručnost i resurse. Pored toga, pravilno budžetiranje strateških dokumenata i njihova povezanost sa budžetskim procesom i dalje zaht</w:t>
      </w:r>
      <w:r>
        <w:t>ij</w:t>
      </w:r>
      <w:r w:rsidRPr="0017479D">
        <w:t>evaju posebnu pažnju. Iako su procesi strateškog programiranja i konsultacija u Crnoj Gori dobro strukturisani i uglavnom usklađeni sa zaht</w:t>
      </w:r>
      <w:r>
        <w:t>j</w:t>
      </w:r>
      <w:r w:rsidRPr="0017479D">
        <w:t>evima EU, pružajući čvrstu osnovu za rad na Poglavlju 22, unapr</w:t>
      </w:r>
      <w:r>
        <w:t>j</w:t>
      </w:r>
      <w:r w:rsidRPr="0017479D">
        <w:t>eđivanje institucionalnih kapaciteta i n</w:t>
      </w:r>
      <w:r>
        <w:t>j</w:t>
      </w:r>
      <w:r w:rsidRPr="0017479D">
        <w:t>egovanje kulture stalnog unapr</w:t>
      </w:r>
      <w:r>
        <w:t>j</w:t>
      </w:r>
      <w:r w:rsidRPr="0017479D">
        <w:t>eđenja od suštinske su važnosti za prevazilaženje ovih izazova. Jačanje administrativnih kapaciteta i obezb</w:t>
      </w:r>
      <w:r>
        <w:t>j</w:t>
      </w:r>
      <w:r w:rsidRPr="0017479D">
        <w:t>eđivanje efikasnog više</w:t>
      </w:r>
      <w:r>
        <w:t>slojnog</w:t>
      </w:r>
      <w:r w:rsidRPr="0017479D">
        <w:t xml:space="preserve"> upravljanja, mehanizama partnerstva i uključenosti zainteresovanih strana biće ključno za usp</w:t>
      </w:r>
      <w:r>
        <w:t>j</w:t>
      </w:r>
      <w:r w:rsidRPr="0017479D">
        <w:t>ešno programiranje Kohezi</w:t>
      </w:r>
      <w:r>
        <w:t>one</w:t>
      </w:r>
      <w:r w:rsidRPr="0017479D">
        <w:t xml:space="preserve"> politike.</w:t>
      </w:r>
    </w:p>
    <w:p w14:paraId="7ECB95B5" w14:textId="293F0277" w:rsidR="00010321" w:rsidRPr="003424FF" w:rsidRDefault="003424FF" w:rsidP="003C2962">
      <w:pPr>
        <w:pStyle w:val="Heading4"/>
      </w:pPr>
      <w:r>
        <w:t xml:space="preserve">Učešće u </w:t>
      </w:r>
      <w:r w:rsidRPr="003424FF">
        <w:t>makroregionalnim strategijama</w:t>
      </w:r>
      <w:r w:rsidR="00010321" w:rsidRPr="003424FF">
        <w:t xml:space="preserve"> </w:t>
      </w:r>
    </w:p>
    <w:p w14:paraId="07A88FB4" w14:textId="26020321" w:rsidR="00DC4329" w:rsidRDefault="00DC4329" w:rsidP="00DC4329">
      <w:pPr>
        <w:spacing w:after="0"/>
      </w:pPr>
      <w:r w:rsidRPr="003424FF">
        <w:t>Crna Gora učestvuje u</w:t>
      </w:r>
      <w:r w:rsidR="002F51DA" w:rsidRPr="003424FF">
        <w:t xml:space="preserve"> </w:t>
      </w:r>
      <w:r w:rsidRPr="003424FF">
        <w:rPr>
          <w:b/>
        </w:rPr>
        <w:t>Strategiji</w:t>
      </w:r>
      <w:r w:rsidR="002F51DA" w:rsidRPr="003424FF">
        <w:rPr>
          <w:b/>
        </w:rPr>
        <w:t xml:space="preserve"> EU</w:t>
      </w:r>
      <w:r w:rsidRPr="003424FF">
        <w:rPr>
          <w:b/>
        </w:rPr>
        <w:t xml:space="preserve"> za dunavski region</w:t>
      </w:r>
      <w:r w:rsidRPr="003424FF">
        <w:t xml:space="preserve"> (</w:t>
      </w:r>
      <w:r>
        <w:t xml:space="preserve">EUSDR) i </w:t>
      </w:r>
      <w:r w:rsidRPr="00DC4329">
        <w:rPr>
          <w:b/>
        </w:rPr>
        <w:t>Strategiji</w:t>
      </w:r>
      <w:r w:rsidR="002F51DA">
        <w:rPr>
          <w:b/>
        </w:rPr>
        <w:t xml:space="preserve"> EU</w:t>
      </w:r>
      <w:r w:rsidRPr="00DC4329">
        <w:rPr>
          <w:b/>
        </w:rPr>
        <w:t xml:space="preserve"> za jadransko-jonski region</w:t>
      </w:r>
      <w:r>
        <w:t xml:space="preserve"> (EUSAIR). Ministarstvo evropskih poslova – </w:t>
      </w:r>
      <w:r w:rsidR="0086543E" w:rsidRPr="0086543E">
        <w:t>NIPAK</w:t>
      </w:r>
      <w:r>
        <w:t xml:space="preserve"> kancelarija koordinira makro-regionalne strategije na nacionalnom nivou. Za EUSAIR, </w:t>
      </w:r>
      <w:r w:rsidR="00A067C3">
        <w:t>MEP</w:t>
      </w:r>
      <w:r>
        <w:t xml:space="preserve"> radi zajedno sa Ministarstvom vanjskih poslova/</w:t>
      </w:r>
      <w:r w:rsidR="0086543E" w:rsidRPr="0086543E">
        <w:t>NIPAK</w:t>
      </w:r>
      <w:r>
        <w:t xml:space="preserve"> kancelarijom, dok je koordinacija EUSDR-a isključivo u nadležnosti </w:t>
      </w:r>
      <w:r w:rsidR="00A067C3">
        <w:t>MEP</w:t>
      </w:r>
      <w:r>
        <w:t>. Učešće Crne Gore u EUSDR-u podrazumijeva usvajanje lokalnih i nacionalnih politika u skladu sa strateškim dokumentima EUSDR-a, sa fokusom na regionalni razvoj, ekonomski prosperitet i zaštitu životne sredine. Ključne nacionalne inicijative usklađene sa EUSDR-om obuhvataju Strategiju za digitalnu transformaciju Crne Gore 2022-2026, Akcioni plan za energetsku efikasnost i Strategiju regionalnog razvoja Crne Gore 2023-2027.</w:t>
      </w:r>
    </w:p>
    <w:p w14:paraId="689DB2BF" w14:textId="77777777" w:rsidR="00DC4329" w:rsidRDefault="00DC4329" w:rsidP="00DC4329">
      <w:pPr>
        <w:spacing w:after="0"/>
      </w:pPr>
    </w:p>
    <w:p w14:paraId="44C05EF3" w14:textId="3AD63332" w:rsidR="002E306F" w:rsidRDefault="00DC4329" w:rsidP="00DC4329">
      <w:pPr>
        <w:spacing w:after="0"/>
      </w:pPr>
      <w:r>
        <w:t xml:space="preserve">Svijest o značaju EUSDR-a među ključnim nacionalnim sprovodiocima se povećala, naročito u planiranju i definisanju nacionalnih politika. Efikasno učešće nacionalnih aktera u sprovođenju EUSDR-a zahtijeva aktivnije uključivanje u sastanke Upravne grupe. Upravljačke aktivnosti, koje sprovode predsjedništva, nacionalni koordinatori i koordinatori prioritetnih oblasti, dale su prioritet integrisanju EUSDR-a u programe koje finansira EU, praćenju, evaluaciji, strateškim projektima, komunikaciji i </w:t>
      </w:r>
      <w:r w:rsidR="00C30F51" w:rsidRPr="00C30F51">
        <w:t>jačanju kapaciteta</w:t>
      </w:r>
      <w:r>
        <w:t xml:space="preserve">. Revidirani Akcioni plan EUSDR-a, usvojen početkom 2020. godine, olakšao je integrisanje EUSDR-a u EU programe, uspostavljanje novog sistema praćenja i jačanje komunikacije. Uprkos ovom napretku, Crna Gora se suočava sa izazovima u finansiranju sprovođenja EUSDR-a, naročito zato što nije koordinator nijedne prioritetne oblasti i nema </w:t>
      </w:r>
      <w:r w:rsidR="00F6773D">
        <w:t>tehničku pomoć</w:t>
      </w:r>
      <w:r>
        <w:t xml:space="preserve"> dostupnu IPA zemljama u okviru EUSAIR-a. Nacionalni okvir za </w:t>
      </w:r>
      <w:r w:rsidR="00A80895" w:rsidRPr="00A80895">
        <w:t>monitoring</w:t>
      </w:r>
      <w:r>
        <w:t xml:space="preserve"> oslanja se na dokumenta internih i eksternih zainteresovanih strana i na godišnje posjete praćenju projekata.</w:t>
      </w:r>
      <w:r w:rsidRPr="00DC4329">
        <w:t xml:space="preserve"> </w:t>
      </w:r>
    </w:p>
    <w:p w14:paraId="713FBE08" w14:textId="5250B5DE" w:rsidR="00DC4329" w:rsidRDefault="00DC4329" w:rsidP="00DC4329">
      <w:pPr>
        <w:spacing w:after="0"/>
      </w:pPr>
      <w:r>
        <w:t xml:space="preserve">Učešće Crne Gore u EUSAIR-u naglašava regionalnu saradnju i održivi razvoj, jačajući nacionalne kapacitete, infrastrukturu i regionalne veze. </w:t>
      </w:r>
      <w:r w:rsidR="00A067C3">
        <w:t>MEP</w:t>
      </w:r>
      <w:r>
        <w:t xml:space="preserve"> ima ključnu ulogu u integrisanju EUSAIR-a u nacionalne politike i finansijske okvire, organizujući događaje poput sastanka EUSAIR Finan</w:t>
      </w:r>
      <w:r w:rsidR="002E306F">
        <w:t>sijski dijalog</w:t>
      </w:r>
      <w:r>
        <w:t xml:space="preserve"> u julu 2023. i radionice posvećene ubrzanju pristupanja EU kroz </w:t>
      </w:r>
      <w:r w:rsidR="00A80895">
        <w:t>implementaciju</w:t>
      </w:r>
      <w:r>
        <w:t xml:space="preserve"> EUSAIR-a. Aktivno učešće Crne Gore u upravljačkim strukturama i strateškim projektima EUSAIR-a</w:t>
      </w:r>
      <w:r w:rsidR="002E306F" w:rsidRPr="00B83578">
        <w:rPr>
          <w:rFonts w:cs="Arial"/>
          <w:vertAlign w:val="superscript"/>
        </w:rPr>
        <w:footnoteReference w:id="156"/>
      </w:r>
      <w:r>
        <w:t xml:space="preserve"> usklađuje nacionalne napore sa makro-regionalnim ciljevima. Crna Gora učestvuje i u EUSAIR </w:t>
      </w:r>
      <w:r w:rsidR="002E306F">
        <w:t xml:space="preserve">strateškom projektu </w:t>
      </w:r>
      <w:r w:rsidRPr="002E306F">
        <w:rPr>
          <w:i/>
        </w:rPr>
        <w:t>Facility</w:t>
      </w:r>
      <w:r w:rsidR="002E306F" w:rsidRPr="002E306F">
        <w:rPr>
          <w:i/>
        </w:rPr>
        <w:t xml:space="preserve"> Point</w:t>
      </w:r>
      <w:r>
        <w:t xml:space="preserve">, koji podržava upravljanje i </w:t>
      </w:r>
      <w:r w:rsidR="00A80895">
        <w:t>implementaciju</w:t>
      </w:r>
      <w:r>
        <w:t xml:space="preserve"> EUSAIR-a pružajući administrativnu, tehničku i finansijsku </w:t>
      </w:r>
      <w:r w:rsidR="00477A44">
        <w:t>podršku</w:t>
      </w:r>
      <w:r>
        <w:t xml:space="preserve">. </w:t>
      </w:r>
      <w:r w:rsidR="00A067C3">
        <w:t>MEP</w:t>
      </w:r>
      <w:r>
        <w:t xml:space="preserve"> djeluje kao Nacionalni koordinator, usklađujući nacionalne politike sa ciljevima EUSAIR-a i služeći kao komunikaciona spona između crnogorskih </w:t>
      </w:r>
      <w:r w:rsidR="002E306F">
        <w:t>zainteresovanih strana</w:t>
      </w:r>
      <w:r>
        <w:t xml:space="preserve"> i tijela EUSAIR-a. Uključivanje državnih organa, lokalnih vlasti, NVO sektora, akademske zajednice i privatnog sektora obezbjeđuje da se nacionalni interesi usklade sa regionalnim ciljevima i da Crna Gora ima koristi od zajedničkih napora. Ovakav inkluzivan pristup podstiče ugradnju različitih perspektiva i doprinosi uspjehu makro-regionalnih strategija. Crna Gora je koordinator stuba za Tematsku upravljačku grupu 1 – Plavi rast zajedno sa Grčkom, a novi koordinator stuba imenovan je u Ministarstvu poljoprivrede, šumarstva i vodoprivrede u julu 2024. Sprovođenje i koordinacija EUSAIR-a u Crnoj Gori odvijaju se kroz nacionalnu Radnu grupu za </w:t>
      </w:r>
      <w:r w:rsidR="00A80895">
        <w:t>implementaciju</w:t>
      </w:r>
      <w:r>
        <w:t xml:space="preserve"> EUSAIR-a, koja obuhvata predstavnike Ministarstva vanjskih poslova, Ministarstva prosvjete, nauke i inovacija, Ministarstva poljoprivrede, šumarstva i vodoprivrede, Ministarstva ekologije, održivog razvoja i razvoja sjevera, Ministarstva saobraćaja, Instituta za biologiju mora Univerziteta Crne </w:t>
      </w:r>
      <w:r>
        <w:lastRenderedPageBreak/>
        <w:t xml:space="preserve">Gore, Privredne komore i Nacionalne turističke organizacije. Unaprijeđena interna koordinacija je pod nadzorom Direktorata za evropsku teritorijalnu saradnju u Ministarstvu evropskih poslova – </w:t>
      </w:r>
      <w:r w:rsidR="0086543E" w:rsidRPr="0086543E">
        <w:t>NIPAK</w:t>
      </w:r>
      <w:r>
        <w:t xml:space="preserve"> kancelariji, kako bi se obezbijedio doprinos Crne Gore revidiranom planu</w:t>
      </w:r>
      <w:r w:rsidR="0080778F">
        <w:t xml:space="preserve"> aktivnosti</w:t>
      </w:r>
      <w:r>
        <w:t xml:space="preserve"> i veće vlasništvo nad procesom.</w:t>
      </w:r>
    </w:p>
    <w:p w14:paraId="443DF0F4" w14:textId="77777777" w:rsidR="00DC4329" w:rsidRDefault="00DC4329" w:rsidP="00DC4329">
      <w:pPr>
        <w:spacing w:after="0"/>
      </w:pPr>
    </w:p>
    <w:p w14:paraId="6C284078" w14:textId="59CD569B" w:rsidR="00010321" w:rsidRPr="00B83578" w:rsidRDefault="002627E3" w:rsidP="003C2962">
      <w:pPr>
        <w:pStyle w:val="Heading4"/>
      </w:pPr>
      <w:r>
        <w:t>Kapaciteti za planiranje strateških projekata i investicija</w:t>
      </w:r>
      <w:r w:rsidR="00010321" w:rsidRPr="00B83578">
        <w:t xml:space="preserve">  </w:t>
      </w:r>
    </w:p>
    <w:p w14:paraId="2ABFA3F6" w14:textId="07352739" w:rsidR="002E306F" w:rsidRDefault="002E306F" w:rsidP="002E306F">
      <w:r w:rsidRPr="00DC460B">
        <w:rPr>
          <w:b/>
        </w:rPr>
        <w:t>Savjet za javne investicije</w:t>
      </w:r>
      <w:r>
        <w:t xml:space="preserve"> uspostavljen je u januaru 2024.</w:t>
      </w:r>
      <w:r w:rsidR="00DC460B" w:rsidRPr="00DC460B">
        <w:rPr>
          <w:rFonts w:cs="Arial"/>
          <w:vertAlign w:val="superscript"/>
        </w:rPr>
        <w:t xml:space="preserve"> </w:t>
      </w:r>
      <w:r w:rsidR="00DC460B" w:rsidRPr="00B83578">
        <w:rPr>
          <w:rFonts w:cs="Arial"/>
          <w:vertAlign w:val="superscript"/>
        </w:rPr>
        <w:footnoteReference w:id="157"/>
      </w:r>
      <w:r>
        <w:t xml:space="preserve"> kao dio novog institucionalnog okvira čiji je cilj unaprjeđenje javnih investicija, poboljšanje koordinacije i </w:t>
      </w:r>
      <w:r w:rsidR="00A80895">
        <w:t>implementaciju</w:t>
      </w:r>
      <w:r>
        <w:t xml:space="preserve"> aktivnosti vezanih za Kapitalni budžet Crne Gore i druge projekte razvoja infrastrukture. Nadležnosti Savjeta obuhvataju koordinaciju pripreme i sprovođenja projekata privatno-javnog partnerstva, podsticanje saradnje s međunarodnim finansijskim institucijama i investitorima u sektorima kao što su saobraćaj, pomorstvo, energetika, rudarstvo, životna sredina i ekonomski razvoj. Takođe, Savjet teži jačanju međunarodne saradnje s organizacijama radi unaprjeđenja planiranja i realizacije kapitalnog budžeta. Pored toga, Savjet razmatra </w:t>
      </w:r>
      <w:r w:rsidR="00E136F2">
        <w:t>prijedlog</w:t>
      </w:r>
      <w:r>
        <w:t xml:space="preserve">e infrastrukturnih projekata, javnih investicija i drugih kapitalnih projekata u ime nadležnih resornih ministarstava, preporučuje infrastrukturne projekte međunarodnim finansijskim institucijama, međunarodnim organizacijama i potencijalnim partnerima kako bi se obezbijedila podrška za </w:t>
      </w:r>
      <w:r w:rsidR="00A80895">
        <w:t>implementaciju</w:t>
      </w:r>
      <w:r>
        <w:t xml:space="preserve"> i finansiranje.</w:t>
      </w:r>
    </w:p>
    <w:p w14:paraId="57CCDFA6" w14:textId="00655EAB" w:rsidR="002E306F" w:rsidRDefault="002E306F" w:rsidP="002E306F">
      <w:r>
        <w:t xml:space="preserve">Nacionalna jedinstvena lista prioritetnih </w:t>
      </w:r>
      <w:r w:rsidR="00DC460B">
        <w:t>infrastrukturnih projekata</w:t>
      </w:r>
      <w:r>
        <w:t xml:space="preserve"> (</w:t>
      </w:r>
      <w:r w:rsidRPr="00DC460B">
        <w:rPr>
          <w:i/>
        </w:rPr>
        <w:t>National Single Project Pipeline</w:t>
      </w:r>
      <w:r>
        <w:t xml:space="preserve">) posljednji put je ažurirana u decembru 2021. kao okvir za predlaganje projekata za različite izvore finansiranja, uključujući i Evropsku komisiju kroz </w:t>
      </w:r>
      <w:r w:rsidR="003424FF" w:rsidRPr="003424FF">
        <w:t>Zapadnobalkanski investicioni okvir</w:t>
      </w:r>
      <w:r w:rsidRPr="003424FF">
        <w:t xml:space="preserve"> (WBIF); listu</w:t>
      </w:r>
      <w:r>
        <w:t xml:space="preserve"> projekata za finansiranje iz WBIF-a usvojio je Savjet za javne investicije. Jedinstvena lista prioritetnih infrastrukturnih projekata u sektorima saobraćaja i energetike ažurirana je krajem 2024. godine radi ispunjenja Završnog </w:t>
      </w:r>
      <w:r w:rsidR="00DC460B">
        <w:t>mjerila</w:t>
      </w:r>
      <w:r>
        <w:t xml:space="preserve"> 2 iz Poglavlja 21 – Transevropske mreže. Od 2024. godine, kako bi se obezbijedila snažna podrška, projekte predložene za finansiranje od strane Evropske komisije mora potvrditi Savjet za javne investicije i odobriti Vlada, čime se potvrđuje široka podrška.</w:t>
      </w:r>
    </w:p>
    <w:p w14:paraId="4C142BD3" w14:textId="77777777" w:rsidR="00DC460B" w:rsidRDefault="00DC460B" w:rsidP="00DC460B">
      <w:r>
        <w:t xml:space="preserve">Godišnji izvještaj EK za 2024. preporučuje da Crna Gora „radi na čvrstoj listi projekata, bez obzira na izvor finansiranja, uz okvir za strateške sektorske orijentacije i politike, </w:t>
      </w:r>
      <w:proofErr w:type="gramStart"/>
      <w:r>
        <w:t>a</w:t>
      </w:r>
      <w:proofErr w:type="gramEnd"/>
      <w:r>
        <w:t xml:space="preserve"> istovremeno unaprijedi pripremu projekata, javne nabavke i realizaciju u skladu sa standardima EU i međunarodnim standardima”.</w:t>
      </w:r>
    </w:p>
    <w:p w14:paraId="475BBD94" w14:textId="39799D5A" w:rsidR="00DC460B" w:rsidRDefault="00DC460B" w:rsidP="00DC460B">
      <w:r>
        <w:t>Uspostavljen je novi mehanizam finansiranja projekata iz kapitalnog budžeta, koji efektivno stavlja u funkciju Jedinstvenu listu prioritetnih kapitalnih projekata (</w:t>
      </w:r>
      <w:r w:rsidRPr="00DC460B">
        <w:rPr>
          <w:i/>
        </w:rPr>
        <w:t>pipeline</w:t>
      </w:r>
      <w:r>
        <w:t>), uključujući i opštinske investicione projekte</w:t>
      </w:r>
      <w:r w:rsidRPr="00B83578">
        <w:rPr>
          <w:vertAlign w:val="superscript"/>
        </w:rPr>
        <w:footnoteReference w:id="158"/>
      </w:r>
      <w:r>
        <w:t xml:space="preserve">; izuzeti su jedino mali projekti. Mehanizam definiše uslove, kriterijume i bodovanje za evaluaciju kapitalnih projekata. Za uvrštavanje na listu moraju biti ispunjeni sljedeći uslovi:  </w:t>
      </w:r>
    </w:p>
    <w:p w14:paraId="4C6D0597" w14:textId="77777777" w:rsidR="00DC460B" w:rsidRDefault="00DC460B" w:rsidP="00D15218">
      <w:pPr>
        <w:pStyle w:val="ListParagraph"/>
        <w:numPr>
          <w:ilvl w:val="0"/>
          <w:numId w:val="36"/>
        </w:numPr>
      </w:pPr>
      <w:r>
        <w:t xml:space="preserve">Projekat je predviđen razvojnim strateškim dokumentom ili drugim aktom Skupštine Crne Gore i/ili Vlade Crne Gore (u daljem tekstu: Vlada);  </w:t>
      </w:r>
    </w:p>
    <w:p w14:paraId="659B6064" w14:textId="77777777" w:rsidR="00DC460B" w:rsidRPr="00E6510D" w:rsidRDefault="00DC460B" w:rsidP="00D15218">
      <w:pPr>
        <w:pStyle w:val="ListParagraph"/>
        <w:numPr>
          <w:ilvl w:val="0"/>
          <w:numId w:val="36"/>
        </w:numPr>
      </w:pPr>
      <w:r>
        <w:t xml:space="preserve">Za potrebe izgradnje objekata javne infrastrukture i opštinske komunalne infrastrukture koji su predmet projekta </w:t>
      </w:r>
      <w:r w:rsidRPr="00E6510D">
        <w:t xml:space="preserve">izrađena je i usvojena planska dokumentacija;  </w:t>
      </w:r>
    </w:p>
    <w:p w14:paraId="61E6A601" w14:textId="0385CA84" w:rsidR="00DC460B" w:rsidRPr="00E6510D" w:rsidRDefault="00DC460B" w:rsidP="00D15218">
      <w:pPr>
        <w:pStyle w:val="ListParagraph"/>
        <w:numPr>
          <w:ilvl w:val="0"/>
          <w:numId w:val="36"/>
        </w:numPr>
      </w:pPr>
      <w:r w:rsidRPr="00E6510D">
        <w:t xml:space="preserve">Sačinjen je izvještaj o procjeni uticaja na budžet;  </w:t>
      </w:r>
    </w:p>
    <w:p w14:paraId="589741D2" w14:textId="0104944C" w:rsidR="00010321" w:rsidRPr="00E6510D" w:rsidRDefault="00DC460B" w:rsidP="00D15218">
      <w:pPr>
        <w:pStyle w:val="ListParagraph"/>
        <w:numPr>
          <w:ilvl w:val="0"/>
          <w:numId w:val="36"/>
        </w:numPr>
      </w:pPr>
      <w:r w:rsidRPr="00E6510D">
        <w:t>Za projekte procijenjene vrijednosti veće od 5.000.000 eura izrađene su Studija izvodljivosti i Analiza koštanja i koristi (Cost-Benefit Analysis).</w:t>
      </w:r>
    </w:p>
    <w:p w14:paraId="0EEE9D4A" w14:textId="77777777" w:rsidR="00A35E9A" w:rsidRPr="00B83578" w:rsidRDefault="00A35E9A" w:rsidP="00010321"/>
    <w:p w14:paraId="1C631317" w14:textId="2FF301F3" w:rsidR="00DC460B" w:rsidRDefault="00DC460B" w:rsidP="00DC460B">
      <w:r>
        <w:t>Kriterijumi za evaluaciju su:</w:t>
      </w:r>
    </w:p>
    <w:p w14:paraId="0A581FA5" w14:textId="77777777" w:rsidR="00DC460B" w:rsidRDefault="00DC460B" w:rsidP="00D15218">
      <w:pPr>
        <w:pStyle w:val="ListParagraph"/>
        <w:numPr>
          <w:ilvl w:val="0"/>
          <w:numId w:val="37"/>
        </w:numPr>
      </w:pPr>
      <w:r>
        <w:t xml:space="preserve">Imovinsko-pravni odnosi su riješeni;  </w:t>
      </w:r>
    </w:p>
    <w:p w14:paraId="715B6AEE" w14:textId="77777777" w:rsidR="00DC460B" w:rsidRDefault="00DC460B" w:rsidP="00D15218">
      <w:pPr>
        <w:pStyle w:val="ListParagraph"/>
        <w:numPr>
          <w:ilvl w:val="0"/>
          <w:numId w:val="37"/>
        </w:numPr>
      </w:pPr>
      <w:r>
        <w:t xml:space="preserve">Stepen izrade i revizije glavnog projekta u skladu sa zakonom;  </w:t>
      </w:r>
    </w:p>
    <w:p w14:paraId="4B24A442" w14:textId="0A365A94" w:rsidR="00DC460B" w:rsidRDefault="00DC460B" w:rsidP="00D15218">
      <w:pPr>
        <w:pStyle w:val="ListParagraph"/>
        <w:numPr>
          <w:ilvl w:val="0"/>
          <w:numId w:val="37"/>
        </w:numPr>
      </w:pPr>
      <w:r>
        <w:t xml:space="preserve">Finansiranje projekta obezbijeđeno iz vanbudžetskih izvora (donacije i sufinansiranje od strane lokalnih samouprava ili drugih </w:t>
      </w:r>
      <w:r w:rsidR="00C4536C">
        <w:t>entiteta</w:t>
      </w:r>
      <w:r>
        <w:t xml:space="preserve"> predlagača projekta);  </w:t>
      </w:r>
    </w:p>
    <w:p w14:paraId="681D2FDB" w14:textId="77777777" w:rsidR="00DC460B" w:rsidRDefault="00DC460B" w:rsidP="00D15218">
      <w:pPr>
        <w:pStyle w:val="ListParagraph"/>
        <w:numPr>
          <w:ilvl w:val="0"/>
          <w:numId w:val="37"/>
        </w:numPr>
      </w:pPr>
      <w:r>
        <w:t xml:space="preserve">Efekti završenog projekta na budžet;  </w:t>
      </w:r>
    </w:p>
    <w:p w14:paraId="4F1653FA" w14:textId="623D8321" w:rsidR="00DC460B" w:rsidRDefault="00DC460B" w:rsidP="00D15218">
      <w:pPr>
        <w:pStyle w:val="ListParagraph"/>
        <w:numPr>
          <w:ilvl w:val="0"/>
          <w:numId w:val="37"/>
        </w:numPr>
      </w:pPr>
      <w:r>
        <w:lastRenderedPageBreak/>
        <w:t>Doprinos uravnoteženom regionalnom i ekonomskom razvoju, povećanju kvaliteta pružanja javnih usluga i unapr</w:t>
      </w:r>
      <w:r w:rsidR="00C4536C">
        <w:t>j</w:t>
      </w:r>
      <w:r>
        <w:t xml:space="preserve">eđenju kvaliteta života građana;  </w:t>
      </w:r>
    </w:p>
    <w:p w14:paraId="087EDA09" w14:textId="6CDC7EFF" w:rsidR="00DC460B" w:rsidRDefault="00DC460B" w:rsidP="00D15218">
      <w:pPr>
        <w:pStyle w:val="ListParagraph"/>
        <w:numPr>
          <w:ilvl w:val="0"/>
          <w:numId w:val="37"/>
        </w:numPr>
      </w:pPr>
      <w:r>
        <w:t>Doprinos zaštiti i valorizaciji kulturne baštine, unapr</w:t>
      </w:r>
      <w:r w:rsidR="00C4536C">
        <w:t>j</w:t>
      </w:r>
      <w:r>
        <w:t xml:space="preserve">eđenju kulturnog i umjetničkog stvaralaštva i kreativnih industrija, kao i jačanju kulturnog i nacionalnog identiteta;  </w:t>
      </w:r>
    </w:p>
    <w:p w14:paraId="38D8C2B8" w14:textId="77777777" w:rsidR="00DC460B" w:rsidRDefault="00DC460B" w:rsidP="00D15218">
      <w:pPr>
        <w:pStyle w:val="ListParagraph"/>
        <w:numPr>
          <w:ilvl w:val="0"/>
          <w:numId w:val="37"/>
        </w:numPr>
      </w:pPr>
      <w:r>
        <w:t xml:space="preserve">Doprinos uklanjanju rizika po zdravlje, bezbjednost i imovinu;  </w:t>
      </w:r>
    </w:p>
    <w:p w14:paraId="68AA4E92" w14:textId="77777777" w:rsidR="00DC460B" w:rsidRDefault="00DC460B" w:rsidP="00D15218">
      <w:pPr>
        <w:pStyle w:val="ListParagraph"/>
        <w:numPr>
          <w:ilvl w:val="0"/>
          <w:numId w:val="37"/>
        </w:numPr>
      </w:pPr>
      <w:r>
        <w:t xml:space="preserve">Funkcionalna povezanost sa postojećim kapitalnim projektom;  </w:t>
      </w:r>
    </w:p>
    <w:p w14:paraId="57F39B78" w14:textId="77777777" w:rsidR="00DC460B" w:rsidRDefault="00DC460B" w:rsidP="00D15218">
      <w:pPr>
        <w:pStyle w:val="ListParagraph"/>
        <w:numPr>
          <w:ilvl w:val="0"/>
          <w:numId w:val="37"/>
        </w:numPr>
      </w:pPr>
      <w:r>
        <w:t xml:space="preserve">Doprinos poboljšanju funkcionisanja postojećih objekata i nivoa pružanja usluga;  </w:t>
      </w:r>
    </w:p>
    <w:p w14:paraId="145527A8" w14:textId="621EF03F" w:rsidR="00DC460B" w:rsidRDefault="00DC460B" w:rsidP="00D15218">
      <w:pPr>
        <w:pStyle w:val="ListParagraph"/>
        <w:numPr>
          <w:ilvl w:val="0"/>
          <w:numId w:val="37"/>
        </w:numPr>
      </w:pPr>
      <w:r>
        <w:t xml:space="preserve">Pozitivan uticaj na životnu sredinu.  </w:t>
      </w:r>
    </w:p>
    <w:p w14:paraId="21DF1A6B" w14:textId="77777777" w:rsidR="00DC460B" w:rsidRDefault="00DC460B" w:rsidP="00DC460B"/>
    <w:p w14:paraId="0705522B" w14:textId="77777777" w:rsidR="00DC460B" w:rsidRDefault="00DC460B" w:rsidP="00DC460B">
      <w:r>
        <w:t xml:space="preserve">Utvrđeni su i dodatni kriterijumi za bodovanje:  </w:t>
      </w:r>
    </w:p>
    <w:p w14:paraId="4FA1C9A6" w14:textId="77777777" w:rsidR="00DC460B" w:rsidRDefault="00DC460B" w:rsidP="00D15218">
      <w:pPr>
        <w:pStyle w:val="ListParagraph"/>
        <w:numPr>
          <w:ilvl w:val="0"/>
          <w:numId w:val="38"/>
        </w:numPr>
      </w:pPr>
      <w:r>
        <w:t xml:space="preserve">Podstiče razvoj manje razvijenih jedinica lokalne samouprave sa sjevera;  </w:t>
      </w:r>
    </w:p>
    <w:p w14:paraId="3EA261DB" w14:textId="77777777" w:rsidR="00DC460B" w:rsidRDefault="00DC460B" w:rsidP="00D15218">
      <w:pPr>
        <w:pStyle w:val="ListParagraph"/>
        <w:numPr>
          <w:ilvl w:val="0"/>
          <w:numId w:val="38"/>
        </w:numPr>
      </w:pPr>
      <w:r>
        <w:t xml:space="preserve">Podstiče zapošljavanje i smanjuje negativne demografske trendove;  </w:t>
      </w:r>
    </w:p>
    <w:p w14:paraId="4A2340F6" w14:textId="6201000F" w:rsidR="00DC460B" w:rsidRDefault="00DC460B" w:rsidP="00D15218">
      <w:pPr>
        <w:pStyle w:val="ListParagraph"/>
        <w:numPr>
          <w:ilvl w:val="0"/>
          <w:numId w:val="38"/>
        </w:numPr>
      </w:pPr>
      <w:r>
        <w:t>Unapr</w:t>
      </w:r>
      <w:r w:rsidR="00C4536C">
        <w:t>j</w:t>
      </w:r>
      <w:r>
        <w:t xml:space="preserve">eđuje usluge socijalne zaštite i zaštite djece;  </w:t>
      </w:r>
    </w:p>
    <w:p w14:paraId="05D284CE" w14:textId="77777777" w:rsidR="00DC460B" w:rsidRDefault="00DC460B" w:rsidP="00D15218">
      <w:pPr>
        <w:pStyle w:val="ListParagraph"/>
        <w:numPr>
          <w:ilvl w:val="0"/>
          <w:numId w:val="38"/>
        </w:numPr>
      </w:pPr>
      <w:r>
        <w:t xml:space="preserve">Podstiče lični, socijalni i profesionalni razvoj mladih;  </w:t>
      </w:r>
    </w:p>
    <w:p w14:paraId="71F43832" w14:textId="5B6C305D" w:rsidR="00DC460B" w:rsidRDefault="00DC460B" w:rsidP="00D15218">
      <w:pPr>
        <w:pStyle w:val="ListParagraph"/>
        <w:numPr>
          <w:ilvl w:val="0"/>
          <w:numId w:val="38"/>
        </w:numPr>
      </w:pPr>
      <w:r>
        <w:t>Doprinosi unapr</w:t>
      </w:r>
      <w:r w:rsidR="00C4536C">
        <w:t>j</w:t>
      </w:r>
      <w:r>
        <w:t xml:space="preserve">eđenju energetske efikasnosti;  </w:t>
      </w:r>
    </w:p>
    <w:p w14:paraId="613458AA" w14:textId="608855B8" w:rsidR="00DC460B" w:rsidRDefault="00DC460B" w:rsidP="00D15218">
      <w:pPr>
        <w:pStyle w:val="ListParagraph"/>
        <w:numPr>
          <w:ilvl w:val="0"/>
          <w:numId w:val="38"/>
        </w:numPr>
      </w:pPr>
      <w:r>
        <w:t>Doprinosi izgradnji objekata za unapr</w:t>
      </w:r>
      <w:r w:rsidR="00C4536C">
        <w:t>j</w:t>
      </w:r>
      <w:r>
        <w:t>eđenje bezbjednosti.</w:t>
      </w:r>
    </w:p>
    <w:p w14:paraId="0D2EE259" w14:textId="77777777" w:rsidR="00A35E9A" w:rsidRPr="00B83578" w:rsidRDefault="00A35E9A" w:rsidP="00010321"/>
    <w:p w14:paraId="4932E39C" w14:textId="2BF54349" w:rsidR="00C4536C" w:rsidRDefault="00C4536C" w:rsidP="00C4536C">
      <w:r>
        <w:t xml:space="preserve">Predložene projekte ocjenjuje Komisija koju predlaže Ministarstvo finansija i odobrava Vlada, a čine je po jedan predstavnik Kabineta predsjednika Vlade, </w:t>
      </w:r>
      <w:r w:rsidR="005F0E1C">
        <w:t>tijela</w:t>
      </w:r>
      <w:r>
        <w:t xml:space="preserve"> nadležnog za kapitalne projekte, ministarstva nadležnog za saobraćaj, ministarstva nadležnog za prostorno planiranje, ministarstva nadležnog za prosvjetu i dva predstavnika Ministarstva finansija.  </w:t>
      </w:r>
    </w:p>
    <w:p w14:paraId="12C67FA8" w14:textId="5AEA29FE" w:rsidR="00C4536C" w:rsidRDefault="00C4536C" w:rsidP="00C4536C">
      <w:r>
        <w:t xml:space="preserve">Ministarstvo finansija priprema kvartalne izvještaje o realizaciji Kapitalnog budžeta. U okviru sistema praćenja i izvještavanja, informacioni sistem za upravljanje javnim investicijama postepeno se uvodi kao sastavni dio već postojećeg sistema za upravljanje budžetom; Registar kapitalnih projekata finansiranih iz državnog budžeta već je integrisan u </w:t>
      </w:r>
      <w:r w:rsidR="00A067C3">
        <w:t>sistem za upravljanje budžetom</w:t>
      </w:r>
      <w:r>
        <w:t>.</w:t>
      </w:r>
    </w:p>
    <w:p w14:paraId="5532AC63" w14:textId="7B6AC9E8" w:rsidR="00C4536C" w:rsidRDefault="00C4536C" w:rsidP="00C4536C">
      <w:r>
        <w:t xml:space="preserve">Prepoznato je da je potrebno unaprijediti efikasnu koordinaciju i prioritizaciju infrastrukturnih projekata, s fokusom na povećanje zrelosti projekata jačanjem institucionalnih kapaciteta, umjesto oslanjanja isključivo na projekte </w:t>
      </w:r>
      <w:r w:rsidR="00F6773D">
        <w:t>tehničke pomoći</w:t>
      </w:r>
      <w:r>
        <w:t>. Primarni izazovi obuhvataju ograničena sredstva i potrebu za kapitalnim ulaganjima u gotovo svim sektorima koje je EU identifikovala kao prioritete. U tom smislu, priprema zrel</w:t>
      </w:r>
      <w:r w:rsidR="00E6510D">
        <w:t>e</w:t>
      </w:r>
      <w:r>
        <w:t xml:space="preserve"> </w:t>
      </w:r>
      <w:r w:rsidR="00E6510D">
        <w:t>liste prioritetnih projekata</w:t>
      </w:r>
      <w:r>
        <w:t xml:space="preserve"> koji se može finansirati kroz Kohezionu politiku i osigurati efikasno korišćenje sredstava je imperativ. Posljedično, uspostavljanje jedinstven</w:t>
      </w:r>
      <w:r w:rsidR="00E6510D">
        <w:t>e liste prioritetnih projekata</w:t>
      </w:r>
      <w:r>
        <w:t xml:space="preserve"> za projekte koji se finansiraju iz kapitalnog budžeta smatra se pozitivnim razvojem, posebno zato što obuhvata i projekte na opštinskom nivou; dalji razvoj smjernica i podrške centralnim i lokalnim organima za pripremu i realizaciju projekata, uzimajući u obzir specifične zahtjeve Kohezione politike</w:t>
      </w:r>
      <w:r w:rsidRPr="00B83578">
        <w:rPr>
          <w:vertAlign w:val="superscript"/>
        </w:rPr>
        <w:footnoteReference w:id="159"/>
      </w:r>
      <w:r>
        <w:t xml:space="preserve">, radi budućeg finansiranja, je od presudnog značaja.  </w:t>
      </w:r>
    </w:p>
    <w:p w14:paraId="359F857A" w14:textId="3CE1E9D2" w:rsidR="00C4536C" w:rsidRDefault="00C4536C" w:rsidP="00C4536C">
      <w:r>
        <w:t xml:space="preserve">Specifične obuke i Program </w:t>
      </w:r>
      <w:r w:rsidR="00C30F51" w:rsidRPr="00C30F51">
        <w:t>jačanja kapaciteta</w:t>
      </w:r>
      <w:r>
        <w:t xml:space="preserve"> za buduće korisnike (Akcija 3.3) takođe će obuhvatiti potrebe vezane za pripremu infrastrukturnih/projekata velikog obima.  </w:t>
      </w:r>
    </w:p>
    <w:p w14:paraId="5AA2BB4F" w14:textId="12B8DDFE" w:rsidR="00C4536C" w:rsidRDefault="00C4536C" w:rsidP="00C4536C">
      <w:r>
        <w:t xml:space="preserve">U tom kontekstu, relevantni Tematski uslovi omogućavanja moraju biti ispunjeni da bi se obezbijedio pristup Fondovima (vidjeti Poglavlje 1 ovog </w:t>
      </w:r>
      <w:r w:rsidR="00E253C6">
        <w:t>P</w:t>
      </w:r>
      <w:r>
        <w:t>lana</w:t>
      </w:r>
      <w:r w:rsidR="00E253C6">
        <w:t xml:space="preserve"> aktivnosti</w:t>
      </w:r>
      <w:r>
        <w:t>), što takođe treba uzeti u obzir.</w:t>
      </w:r>
    </w:p>
    <w:p w14:paraId="19E554A7" w14:textId="77777777" w:rsidR="00010321" w:rsidRPr="00B83578" w:rsidRDefault="00010321" w:rsidP="00010321"/>
    <w:p w14:paraId="0DED4378" w14:textId="7F6B0BA9" w:rsidR="00010321" w:rsidRPr="00B83578" w:rsidRDefault="00E6510D" w:rsidP="003C2962">
      <w:pPr>
        <w:pStyle w:val="Heading4"/>
      </w:pPr>
      <w:r>
        <w:t>Kapaciteti za programiranje EU fondova</w:t>
      </w:r>
      <w:r w:rsidR="00010321" w:rsidRPr="00B83578">
        <w:t xml:space="preserve">  </w:t>
      </w:r>
    </w:p>
    <w:p w14:paraId="1C8D19E9" w14:textId="416E2AE5" w:rsidR="00C4536C" w:rsidRPr="00C4536C" w:rsidRDefault="00C4536C" w:rsidP="00C4536C">
      <w:pPr>
        <w:rPr>
          <w:bCs/>
        </w:rPr>
      </w:pPr>
      <w:r w:rsidRPr="006E1E96">
        <w:rPr>
          <w:b/>
          <w:bCs/>
        </w:rPr>
        <w:t>Nacionalni IPA koordinator (</w:t>
      </w:r>
      <w:r w:rsidR="0086543E" w:rsidRPr="0086543E">
        <w:rPr>
          <w:b/>
          <w:bCs/>
        </w:rPr>
        <w:t>NIPAK</w:t>
      </w:r>
      <w:r w:rsidRPr="006E1E96">
        <w:rPr>
          <w:b/>
          <w:bCs/>
        </w:rPr>
        <w:t xml:space="preserve">), uz podršku </w:t>
      </w:r>
      <w:r w:rsidR="0086543E" w:rsidRPr="0086543E">
        <w:rPr>
          <w:b/>
          <w:bCs/>
        </w:rPr>
        <w:t>NIPAK</w:t>
      </w:r>
      <w:r w:rsidRPr="006E1E96">
        <w:rPr>
          <w:b/>
          <w:bCs/>
        </w:rPr>
        <w:t xml:space="preserve"> kancelarije</w:t>
      </w:r>
      <w:r w:rsidRPr="00C4536C">
        <w:rPr>
          <w:bCs/>
        </w:rPr>
        <w:t xml:space="preserve">, glavni je sagovornik Evropske komisije za cjelokupan proces programiranja, praćenja, evaluacije i izvještavanja u okviru IPA III. </w:t>
      </w:r>
      <w:r w:rsidR="0086543E" w:rsidRPr="0086543E">
        <w:rPr>
          <w:bCs/>
        </w:rPr>
        <w:t>NIPAK</w:t>
      </w:r>
      <w:r w:rsidRPr="00C4536C">
        <w:rPr>
          <w:bCs/>
        </w:rPr>
        <w:t xml:space="preserve"> obezbjeđuje opštu koordinaciju IPA III </w:t>
      </w:r>
      <w:r w:rsidR="00477A44">
        <w:rPr>
          <w:bCs/>
        </w:rPr>
        <w:t>podrške</w:t>
      </w:r>
      <w:r w:rsidRPr="00C4536C">
        <w:rPr>
          <w:bCs/>
        </w:rPr>
        <w:t xml:space="preserve"> i predvodi izradu Nacionalnog strateškog odgovora i ostalih programskih dokumenata.</w:t>
      </w:r>
    </w:p>
    <w:p w14:paraId="4C14E6A8" w14:textId="069D9760" w:rsidR="00C4536C" w:rsidRPr="00C4536C" w:rsidRDefault="00C4536C" w:rsidP="00C4536C">
      <w:pPr>
        <w:rPr>
          <w:bCs/>
        </w:rPr>
      </w:pPr>
      <w:r w:rsidRPr="00C4536C">
        <w:rPr>
          <w:bCs/>
        </w:rPr>
        <w:lastRenderedPageBreak/>
        <w:t xml:space="preserve">Za svaku oblast formirane su Jedinice za implementaciju projekata (PIU) / Posrednička tijela za upravljanje politikama (IB) pri resornim ministarstvima. One, pod rukovodstvom </w:t>
      </w:r>
      <w:r w:rsidR="00E6510D">
        <w:rPr>
          <w:bCs/>
        </w:rPr>
        <w:t>Visokog</w:t>
      </w:r>
      <w:r w:rsidRPr="00C4536C">
        <w:rPr>
          <w:bCs/>
        </w:rPr>
        <w:t xml:space="preserve"> programskog službenika (SPO) kojeg imenuje Vlada, pripremaju i prate </w:t>
      </w:r>
      <w:r w:rsidR="00E6510D">
        <w:rPr>
          <w:bCs/>
        </w:rPr>
        <w:t>implementaciju</w:t>
      </w:r>
      <w:r w:rsidRPr="00C4536C">
        <w:rPr>
          <w:bCs/>
        </w:rPr>
        <w:t xml:space="preserve"> akcija u svom sektoru i tehnički podržavaju </w:t>
      </w:r>
      <w:r w:rsidR="0086543E" w:rsidRPr="0086543E">
        <w:rPr>
          <w:bCs/>
        </w:rPr>
        <w:t>NIPAK</w:t>
      </w:r>
      <w:r w:rsidRPr="00C4536C">
        <w:rPr>
          <w:bCs/>
        </w:rPr>
        <w:t xml:space="preserve"> kancelariju tokom programiranja.</w:t>
      </w:r>
    </w:p>
    <w:p w14:paraId="32393845" w14:textId="7A3BF269" w:rsidR="00C4536C" w:rsidRDefault="00C4536C" w:rsidP="00C4536C">
      <w:pPr>
        <w:rPr>
          <w:bCs/>
        </w:rPr>
      </w:pPr>
      <w:r w:rsidRPr="00C4536C">
        <w:rPr>
          <w:bCs/>
        </w:rPr>
        <w:t xml:space="preserve">Radi sveobuhvatnog i djelotvornog korišćenja IPA sredstava, uspostavljene su Sektorske radne grupe (SRG) na osnovu sektorskog pristupa primijenjenog u IPA II (2014–2020). U njima učestvuju </w:t>
      </w:r>
      <w:r w:rsidR="006E1E96" w:rsidRPr="00C4536C">
        <w:rPr>
          <w:bCs/>
        </w:rPr>
        <w:t xml:space="preserve">državne institucije </w:t>
      </w:r>
      <w:r w:rsidRPr="00C4536C">
        <w:rPr>
          <w:bCs/>
        </w:rPr>
        <w:t xml:space="preserve">nadležne </w:t>
      </w:r>
      <w:r w:rsidR="006E1E96">
        <w:rPr>
          <w:bCs/>
        </w:rPr>
        <w:t xml:space="preserve">za konkretne </w:t>
      </w:r>
      <w:proofErr w:type="gramStart"/>
      <w:r w:rsidR="006E1E96">
        <w:rPr>
          <w:bCs/>
        </w:rPr>
        <w:t>oblast,kao</w:t>
      </w:r>
      <w:proofErr w:type="gramEnd"/>
      <w:r w:rsidR="006E1E96">
        <w:rPr>
          <w:bCs/>
        </w:rPr>
        <w:t xml:space="preserve"> i relevantni</w:t>
      </w:r>
      <w:r w:rsidRPr="00C4536C">
        <w:rPr>
          <w:bCs/>
        </w:rPr>
        <w:t xml:space="preserve"> predstavnici civilnog sektora</w:t>
      </w:r>
      <w:r w:rsidR="006E1E96" w:rsidRPr="00B83578">
        <w:rPr>
          <w:rFonts w:cs="Arial"/>
          <w:vertAlign w:val="superscript"/>
        </w:rPr>
        <w:footnoteReference w:id="160"/>
      </w:r>
      <w:r w:rsidR="006E1E96">
        <w:rPr>
          <w:bCs/>
        </w:rPr>
        <w:t>(</w:t>
      </w:r>
      <w:r w:rsidR="00CD0020">
        <w:rPr>
          <w:bCs/>
        </w:rPr>
        <w:t>OCD</w:t>
      </w:r>
      <w:r w:rsidR="006E1E96">
        <w:rPr>
          <w:bCs/>
        </w:rPr>
        <w:t xml:space="preserve"> predstavnici, za koordinaciju </w:t>
      </w:r>
      <w:r w:rsidR="00477A44">
        <w:rPr>
          <w:bCs/>
        </w:rPr>
        <w:t>podrške</w:t>
      </w:r>
      <w:r w:rsidR="006E1E96">
        <w:rPr>
          <w:bCs/>
        </w:rPr>
        <w:t xml:space="preserve"> za razvoj)</w:t>
      </w:r>
      <w:r w:rsidRPr="00C4536C">
        <w:rPr>
          <w:bCs/>
        </w:rPr>
        <w:t>. SRG su glavni mehanizam za vođenje i koordinaciju cjelokupnog IPA programiranja, jer omogućavaju sektorsku raspravu, inkluzivne konsultacije i koordinisano učešće svih relevantnih aktera.</w:t>
      </w:r>
    </w:p>
    <w:p w14:paraId="13997D91" w14:textId="2B74A67E" w:rsidR="00AE16B0" w:rsidRDefault="00AE16B0" w:rsidP="00010321">
      <w:r w:rsidRPr="00AE16B0">
        <w:t xml:space="preserve">Sa stanovišta IPA III, Ministarstvo evropskih poslova – Kancelarija </w:t>
      </w:r>
      <w:r w:rsidR="0086543E" w:rsidRPr="0086543E">
        <w:t>NIPAK</w:t>
      </w:r>
      <w:r w:rsidRPr="00AE16B0">
        <w:t xml:space="preserve"> uspostavila je Sektorske radne grupe (SRG) za prozore 1–4</w:t>
      </w:r>
      <w:r w:rsidRPr="00B83578">
        <w:rPr>
          <w:rFonts w:cs="Arial"/>
          <w:vertAlign w:val="superscript"/>
        </w:rPr>
        <w:footnoteReference w:id="161"/>
      </w:r>
      <w:r w:rsidRPr="00AE16B0">
        <w:t xml:space="preserve"> IPA III. Član 16 FFPA propisuje obavezu Vlade Crne Gore da obezbijedi da nadležn</w:t>
      </w:r>
      <w:r w:rsidR="005F0E1C">
        <w:t>a tijela</w:t>
      </w:r>
      <w:r w:rsidRPr="00AE16B0">
        <w:t xml:space="preserve"> i zainteresovane strane, poput ekonomskih, socijalnih i ekoloških partnera, organizacija civilnog društva i lokalnih vlasti, budu valjano konsultovani i da blagovremeno imaju pristup relevantnim informacijama koje im omogućavaju značajnu ulogu tokom oblikovanja, sprovođenja i pratećih procesa nadzora programa podržanih IPA III </w:t>
      </w:r>
      <w:r w:rsidR="00477A44">
        <w:t>podrške</w:t>
      </w:r>
      <w:r w:rsidRPr="00AE16B0">
        <w:t xml:space="preserve">. Ovo se djelimično ostvaruje kroz SRG-ove, koji okupljaju relevantne državne institucije, javna preduzeća, organe lokalne samouprave, razvojne partnere/donatore, međunarodne finansijske institucije i civilno društvo radi podsticanja saradnje i aktivnog učešća u planiranju i identifikaciji prioriteta za finansiranje iz IPA III sredstava. </w:t>
      </w:r>
      <w:r>
        <w:t>Relevantna r</w:t>
      </w:r>
      <w:r w:rsidRPr="00AE16B0">
        <w:t xml:space="preserve">esorna ministarstva nadležna za svaku SRG takođe su odgovorna za informisanje partnera o nacionalnim prioritetima sadržanim u relevantnim planskim i programskim dokumentima i za uključivanje partnera u izradu Strateškog odgovora za IPA III, koji definiše nacionalne prioritete finansiranja iz IPA III </w:t>
      </w:r>
      <w:r w:rsidR="00477A44">
        <w:t>podrške</w:t>
      </w:r>
      <w:r w:rsidRPr="00AE16B0">
        <w:t xml:space="preserve">, kao i programskih dokumenata. Sastanci SRG-ova zakazuju se u skladu sa procesom programiranja i po potrebi, na nivou donošenja odluka i na tehničkom nivou. Treba napomenuti da mehanizam Sektorskih radnih grupa nije dizajniran da bude u potpunosti usklađen s Evropskim kodeksom ponašanja </w:t>
      </w:r>
      <w:r w:rsidR="004B7ADD">
        <w:t>za</w:t>
      </w:r>
      <w:r w:rsidRPr="00AE16B0">
        <w:t xml:space="preserve"> partnerstv</w:t>
      </w:r>
      <w:r w:rsidR="004B7ADD">
        <w:t>o</w:t>
      </w:r>
      <w:r w:rsidRPr="00AE16B0">
        <w:t>, već se zasniva na zakonskim zahtjevima za IPA predviđenim Okvirnim sporazumom za IPA II i FFPA za IPA III</w:t>
      </w:r>
      <w:r w:rsidRPr="00B83578">
        <w:rPr>
          <w:rFonts w:cs="Arial"/>
          <w:vertAlign w:val="superscript"/>
        </w:rPr>
        <w:footnoteReference w:id="162"/>
      </w:r>
      <w:r w:rsidRPr="00AE16B0">
        <w:t>.</w:t>
      </w:r>
    </w:p>
    <w:p w14:paraId="313CE452" w14:textId="5C994011" w:rsidR="00AE16B0" w:rsidRDefault="00AE16B0" w:rsidP="00010321">
      <w:r w:rsidRPr="00AE16B0">
        <w:t>U skladu sa Programskim okvirom IPA III, bilateralne godišnje akcije pripremaju se kroz dvostepeni proces programiranja. U prvoj fazi izrađuje se Strateški odgovor koji objašnjava na koji su način ukupne politike i sektorske strategije usklađene sa preporukama i zahtjevima specifičnih instrumenata</w:t>
      </w:r>
      <w:r>
        <w:t xml:space="preserve"> politika</w:t>
      </w:r>
      <w:r w:rsidRPr="00AE16B0">
        <w:t xml:space="preserve"> procesa proširenja, te kako predložene akcije doprinose ciljevima Programskog okvira IPA III. Komisija zatim vrši prvi odabir akcija koje su predstavili korisnici IPA na osnovu njihove političke relevantnosti. Odabrane akcije dalje razvijaju korisnici IPA III u potpuno razrađene akcijske dokumente. Komisija potom vrši drugi odabir na osnovu tehničke zrelosti. Samo akcije koje su dovoljno tehnički zrele smatraju se spremnim za usvajanje. Ovaj pristup programiranju revidiran je za period 2025–2027, gdje nije postojala prva faza, pa se ažuriranje Strateškog odgovora i priprema Akcijskih dokumenata odvijaju paralelno.</w:t>
      </w:r>
    </w:p>
    <w:p w14:paraId="308B128A" w14:textId="083A9277" w:rsidR="002B40FA" w:rsidRDefault="002B40FA" w:rsidP="00010321">
      <w:r w:rsidRPr="002B40FA">
        <w:t>U praksi, proces programiranja IPA III uglavnom nije pružio korisno iskustvo za pripreme vezane za programiranje Kohezi</w:t>
      </w:r>
      <w:r>
        <w:t>one</w:t>
      </w:r>
      <w:r w:rsidRPr="002B40FA">
        <w:t xml:space="preserve"> politike niti se pokazao pogodnim za uspostavljanje partnerstva i potpuno participativnog pristupa programiranju, naročito kada je riječ o godišnjim akcijama. To je prije svega posljedica kašnjenja u pokretanju programiranja, budući da je Programski okvir IPA III objavljen tek u decembru 2021, zatim postavljanja proizvoljnih i često neizvodljivih rokova, kao i promjena pristupa koje nijesu bile u potpunosti razmotrene i usaglašene. Situaciju je dodatno pogoršala činjenica da je Godišnji akcioni program IPA za 2023. godinu obuhvatio isključivo doprinos Paketu podrške energetici za Zapadni Balkan, usljed energetske krize izazvane ruskim ratom agresije protiv Ukrajine, te da je Komisija najavila objedinjeno i pojednostavljeno programiranje IPA III </w:t>
      </w:r>
      <w:r w:rsidR="00477A44">
        <w:t>podrške</w:t>
      </w:r>
      <w:r w:rsidRPr="002B40FA">
        <w:t xml:space="preserve"> za 2025, 2026. i 2027. godinu u jednoj fazi, pri čemu je identifikovala ograničen broj prioritetnih oblasti i akcija za saradnju u periodu 2025–2027</w:t>
      </w:r>
      <w:r w:rsidRPr="00B83578">
        <w:rPr>
          <w:rFonts w:cs="Arial"/>
          <w:vertAlign w:val="superscript"/>
        </w:rPr>
        <w:footnoteReference w:id="163"/>
      </w:r>
      <w:r w:rsidRPr="002B40FA">
        <w:t xml:space="preserve">. Budući da je pismo Komisije u kojem su navedene specifičnosti programiranja, uključujući prioriteti za Crnu </w:t>
      </w:r>
      <w:r w:rsidRPr="002B40FA">
        <w:lastRenderedPageBreak/>
        <w:t>Goru, poslato 31. jula 2024, a rok za dostavljanje dokumenata Komisiji bio 11. oktobra 2024, što je Crnoj Gori ostavilo 72 dana da sprovede čitav proces, jasno je da postupak ne može slijediti logiku programiranja Kohezi</w:t>
      </w:r>
      <w:r>
        <w:t>one</w:t>
      </w:r>
      <w:r w:rsidRPr="002B40FA">
        <w:t xml:space="preserve"> politike. Dodatno, programiranje IPA ne obuhvata značajne oblasti koje podržavaju fondovi Kohezi</w:t>
      </w:r>
      <w:r>
        <w:t>one</w:t>
      </w:r>
      <w:r w:rsidRPr="002B40FA">
        <w:t xml:space="preserve"> politike: infrastrukturni projekti velikih razmjera finansiraju se putem mehanizma WBIF, van okvira programiranja EU fondova, što znači da je Crna Gora imala manje prilika za učenje kroz praksu u oblastima konvergencije. Korišćenje grant-šema – glavnog mehanizma realizacije u Kohezi</w:t>
      </w:r>
      <w:r>
        <w:t>onoj</w:t>
      </w:r>
      <w:r w:rsidRPr="002B40FA">
        <w:t xml:space="preserve"> politici – takođe je bilo ograničeno i aktivno obeshrabrivano za višegodišnje operativne programe IPA III 2024–2027, što je dodatno smanjilo mogućnosti učenja kroz praksu.</w:t>
      </w:r>
    </w:p>
    <w:p w14:paraId="712F83A7" w14:textId="77777777" w:rsidR="002B40FA" w:rsidRDefault="002B40FA" w:rsidP="002B40FA">
      <w:r>
        <w:t xml:space="preserve">Značajan dio sredstava IPA namijenjen je prozorima 1 i 2, koji nijesu povezani s Kohezionom politikom EU.  </w:t>
      </w:r>
    </w:p>
    <w:p w14:paraId="6AD44D45" w14:textId="4F874888" w:rsidR="002B40FA" w:rsidRDefault="002B40FA" w:rsidP="002B40FA">
      <w:r>
        <w:t xml:space="preserve">Za programiranje Kohezione politike relevantnije je iskustvo stečeno u višegodišnjem programiranju u okviru IPA III. Ono obuhvata pripremu višegodišnjih Operativnih programa za period 2024–2027, programe prekogranične saradnje između zemalja korisnica IPA, programirani kao višegodišnji programi koji pokrivaju cijeli period sprovođenja IPA III, kao i </w:t>
      </w:r>
      <w:r w:rsidR="00477A44">
        <w:t>podršku</w:t>
      </w:r>
      <w:r>
        <w:t xml:space="preserve"> za ruralni razvoj kroz IPA III, programiranu kao višegodišnji program za čitav period sprovođenja IPA III.  </w:t>
      </w:r>
    </w:p>
    <w:p w14:paraId="7718E505" w14:textId="6AF4ED8B" w:rsidR="002B40FA" w:rsidRDefault="002B40FA" w:rsidP="002B40FA">
      <w:r>
        <w:t xml:space="preserve">Dva višegodišnja Operativna programa (OP) za period 2024–2027 pripremljena su do kraja 2023. Jedan od zaključaka Odbora za </w:t>
      </w:r>
      <w:r w:rsidR="00A80895" w:rsidRPr="00A80895">
        <w:t>monitoring</w:t>
      </w:r>
      <w:r>
        <w:t xml:space="preserve"> IPA, održanog 24. novembra 2023, bio je da je krajnji rok za dostavljanje dva OP-a službama Komisije 8. decembar 2023. Rok je ispoštovan od strane crnogorskih </w:t>
      </w:r>
      <w:r w:rsidR="005F0E1C">
        <w:t>tijel</w:t>
      </w:r>
      <w:r>
        <w:t>a; međutim, dva OP-a su odobrena od strane Komisije 8. avgusta 2024.</w:t>
      </w:r>
    </w:p>
    <w:p w14:paraId="4C351C1B" w14:textId="5B1946BB" w:rsidR="002B40FA" w:rsidRDefault="002B40FA" w:rsidP="002B40FA">
      <w:r>
        <w:t xml:space="preserve">Od samih početnih faza pripreme višegodišnjeg Operativnog programa „Zapošljavanje i socijalna </w:t>
      </w:r>
      <w:proofErr w:type="gramStart"/>
      <w:r>
        <w:t>inkluzija“ 2024</w:t>
      </w:r>
      <w:proofErr w:type="gramEnd"/>
      <w:r>
        <w:t xml:space="preserve">-2027 primijenjen je konsultativni i participativni pristup uz značajno uključivanje ekonomskih i socijalnih partnera i predstavnika civilnog društva. Formirana je Radna grupa koja je uključivala predstavnike svih relevantnih zainteresovanih strana iz državne uprave, </w:t>
      </w:r>
      <w:r w:rsidR="00DE23BF">
        <w:t>organizacija civilnog društva</w:t>
      </w:r>
      <w:r>
        <w:t xml:space="preserve">, socijalnih partnera i drugih aktera iz sektora politike zapošljavanja i socijalne politike kako bi davali osvrte i komentare na uzastopne radne verzije OP-a. Prvi sastanak Radne grupe održan je 5. aprila 2023, </w:t>
      </w:r>
      <w:proofErr w:type="gramStart"/>
      <w:r>
        <w:t>a</w:t>
      </w:r>
      <w:proofErr w:type="gramEnd"/>
      <w:r>
        <w:t xml:space="preserve"> okupio je više od 40 relevantnih predstavnika/zainteresovanih strana i pokrenuo proces zajedničk</w:t>
      </w:r>
      <w:r w:rsidR="00DE23BF">
        <w:t>e</w:t>
      </w:r>
      <w:r>
        <w:t xml:space="preserve"> izrade OP-a. Proces izrade, podržan od strane eksperata angažovanih kroz </w:t>
      </w:r>
      <w:r w:rsidR="00F6773D">
        <w:t>tehničku pomoć</w:t>
      </w:r>
      <w:r>
        <w:t xml:space="preserve"> IPA 2020, obuhvatao je fokusirane pojedinačne konsultacije i posebne sastanke sa relevantnim </w:t>
      </w:r>
      <w:r w:rsidR="005F0E1C">
        <w:t>tijelima</w:t>
      </w:r>
      <w:r>
        <w:t xml:space="preserve"> državne uprave i socijalnim partnerima, pored doprinosa Radne grupe</w:t>
      </w:r>
      <w:r w:rsidR="00DE23BF" w:rsidRPr="00B83578">
        <w:rPr>
          <w:rFonts w:cs="Arial"/>
          <w:vertAlign w:val="superscript"/>
        </w:rPr>
        <w:footnoteReference w:id="164"/>
      </w:r>
      <w:r>
        <w:t xml:space="preserve">.  </w:t>
      </w:r>
    </w:p>
    <w:p w14:paraId="6432619E" w14:textId="0261EB8D" w:rsidR="002B40FA" w:rsidRDefault="002B40FA" w:rsidP="002B40FA">
      <w:r>
        <w:t xml:space="preserve">Proces konsultacija za pripremu višegodišnjeg Operativnog programa „Životna sredina i klimatske </w:t>
      </w:r>
      <w:proofErr w:type="gramStart"/>
      <w:r>
        <w:t>promjene“ započeo</w:t>
      </w:r>
      <w:proofErr w:type="gramEnd"/>
      <w:r>
        <w:t xml:space="preserve"> je u periodu april-jun 2022, kada je revidiran Strateški odgovor za Prozor 3 (Održiva povezanost i Zelena agenda), kroz nekoliko radnih sesija sa Sektorskom radnom grupom za Poglavlje 27. Sastanke i radne sesije sa ključnim akterima za dizajn i </w:t>
      </w:r>
      <w:r w:rsidR="00A80895">
        <w:t>implementaciju</w:t>
      </w:r>
      <w:r>
        <w:t xml:space="preserve"> OP-a tokom 2023. sprovodilo je nadležno ministarstvo, kao i konsultacije sa opštinama.  </w:t>
      </w:r>
    </w:p>
    <w:p w14:paraId="681A6751" w14:textId="4D4BEC82" w:rsidR="002B40FA" w:rsidRDefault="002B40FA" w:rsidP="002B40FA">
      <w:r>
        <w:t xml:space="preserve">Posebna pažnja posvećena je uključivanju partnera iz </w:t>
      </w:r>
      <w:r w:rsidR="00DE23BF">
        <w:t>organizacija civilnog društva</w:t>
      </w:r>
      <w:r>
        <w:t xml:space="preserve"> kako bi se uzele u obzir njihove specifične potrebe. Članovi Radne grupe imali su priliku da ravnopravno učestvuju i daju prijedloge na OP, komentarišu radne materijale te predlažu dopune i izmjene u okviru OP-a</w:t>
      </w:r>
      <w:r w:rsidR="00DE23BF" w:rsidRPr="00B83578">
        <w:rPr>
          <w:rFonts w:cs="Arial"/>
          <w:vertAlign w:val="superscript"/>
        </w:rPr>
        <w:footnoteReference w:id="165"/>
      </w:r>
      <w:r>
        <w:t>.</w:t>
      </w:r>
    </w:p>
    <w:p w14:paraId="749AEBA3" w14:textId="56A92C45" w:rsidR="00DE23BF" w:rsidRDefault="00DE23BF" w:rsidP="00DE23BF">
      <w:r>
        <w:t xml:space="preserve">Što se tiče </w:t>
      </w:r>
      <w:r w:rsidR="00D858E0">
        <w:rPr>
          <w:b/>
        </w:rPr>
        <w:t>PGS</w:t>
      </w:r>
      <w:r w:rsidRPr="00DE23BF">
        <w:rPr>
          <w:b/>
        </w:rPr>
        <w:t xml:space="preserve"> programa s ostalim korisnicima IPA</w:t>
      </w:r>
      <w:r>
        <w:t xml:space="preserve">, Crna Gora učestvuje u četiri bilateralna programa prekogranične saradnje, s Albanijom, Kosovom, Srbijom (sva tri programa u indirektnom upravljanju) i Bosnom i Hercegovinom (u direktnom upravljanju). Ministarstvo evropskih poslova – Kancelarija </w:t>
      </w:r>
      <w:r w:rsidR="0086543E" w:rsidRPr="0086543E">
        <w:t>NIPAK</w:t>
      </w:r>
      <w:r>
        <w:t xml:space="preserve"> (u vrijeme programiranja IPA III Vlada Crne Gore – Kancelarija za evropske integracije) zaduženo je za upravljanje programima teritorijalne saradnje u Crnoj Gori i koordinaciju programskog procesa. Za sva četiri programa za IPA III usvojen je zajednički pristup programiranju, uz podršku projekta finansiranog od EU „</w:t>
      </w:r>
      <w:r w:rsidR="0032369C">
        <w:t>Jačanje</w:t>
      </w:r>
      <w:r>
        <w:t xml:space="preserve"> institucija prekogranične saradnje – </w:t>
      </w:r>
      <w:r w:rsidR="0032369C">
        <w:t>JIPS</w:t>
      </w:r>
      <w:r>
        <w:t xml:space="preserve"> Plus Faza </w:t>
      </w:r>
      <w:proofErr w:type="gramStart"/>
      <w:r>
        <w:t>III“ (</w:t>
      </w:r>
      <w:proofErr w:type="gramEnd"/>
      <w:r w:rsidR="0032369C">
        <w:t>JIPS</w:t>
      </w:r>
      <w:r>
        <w:t>+3). Zajedničke radne grupe (</w:t>
      </w:r>
      <w:r w:rsidR="00A067C3">
        <w:t>ZRG</w:t>
      </w:r>
      <w:r>
        <w:t xml:space="preserve">), sa predstavnicima relevantnih nacionalnih i lokalnih organa, uspostavljene su 2020. godine radi pripreme Akcionog dokumenta svakog programa, a za članove </w:t>
      </w:r>
      <w:r w:rsidR="00A067C3">
        <w:t>ZRG</w:t>
      </w:r>
      <w:r>
        <w:t xml:space="preserve"> održane su obuke.  </w:t>
      </w:r>
    </w:p>
    <w:p w14:paraId="45A951C7" w14:textId="77777777" w:rsidR="00DE23BF" w:rsidRDefault="00DE23BF" w:rsidP="00DE23BF">
      <w:r>
        <w:t xml:space="preserve">Proces programiranja sastojao se od sljedećih koraka:  </w:t>
      </w:r>
    </w:p>
    <w:p w14:paraId="0BB30ECC" w14:textId="77777777" w:rsidR="00DE23BF" w:rsidRDefault="00DE23BF" w:rsidP="00DE23BF">
      <w:r>
        <w:t xml:space="preserve">i) priprema programskog vodiča s detaljima o koracima i aktivnostima koje treba preduzeti i detaljnim planom za izradu programskog dokumenta,  </w:t>
      </w:r>
    </w:p>
    <w:p w14:paraId="6F4B50DE" w14:textId="77777777" w:rsidR="00DE23BF" w:rsidRDefault="00DE23BF" w:rsidP="00DE23BF">
      <w:r>
        <w:lastRenderedPageBreak/>
        <w:t xml:space="preserve">ii) izrada nacrta analize stanja i SWOT-a na osnovu inputa korisnika, sekundarnih izvora i naučenih lekcija,  </w:t>
      </w:r>
    </w:p>
    <w:p w14:paraId="376A4DA9" w14:textId="77777777" w:rsidR="00DE23BF" w:rsidRDefault="00DE23BF" w:rsidP="00DE23BF">
      <w:r>
        <w:t xml:space="preserve">iii) identifikacija ključnih potreba i izazova područja programa,  </w:t>
      </w:r>
    </w:p>
    <w:p w14:paraId="620C50D3" w14:textId="77777777" w:rsidR="00DE23BF" w:rsidRDefault="00DE23BF" w:rsidP="00DE23BF">
      <w:r>
        <w:t xml:space="preserve">iv) odabir tematskih prioriteta i izrada nacrta strategije uključujući specifične ciljeve/ishode, rezultate/izlaze, aktivnosti i pokazatelje,  </w:t>
      </w:r>
    </w:p>
    <w:p w14:paraId="2582D775" w14:textId="580FA3C2" w:rsidR="00DE23BF" w:rsidRDefault="00DE23BF" w:rsidP="00DE23BF">
      <w:r>
        <w:t xml:space="preserve">v) izmjene programa u skladu s komentarima odgovarajuće </w:t>
      </w:r>
      <w:r w:rsidR="00A067C3">
        <w:t>ZRG</w:t>
      </w:r>
      <w:r>
        <w:t>.</w:t>
      </w:r>
    </w:p>
    <w:p w14:paraId="49BCC167" w14:textId="2710D5C4" w:rsidR="00DA2775" w:rsidRDefault="00DA2775" w:rsidP="00DA2775">
      <w:r>
        <w:t xml:space="preserve">Konsultacije sa relevantnim tijelima/institucijama/organima u Crnoj Gori na nacionalnom i lokalnom nivou, kao i sa zainteresovanim stranama, sprovedene su u dvije ključne faze:  i) Analiza stanja i SWOT za svaki program dostavljeni su relevantnim tijelima/institucijama u Crnoj Gori, a na osnovu dobijenih povratnih informacija odabrani/definisani su tematski prioriteti/specifični ciljevi;  ii) Javne konsultacije organizovane su nakon što su pripremljene prve radne verzije kako bi se dobili komentari i doprinosi na odabrane strategije. Glavni izazovi identifikovani u ovom procesu programiranja bili su: ograničenje na samo dva tematska prioriteta koja se mogu uključiti u programske strategije (od ukupno 9 unaprijed definisanih od strane EK), ograničena motivacija relevantnih institucija/zainteresovanih strana u Crnoj Gori za učešće u konsultativnom procesu i spoljašnja ograničenja povezana sa mjerama protiv COVID-19 koje su zakomplikovale proces programiranja.  </w:t>
      </w:r>
    </w:p>
    <w:p w14:paraId="00F7FF8F" w14:textId="3242796A" w:rsidR="00DA2775" w:rsidRDefault="00DA2775" w:rsidP="00DA2775">
      <w:r>
        <w:t>Pomoć za ruralni razvoj u okviru IPA III programira se kao višegodišnji program koji obuhvata čitav period implementacije IPA III. Ona se obezbjeđuje na osnovu relevantnih prioriteta utvrđenih u Programskom okviru IPA III i strategijama poljoprivrede i ruralnog razvoja svakog korisnika IPA III. Proces programiranja IPARD III slijedi jasne smjernice DG AGRI, uključuje ex-ante evaluaciju i poštuje princip partnerstva u mjeri u kojoj je primjenljiv na sektor. S obzirom na specifičnosti IPARD-a, za programiranje Kohezione politike posebno su relevantni participativni pristup programiranju i uspostavljeno partnerstvo</w:t>
      </w:r>
      <w:r w:rsidRPr="00B83578">
        <w:rPr>
          <w:rFonts w:cs="Arial"/>
          <w:vertAlign w:val="superscript"/>
        </w:rPr>
        <w:footnoteReference w:id="166"/>
      </w:r>
      <w:r>
        <w:t>.</w:t>
      </w:r>
    </w:p>
    <w:p w14:paraId="7D61DC1C" w14:textId="37C3F597" w:rsidR="00010321" w:rsidRPr="00B83578" w:rsidRDefault="009506A8" w:rsidP="003C2962">
      <w:pPr>
        <w:pStyle w:val="Heading4"/>
      </w:pPr>
      <w:r>
        <w:t>Iskustvo u programiranju</w:t>
      </w:r>
      <w:r w:rsidR="00010321" w:rsidRPr="00B83578">
        <w:t xml:space="preserve"> INTERREG program</w:t>
      </w:r>
      <w:r>
        <w:t>a</w:t>
      </w:r>
      <w:r w:rsidR="00010321" w:rsidRPr="00B83578">
        <w:t xml:space="preserve">  </w:t>
      </w:r>
    </w:p>
    <w:p w14:paraId="2DDA753D" w14:textId="51DD69D6" w:rsidR="00DA2775" w:rsidRDefault="00DA2775" w:rsidP="00DA2775">
      <w:r>
        <w:t xml:space="preserve">Ministarstvo evropskih poslova – </w:t>
      </w:r>
      <w:r w:rsidR="0086543E" w:rsidRPr="0086543E">
        <w:t>NIPAK</w:t>
      </w:r>
      <w:r>
        <w:t xml:space="preserve"> kancelarija, koje u Crnoj Gori djeluje u svojstvu Nacionalnog tijela (</w:t>
      </w:r>
      <w:r w:rsidR="00645072">
        <w:t>NT</w:t>
      </w:r>
      <w:r>
        <w:t xml:space="preserve">), ima centralnu ulogu u upravljanju i koordinaciji INTERREG programa. Nadležnosti </w:t>
      </w:r>
      <w:r w:rsidR="00645072">
        <w:t>NT</w:t>
      </w:r>
      <w:r>
        <w:t xml:space="preserve"> uključuju stratešku koordinaciju, kroz nadzor usklađenosti INTERREG programa sa nacionalnim razvojnim prioritetima i propisima EU, kao i programiranje i planiranje, posredstvom olakšavanja izrade programa.  </w:t>
      </w:r>
    </w:p>
    <w:p w14:paraId="253DB41D" w14:textId="2BE86577" w:rsidR="00DA2775" w:rsidRDefault="00DA2775" w:rsidP="00DA2775">
      <w:r>
        <w:t xml:space="preserve">Kada je riječ o uravnoteženom učešću partnera i zainteresovanih strana u programiranju i konsultacijama, neophodno je uzeti u obzir da je Crna Gora mala, centralizovana država bez regiona; samo kao primjer, u slučaju IPA </w:t>
      </w:r>
      <w:r w:rsidR="00D858E0">
        <w:t>PGS</w:t>
      </w:r>
      <w:r>
        <w:t xml:space="preserve"> Hrvatska - Bosna i Hercegovina – Crna Gora svega 8.6% stanovništva programskog područja nalazi se u Crnoj Gori, što utiče na brojčanu zastupljenost</w:t>
      </w:r>
      <w:r w:rsidRPr="00B83578">
        <w:rPr>
          <w:rFonts w:cs="Arial"/>
          <w:vertAlign w:val="superscript"/>
        </w:rPr>
        <w:footnoteReference w:id="167"/>
      </w:r>
      <w:r>
        <w:t>. Takođe se napominje da su ograničenja povezana sa COVID-19 uticala na programiranje za perspektivu 2021-2027. Kao primjer, Program Južni Jadran pripremljen je isključivo putem onlajn konsultacija, sa 101 učesnikom na fokusiranim sastancima, 136 učesnika na događaju javnih konsultacija, 88 i 112 osoba u onlajn javnim konsultacijama i 475 ispitanika na evaluaciona pitanja upućena svim korisnicima iz perioda 2014-2020</w:t>
      </w:r>
      <w:r w:rsidRPr="00B83578">
        <w:rPr>
          <w:rFonts w:cs="Arial"/>
          <w:vertAlign w:val="superscript"/>
        </w:rPr>
        <w:footnoteReference w:id="168"/>
      </w:r>
      <w:r>
        <w:t>.</w:t>
      </w:r>
    </w:p>
    <w:p w14:paraId="4EE58DFB" w14:textId="6A6B21E1" w:rsidR="00A103A2" w:rsidRDefault="00A103A2" w:rsidP="00A103A2">
      <w:r>
        <w:lastRenderedPageBreak/>
        <w:t>Što se tiče programa INTERREG B</w:t>
      </w:r>
      <w:r w:rsidRPr="00B83578">
        <w:rPr>
          <w:rFonts w:cs="Arial"/>
          <w:vertAlign w:val="superscript"/>
        </w:rPr>
        <w:footnoteReference w:id="169"/>
      </w:r>
      <w:r>
        <w:t xml:space="preserve">, Crna Gora je učestvovala u programiranju Interreg Euro-Med, Interreg Dunavski region i Interreg IPA Adrion za perspektivu 2021-2027. U tim slučajevima, nacionalne vlasti su odgovorne za organizovanje i facilitiranje nacionalnog partnerstva i uključivanja zainteresovanih strana; to se sprovodi različitim modalitetima od jedne do druge zemlje i u skladu sa kriterijumima povezanim sa administrativnom strukturom (centralizacija, decentralizacija, regionalizacija nadležnosti) i brojem zainteresovanih aktera prisutnih na teritoriji. U slučaju Crne Gore, predstavnici Zajednice opština imali su značajnu ulogu u procesu programiranja </w:t>
      </w:r>
      <w:r w:rsidR="00D858E0">
        <w:t>PGS</w:t>
      </w:r>
      <w:r>
        <w:t xml:space="preserve"> i Interreg programa. Iako nije bila uključena u programiranje INTERREG C programa za period 2021-2027, Crna Gora sada učestvuje u tim programima</w:t>
      </w:r>
      <w:r w:rsidRPr="00B83578">
        <w:rPr>
          <w:vertAlign w:val="superscript"/>
        </w:rPr>
        <w:footnoteReference w:id="170"/>
      </w:r>
      <w:r>
        <w:t xml:space="preserve">, te će moći da učestvuje u budućem programskom ciklusu.  </w:t>
      </w:r>
    </w:p>
    <w:p w14:paraId="467E04A3" w14:textId="77777777" w:rsidR="00A103A2" w:rsidRDefault="00A103A2" w:rsidP="00A103A2">
      <w:r>
        <w:t>Nakon konsolidovanog iskustva u učestvovanju u izradi programa, posebno u prekograničnim programima sa državama članicama, crnogorske vlasti stekle su korisno iskustvo i razumijevanje procesa zajedničkog programiranja. Takođe se očekuje da podršku može pružiti INTERACT.</w:t>
      </w:r>
    </w:p>
    <w:p w14:paraId="2024A5D9" w14:textId="7A1B8AA1" w:rsidR="00010321" w:rsidRPr="00B83578" w:rsidRDefault="002627E3" w:rsidP="003C2962">
      <w:pPr>
        <w:pStyle w:val="Heading4"/>
      </w:pPr>
      <w:r>
        <w:t>Sažetak učešća partnera u procesima strateškog planiranja i programiranja</w:t>
      </w:r>
    </w:p>
    <w:p w14:paraId="0BC9EEBA" w14:textId="77777777" w:rsidR="00A103A2" w:rsidRDefault="00A103A2" w:rsidP="00A103A2">
      <w:r>
        <w:t xml:space="preserve">Kao što je gore prikazano, Crna Gora je uspostavila </w:t>
      </w:r>
      <w:r w:rsidRPr="00A103A2">
        <w:rPr>
          <w:b/>
        </w:rPr>
        <w:t>relativno sveobuhvatan okvir za višenivojsko upravljanje</w:t>
      </w:r>
      <w:r>
        <w:t>, osiguravajući uključivanje lokalnih vlasti u nacionalno strateško planiranje, dok je uloga zainteresovanih strana i partnera u izradi strateških dokumenata propisana, iako mehanizam u praksi treba dodatno unaprijediti. Uloga Zajednice opština u podršci koordinaciji između centralne i lokalne vlasti je dobro uspostavljena i funkcioniše, ali je nivo angažovanosti lokalne samouprave različit.</w:t>
      </w:r>
    </w:p>
    <w:p w14:paraId="5D253F23" w14:textId="77777777" w:rsidR="00A103A2" w:rsidRDefault="00A103A2" w:rsidP="00A103A2">
      <w:r>
        <w:t>Program ekonomskih reformi prolazi kroz potpun proces konsultacija i uključuje transparentnu analizu doprinosa zainteresovanih strana. Uključivanje partnera u programiranje fondova EU postepeno je unaprijeđeno, naročito kada je riječ o višegodišnjim programima, iako su potrebni dodatni napori. Crna Gora je imala koristi od konsolidovanih praksi u programiranju INTERREG-a tokom uzastopnih finansijskih perspektiva.</w:t>
      </w:r>
    </w:p>
    <w:p w14:paraId="53988343" w14:textId="0C130580" w:rsidR="00010321" w:rsidRPr="00B83578" w:rsidRDefault="00CF0B02" w:rsidP="003C2962">
      <w:pPr>
        <w:pStyle w:val="Heading4"/>
      </w:pPr>
      <w:r>
        <w:t>Teritorijalno strateško planiranje i strateško planiranje lokalnog razvoja</w:t>
      </w:r>
    </w:p>
    <w:p w14:paraId="15458BD7" w14:textId="738DBF3C" w:rsidR="00A103A2" w:rsidRDefault="00A103A2" w:rsidP="00A103A2">
      <w:r>
        <w:t>Zakonodavni okvir za politiku regionalnog razvoja reguliše Zakon o regionalnom razvoju, koji definiše ciljeve politike regionalnog razvoja, principe unapr</w:t>
      </w:r>
      <w:r w:rsidR="007E571F">
        <w:t>j</w:t>
      </w:r>
      <w:r>
        <w:t>eđenja regionalnog razvoja, regi</w:t>
      </w:r>
      <w:r w:rsidR="007E571F">
        <w:t>je</w:t>
      </w:r>
      <w:r>
        <w:t>, dokumenta politike regionalnog razvoja, kao i klasifikacije jedinica lokalne samouprave (opštin</w:t>
      </w:r>
      <w:r w:rsidR="007E571F">
        <w:t>e</w:t>
      </w:r>
      <w:r>
        <w:t xml:space="preserve">) prema Indeksu regionalnog razvoja i Indeksu konkurentnosti, podsticajne mjere, izvore finansiranja regionalnog razvoja i druge odredbe.  </w:t>
      </w:r>
    </w:p>
    <w:p w14:paraId="27D8462D" w14:textId="77777777" w:rsidR="00A103A2" w:rsidRDefault="00A103A2" w:rsidP="00A103A2">
      <w:r>
        <w:t xml:space="preserve">Opredjeljujući se za politiku regionalnog razvoja zasnovanu na principu „odozdo prema </w:t>
      </w:r>
      <w:proofErr w:type="gramStart"/>
      <w:r>
        <w:t>gore“</w:t>
      </w:r>
      <w:proofErr w:type="gramEnd"/>
      <w:r>
        <w:t>, Vlada Crne Gore tretira opštine kao glavne aktere razvoja, s namjerom da lokalne potrebe nađu svoje mjesto među prioritetima na nacionalnom nivou, dok opštine istovremeno preuzimaju odgovornost za razvoj lokalne ekonomske politike. Stoga Zakon o regionalnom razvoju obavezuje sve opštine da pripreme budžetirani Strateški plan razvoja, dok Ministarstvo nadležno za ekonomski (sada regionalni) razvoj reguliše, prati i podržava ovaj proces.</w:t>
      </w:r>
    </w:p>
    <w:p w14:paraId="4FAD830A" w14:textId="03148391" w:rsidR="007E571F" w:rsidRDefault="007E571F" w:rsidP="007E571F">
      <w:r>
        <w:t xml:space="preserve">Novi Zakon o regionalnom razvoju nalazi se u poodmakloj fazi izrade; javna konsultacija je završena, </w:t>
      </w:r>
      <w:proofErr w:type="gramStart"/>
      <w:r>
        <w:t>a</w:t>
      </w:r>
      <w:proofErr w:type="gramEnd"/>
      <w:r>
        <w:t xml:space="preserve"> Izvještaj objavljen 24. februara 2025</w:t>
      </w:r>
      <w:r w:rsidR="00E11B9E" w:rsidRPr="00B83578">
        <w:rPr>
          <w:vertAlign w:val="superscript"/>
        </w:rPr>
        <w:footnoteReference w:id="171"/>
      </w:r>
      <w:r>
        <w:t>.</w:t>
      </w:r>
    </w:p>
    <w:p w14:paraId="6D016028" w14:textId="7C133723" w:rsidR="007E571F" w:rsidRDefault="007E571F" w:rsidP="007E571F">
      <w:r>
        <w:t xml:space="preserve">Završni izvještaj Strategije regionalnog razvoja Crne Gore 2014-2020 pokazuje prilično nizak nivo realizacije planiranih aktivnosti: samo 36% aktivnosti u potpunosti je realizovano, 30% djelimično, dok 25% planiranih aktivnosti nije realizovano. Posmatrano po regionima, najveći broj u potpunosti i djelimično realizovanih projekata ostvaren je u Sjevernom regionu. Ključni problemi koji su uticali na </w:t>
      </w:r>
      <w:r w:rsidR="00A80895">
        <w:t>implementaciju</w:t>
      </w:r>
      <w:r>
        <w:t xml:space="preserve"> planiranih aktivnosti uključuju nekompletnu dokumentaciju i neriješena imovinska pitanja; duge tenderske procedure za pojedinačne infrastrukturne projekte; procedure za izdavanje različitih dozvola i saglasnosti; promjene u obimu i strukturi investicija; te složene procedure odobravanja i implementacije programa koje podržavaju EU i drugi donatori. Dodatno, realizaciju u 2020. godini usporile su mjere javnog zdravlja zbog </w:t>
      </w:r>
      <w:r>
        <w:lastRenderedPageBreak/>
        <w:t xml:space="preserve">pandemije COVID-19. Strategija nije uspjela da riješi problem depopulacije, pa se </w:t>
      </w:r>
      <w:r w:rsidR="00E11B9E">
        <w:t>negativni</w:t>
      </w:r>
      <w:r>
        <w:t xml:space="preserve"> trend </w:t>
      </w:r>
      <w:r w:rsidR="00E11B9E">
        <w:t xml:space="preserve">u </w:t>
      </w:r>
      <w:r>
        <w:t>broj</w:t>
      </w:r>
      <w:r w:rsidR="00E11B9E">
        <w:t>u</w:t>
      </w:r>
      <w:r>
        <w:t xml:space="preserve"> stanovnika u Sjevernom regionu nastavio, niti je značajno smanjila razvojne </w:t>
      </w:r>
      <w:r w:rsidR="00C30F51" w:rsidRPr="00C30F51">
        <w:t>razlik</w:t>
      </w:r>
      <w:r>
        <w:t>e među opštinama u cjelini.</w:t>
      </w:r>
    </w:p>
    <w:p w14:paraId="481D183E" w14:textId="43A6FB15" w:rsidR="00E11B9E" w:rsidRDefault="007E571F" w:rsidP="007E571F">
      <w:r>
        <w:t>Strategija regionalnog razvoja Crne Gore (</w:t>
      </w:r>
      <w:r w:rsidR="00C17022">
        <w:t>SRR</w:t>
      </w:r>
      <w:r>
        <w:t>) za period 2023–2027</w:t>
      </w:r>
      <w:r w:rsidR="00E11B9E" w:rsidRPr="00B83578">
        <w:rPr>
          <w:rFonts w:cs="Arial"/>
          <w:vertAlign w:val="superscript"/>
        </w:rPr>
        <w:footnoteReference w:id="172"/>
      </w:r>
      <w:r w:rsidR="00E11B9E" w:rsidRPr="00B83578">
        <w:t xml:space="preserve"> </w:t>
      </w:r>
      <w:r>
        <w:t xml:space="preserve">i prateći Akcioni plan za 2023. godinu usvojeni su na sjednici Vlade 6. jula 2023. Svrha Strategije je smanjenje nezaposlenosti, siromaštva i migracija iz sjevernog regiona, te jačanje fiskalnog kapaciteta jedinica lokalne samouprave. Vizija regionalnog razvoja Crne Gore definisana </w:t>
      </w:r>
      <w:r w:rsidR="00C17022">
        <w:t>SRR</w:t>
      </w:r>
      <w:r>
        <w:t xml:space="preserve">-om 2023-2027 jeste uravnoteženiji razvoj, „život po mjeri </w:t>
      </w:r>
      <w:proofErr w:type="gramStart"/>
      <w:r>
        <w:t>čovjeka“</w:t>
      </w:r>
      <w:proofErr w:type="gramEnd"/>
      <w:r>
        <w:t>, zasnovan na konkurentnosti, inovacijama, unapr</w:t>
      </w:r>
      <w:r w:rsidR="00E11B9E">
        <w:t>j</w:t>
      </w:r>
      <w:r>
        <w:t>eđenju ljudskog kapitala, digitalizaciji, dekarbonizaciji i socijalnoj inkluziji. Međutim, imajući u vidu da je Crna Gora jed</w:t>
      </w:r>
      <w:r w:rsidR="00E11B9E">
        <w:t>instven</w:t>
      </w:r>
      <w:r>
        <w:t xml:space="preserve"> </w:t>
      </w:r>
      <w:r w:rsidR="00420726">
        <w:t>TJZS</w:t>
      </w:r>
      <w:r>
        <w:t xml:space="preserve"> I, </w:t>
      </w:r>
      <w:r w:rsidR="00420726">
        <w:t>TJZS</w:t>
      </w:r>
      <w:r>
        <w:t xml:space="preserve"> II i </w:t>
      </w:r>
      <w:r w:rsidR="00420726">
        <w:t>TJZS</w:t>
      </w:r>
      <w:r>
        <w:t xml:space="preserve"> III region, „</w:t>
      </w:r>
      <w:proofErr w:type="gramStart"/>
      <w:r>
        <w:t>regionalna“ dimenzija</w:t>
      </w:r>
      <w:proofErr w:type="gramEnd"/>
      <w:r>
        <w:t xml:space="preserve"> odnosi se zapravo na subnacionalne razlike na nivou opština. Izvještaj o realizaciji Akcionog plana za 2023. godinu pokazuje viši stepen realizacije u odnosu na prethodnu strategiju: 89% planiranih aktivnosti je u potpunosti ili djelimično sprovedeno. Kašnjenja u započinjanju preostalih aktivnosti uglavnom su povezana sa organizacionim i kadrovskim promjenama usljed formiranja nove Vlade, dok su kašnjenja tokom same realizacije uzrokovana: nedostatkom administrativnih kapaciteta usljed kadrovskih/organizacionih promjena, zahtjevima za dodatnim radovima tokom implementacije projekata, neadekvatnim planiranjem i </w:t>
      </w:r>
      <w:r w:rsidR="00E11B9E">
        <w:t>ne</w:t>
      </w:r>
      <w:r>
        <w:t>blagovremenim pokretanjem aktivnosti, složenim procedurama javnih nabavki, neriješenim imovinsko-pravnim odnosima i postupcima eksproprijacije, nedostatkom finansijskih sredstava za radove, nepostojanjem potrebne planske dokumentacije, nepoštovanjem rokova od strane izvođača, nepredviđenim okolnostima i nepovoljnim vremenskim uslovima za građevinske radove, itd.  Pojedine aktivnosti nijesu u potpunosti realizovane zbog nedostatka interesa krajnjih korisnika, naročito kada se radi o zajedničkoj saradnji.</w:t>
      </w:r>
    </w:p>
    <w:p w14:paraId="3B38C8C5" w14:textId="76F71965" w:rsidR="00AD2D97" w:rsidRDefault="00AD2D97" w:rsidP="00AD2D97">
      <w:r>
        <w:t xml:space="preserve">Revizija </w:t>
      </w:r>
      <w:r w:rsidR="00C17022">
        <w:t>SRR</w:t>
      </w:r>
      <w:r>
        <w:t xml:space="preserve"> planirana je za 2025. godinu.  </w:t>
      </w:r>
    </w:p>
    <w:p w14:paraId="0C7B1280" w14:textId="77777777" w:rsidR="00AD2D97" w:rsidRDefault="00AD2D97" w:rsidP="00AD2D97">
      <w:r>
        <w:t xml:space="preserve">Zakonom je uspostavljen Indeks regionalnog razvoja, koji ocjenjuje razvoj na nivou opština i može poslužiti kao osnova za teritorijalne analize.  </w:t>
      </w:r>
    </w:p>
    <w:p w14:paraId="1533FEA5" w14:textId="6923032B" w:rsidR="00AD2D97" w:rsidRDefault="00AD2D97" w:rsidP="00AD2D97">
      <w:r>
        <w:t>Na nivou opština razvijen je i Indeks konkurentnosti</w:t>
      </w:r>
      <w:r w:rsidRPr="00B83578">
        <w:rPr>
          <w:vertAlign w:val="superscript"/>
        </w:rPr>
        <w:footnoteReference w:id="173"/>
      </w:r>
      <w:r>
        <w:t>. Prema najnovijem Indeksu konkurentnosti 2019–2021, objavljenom u martu 2023, jedinice lokalne samouprave razvrstane su u četiri grupe u odnosu na prosjek (100%):</w:t>
      </w:r>
    </w:p>
    <w:p w14:paraId="27D8C8DC" w14:textId="77777777" w:rsidR="00AD2D97" w:rsidRDefault="00AD2D97" w:rsidP="00D15218">
      <w:pPr>
        <w:pStyle w:val="ListParagraph"/>
        <w:numPr>
          <w:ilvl w:val="0"/>
          <w:numId w:val="39"/>
        </w:numPr>
      </w:pPr>
      <w:r>
        <w:t xml:space="preserve">Grupa I (preko 125 %): Budva, Tivat, Kotor, Podgorica, Tuzi  </w:t>
      </w:r>
    </w:p>
    <w:p w14:paraId="2D2AE764" w14:textId="1C1919E6" w:rsidR="00AD2D97" w:rsidRDefault="00AD2D97" w:rsidP="00D15218">
      <w:pPr>
        <w:pStyle w:val="ListParagraph"/>
        <w:numPr>
          <w:ilvl w:val="0"/>
          <w:numId w:val="39"/>
        </w:numPr>
      </w:pPr>
      <w:r>
        <w:t xml:space="preserve">Grupa II (100% do 125%): Žabljak, Herceg Novi, Plav, Bar, Ulcinj, Andrijevica  </w:t>
      </w:r>
    </w:p>
    <w:p w14:paraId="20345F56" w14:textId="293CC9DE" w:rsidR="00AD2D97" w:rsidRDefault="00AD2D97" w:rsidP="00D15218">
      <w:pPr>
        <w:pStyle w:val="ListParagraph"/>
        <w:numPr>
          <w:ilvl w:val="0"/>
          <w:numId w:val="39"/>
        </w:numPr>
      </w:pPr>
      <w:r>
        <w:t xml:space="preserve">Grupa III (75% do 100%): Cetinje, Bijelo Polje, Šavnik, Nikšić, Rožaje, Danilovgrad, Gusinje, Pljevlja  </w:t>
      </w:r>
    </w:p>
    <w:p w14:paraId="1860D98F" w14:textId="0A0354A4" w:rsidR="00AD2D97" w:rsidRDefault="00AD2D97" w:rsidP="00D15218">
      <w:pPr>
        <w:pStyle w:val="ListParagraph"/>
        <w:numPr>
          <w:ilvl w:val="0"/>
          <w:numId w:val="39"/>
        </w:numPr>
      </w:pPr>
      <w:r>
        <w:t xml:space="preserve">Grupa IV (ispod 75%): Plužine, Mojkovac, Kolašin, Berane, Petnjica  </w:t>
      </w:r>
    </w:p>
    <w:p w14:paraId="04C12057" w14:textId="46E1252A" w:rsidR="00AD2D97" w:rsidRDefault="00AD2D97" w:rsidP="00AD2D97">
      <w:r>
        <w:t xml:space="preserve">Planirano je da se 2025. godine revidira metodologija i za Indeks regionalnog razvoja i za Indeks konkurentnosti; to će se učiniti i u svjetlu stvaranja važnog instrumenta za </w:t>
      </w:r>
      <w:r w:rsidR="00A80895">
        <w:t>implementaciju</w:t>
      </w:r>
      <w:r>
        <w:t xml:space="preserve"> programa finansiranih iz fondova EU nakon pristupanja. Indikativno, ovo će podržati teritorijalne analize za programiranje i omogućiti nijansiraniji pristup pri određivanju prioriteta projekata, utvrđivanju stopa kofinansiranja i obezbjeđivanju predfinansiranja, čime će se doprinijeti smanjenju teritorijalnih </w:t>
      </w:r>
      <w:r w:rsidR="00C30F51" w:rsidRPr="00C30F51">
        <w:t>razlik</w:t>
      </w:r>
      <w:r>
        <w:t>a</w:t>
      </w:r>
      <w:r w:rsidRPr="00B83578">
        <w:rPr>
          <w:vertAlign w:val="superscript"/>
        </w:rPr>
        <w:footnoteReference w:id="174"/>
      </w:r>
      <w:r>
        <w:t>.</w:t>
      </w:r>
    </w:p>
    <w:p w14:paraId="012227B0" w14:textId="0817104E" w:rsidR="00010321" w:rsidRPr="00B83578" w:rsidRDefault="00CF0B02" w:rsidP="003C2962">
      <w:pPr>
        <w:pStyle w:val="Heading4"/>
      </w:pPr>
      <w:r>
        <w:t>Pravedna tranzicija</w:t>
      </w:r>
      <w:r w:rsidR="00010321" w:rsidRPr="00B83578">
        <w:t xml:space="preserve"> </w:t>
      </w:r>
    </w:p>
    <w:p w14:paraId="4A127ADD" w14:textId="77777777" w:rsidR="00AD2D97" w:rsidRDefault="00AD2D97" w:rsidP="00010321">
      <w:r w:rsidRPr="00AD2D97">
        <w:t>Usvajanjem Agende UN 2030 i naknadnom ratifikacijom Pari</w:t>
      </w:r>
      <w:r>
        <w:t>š</w:t>
      </w:r>
      <w:r w:rsidRPr="00AD2D97">
        <w:t xml:space="preserve">kog sporazuma 2017. godine, Crna Gora se obavezala da smanji ukupne nacionalne emisije gasova sa efektom staklene bašte. Na sjednici Ministarskog savjeta Energetske zajednice u decembru 2022. dogovoren je cilj da se do 2030. godine ukupne nacionalne emisije smanje za 55 % u odnosu na baznu 1990. godinu. Kako je energetski sektor najveći emiter </w:t>
      </w:r>
      <w:r>
        <w:t>gasova sa efektom staklene baste (GHG)</w:t>
      </w:r>
      <w:r w:rsidRPr="00AD2D97">
        <w:t xml:space="preserve"> u Crnoj Gori, mjere dekarbonizacije prvenstveno su usmjerene na ovaj sektor. Ostvarivanje tog cilja uticaće na životni standard, naročito u pljevaljskom regionu koji zavisi od Rudnika uglja i Termoelektrane „</w:t>
      </w:r>
      <w:proofErr w:type="gramStart"/>
      <w:r w:rsidRPr="00AD2D97">
        <w:t>Pljevlja“</w:t>
      </w:r>
      <w:proofErr w:type="gramEnd"/>
      <w:r w:rsidRPr="00AD2D97">
        <w:t xml:space="preserve">. </w:t>
      </w:r>
    </w:p>
    <w:p w14:paraId="256A02EA" w14:textId="3C09DF0B" w:rsidR="00AD2D97" w:rsidRDefault="00AD2D97" w:rsidP="00010321">
      <w:r w:rsidRPr="00AD2D97">
        <w:lastRenderedPageBreak/>
        <w:t>Nacionalni energetski i klimatski plan dostavljen je Energetskoj zajednici 9. decembra 2024. godine, s revidiranim ciljevima koji uključuju gašenje Termoelektrane „</w:t>
      </w:r>
      <w:proofErr w:type="gramStart"/>
      <w:r w:rsidRPr="00AD2D97">
        <w:t>Pljevlja“ do</w:t>
      </w:r>
      <w:proofErr w:type="gramEnd"/>
      <w:r w:rsidRPr="00AD2D97">
        <w:t xml:space="preserve"> 2041. godine</w:t>
      </w:r>
      <w:r w:rsidRPr="00B83578">
        <w:rPr>
          <w:vertAlign w:val="superscript"/>
        </w:rPr>
        <w:footnoteReference w:id="175"/>
      </w:r>
      <w:r w:rsidRPr="00AD2D97">
        <w:t>.</w:t>
      </w:r>
    </w:p>
    <w:p w14:paraId="437A42E7" w14:textId="433DB7A6" w:rsidR="00A86674" w:rsidRDefault="00A86674" w:rsidP="00A86674">
      <w:r>
        <w:t>Kako bi se obezbijedila pravedna tranzicija</w:t>
      </w:r>
      <w:r w:rsidRPr="00B83578">
        <w:rPr>
          <w:rFonts w:cs="Arial"/>
          <w:vertAlign w:val="superscript"/>
        </w:rPr>
        <w:footnoteReference w:id="176"/>
      </w:r>
      <w:r w:rsidRPr="00B83578">
        <w:t xml:space="preserve"> </w:t>
      </w:r>
      <w:r>
        <w:t xml:space="preserve"> za pljevaljski region bogat ugljem, Vlada Crne Gore je, preko Nacionalnog savjeta za održivi razvoj i Kancelarije za održivi razvoj / Generalnog sekretarijata Vlade, preduzela više koraka. U okviru Nacionalnog savjeta formirana je Radna grupa za pravednu tranziciju, koju čine predstavnici relevantnih resornih ministarstava, Opštine Pljevlja, Privredne komore, elektroenergetske kompanije, Rudnika uglja, Termoelektrane, sindikata, Agencije za zaštitu životne sredine, univerziteta, državnih fondova, Zavoda za zapošljavanje, medija, nezavisnih stručnjaka, organizacija civilnog društva, međunarodnih partnera i Evropske komisije. Zadaci radne grupe obuhvataju: sprovođenje socio-ekonomske analize pljevaljskog regiona bogatog ugljem i procjenu uticaja postepenog smanjenja zavisnosti od uglja na opštinu Pljevlja, izradu nacionalne mape puta za pravednu tranziciju, uspostavljanje saradnje i razmjenu iskustava sa donosiocima politika i zainteresovanim stranama na lokalnom i nacionalnom nivou, promovisanje teme pravedne tranzicije i organizovanje stručnih događaja o pravednoj tranziciji i klimatskoj neutralnosti.</w:t>
      </w:r>
    </w:p>
    <w:p w14:paraId="1ADED62E" w14:textId="7AAC2F5A" w:rsidR="00A86674" w:rsidRDefault="00A86674" w:rsidP="00A86674">
      <w:r>
        <w:t>Nakon sprovedene Socio-ekonomske dijagnostike pljevaljskog regiona bogatog ugljem</w:t>
      </w:r>
      <w:r w:rsidRPr="00B83578">
        <w:rPr>
          <w:rFonts w:cs="Arial"/>
          <w:vertAlign w:val="superscript"/>
        </w:rPr>
        <w:footnoteReference w:id="177"/>
      </w:r>
      <w:r w:rsidRPr="00B83578">
        <w:t>,</w:t>
      </w:r>
      <w:r>
        <w:t xml:space="preserve">, izrađena je Mapa puta za pravednu tranziciju Crne Gore, kojom se definiše dugoročni strateški pristup s glavnim ciljem da se postigne pravedna tranzicija ka klimatskoj neutralnosti. Dokument je pripremljen participativno, transparentno i inkluzivno, uz uvažavanje stavova, briga i preporuka svih zainteresovanih strana, a Radna grupa za pravednu tranziciju pri Nacionalnom savjetu za održivi razvoj pružala je konkretne smjernice i rukovodila procesom. Mapa puta utvrđuje ciljeve i korake neophodne da zemlju usmjere ka održivoj, niskougljeničnoj ekonomiji, vodeći računa o socijalnoj i ekonomskoj pravdi. Definiše aktivnosti koje je potrebno preduzeti radi postepenog ukidanja zavisnosti od uglja, dekarbonizacije i prelaska na zelenu ekonomiju, naglašavajući važnost ekonomske diversifikacije, prekvalifikacije radne snage i socijalne zaštite, kao i usklađivanja s politikama EU. Trenutno je kao rok za postizanje definisanih ključnih indikatora </w:t>
      </w:r>
      <w:r w:rsidR="00760F26">
        <w:t>učinka</w:t>
      </w:r>
      <w:r>
        <w:t xml:space="preserve"> (</w:t>
      </w:r>
      <w:r w:rsidR="00A067C3">
        <w:t>KIU</w:t>
      </w:r>
      <w:r>
        <w:t>) postavljena 2033. godina, uz plan da se taj rok ažurira nakon usvajanja Nacionalnog energetskog i klimatskog plana (NECP). Pored toga, Mapu puta će pratiti Akcioni plan sa preciznim vremenskim okvirima, čija se izrada planira u saradnji sa Svjetskom bankom.</w:t>
      </w:r>
    </w:p>
    <w:p w14:paraId="060EF68A" w14:textId="77777777" w:rsidR="002B4425" w:rsidRDefault="00A86674" w:rsidP="00A86674">
      <w:r>
        <w:t xml:space="preserve">Mapa puta za pravednu tranziciju fokusira se na pet strateških ciljeva:  </w:t>
      </w:r>
    </w:p>
    <w:p w14:paraId="2FD28AE1" w14:textId="77777777" w:rsidR="002B4425" w:rsidRDefault="00A86674" w:rsidP="00D15218">
      <w:pPr>
        <w:pStyle w:val="ListParagraph"/>
        <w:numPr>
          <w:ilvl w:val="0"/>
          <w:numId w:val="40"/>
        </w:numPr>
      </w:pPr>
      <w:r>
        <w:t xml:space="preserve">Saradnja između političkih nivoa i zainteresovanih strana  </w:t>
      </w:r>
    </w:p>
    <w:p w14:paraId="06FFD0E1" w14:textId="77777777" w:rsidR="002B4425" w:rsidRDefault="00A86674" w:rsidP="00D15218">
      <w:pPr>
        <w:pStyle w:val="ListParagraph"/>
        <w:numPr>
          <w:ilvl w:val="0"/>
          <w:numId w:val="40"/>
        </w:numPr>
      </w:pPr>
      <w:r>
        <w:t xml:space="preserve">Zapošljavanje, (pre)obuka i obrazovanje  </w:t>
      </w:r>
    </w:p>
    <w:p w14:paraId="65D9EB7F" w14:textId="77777777" w:rsidR="002B4425" w:rsidRDefault="00A86674" w:rsidP="00D15218">
      <w:pPr>
        <w:pStyle w:val="ListParagraph"/>
        <w:numPr>
          <w:ilvl w:val="0"/>
          <w:numId w:val="40"/>
        </w:numPr>
      </w:pPr>
      <w:r>
        <w:t xml:space="preserve">Dekarbonizacija, energetski miks i energetska efikasnost  </w:t>
      </w:r>
    </w:p>
    <w:p w14:paraId="2037905A" w14:textId="77777777" w:rsidR="002B4425" w:rsidRDefault="00A86674" w:rsidP="00D15218">
      <w:pPr>
        <w:pStyle w:val="ListParagraph"/>
        <w:numPr>
          <w:ilvl w:val="0"/>
          <w:numId w:val="40"/>
        </w:numPr>
      </w:pPr>
      <w:r>
        <w:t xml:space="preserve">Ekonomski razvoj i diversifikacija  </w:t>
      </w:r>
    </w:p>
    <w:p w14:paraId="06E85CD3" w14:textId="392D76E9" w:rsidR="00A86674" w:rsidRDefault="00A86674" w:rsidP="00D15218">
      <w:pPr>
        <w:pStyle w:val="ListParagraph"/>
        <w:numPr>
          <w:ilvl w:val="0"/>
          <w:numId w:val="40"/>
        </w:numPr>
      </w:pPr>
      <w:r>
        <w:t xml:space="preserve">Rodna ravnopravnost i uključivanje mladih.  </w:t>
      </w:r>
    </w:p>
    <w:p w14:paraId="28C83FC7" w14:textId="5D2DE4A5" w:rsidR="00A86674" w:rsidRDefault="00A86674" w:rsidP="00A86674">
      <w:r>
        <w:t>Implementacija Mape puta za pravednu tranziciju biće dodatno precizirana u predstojećim akcionim planovima; neki relevantni koraci su takođe uključeni u Reformsku agendu</w:t>
      </w:r>
      <w:r w:rsidR="002B4425" w:rsidRPr="00B83578">
        <w:rPr>
          <w:rFonts w:cs="Arial"/>
          <w:vertAlign w:val="superscript"/>
        </w:rPr>
        <w:footnoteReference w:id="178"/>
      </w:r>
      <w:r>
        <w:t xml:space="preserve">.  </w:t>
      </w:r>
    </w:p>
    <w:p w14:paraId="2C44848E" w14:textId="40A53E87" w:rsidR="00A86674" w:rsidRDefault="00A86674" w:rsidP="00A86674">
      <w:r>
        <w:t>Kancelarija za održivi razvoj pri Generalnom sekretarijatu, kao Sekretarijat Nacionalnog savjeta za održivi razvoj, u saradnji s UNDP-om, pokrenula je Dijalog o pravednoj tranziciji. Do sada su održana dva Nacionalna dijaloga o pravednoj tranziciji, koji su okupili širok spektar zainteresovanih strana na nacionalnom nivou. Prvi dijalog održan je u martu 2023. u Podgorici, a drugi u martu 2024. u Pljevljima.</w:t>
      </w:r>
    </w:p>
    <w:p w14:paraId="59FD7B52" w14:textId="4A3F5DFB" w:rsidR="00010321" w:rsidRPr="00B83578" w:rsidRDefault="00010321" w:rsidP="003C2962">
      <w:pPr>
        <w:pStyle w:val="Heading4"/>
      </w:pPr>
      <w:r w:rsidRPr="00B83578">
        <w:t>Urban</w:t>
      </w:r>
      <w:r w:rsidR="00CF0B02">
        <w:t>i razvoj</w:t>
      </w:r>
    </w:p>
    <w:p w14:paraId="2427C0AF" w14:textId="5A207159" w:rsidR="002B4425" w:rsidRDefault="002B4425" w:rsidP="00010321">
      <w:r w:rsidRPr="002B4425">
        <w:t>Iako se Crna Gora pridružila programu URBACT IV tek 2023. godine, crnogorske opštine Berane, Bijelo Polje i Budva već sprovode četiri projekta u okviru jedne od URBACT akcija – Mrež</w:t>
      </w:r>
      <w:r w:rsidR="00314B7F">
        <w:t>a</w:t>
      </w:r>
      <w:r w:rsidRPr="002B4425">
        <w:t xml:space="preserve"> za planiranje akcija (APN). Rad APN-ova povezan je s Evropskom urbanom inicijativom, posebno u razvoju kapaciteta gradova da zajednički osmišljavaju integrisane urbane akcione planove. Tri opštine sprovode projekte koji se odnose </w:t>
      </w:r>
      <w:r w:rsidRPr="002B4425">
        <w:lastRenderedPageBreak/>
        <w:t>na klimatske aktivnosti, urbanističko planiranje, lokalnu ekonomiju i društvenu koheziju. Teže stvaranju boljih uslova života za građane, vođenju transformativne promjene ka zelenijim i klimatski otpornijim gradovima, jačanju društvenih veza među generacijama i promovisanju raznolikosti. Poziv za Mreže za transfer inovacija (ITN) zaključen je u martu 2024. godine i jedna crnogorska opština uključena je u odabranu ITN.</w:t>
      </w:r>
    </w:p>
    <w:p w14:paraId="3DE04DCA" w14:textId="49777F70" w:rsidR="00010321" w:rsidRPr="00B83578" w:rsidRDefault="00010321" w:rsidP="003C2962">
      <w:pPr>
        <w:pStyle w:val="Heading4"/>
      </w:pPr>
      <w:r w:rsidRPr="00B83578">
        <w:t>Ter</w:t>
      </w:r>
      <w:r w:rsidR="00CF0B02">
        <w:t>itorijalni alati</w:t>
      </w:r>
      <w:r w:rsidRPr="00B83578">
        <w:t xml:space="preserve"> </w:t>
      </w:r>
    </w:p>
    <w:p w14:paraId="11DE2426" w14:textId="08F4FE90" w:rsidR="002B4425" w:rsidRDefault="002B4425" w:rsidP="002B4425">
      <w:r>
        <w:t>Crnogorsko iskustvo u teritorijalnim instrumentima je vrlo ograničeno</w:t>
      </w:r>
      <w:r w:rsidR="00314B7F" w:rsidRPr="00B83578">
        <w:rPr>
          <w:rFonts w:cs="Arial"/>
          <w:vertAlign w:val="superscript"/>
        </w:rPr>
        <w:footnoteReference w:id="179"/>
      </w:r>
      <w:r>
        <w:t>. Ovo je prepoznato kroz INTERREG IPA A programe gdje upotreba teritorijalnih instrumenata, iako moguća, nije bila predviđena</w:t>
      </w:r>
      <w:r w:rsidR="00314B7F" w:rsidRPr="00B83578">
        <w:rPr>
          <w:rFonts w:cs="Arial"/>
          <w:vertAlign w:val="superscript"/>
        </w:rPr>
        <w:footnoteReference w:id="180"/>
      </w:r>
      <w:r>
        <w:t>. Program IPARD III takođe prepoznaje nedostatak praktičnog znanja i svijesti o LEADER-u</w:t>
      </w:r>
      <w:r w:rsidR="00314B7F" w:rsidRPr="00B83578">
        <w:rPr>
          <w:rFonts w:cs="Arial"/>
          <w:vertAlign w:val="superscript"/>
        </w:rPr>
        <w:footnoteReference w:id="181"/>
      </w:r>
      <w:r w:rsidR="00314B7F" w:rsidRPr="00B83578">
        <w:t xml:space="preserve"> </w:t>
      </w:r>
      <w:r>
        <w:t xml:space="preserve"> </w:t>
      </w:r>
      <w:r w:rsidRPr="00CF0B02">
        <w:t xml:space="preserve">i lokalnom razvoju </w:t>
      </w:r>
      <w:r w:rsidR="00C8498D" w:rsidRPr="00CF0B02">
        <w:t>pod vođstvom</w:t>
      </w:r>
      <w:r w:rsidRPr="00CF0B02">
        <w:t xml:space="preserve"> zajednic</w:t>
      </w:r>
      <w:r w:rsidR="00C8498D" w:rsidRPr="00CF0B02">
        <w:t>e</w:t>
      </w:r>
      <w:r w:rsidRPr="00CF0B02">
        <w:t xml:space="preserve"> (</w:t>
      </w:r>
      <w:r w:rsidR="00AF5AA9">
        <w:t>LRPVZ</w:t>
      </w:r>
      <w:r w:rsidRPr="00CF0B02">
        <w:t>).</w:t>
      </w:r>
      <w:r>
        <w:t xml:space="preserve">  </w:t>
      </w:r>
    </w:p>
    <w:p w14:paraId="02F2A6E0" w14:textId="49DE3EF7" w:rsidR="00010321" w:rsidRPr="00B83578" w:rsidRDefault="00CF0B02" w:rsidP="00A745C2">
      <w:pPr>
        <w:pStyle w:val="Heading4"/>
      </w:pPr>
      <w:r>
        <w:t>Iskustvo sa finansijskim instrumentima</w:t>
      </w:r>
      <w:r w:rsidR="00010321" w:rsidRPr="00B83578">
        <w:rPr>
          <w:b/>
          <w:bCs/>
          <w:sz w:val="22"/>
          <w:vertAlign w:val="superscript"/>
        </w:rPr>
        <w:footnoteReference w:id="182"/>
      </w:r>
    </w:p>
    <w:p w14:paraId="0FE0A0DF" w14:textId="20DD8A6A" w:rsidR="00EE4C7E" w:rsidRPr="00EE4C7E" w:rsidRDefault="00EE4C7E" w:rsidP="00EE4C7E">
      <w:r w:rsidRPr="00EE4C7E">
        <w:rPr>
          <w:b/>
        </w:rPr>
        <w:t>Investiciono-razvojni fond Crne Gore (IRF CG)</w:t>
      </w:r>
      <w:r w:rsidR="00314B7F" w:rsidRPr="00314B7F">
        <w:rPr>
          <w:rFonts w:cs="Arial"/>
          <w:vertAlign w:val="superscript"/>
        </w:rPr>
        <w:t xml:space="preserve"> </w:t>
      </w:r>
      <w:r w:rsidR="00314B7F" w:rsidRPr="00B83578">
        <w:rPr>
          <w:rFonts w:cs="Arial"/>
          <w:vertAlign w:val="superscript"/>
        </w:rPr>
        <w:footnoteReference w:id="183"/>
      </w:r>
      <w:r w:rsidR="00314B7F" w:rsidRPr="00B83578">
        <w:t xml:space="preserve"> </w:t>
      </w:r>
      <w:r w:rsidRPr="00EE4C7E">
        <w:rPr>
          <w:b/>
        </w:rPr>
        <w:t xml:space="preserve"> </w:t>
      </w:r>
      <w:r w:rsidRPr="00EE4C7E">
        <w:t>osnovan je Zakonom 2010. godine. Institucija je osnovana s ciljem podsticanja i olakšavanja ekonomskog razvoja Crne Gore. Osnovna misija Fonda je odobravanje kredita i izdavanje garancija, obavljanje poslova u vezi sa prodajom kapitala iz portf</w:t>
      </w:r>
      <w:r w:rsidR="00314B7F">
        <w:t>elja</w:t>
      </w:r>
      <w:r w:rsidRPr="00EE4C7E">
        <w:t xml:space="preserve"> Fonda i drugih aktivnosti usmjerenih na podršku ekonomskom razvoju. Široko definisane osnovne djelatnosti i ciljevi Fonda, između ostalog, obuhvataju:  </w:t>
      </w:r>
    </w:p>
    <w:p w14:paraId="1459EE48" w14:textId="77777777" w:rsidR="00314B7F" w:rsidRDefault="00EE4C7E" w:rsidP="00D15218">
      <w:pPr>
        <w:pStyle w:val="ListParagraph"/>
        <w:numPr>
          <w:ilvl w:val="0"/>
          <w:numId w:val="41"/>
        </w:numPr>
      </w:pPr>
      <w:r w:rsidRPr="00EE4C7E">
        <w:t xml:space="preserve">Podršku malim i srednjim preduzećima (kreditna i garantna podrška);  </w:t>
      </w:r>
    </w:p>
    <w:p w14:paraId="1BCE213B" w14:textId="77777777" w:rsidR="00314B7F" w:rsidRDefault="00EE4C7E" w:rsidP="00D15218">
      <w:pPr>
        <w:pStyle w:val="ListParagraph"/>
        <w:numPr>
          <w:ilvl w:val="0"/>
          <w:numId w:val="41"/>
        </w:numPr>
      </w:pPr>
      <w:r w:rsidRPr="00EE4C7E">
        <w:t xml:space="preserve">Podršku rješavanju infrastrukturnih i ekoloških projekata;  </w:t>
      </w:r>
    </w:p>
    <w:p w14:paraId="2BF1E630" w14:textId="77777777" w:rsidR="00314B7F" w:rsidRDefault="00EE4C7E" w:rsidP="00D15218">
      <w:pPr>
        <w:pStyle w:val="ListParagraph"/>
        <w:numPr>
          <w:ilvl w:val="0"/>
          <w:numId w:val="41"/>
        </w:numPr>
      </w:pPr>
      <w:r w:rsidRPr="00EE4C7E">
        <w:t xml:space="preserve">Podršku izvozu i zapošljavanju;  </w:t>
      </w:r>
    </w:p>
    <w:p w14:paraId="79997FB6" w14:textId="20851135" w:rsidR="00EE4C7E" w:rsidRPr="00EE4C7E" w:rsidRDefault="00EE4C7E" w:rsidP="00D15218">
      <w:pPr>
        <w:pStyle w:val="ListParagraph"/>
        <w:numPr>
          <w:ilvl w:val="0"/>
          <w:numId w:val="41"/>
        </w:numPr>
      </w:pPr>
      <w:r w:rsidRPr="00EE4C7E">
        <w:t xml:space="preserve">Privatizaciju preostalog društvenog kapitala.  </w:t>
      </w:r>
    </w:p>
    <w:p w14:paraId="3F285DBD" w14:textId="77777777" w:rsidR="00EE4C7E" w:rsidRPr="00EE4C7E" w:rsidRDefault="00EE4C7E" w:rsidP="00EE4C7E">
      <w:r w:rsidRPr="00EE4C7E">
        <w:t>Od osnivanja, Fond je odobrio kredite u iznosu od 2 milijarde eura i može se pohvaliti sa više od 5,500 realizovanih projekata.</w:t>
      </w:r>
    </w:p>
    <w:p w14:paraId="3BBEDD53" w14:textId="6273A05D" w:rsidR="00EE4C7E" w:rsidRDefault="00EE4C7E" w:rsidP="00EE4C7E">
      <w:r>
        <w:t xml:space="preserve">Relevantne šeme u oblastima povezanim sa </w:t>
      </w:r>
      <w:r w:rsidR="00314B7F">
        <w:t>Kohezionom</w:t>
      </w:r>
      <w:r>
        <w:t xml:space="preserve"> politikom uključuju: razvojne kredite za mikro, mala i srednja preduzeća do 150.000€; investicione kredite za podršku ženskom preduzetništvu do 300.000€; investicione kredite za mlade u biznisu do 50.000 €; investicione kredite za projekte infrastrukture, životne sredine i energetske efikasnosti javnih tijela do 10.000.000€; investicione kredite za podršku proizvodnji do 10.000.000€ i investicione kredite za podršku turizmu, hotelijerstvu i ugostiteljskoj industriji do 10.000.000€. Takođe učestvuje u garantnom fondu EU EaSI koji finansira Evropska investiciona banka</w:t>
      </w:r>
      <w:r w:rsidR="00314B7F" w:rsidRPr="00B83578">
        <w:rPr>
          <w:rFonts w:cs="Arial"/>
          <w:vertAlign w:val="superscript"/>
        </w:rPr>
        <w:footnoteReference w:id="184"/>
      </w:r>
      <w:r>
        <w:t xml:space="preserve">.  </w:t>
      </w:r>
    </w:p>
    <w:p w14:paraId="3FE66E5D" w14:textId="60D1FAC0" w:rsidR="00EE4C7E" w:rsidRDefault="00EE4C7E" w:rsidP="00EE4C7E">
      <w:r>
        <w:t xml:space="preserve">Potencijalna potražnja za EU finansijskim instrumentima biće adresirana ciljanim EU finansijskim instrumentima u okviru troškova </w:t>
      </w:r>
      <w:r w:rsidR="00314B7F">
        <w:t>K</w:t>
      </w:r>
      <w:r>
        <w:t>ohezione politike. Shodno tome, biće potrebne specifične aktivnosti kako bi se nadogradilo postojeće iskustvo i identifikovali najučinkovitiji modaliteti implementacije. U tom smislu treba podsjetiti da postoje značajne mogućnosti za korišćenje finansijskih instrumenata i u okviru drugih fondova</w:t>
      </w:r>
      <w:r w:rsidR="00314B7F" w:rsidRPr="00B83578">
        <w:rPr>
          <w:vertAlign w:val="superscript"/>
        </w:rPr>
        <w:footnoteReference w:id="185"/>
      </w:r>
      <w:r>
        <w:t xml:space="preserve">, </w:t>
      </w:r>
      <w:proofErr w:type="gramStart"/>
      <w:r>
        <w:t>a</w:t>
      </w:r>
      <w:proofErr w:type="gramEnd"/>
      <w:r>
        <w:t xml:space="preserve"> identifikovane aktivnosti podrške mogu biti međusektorske u ovom smislu radi maksimizacije efikasnosti.</w:t>
      </w:r>
    </w:p>
    <w:p w14:paraId="2DF75128" w14:textId="2CBA63C0" w:rsidR="00010321" w:rsidRPr="00B83578" w:rsidRDefault="00017758" w:rsidP="00A745C2">
      <w:pPr>
        <w:pStyle w:val="Heading2"/>
      </w:pPr>
      <w:bookmarkStart w:id="145" w:name="_Toc201700403"/>
      <w:r>
        <w:lastRenderedPageBreak/>
        <w:t>Planirane akcije</w:t>
      </w:r>
      <w:bookmarkEnd w:id="145"/>
      <w:r w:rsidR="00010321" w:rsidRPr="00B83578">
        <w:t xml:space="preserve"> </w:t>
      </w:r>
    </w:p>
    <w:p w14:paraId="03F12C0C" w14:textId="576B66A7" w:rsidR="00010321" w:rsidRPr="00B83578" w:rsidRDefault="00314B7F" w:rsidP="00A745C2">
      <w:r>
        <w:t xml:space="preserve">Na osnovu procjene trenutne situaciju i u svijetlu relevantnih zahtjeva Kohezione politike, naredne akcije su planirane: </w:t>
      </w:r>
    </w:p>
    <w:p w14:paraId="56338AE5" w14:textId="3FCD430B" w:rsidR="00010321" w:rsidRPr="00B83578" w:rsidRDefault="00543023" w:rsidP="00A745C2">
      <w:pPr>
        <w:pStyle w:val="Heading4"/>
      </w:pPr>
      <w:r>
        <w:t>Akcija</w:t>
      </w:r>
      <w:r w:rsidR="00010321" w:rsidRPr="00B83578">
        <w:t xml:space="preserve"> 4.1. </w:t>
      </w:r>
      <w:r w:rsidR="00945395">
        <w:t xml:space="preserve">Odluka o broju i obimu Programa Kohezione politike za </w:t>
      </w:r>
      <w:r w:rsidR="00010321" w:rsidRPr="00B83578">
        <w:t>2028-2034.</w:t>
      </w:r>
    </w:p>
    <w:p w14:paraId="67EDD5B6" w14:textId="02853975" w:rsidR="00E770D5" w:rsidRDefault="00E770D5" w:rsidP="00E770D5">
      <w:r w:rsidRPr="00E770D5">
        <w:t>Određivanje broja i obima programa za Kohezionu politiku 2028–2034 predstavlja korak</w:t>
      </w:r>
      <w:r>
        <w:t xml:space="preserve"> koji prethodi</w:t>
      </w:r>
      <w:r w:rsidRPr="00E770D5">
        <w:t xml:space="preserve"> programiranju </w:t>
      </w:r>
      <w:r>
        <w:t>Kohezione</w:t>
      </w:r>
      <w:r w:rsidRPr="00E770D5">
        <w:t xml:space="preserve"> politike u Crnoj Gori. </w:t>
      </w:r>
      <w:r w:rsidR="000E26F5">
        <w:t xml:space="preserve">Plan aktivnosti </w:t>
      </w:r>
      <w:r w:rsidRPr="00E770D5">
        <w:t>iz 2015. predvidio je izradu jednog Operativnog programa na osnovu „razmatranj</w:t>
      </w:r>
      <w:r>
        <w:t>a</w:t>
      </w:r>
      <w:r w:rsidRPr="00E770D5">
        <w:t xml:space="preserve"> odluka koje su don</w:t>
      </w:r>
      <w:r>
        <w:t>ij</w:t>
      </w:r>
      <w:r w:rsidRPr="00E770D5">
        <w:t>ete od strane država članica u pogledu broja operativnih programa za perspektivu 2014-2020, uzimajući u obzir veličinu zemlje i potrebu da se obezb</w:t>
      </w:r>
      <w:r>
        <w:t>ij</w:t>
      </w:r>
      <w:r w:rsidRPr="00E770D5">
        <w:t xml:space="preserve">edi jednostavan i efikasan </w:t>
      </w:r>
      <w:proofErr w:type="gramStart"/>
      <w:r>
        <w:t>sistem</w:t>
      </w:r>
      <w:r w:rsidRPr="00E770D5">
        <w:t>“</w:t>
      </w:r>
      <w:proofErr w:type="gramEnd"/>
      <w:r w:rsidRPr="00E770D5">
        <w:t xml:space="preserve">. Međutim, 2024. godine </w:t>
      </w:r>
      <w:r w:rsidR="0086543E" w:rsidRPr="0086543E">
        <w:t>NIPAK</w:t>
      </w:r>
      <w:r w:rsidRPr="00E770D5">
        <w:t xml:space="preserve"> i Pregovarač za poglavlje 22 pokrenuli su dodatnu analizu uzimajući u obzir regulatorni okvir za 2021–2027 i sagledavajući različite scenarije kroz multikriterijumsku analizu. Uz podršku tehničke pomoć</w:t>
      </w:r>
      <w:r w:rsidRPr="00B83578">
        <w:rPr>
          <w:rFonts w:cs="Arial"/>
          <w:color w:val="000000"/>
          <w:vertAlign w:val="superscript"/>
        </w:rPr>
        <w:footnoteReference w:id="186"/>
      </w:r>
      <w:r w:rsidRPr="00E770D5">
        <w:t xml:space="preserve">i, urađena je analiza činjeničnih elemenata i trendova u 12 država članica EU koje su se Uniji pridružile od 2004. godine, a koje su sprovodile </w:t>
      </w:r>
      <w:r>
        <w:t>K</w:t>
      </w:r>
      <w:r w:rsidRPr="00E770D5">
        <w:t>ohezionu politiku (isključujući INTERREG programe) tokom tri finansijske perspektive, s aspekta broja i obima: 2007–2013, 2014–2020 i 2021–2027, kao i odluka koje su države članice donijele za Evropski socijalni fond plus (2021–2027)</w:t>
      </w:r>
      <w:r w:rsidRPr="00E770D5">
        <w:rPr>
          <w:vertAlign w:val="superscript"/>
        </w:rPr>
        <w:t xml:space="preserve"> </w:t>
      </w:r>
      <w:r w:rsidRPr="00B83578">
        <w:rPr>
          <w:vertAlign w:val="superscript"/>
        </w:rPr>
        <w:footnoteReference w:id="187"/>
      </w:r>
      <w:r w:rsidRPr="00E770D5">
        <w:t>.</w:t>
      </w:r>
      <w:r>
        <w:t xml:space="preserve"> Rezultati ove analize bili su sljedeći:  </w:t>
      </w:r>
    </w:p>
    <w:p w14:paraId="4C1D4E0B" w14:textId="77777777" w:rsidR="00E770D5" w:rsidRDefault="00E770D5" w:rsidP="00D15218">
      <w:pPr>
        <w:pStyle w:val="ListParagraph"/>
        <w:numPr>
          <w:ilvl w:val="0"/>
          <w:numId w:val="42"/>
        </w:numPr>
      </w:pPr>
      <w:r>
        <w:t xml:space="preserve">U prvoj punoj finansijskoj perspektivi nakon pristupanja (2007–2013) – koja je relevantna za 11 posmatranih država članica – samo Malta i Kipar su se odlučili za svega dva programa, uz napomenu da u toj perspektivi ESF nije mogao da se kombinuje s drugim fondovima. Dakle, nije postojao opšti trend ka ograničavanju broja programa u prvom ciklusu nakon pristupanja.  </w:t>
      </w:r>
    </w:p>
    <w:p w14:paraId="31EB406E" w14:textId="015D7470" w:rsidR="00E770D5" w:rsidRDefault="00E770D5" w:rsidP="00D15218">
      <w:pPr>
        <w:pStyle w:val="ListParagraph"/>
        <w:numPr>
          <w:ilvl w:val="0"/>
          <w:numId w:val="42"/>
        </w:numPr>
      </w:pPr>
      <w:r>
        <w:t>U periodu 2014–2020, kada je ESF mogao da se kombinuje s ostalim fondovima, 4 države članice iz referentne grupe od 12 uvele su jedinstven program; samo je Estonija zadržala ovu strukturu i za 2021–2027, dok su L</w:t>
      </w:r>
      <w:r w:rsidR="006F2D91">
        <w:t>etonija</w:t>
      </w:r>
      <w:r>
        <w:t xml:space="preserve">, Litvanija i Slovenija uvele poseban ESF+ program za materijalnu deprivaciju.  </w:t>
      </w:r>
    </w:p>
    <w:p w14:paraId="20F73B29" w14:textId="71DF00CF" w:rsidR="00E770D5" w:rsidRDefault="00E770D5" w:rsidP="00D15218">
      <w:pPr>
        <w:pStyle w:val="ListParagraph"/>
        <w:numPr>
          <w:ilvl w:val="0"/>
          <w:numId w:val="42"/>
        </w:numPr>
      </w:pPr>
      <w:r>
        <w:t xml:space="preserve">Dvije najmanje države članice po broju stanovnika koje su najbliže Crnoj Gori – Malta i Luksemburg – nikada nijesu uvele jedinstveni višefondovski program za </w:t>
      </w:r>
      <w:r w:rsidR="006F2D91">
        <w:t>K</w:t>
      </w:r>
      <w:r>
        <w:t xml:space="preserve">ohezionu politiku.  </w:t>
      </w:r>
    </w:p>
    <w:p w14:paraId="3561BBF1" w14:textId="77777777" w:rsidR="00E770D5" w:rsidRDefault="00E770D5" w:rsidP="00D15218">
      <w:pPr>
        <w:pStyle w:val="ListParagraph"/>
        <w:numPr>
          <w:ilvl w:val="0"/>
          <w:numId w:val="42"/>
        </w:numPr>
      </w:pPr>
      <w:r>
        <w:t xml:space="preserve">Ne može se reći da veličina države članice i obim raspoloživih sredstava direktno utiču na izbor broja programa.  </w:t>
      </w:r>
    </w:p>
    <w:p w14:paraId="239A3DE2" w14:textId="77777777" w:rsidR="00E770D5" w:rsidRDefault="00E770D5" w:rsidP="00D15218">
      <w:pPr>
        <w:pStyle w:val="ListParagraph"/>
        <w:numPr>
          <w:ilvl w:val="0"/>
          <w:numId w:val="42"/>
        </w:numPr>
      </w:pPr>
      <w:r>
        <w:t xml:space="preserve">Smanjenje programskog fokusa na pet političkih ciljeva u perspektivi 2021–2027 ne izgleda da je imalo značajniji uticaj na broj programa.  </w:t>
      </w:r>
    </w:p>
    <w:p w14:paraId="7B6029F5" w14:textId="6FF84C76" w:rsidR="00E770D5" w:rsidRDefault="00E770D5" w:rsidP="00D15218">
      <w:pPr>
        <w:pStyle w:val="ListParagraph"/>
        <w:numPr>
          <w:ilvl w:val="0"/>
          <w:numId w:val="42"/>
        </w:numPr>
      </w:pPr>
      <w:r>
        <w:t>Kada je riječ o programiranju ESF+, ekonomija obima ne djeluje kao presudan faktor i značajan broj programa je malog obima: 19 država članica u periodu 2021–2027 opredijelilo se za najmanje jedan monofondovski nacionalni ESF+ program.</w:t>
      </w:r>
    </w:p>
    <w:p w14:paraId="442718A7" w14:textId="0FC64431" w:rsidR="006F2D91" w:rsidRDefault="006F2D91" w:rsidP="006F2D91">
      <w:r>
        <w:t xml:space="preserve">Brojne izmjene u broju i obimu programa između perioda 2007–2013 i 2014–2020 proizašle su iz napretka duž krivulje učenja novih država članica tokom prvog punog sedmogodišnjeg ciklusa, kako bi se rizicima nedovoljnog trošenja i automatskog povlačenja sredstava (tj. rizici apsorpcije) moglo bolje upravljati. U tu svrhu, centri potrošnje smještani su unutar tijela javne uprave koja posjeduju sektorsko i nacionalno iskustvo u javnim nabavkama, kao i iskustvo u velikim infrastrukturnim projektima gdje je to bilo relevantno, što objašnjava postojanje sektorskih </w:t>
      </w:r>
      <w:r w:rsidR="003D7057">
        <w:t>EFRR</w:t>
      </w:r>
      <w:r>
        <w:t xml:space="preserve"> programa u novim državama članicama. Ukratko, napredak na krivulji učenja omogućio je bolje razumijevanje uzroka uskih grla i rizika apsorpcije, pa su se u narednom ciklusu programi Kohezione politike mogli oblikovati drugačije, uvažavajući naučene lekcije i ciljati prepoznate rizike. Pojedine promjene od perioda 2014–2020 ka 2021–2027 određene su i revidiranim strateškim pristupom novog ciklusa, gdje su određeni reformski ciljevi koji su ranije bili prihvatljivi (npr. jačanje kapaciteta javne uprave) prebačeni iz podijeljenog upravljanja u centralizovano upravljanje od strane Evropske komisije. U nekoliko specifičnih slučajeva, značajne promjene u periodu 2021–2027 posljedica su procjene ključnih problema i uskih grla utvrđenih tokom sprovođenja programa 2014–2020.</w:t>
      </w:r>
    </w:p>
    <w:p w14:paraId="6268B67D" w14:textId="0AB09087" w:rsidR="00B60EDC" w:rsidRDefault="00B60EDC" w:rsidP="00B60EDC">
      <w:r>
        <w:lastRenderedPageBreak/>
        <w:t>Tri scenarija</w:t>
      </w:r>
      <w:r w:rsidRPr="00B83578">
        <w:rPr>
          <w:rFonts w:cs="Arial"/>
          <w:vertAlign w:val="superscript"/>
        </w:rPr>
        <w:footnoteReference w:id="188"/>
      </w:r>
      <w:r w:rsidRPr="00B83578">
        <w:t xml:space="preserve"> </w:t>
      </w:r>
      <w:r>
        <w:t xml:space="preserve"> su identifikovana i podvrgnuta multikriterijumskoj analizi, koristeći sljedeće ponderisane kriterijume: Minimizacija finansijskih i operativnih rizika (30%); Institucionalna i koordinaciona složenost (15%); Najmanje administrativno opterećenje i najveća administrativna troškovna efikasnost (20 %); Tematski/teritorijalni fokus (20%); Održivost opcije (15%).  Zaključak studije je da je opcija sa dva programa Kohezione politike najpovoljnija.  </w:t>
      </w:r>
    </w:p>
    <w:p w14:paraId="662DCD2C" w14:textId="6AE94C91" w:rsidR="00B60EDC" w:rsidRDefault="00B60EDC" w:rsidP="00B60EDC">
      <w:r w:rsidRPr="00B60EDC">
        <w:t xml:space="preserve">Zatim su razmotrene dvije varijante, prva sa zasebnim programom ESF+, a druga koja kombinuje sredstva ESF+ i </w:t>
      </w:r>
      <w:r w:rsidR="003D7057">
        <w:t>EFRR</w:t>
      </w:r>
      <w:r w:rsidRPr="00B60EDC">
        <w:t xml:space="preserve"> za Cilj </w:t>
      </w:r>
      <w:proofErr w:type="gramStart"/>
      <w:r w:rsidRPr="00B60EDC">
        <w:t>politike</w:t>
      </w:r>
      <w:r>
        <w:t xml:space="preserve"> </w:t>
      </w:r>
      <w:r w:rsidRPr="00B60EDC">
        <w:t xml:space="preserve"> „</w:t>
      </w:r>
      <w:proofErr w:type="gramEnd"/>
      <w:r w:rsidRPr="00B60EDC">
        <w:t>Socijalnija i inkluzivnija Evropa“. Zaključeno je da bi posvećeni program ESF+ bio manje opterećujući i efikasniji, imajući u vidu specifičnosti korisnika ESF+ i podršku najugroženijima. Iako će konačna odluka o obimu Programa zavisiti od regulatornog okvira nakon 2027. godine, orijentacija ka dva Programa predstavljena je Radnoj grupi i biće osnova za naredne aktivnosti opisane u ovom poglavlju.</w:t>
      </w:r>
    </w:p>
    <w:p w14:paraId="49B50E25" w14:textId="30D16A75" w:rsidR="00010321" w:rsidRPr="00B83578" w:rsidRDefault="00543023" w:rsidP="00A745C2">
      <w:pPr>
        <w:pStyle w:val="Heading4"/>
      </w:pPr>
      <w:r>
        <w:t>Akcija</w:t>
      </w:r>
      <w:r w:rsidR="00010321" w:rsidRPr="00B83578">
        <w:t xml:space="preserve"> 4.2. Defini</w:t>
      </w:r>
      <w:r w:rsidR="009F3B02">
        <w:t>cija metodologije</w:t>
      </w:r>
      <w:r w:rsidR="00010321" w:rsidRPr="00B83578">
        <w:t>, deta</w:t>
      </w:r>
      <w:r w:rsidR="009F3B02">
        <w:t>ljan</w:t>
      </w:r>
      <w:r w:rsidR="00010321" w:rsidRPr="00B83578">
        <w:t xml:space="preserve"> plan </w:t>
      </w:r>
      <w:r w:rsidR="009F3B02">
        <w:t>i raspored za pripremu Sporazuma o partnerstvu.</w:t>
      </w:r>
    </w:p>
    <w:p w14:paraId="3AAC047F" w14:textId="38236E89" w:rsidR="00B60EDC" w:rsidRDefault="00B60EDC" w:rsidP="00010321">
      <w:r w:rsidRPr="00B60EDC">
        <w:t xml:space="preserve">Definisanje metodologije, detaljnog plana i vremenskog okvira za pripremu </w:t>
      </w:r>
      <w:r w:rsidR="00700FF9">
        <w:t>Sporazuma o partnerstvu</w:t>
      </w:r>
      <w:r w:rsidRPr="00B60EDC">
        <w:t xml:space="preserve"> (po potrebi) i Programa može započeti tek nakon što Evropska komisija objavi prijedlog regulativnog okvira za period nakon 2027. godine.</w:t>
      </w:r>
    </w:p>
    <w:p w14:paraId="288FE757" w14:textId="6D1C7655" w:rsidR="00010321" w:rsidRPr="00B83578" w:rsidRDefault="00543023" w:rsidP="00A745C2">
      <w:pPr>
        <w:pStyle w:val="Heading4"/>
      </w:pPr>
      <w:r>
        <w:t>Akcija</w:t>
      </w:r>
      <w:r w:rsidR="00010321" w:rsidRPr="00B83578">
        <w:t xml:space="preserve"> 4.3. Pr</w:t>
      </w:r>
      <w:r w:rsidR="009F3B02">
        <w:t>iprema i podnošenje Sporazuma o partnerstvu (gdje je primjenjivo) i programa Komisiji.</w:t>
      </w:r>
    </w:p>
    <w:p w14:paraId="68A5E783" w14:textId="5F434FF3" w:rsidR="00C8032D" w:rsidRDefault="00C8032D" w:rsidP="00C8032D">
      <w:r>
        <w:t xml:space="preserve">Priprema i podnošenje </w:t>
      </w:r>
      <w:r w:rsidR="00700FF9">
        <w:t>Sporazuma o partnerstvu</w:t>
      </w:r>
      <w:r>
        <w:t xml:space="preserve"> (</w:t>
      </w:r>
      <w:r w:rsidR="00D13417">
        <w:t>gdje je primjenjivo</w:t>
      </w:r>
      <w:r>
        <w:t>) i Programa je dugotrajan proces koji može trajati do dvije godine ili više</w:t>
      </w:r>
      <w:r w:rsidR="00D13417" w:rsidRPr="00B83578">
        <w:rPr>
          <w:rFonts w:cs="Arial"/>
          <w:vertAlign w:val="superscript"/>
        </w:rPr>
        <w:footnoteReference w:id="189"/>
      </w:r>
      <w:r>
        <w:t xml:space="preserve">. Izrada </w:t>
      </w:r>
      <w:r w:rsidR="00700FF9">
        <w:t>Sporazuma o partnerstvu</w:t>
      </w:r>
      <w:r>
        <w:t xml:space="preserve"> planira se započeti pripremnim analizama u IV kvartalu 2025. godine, kako bi napredni nacrt mogao biti dostavljen Komisiji do sredine 2026. (</w:t>
      </w:r>
      <w:r w:rsidR="00D13417">
        <w:t>Završno mjerilo</w:t>
      </w:r>
      <w:r>
        <w:t xml:space="preserve"> 2).  </w:t>
      </w:r>
    </w:p>
    <w:p w14:paraId="3FAF853A" w14:textId="77777777" w:rsidR="00C8032D" w:rsidRDefault="00C8032D" w:rsidP="00C8032D">
      <w:r>
        <w:t xml:space="preserve"> Biće od suštinskog značaja za Crnu Goru da se sljedeća pitanja razjasne blagovremeno:  </w:t>
      </w:r>
    </w:p>
    <w:p w14:paraId="0545A4EF" w14:textId="38C0FEA4" w:rsidR="00D13417" w:rsidRDefault="00D13417" w:rsidP="00D15218">
      <w:pPr>
        <w:pStyle w:val="ListParagraph"/>
        <w:numPr>
          <w:ilvl w:val="0"/>
          <w:numId w:val="43"/>
        </w:numPr>
      </w:pPr>
      <w:r>
        <w:t>Utvrđivanje datum pristupanja</w:t>
      </w:r>
      <w:r w:rsidR="00C8032D">
        <w:t xml:space="preserve">;  </w:t>
      </w:r>
    </w:p>
    <w:p w14:paraId="6ECEA20F" w14:textId="56D2042A" w:rsidR="00D13417" w:rsidRDefault="00D13417" w:rsidP="00D15218">
      <w:pPr>
        <w:pStyle w:val="ListParagraph"/>
        <w:numPr>
          <w:ilvl w:val="0"/>
          <w:numId w:val="43"/>
        </w:numPr>
      </w:pPr>
      <w:r>
        <w:t xml:space="preserve">Saopštavanje </w:t>
      </w:r>
      <w:r w:rsidR="00C8032D">
        <w:t>Prijedlog</w:t>
      </w:r>
      <w:r>
        <w:t>a</w:t>
      </w:r>
      <w:r w:rsidR="00C8032D">
        <w:t xml:space="preserve"> Komisije za raspodjelu ukupnih sredstava Crnoj Gori</w:t>
      </w:r>
      <w:r w:rsidRPr="00B83578">
        <w:rPr>
          <w:rFonts w:cs="Arial"/>
          <w:vertAlign w:val="superscript"/>
        </w:rPr>
        <w:footnoteReference w:id="190"/>
      </w:r>
      <w:r w:rsidR="00C8032D">
        <w:t xml:space="preserve">;  </w:t>
      </w:r>
    </w:p>
    <w:p w14:paraId="7CCEEF15" w14:textId="497F09E3" w:rsidR="00C8032D" w:rsidRDefault="00D13417" w:rsidP="00D15218">
      <w:pPr>
        <w:pStyle w:val="ListParagraph"/>
        <w:numPr>
          <w:ilvl w:val="0"/>
          <w:numId w:val="43"/>
        </w:numPr>
      </w:pPr>
      <w:r>
        <w:t>Dostavljanje Crnoj Gori s</w:t>
      </w:r>
      <w:r w:rsidR="00C8032D">
        <w:t>tavov</w:t>
      </w:r>
      <w:r>
        <w:t>a</w:t>
      </w:r>
      <w:r w:rsidR="00C8032D">
        <w:t xml:space="preserve"> službi Komisije o prioritetnim oblastima ulaganja i okvirnim uslovima za efikasnu realizaciju Kohezi</w:t>
      </w:r>
      <w:r>
        <w:t>one</w:t>
      </w:r>
      <w:r w:rsidR="00C8032D">
        <w:t xml:space="preserve"> politike nakon 2027. godine.  </w:t>
      </w:r>
    </w:p>
    <w:p w14:paraId="4EED323B" w14:textId="7FFE362F" w:rsidR="00C8032D" w:rsidRDefault="00C8032D" w:rsidP="00C8032D">
      <w:r>
        <w:t xml:space="preserve">Iako </w:t>
      </w:r>
      <w:r w:rsidR="00E136F2">
        <w:t>nijesu</w:t>
      </w:r>
      <w:r>
        <w:t xml:space="preserve"> identifikovani svi podzadaci, oni koji se smatraju ključnim za proces su navedeni.</w:t>
      </w:r>
    </w:p>
    <w:p w14:paraId="119D4940" w14:textId="059BFCBB" w:rsidR="00010321" w:rsidRPr="00B83578" w:rsidRDefault="00543023" w:rsidP="00A745C2">
      <w:pPr>
        <w:pStyle w:val="Heading4"/>
      </w:pPr>
      <w:r>
        <w:t>Akcija</w:t>
      </w:r>
      <w:r w:rsidR="00010321" w:rsidRPr="00B83578">
        <w:t xml:space="preserve"> 4.4. Pr</w:t>
      </w:r>
      <w:r w:rsidR="009F3B02">
        <w:t>iprema zrele liste prioritetnih projekata iz sektora Kohezione politike.</w:t>
      </w:r>
    </w:p>
    <w:p w14:paraId="69B3CBF5" w14:textId="3124EF43" w:rsidR="00D83DBC" w:rsidRDefault="00D83DBC" w:rsidP="00010321">
      <w:r w:rsidRPr="00D83DBC">
        <w:t xml:space="preserve">Priprema zrele projektne liste u sektorima </w:t>
      </w:r>
      <w:r w:rsidR="00D13417">
        <w:t>Kohezione</w:t>
      </w:r>
      <w:r w:rsidRPr="00D83DBC">
        <w:t xml:space="preserve"> politike, uzimajući u obzir klimatske ciljeve (EU taksonomiju), ekološke kriterijume i EU standarde za ekonomsku procjenu u okviru </w:t>
      </w:r>
      <w:r w:rsidR="00D13417">
        <w:t>Kohezione</w:t>
      </w:r>
      <w:r w:rsidRPr="00D83DBC">
        <w:t xml:space="preserve"> politike</w:t>
      </w:r>
      <w:r w:rsidR="009F3B02">
        <w:rPr>
          <w:rStyle w:val="FootnoteReference"/>
        </w:rPr>
        <w:footnoteReference w:id="191"/>
      </w:r>
      <w:r w:rsidRPr="00D83DBC">
        <w:t>, kao i sve sektorske zahtjeve</w:t>
      </w:r>
      <w:r w:rsidR="00D13417" w:rsidRPr="00B83578">
        <w:rPr>
          <w:rFonts w:cs="Arial"/>
          <w:vertAlign w:val="superscript"/>
        </w:rPr>
        <w:footnoteReference w:id="192"/>
      </w:r>
      <w:r w:rsidRPr="00D83DBC">
        <w:t xml:space="preserve">, leži u nadležnosti Savjeta za javne investicije. Kao što je već opisano, uspostavljena je jedinstvena lista projekata finansiranih iz kapitalnog budžeta (bilo na centralnom ili lokalnom nivou), uključujući projekte iz zajmova međunarodnih finansijskih institucija, koja je dio srednjoročnog planiranja državnog budžeta. Sistem za </w:t>
      </w:r>
      <w:r w:rsidR="00A80895" w:rsidRPr="00A80895">
        <w:t>monitoring</w:t>
      </w:r>
      <w:r w:rsidRPr="00D83DBC">
        <w:t xml:space="preserve"> i izvještavanje takođe je uspostavljen, što znači da postoji čvrst mehanizam koordinacije. Ovo predstavlja čvrstu osnovu za pripremu zrele projektne liste u sektorima </w:t>
      </w:r>
      <w:r w:rsidR="00D13417">
        <w:t>Kohezione</w:t>
      </w:r>
      <w:r w:rsidRPr="00D83DBC">
        <w:t xml:space="preserve"> politike. Međutim, neophodna su uputstva i smjernice kako bi se osiguralo da potencijalno prihvatljivi projekti budu u potpunosti usklađeni sa klimatskim ciljevima (EU taksonomija), ekološkim kriterijumima i EU standardima za ekonomsku procjenu. Predviđeno je </w:t>
      </w:r>
      <w:r w:rsidRPr="00945395">
        <w:t xml:space="preserve">da IPA-finansirani </w:t>
      </w:r>
      <w:r w:rsidR="00945395" w:rsidRPr="00945395">
        <w:t>instrumenti za pripremu projekata</w:t>
      </w:r>
      <w:r w:rsidRPr="00945395">
        <w:t xml:space="preserve"> u sektorima saobraćaja i životne sredine pruže </w:t>
      </w:r>
      <w:r w:rsidR="00477A44">
        <w:t>podršku</w:t>
      </w:r>
      <w:r w:rsidRPr="00945395">
        <w:t xml:space="preserve"> u pripremi</w:t>
      </w:r>
      <w:r w:rsidRPr="00D83DBC">
        <w:t xml:space="preserve"> projektne liste u ovim ključnim sektorima.</w:t>
      </w:r>
    </w:p>
    <w:p w14:paraId="2CD19689" w14:textId="198C48DA" w:rsidR="00010321" w:rsidRPr="00B83578" w:rsidRDefault="00543023" w:rsidP="00A745C2">
      <w:pPr>
        <w:pStyle w:val="Heading4"/>
      </w:pPr>
      <w:r>
        <w:lastRenderedPageBreak/>
        <w:t>Akcija</w:t>
      </w:r>
      <w:r w:rsidR="00010321" w:rsidRPr="00B83578">
        <w:t xml:space="preserve"> 4.5. </w:t>
      </w:r>
      <w:r w:rsidR="009F3B02">
        <w:t>Odluka o korišćenju teritorijalnih alata za programme Kohezione politike u Crnoj Gori i pristup Održivom urbanom razvoju</w:t>
      </w:r>
      <w:r w:rsidR="00010321" w:rsidRPr="00B83578">
        <w:t>.</w:t>
      </w:r>
    </w:p>
    <w:p w14:paraId="71762E8D" w14:textId="4E12F9AE" w:rsidR="00D83DBC" w:rsidRDefault="00D83DBC" w:rsidP="00010321">
      <w:r w:rsidRPr="00D83DBC">
        <w:t xml:space="preserve">Odluka o upotrebi teritorijalnih instrumenata u Crnoj Gori za programe </w:t>
      </w:r>
      <w:r w:rsidR="00D13417">
        <w:t>Kohezione</w:t>
      </w:r>
      <w:r w:rsidRPr="00D83DBC">
        <w:t xml:space="preserve"> politike i pristup održivom urbanom razvoju treba da se donese na osnovu analize relevantnih praksi država članica, uzimajući u obzir veličinu Crne Gore, administrativnu organizaciju i kapacitete opština.</w:t>
      </w:r>
    </w:p>
    <w:p w14:paraId="3EACCFBA" w14:textId="1DC4F85F" w:rsidR="00010321" w:rsidRPr="00B83578" w:rsidRDefault="00543023" w:rsidP="00A745C2">
      <w:pPr>
        <w:pStyle w:val="Heading4"/>
      </w:pPr>
      <w:r>
        <w:t>Akcija</w:t>
      </w:r>
      <w:r w:rsidR="00010321" w:rsidRPr="00B83578">
        <w:t xml:space="preserve"> 4.6. </w:t>
      </w:r>
      <w:r w:rsidR="009F3B02">
        <w:t>E</w:t>
      </w:r>
      <w:r w:rsidR="00010321" w:rsidRPr="00B83578">
        <w:t xml:space="preserve">x-ante </w:t>
      </w:r>
      <w:r w:rsidR="009F3B02">
        <w:t>procjena upotrebe Finansijskih instrumenata EU finansiranih kroz Kohezionu politiku.</w:t>
      </w:r>
    </w:p>
    <w:p w14:paraId="0E03289F" w14:textId="4BA994D5" w:rsidR="00D83DBC" w:rsidRDefault="00D83DBC" w:rsidP="00010321">
      <w:r w:rsidRPr="00D83DBC">
        <w:t xml:space="preserve">Ex-ante procjena/e za korišćenje finansijskih instrumenata EU finansiranih kroz </w:t>
      </w:r>
      <w:r w:rsidR="008B30E0">
        <w:t>K</w:t>
      </w:r>
      <w:r w:rsidRPr="00D83DBC">
        <w:t xml:space="preserve">ohezionu politiku mogu se sprovesti tek nakon što se definiše obim mjera za svaki program. Kako </w:t>
      </w:r>
      <w:r w:rsidR="00CD0020">
        <w:t>RZO</w:t>
      </w:r>
      <w:r w:rsidRPr="00D83DBC">
        <w:t xml:space="preserve"> predviđa metodologiju koju treba da slijedi Upravljačko tijelo (čl. 58(3)) i imajući u vidu veličinu Crne Gore, značajna ekonomija obima mogla bi se postići ako se ex-ante procjena proširi na razmatranje upotrebe finansijskih instrumenata pogodnih za finansiranje iz Evropskog poljoprivrednog fonda za ruralni razvoj i Evropskog fonda za pomorstvo, ribarstvo i akvakulturu.</w:t>
      </w:r>
    </w:p>
    <w:p w14:paraId="3F555006" w14:textId="5BB9B337" w:rsidR="00010321" w:rsidRPr="00B83578" w:rsidRDefault="00543023" w:rsidP="00A745C2">
      <w:pPr>
        <w:pStyle w:val="Heading4"/>
      </w:pPr>
      <w:r>
        <w:t>Akcija</w:t>
      </w:r>
      <w:r w:rsidR="00010321" w:rsidRPr="00B83578">
        <w:t xml:space="preserve"> 4. 7 </w:t>
      </w:r>
      <w:r w:rsidR="009F3B02" w:rsidRPr="009F3B02">
        <w:t>Uspostavljanje finansijskih instrumenata EU</w:t>
      </w:r>
    </w:p>
    <w:p w14:paraId="1AC819DC" w14:textId="272544D4" w:rsidR="008B30E0" w:rsidRDefault="008B30E0" w:rsidP="008B30E0">
      <w:r>
        <w:t xml:space="preserve">Uspostavljanje finansijskih instrumenata EU biće sprovedeno u skladu sa članom 59 </w:t>
      </w:r>
      <w:r w:rsidR="00CD0020">
        <w:t>RZO</w:t>
      </w:r>
      <w:r>
        <w:t xml:space="preserve">-a i Aneksom X o elementima ugovora o finansiranju i strateškim dokumentima [član 59 stavovi 1 i 5].  </w:t>
      </w:r>
    </w:p>
    <w:p w14:paraId="2A827CEB" w14:textId="411BBFF4" w:rsidR="008B30E0" w:rsidRDefault="008B30E0" w:rsidP="008B30E0">
      <w:r>
        <w:t xml:space="preserve">Upravljačka tijela će, u skladu sa članom 59, izabrati tijela koja će sprovoditi finansijske instrumente, uvažavajući propise o javnim nabavkama i pravila o državnoj pomoći, gdje god su primjenjivi. Izabrana tijela će za potrebe pripreme ugovora o finansiranju izraditi posebna dokumenta, uključujući, ali ne ograničavajući se na: (a) investicionu strategiju ili politiku, sa aranžmanima za </w:t>
      </w:r>
      <w:r w:rsidR="00A80895">
        <w:t>implementaciju</w:t>
      </w:r>
      <w:r>
        <w:t>, finansijskim proizvodima koji će se nuditi, cilj</w:t>
      </w:r>
      <w:r w:rsidR="00845D91">
        <w:t>a</w:t>
      </w:r>
      <w:r>
        <w:t>nim krajnjim korisnicima i planiranom kombinacijom sa bespovratnim sredstvima (kada je primjenjivo); (b) poslovni plan ili ekvivalentna dokumenta za finansijski instrument koji će se primjenjivati, uključujući procijenjeni efekat poluge pomenut u tački (a) člana 58(3); (c) cilj</w:t>
      </w:r>
      <w:r w:rsidR="00845D91">
        <w:t>a</w:t>
      </w:r>
      <w:r>
        <w:t xml:space="preserve">ne rezultate koje predmetni finansijski instrument treba da postigne radi doprinosa specifičnim ciljevima i rezultatima relevantnog prioriteta; (d) odredbe za </w:t>
      </w:r>
      <w:r w:rsidR="00A80895" w:rsidRPr="00A80895">
        <w:t>monitoring</w:t>
      </w:r>
      <w:r>
        <w:t xml:space="preserve"> sprovođenja ulaganja i tokova transakcija, uključujući izvještavanje finansijskog instrumenta holding fondu i </w:t>
      </w:r>
      <w:r w:rsidRPr="00C62AA6">
        <w:t xml:space="preserve">Budućem </w:t>
      </w:r>
      <w:r>
        <w:t xml:space="preserve">upravljačkom tijelu, kako bi se obezbijedila usklađenost sa članom 42.  </w:t>
      </w:r>
    </w:p>
    <w:p w14:paraId="7444B0DC" w14:textId="3CDDE5BE" w:rsidR="008B30E0" w:rsidRDefault="008B30E0" w:rsidP="008B30E0">
      <w:r>
        <w:t xml:space="preserve">Korišćenje finansijskih instrumenata EU biće na odgovarajući način uzeto u obzir u okviru ostalih relevantnih aktivnosti </w:t>
      </w:r>
      <w:r w:rsidR="002A6536">
        <w:t>Plana aktivnosti</w:t>
      </w:r>
      <w:r>
        <w:t xml:space="preserve">, posebno pri uspostavljanju </w:t>
      </w:r>
      <w:r w:rsidR="00A067C3">
        <w:t>ISU</w:t>
      </w:r>
      <w:r>
        <w:t>-a i izradi programskih i finansijskih procedura u vezi sa mogućom ponovnom upotrebom povratnih sredstava.</w:t>
      </w:r>
    </w:p>
    <w:p w14:paraId="177A62B5" w14:textId="5B52DAF4" w:rsidR="00010321" w:rsidRPr="00A745C2" w:rsidRDefault="00543023" w:rsidP="00A745C2">
      <w:pPr>
        <w:pStyle w:val="Heading4"/>
      </w:pPr>
      <w:r>
        <w:t>Akcija</w:t>
      </w:r>
      <w:r w:rsidR="00010321" w:rsidRPr="00A745C2">
        <w:t xml:space="preserve"> 4.8 </w:t>
      </w:r>
      <w:r w:rsidR="009F3B02" w:rsidRPr="009F3B02">
        <w:t>Definisanje metodologije, detaljan plan i vremenski okvir za pripremu INTERREG IPA prekograničnih programa u kojima će Crna Gora biti buduć</w:t>
      </w:r>
      <w:r w:rsidR="009F3B02">
        <w:t>e</w:t>
      </w:r>
      <w:r w:rsidR="009F3B02" w:rsidRPr="009F3B02">
        <w:t xml:space="preserve"> Upravljačk</w:t>
      </w:r>
      <w:r w:rsidR="009F3B02">
        <w:t>o</w:t>
      </w:r>
      <w:r w:rsidR="009F3B02" w:rsidRPr="009F3B02">
        <w:t xml:space="preserve"> </w:t>
      </w:r>
      <w:r w:rsidR="009F3B02">
        <w:t>tijelo</w:t>
      </w:r>
      <w:r w:rsidR="009F3B02" w:rsidRPr="009F3B02">
        <w:t xml:space="preserve"> i Ak</w:t>
      </w:r>
      <w:r w:rsidR="009F3B02">
        <w:t>cija</w:t>
      </w:r>
      <w:r w:rsidR="009F3B02" w:rsidRPr="009F3B02">
        <w:t xml:space="preserve"> 4.9 Programiranje i podnošenje INTERREG IPA programa kojima upravlja Crna Gora</w:t>
      </w:r>
    </w:p>
    <w:p w14:paraId="1532B2BF" w14:textId="6669A480" w:rsidR="008A562E" w:rsidRDefault="008A562E" w:rsidP="008A562E">
      <w:r>
        <w:t>Gore navedene ak</w:t>
      </w:r>
      <w:r w:rsidR="00305C14">
        <w:t>cije</w:t>
      </w:r>
      <w:r>
        <w:t xml:space="preserve"> odnose se na buduće programe prekogranične saradnje pod podijeljenim upravljanjem s korisnicima IPA sredstava nakon što Crna Gora postane država članica i Buduće upravljačko tijelo. Vremenski okvir i podzadaci zavisiće od budućnosti programa INTERREG nakon 2027. godine i prijedloga Komisije za svaki Program.  </w:t>
      </w:r>
    </w:p>
    <w:p w14:paraId="7E7CFA75" w14:textId="11AC7236" w:rsidR="008A562E" w:rsidRDefault="00305C14" w:rsidP="008A562E">
      <w:r>
        <w:t>Akcije</w:t>
      </w:r>
      <w:r w:rsidR="008A562E">
        <w:t xml:space="preserve"> predviđene u ovom poglavlju </w:t>
      </w:r>
      <w:r w:rsidR="002A6536">
        <w:rPr>
          <w:rStyle w:val="IntenseEmphasis"/>
          <w:i w:val="0"/>
          <w:iCs w:val="0"/>
          <w:color w:val="auto"/>
        </w:rPr>
        <w:t>Plana aktivnosti</w:t>
      </w:r>
      <w:r w:rsidR="002A6536" w:rsidRPr="00AE0F6C">
        <w:rPr>
          <w:rStyle w:val="IntenseEmphasis"/>
          <w:i w:val="0"/>
          <w:iCs w:val="0"/>
          <w:color w:val="auto"/>
        </w:rPr>
        <w:t xml:space="preserve"> </w:t>
      </w:r>
      <w:r w:rsidR="008A562E">
        <w:t xml:space="preserve">ne obuhvataju:  </w:t>
      </w:r>
    </w:p>
    <w:p w14:paraId="100C452D" w14:textId="77777777" w:rsidR="00845D91" w:rsidRDefault="008A562E" w:rsidP="00D15218">
      <w:pPr>
        <w:pStyle w:val="ListParagraph"/>
        <w:numPr>
          <w:ilvl w:val="0"/>
          <w:numId w:val="44"/>
        </w:numPr>
      </w:pPr>
      <w:r>
        <w:t xml:space="preserve">metodološki pristup primjeni principa partnerstva, koji je uključen u Poglavlje 1 (Pravni okvir);  </w:t>
      </w:r>
    </w:p>
    <w:p w14:paraId="1CA98D61" w14:textId="77777777" w:rsidR="00845D91" w:rsidRDefault="008A562E" w:rsidP="00D15218">
      <w:pPr>
        <w:pStyle w:val="ListParagraph"/>
        <w:numPr>
          <w:ilvl w:val="0"/>
          <w:numId w:val="44"/>
        </w:numPr>
      </w:pPr>
      <w:r>
        <w:t xml:space="preserve">izradu procedura za programiranje, koje su uključene u Poglavlje 2 (Institucionalni okvir);  </w:t>
      </w:r>
    </w:p>
    <w:p w14:paraId="7715B1E7" w14:textId="33486455" w:rsidR="008A562E" w:rsidRDefault="00C30F51" w:rsidP="00D15218">
      <w:pPr>
        <w:pStyle w:val="ListParagraph"/>
        <w:numPr>
          <w:ilvl w:val="0"/>
          <w:numId w:val="44"/>
        </w:numPr>
      </w:pPr>
      <w:r w:rsidRPr="00C30F51">
        <w:t>jačanje kapaciteta</w:t>
      </w:r>
      <w:r w:rsidR="008A562E">
        <w:t xml:space="preserve"> relevantnih institucija i partnera u oblasti programiranja, koja je uključena u Poglavlje 3 (Administrativni kapaciteti).</w:t>
      </w:r>
    </w:p>
    <w:p w14:paraId="4145FA5F" w14:textId="18A95727" w:rsidR="00010321" w:rsidRPr="00B83578" w:rsidRDefault="001D692B" w:rsidP="003B55E8">
      <w:pPr>
        <w:pStyle w:val="Caption"/>
      </w:pPr>
      <w:bookmarkStart w:id="146" w:name="_Toc193895455"/>
      <w:r>
        <w:t>Tabela</w:t>
      </w:r>
      <w:r w:rsidR="00D27FC3" w:rsidRPr="00B83578">
        <w:t xml:space="preserve"> </w:t>
      </w:r>
      <w:fldSimple w:instr=" SEQ Table \* ARABIC ">
        <w:r w:rsidR="003C2962">
          <w:rPr>
            <w:noProof/>
          </w:rPr>
          <w:t>11</w:t>
        </w:r>
      </w:fldSimple>
      <w:r w:rsidR="00D27FC3" w:rsidRPr="00B83578">
        <w:t xml:space="preserve">: </w:t>
      </w:r>
      <w:r w:rsidRPr="001D692B">
        <w:t>Planirane akcije u okviru Poglavlja Strateški okvir i programi</w:t>
      </w:r>
      <w:bookmarkEnd w:id="146"/>
    </w:p>
    <w:tbl>
      <w:tblPr>
        <w:tblStyle w:val="GridTable5Dark-Accent11"/>
        <w:tblW w:w="5000" w:type="pct"/>
        <w:tblInd w:w="0" w:type="dxa"/>
        <w:tblLook w:val="04A0" w:firstRow="1" w:lastRow="0" w:firstColumn="1" w:lastColumn="0" w:noHBand="0" w:noVBand="1"/>
      </w:tblPr>
      <w:tblGrid>
        <w:gridCol w:w="633"/>
        <w:gridCol w:w="1330"/>
        <w:gridCol w:w="1153"/>
        <w:gridCol w:w="862"/>
        <w:gridCol w:w="1305"/>
        <w:gridCol w:w="868"/>
        <w:gridCol w:w="862"/>
        <w:gridCol w:w="1320"/>
        <w:gridCol w:w="1017"/>
      </w:tblGrid>
      <w:tr w:rsidR="0057474F" w:rsidRPr="0057474F" w14:paraId="292EDC17" w14:textId="77777777" w:rsidTr="00C21BC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9" w:type="pct"/>
            <w:hideMark/>
          </w:tcPr>
          <w:p w14:paraId="7137EE74" w14:textId="687802B8" w:rsidR="0057474F" w:rsidRPr="0057474F" w:rsidRDefault="00543023" w:rsidP="0057474F">
            <w:pPr>
              <w:spacing w:after="0"/>
              <w:jc w:val="left"/>
              <w:rPr>
                <w:rFonts w:eastAsia="Times New Roman"/>
                <w:kern w:val="0"/>
                <w:sz w:val="14"/>
                <w:szCs w:val="14"/>
                <w:lang w:eastAsia="en-GB"/>
                <w14:ligatures w14:val="none"/>
              </w:rPr>
            </w:pPr>
            <w:r>
              <w:rPr>
                <w:rFonts w:eastAsia="Times New Roman"/>
                <w:kern w:val="0"/>
                <w:sz w:val="14"/>
                <w:szCs w:val="14"/>
                <w:lang w:eastAsia="en-GB"/>
                <w14:ligatures w14:val="none"/>
              </w:rPr>
              <w:t>Kod akcije</w:t>
            </w:r>
          </w:p>
        </w:tc>
        <w:tc>
          <w:tcPr>
            <w:tcW w:w="722" w:type="pct"/>
            <w:hideMark/>
          </w:tcPr>
          <w:p w14:paraId="09C3C983" w14:textId="2F905239" w:rsidR="0057474F" w:rsidRPr="0057474F" w:rsidRDefault="00543023" w:rsidP="0057474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Naziv akcije</w:t>
            </w:r>
          </w:p>
        </w:tc>
        <w:tc>
          <w:tcPr>
            <w:tcW w:w="627" w:type="pct"/>
            <w:hideMark/>
          </w:tcPr>
          <w:p w14:paraId="37165353" w14:textId="1D6E903F" w:rsidR="0057474F" w:rsidRPr="0057474F" w:rsidRDefault="0013334C" w:rsidP="0057474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Nadležnost</w:t>
            </w:r>
          </w:p>
        </w:tc>
        <w:tc>
          <w:tcPr>
            <w:tcW w:w="419" w:type="pct"/>
            <w:hideMark/>
          </w:tcPr>
          <w:p w14:paraId="6E875B7C" w14:textId="3F473B2A" w:rsidR="0057474F" w:rsidRPr="0057474F" w:rsidRDefault="0013334C" w:rsidP="0057474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Raspored</w:t>
            </w:r>
          </w:p>
        </w:tc>
        <w:tc>
          <w:tcPr>
            <w:tcW w:w="708" w:type="pct"/>
            <w:hideMark/>
          </w:tcPr>
          <w:p w14:paraId="59CD9710" w14:textId="062DE5B6" w:rsidR="0057474F" w:rsidRPr="0057474F" w:rsidRDefault="0013334C" w:rsidP="0057474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Indikator</w:t>
            </w:r>
          </w:p>
        </w:tc>
        <w:tc>
          <w:tcPr>
            <w:tcW w:w="434" w:type="pct"/>
            <w:hideMark/>
          </w:tcPr>
          <w:p w14:paraId="3F2913C2" w14:textId="46BB52AD" w:rsidR="0057474F" w:rsidRPr="0057474F" w:rsidRDefault="00683B6B" w:rsidP="0057474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Vrsta</w:t>
            </w:r>
          </w:p>
        </w:tc>
        <w:tc>
          <w:tcPr>
            <w:tcW w:w="471" w:type="pct"/>
            <w:hideMark/>
          </w:tcPr>
          <w:p w14:paraId="25E7D63D" w14:textId="7D2555DA" w:rsidR="0057474F" w:rsidRPr="0057474F" w:rsidRDefault="00683B6B" w:rsidP="0057474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Resurs</w:t>
            </w:r>
          </w:p>
        </w:tc>
        <w:tc>
          <w:tcPr>
            <w:tcW w:w="716" w:type="pct"/>
            <w:hideMark/>
          </w:tcPr>
          <w:p w14:paraId="4A12B70E" w14:textId="194BA67F" w:rsidR="0057474F" w:rsidRPr="0057474F" w:rsidRDefault="00683B6B" w:rsidP="0057474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Napomena</w:t>
            </w:r>
          </w:p>
        </w:tc>
        <w:tc>
          <w:tcPr>
            <w:tcW w:w="554" w:type="pct"/>
            <w:hideMark/>
          </w:tcPr>
          <w:p w14:paraId="4B056635" w14:textId="44C28F80" w:rsidR="0057474F" w:rsidRPr="0057474F" w:rsidRDefault="00683B6B" w:rsidP="0057474F">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 xml:space="preserve">Oznaka </w:t>
            </w:r>
            <w:r w:rsidR="00AF5AA9">
              <w:rPr>
                <w:rFonts w:eastAsia="Times New Roman"/>
                <w:kern w:val="0"/>
                <w:sz w:val="14"/>
                <w:szCs w:val="14"/>
                <w:lang w:eastAsia="en-GB"/>
                <w14:ligatures w14:val="none"/>
              </w:rPr>
              <w:t>mjerila</w:t>
            </w:r>
          </w:p>
        </w:tc>
      </w:tr>
      <w:tr w:rsidR="0057474F" w:rsidRPr="0057474F" w14:paraId="673205ED" w14:textId="77777777" w:rsidTr="00C21BC9">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349" w:type="pct"/>
            <w:hideMark/>
          </w:tcPr>
          <w:p w14:paraId="05BE3A39"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4.01.</w:t>
            </w:r>
          </w:p>
        </w:tc>
        <w:tc>
          <w:tcPr>
            <w:tcW w:w="722" w:type="pct"/>
            <w:hideMark/>
          </w:tcPr>
          <w:p w14:paraId="6DCC4457" w14:textId="2A59D9D8"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Definisanje metodologije, detaljan plan i vremenski okvir za pripremu Sporazuma o </w:t>
            </w:r>
            <w:r>
              <w:rPr>
                <w:rFonts w:ascii="Aptos" w:eastAsia="Times New Roman" w:hAnsi="Aptos"/>
                <w:kern w:val="0"/>
                <w:sz w:val="14"/>
                <w:szCs w:val="14"/>
                <w:lang w:eastAsia="en-GB"/>
                <w14:ligatures w14:val="none"/>
              </w:rPr>
              <w:lastRenderedPageBreak/>
              <w:t>partnerstvu (ako je primjenljivo) i Programa.</w:t>
            </w:r>
          </w:p>
        </w:tc>
        <w:tc>
          <w:tcPr>
            <w:tcW w:w="627" w:type="pct"/>
            <w:hideMark/>
          </w:tcPr>
          <w:p w14:paraId="5066C12E" w14:textId="2C22AC8E" w:rsidR="0057474F" w:rsidRPr="0057474F" w:rsidRDefault="006D6E25"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lastRenderedPageBreak/>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57474F" w:rsidRPr="0057474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419" w:type="pct"/>
            <w:hideMark/>
          </w:tcPr>
          <w:p w14:paraId="110DDA0E" w14:textId="116763F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57474F">
              <w:rPr>
                <w:rFonts w:ascii="Aptos" w:eastAsia="Times New Roman" w:hAnsi="Aptos"/>
                <w:kern w:val="0"/>
                <w:sz w:val="14"/>
                <w:szCs w:val="14"/>
                <w:lang w:eastAsia="en-GB"/>
                <w14:ligatures w14:val="none"/>
              </w:rPr>
              <w:t>2</w:t>
            </w:r>
          </w:p>
        </w:tc>
        <w:tc>
          <w:tcPr>
            <w:tcW w:w="708" w:type="pct"/>
            <w:hideMark/>
          </w:tcPr>
          <w:p w14:paraId="5B73047B" w14:textId="2F24C506" w:rsidR="0057474F" w:rsidRPr="0057474F" w:rsidRDefault="007029BB"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Metodologija, detaljan plan i vremenski okvir za pripremu programa Kohezione politike.</w:t>
            </w:r>
          </w:p>
        </w:tc>
        <w:tc>
          <w:tcPr>
            <w:tcW w:w="434" w:type="pct"/>
            <w:hideMark/>
          </w:tcPr>
          <w:p w14:paraId="667FC1C4" w14:textId="0A054F5D"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71" w:type="pct"/>
            <w:hideMark/>
          </w:tcPr>
          <w:p w14:paraId="4E39694C" w14:textId="233CE34C"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0B89746F" w14:textId="3574AB52"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Vrijeme realizacije zavisi od objavljivanja prijedloga Komisije za Kohezionu </w:t>
            </w:r>
            <w:r>
              <w:rPr>
                <w:rFonts w:ascii="Aptos" w:eastAsia="Times New Roman" w:hAnsi="Aptos"/>
                <w:kern w:val="0"/>
                <w:sz w:val="14"/>
                <w:szCs w:val="14"/>
                <w:lang w:eastAsia="en-GB"/>
                <w14:ligatures w14:val="none"/>
              </w:rPr>
              <w:lastRenderedPageBreak/>
              <w:t>politiku nakon 2027. godine.</w:t>
            </w:r>
          </w:p>
        </w:tc>
        <w:tc>
          <w:tcPr>
            <w:tcW w:w="554" w:type="pct"/>
            <w:hideMark/>
          </w:tcPr>
          <w:p w14:paraId="33448869" w14:textId="502F0246" w:rsidR="0057474F" w:rsidRPr="0057474F" w:rsidRDefault="0032369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lastRenderedPageBreak/>
              <w:t>ZM</w:t>
            </w:r>
            <w:r w:rsidR="0057474F" w:rsidRPr="0057474F">
              <w:rPr>
                <w:rFonts w:ascii="Aptos" w:eastAsia="Times New Roman" w:hAnsi="Aptos"/>
                <w:kern w:val="0"/>
                <w:sz w:val="14"/>
                <w:szCs w:val="14"/>
                <w:lang w:eastAsia="en-GB"/>
                <w14:ligatures w14:val="none"/>
              </w:rPr>
              <w:t>.3.01.</w:t>
            </w:r>
          </w:p>
        </w:tc>
      </w:tr>
      <w:tr w:rsidR="0057474F" w:rsidRPr="0057474F" w14:paraId="1983C8D5" w14:textId="77777777" w:rsidTr="00C21BC9">
        <w:trPr>
          <w:trHeight w:val="1050"/>
        </w:trPr>
        <w:tc>
          <w:tcPr>
            <w:cnfStyle w:val="001000000000" w:firstRow="0" w:lastRow="0" w:firstColumn="1" w:lastColumn="0" w:oddVBand="0" w:evenVBand="0" w:oddHBand="0" w:evenHBand="0" w:firstRowFirstColumn="0" w:firstRowLastColumn="0" w:lastRowFirstColumn="0" w:lastRowLastColumn="0"/>
            <w:tcW w:w="349" w:type="pct"/>
            <w:hideMark/>
          </w:tcPr>
          <w:p w14:paraId="051A3084"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4.01.</w:t>
            </w:r>
          </w:p>
        </w:tc>
        <w:tc>
          <w:tcPr>
            <w:tcW w:w="722" w:type="pct"/>
            <w:hideMark/>
          </w:tcPr>
          <w:p w14:paraId="58C3DC24" w14:textId="2D658392"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Definisanje metodologije, detaljan plan i vremenski okvir za pripremu Sporazuma o partnerstvu (ako je primjenljivo) i Programa.</w:t>
            </w:r>
          </w:p>
        </w:tc>
        <w:tc>
          <w:tcPr>
            <w:tcW w:w="627" w:type="pct"/>
            <w:hideMark/>
          </w:tcPr>
          <w:p w14:paraId="6CE14703" w14:textId="17C9FC5F" w:rsidR="0057474F" w:rsidRPr="0057474F" w:rsidRDefault="006D6E25"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57474F" w:rsidRPr="0057474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Radna grupa za poglavlje 22</w:t>
            </w:r>
          </w:p>
        </w:tc>
        <w:tc>
          <w:tcPr>
            <w:tcW w:w="419" w:type="pct"/>
            <w:hideMark/>
          </w:tcPr>
          <w:p w14:paraId="196E3A8C" w14:textId="3A2A2690"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57474F">
              <w:rPr>
                <w:rFonts w:ascii="Aptos" w:eastAsia="Times New Roman" w:hAnsi="Aptos"/>
                <w:kern w:val="0"/>
                <w:sz w:val="14"/>
                <w:szCs w:val="14"/>
                <w:lang w:eastAsia="en-GB"/>
                <w14:ligatures w14:val="none"/>
              </w:rPr>
              <w:t>4</w:t>
            </w:r>
          </w:p>
        </w:tc>
        <w:tc>
          <w:tcPr>
            <w:tcW w:w="708" w:type="pct"/>
            <w:hideMark/>
          </w:tcPr>
          <w:p w14:paraId="34C8DB76" w14:textId="35C4D6E8"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Metodologija, detaljan plan i vremenski okvir za izradu Sporazuma o partnerstvu</w:t>
            </w:r>
            <w:r w:rsidR="0057474F" w:rsidRPr="0057474F">
              <w:rPr>
                <w:rFonts w:ascii="Aptos" w:eastAsia="Times New Roman" w:hAnsi="Aptos"/>
                <w:kern w:val="0"/>
                <w:sz w:val="14"/>
                <w:szCs w:val="14"/>
                <w:lang w:eastAsia="en-GB"/>
                <w14:ligatures w14:val="none"/>
              </w:rPr>
              <w:t>.</w:t>
            </w:r>
          </w:p>
        </w:tc>
        <w:tc>
          <w:tcPr>
            <w:tcW w:w="434" w:type="pct"/>
            <w:hideMark/>
          </w:tcPr>
          <w:p w14:paraId="1898061A" w14:textId="2553F8E8" w:rsidR="0057474F" w:rsidRPr="0057474F" w:rsidRDefault="0013334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71" w:type="pct"/>
            <w:hideMark/>
          </w:tcPr>
          <w:p w14:paraId="1B2ECAD2" w14:textId="04B90FF9"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6D2796AE" w14:textId="5C01C6CD"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Vrijeme realizacije zavisi od objavljivanja prijedloga Komisije za Kohezionu politiku nakon 2027. godine.</w:t>
            </w:r>
          </w:p>
        </w:tc>
        <w:tc>
          <w:tcPr>
            <w:tcW w:w="554" w:type="pct"/>
            <w:hideMark/>
          </w:tcPr>
          <w:p w14:paraId="22CC7A7D" w14:textId="13DDEA37" w:rsidR="0057474F" w:rsidRPr="0057474F" w:rsidRDefault="0032369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57474F" w:rsidRPr="0057474F">
              <w:rPr>
                <w:rFonts w:ascii="Aptos" w:eastAsia="Times New Roman" w:hAnsi="Aptos"/>
                <w:kern w:val="0"/>
                <w:sz w:val="14"/>
                <w:szCs w:val="14"/>
                <w:lang w:eastAsia="en-GB"/>
                <w14:ligatures w14:val="none"/>
              </w:rPr>
              <w:t>.3.01.</w:t>
            </w:r>
          </w:p>
        </w:tc>
      </w:tr>
      <w:tr w:rsidR="0057474F" w:rsidRPr="0057474F" w14:paraId="35DF7F85" w14:textId="77777777" w:rsidTr="00C21BC9">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349" w:type="pct"/>
            <w:hideMark/>
          </w:tcPr>
          <w:p w14:paraId="6FBC486D"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4.02.</w:t>
            </w:r>
          </w:p>
        </w:tc>
        <w:tc>
          <w:tcPr>
            <w:tcW w:w="722" w:type="pct"/>
            <w:hideMark/>
          </w:tcPr>
          <w:p w14:paraId="25336E84" w14:textId="0E90C04C"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 i podnošenje Sporazuma o partnerstvu i programa Komisiji.</w:t>
            </w:r>
          </w:p>
        </w:tc>
        <w:tc>
          <w:tcPr>
            <w:tcW w:w="627" w:type="pct"/>
            <w:hideMark/>
          </w:tcPr>
          <w:p w14:paraId="41238D9A" w14:textId="47A7A196" w:rsidR="0057474F" w:rsidRPr="0057474F" w:rsidRDefault="006D6E25"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419" w:type="pct"/>
            <w:hideMark/>
          </w:tcPr>
          <w:p w14:paraId="0BFC2A02" w14:textId="3487876E"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57474F">
              <w:rPr>
                <w:rFonts w:ascii="Aptos" w:eastAsia="Times New Roman" w:hAnsi="Aptos"/>
                <w:kern w:val="0"/>
                <w:sz w:val="14"/>
                <w:szCs w:val="14"/>
                <w:lang w:eastAsia="en-GB"/>
                <w14:ligatures w14:val="none"/>
              </w:rPr>
              <w:t>1</w:t>
            </w:r>
          </w:p>
        </w:tc>
        <w:tc>
          <w:tcPr>
            <w:tcW w:w="708" w:type="pct"/>
            <w:hideMark/>
          </w:tcPr>
          <w:p w14:paraId="63E45921" w14:textId="6C3D3A41" w:rsidR="0057474F" w:rsidRPr="0057474F" w:rsidRDefault="007029BB"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Osnivanje radnih grupa za programiranje uz poštovanje Evropskog kodeksa ponašanja o partnerstvu.</w:t>
            </w:r>
          </w:p>
        </w:tc>
        <w:tc>
          <w:tcPr>
            <w:tcW w:w="434" w:type="pct"/>
            <w:hideMark/>
          </w:tcPr>
          <w:p w14:paraId="4A3C2EFD" w14:textId="00DB0253"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01E37E40" w14:textId="712769BB"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0F6F04AA" w14:textId="03046D41"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skladu sa akcijom 4.1; indikativni početak je II kvartal 2026. i traje do IV kvartala 2028. Predviđeno je da će proces programiranja trajati između 18 i 24 mjeseca, prije zvaničnog podnošenja Komisiji.</w:t>
            </w:r>
          </w:p>
        </w:tc>
        <w:tc>
          <w:tcPr>
            <w:tcW w:w="554" w:type="pct"/>
            <w:hideMark/>
          </w:tcPr>
          <w:p w14:paraId="3112B611" w14:textId="12E61C86" w:rsidR="0057474F" w:rsidRPr="0057474F" w:rsidRDefault="0032369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57474F" w:rsidRPr="0057474F">
              <w:rPr>
                <w:rFonts w:ascii="Aptos" w:eastAsia="Times New Roman" w:hAnsi="Aptos"/>
                <w:kern w:val="0"/>
                <w:sz w:val="14"/>
                <w:szCs w:val="14"/>
                <w:lang w:eastAsia="en-GB"/>
                <w14:ligatures w14:val="none"/>
              </w:rPr>
              <w:t>.2.06.</w:t>
            </w:r>
          </w:p>
        </w:tc>
      </w:tr>
      <w:tr w:rsidR="0057474F" w:rsidRPr="0057474F" w14:paraId="11F978FB" w14:textId="77777777" w:rsidTr="00C21BC9">
        <w:trPr>
          <w:trHeight w:val="1680"/>
        </w:trPr>
        <w:tc>
          <w:tcPr>
            <w:cnfStyle w:val="001000000000" w:firstRow="0" w:lastRow="0" w:firstColumn="1" w:lastColumn="0" w:oddVBand="0" w:evenVBand="0" w:oddHBand="0" w:evenHBand="0" w:firstRowFirstColumn="0" w:firstRowLastColumn="0" w:lastRowFirstColumn="0" w:lastRowLastColumn="0"/>
            <w:tcW w:w="349" w:type="pct"/>
            <w:hideMark/>
          </w:tcPr>
          <w:p w14:paraId="062EE4E6"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4.02.</w:t>
            </w:r>
          </w:p>
        </w:tc>
        <w:tc>
          <w:tcPr>
            <w:tcW w:w="722" w:type="pct"/>
            <w:hideMark/>
          </w:tcPr>
          <w:p w14:paraId="500FED0C" w14:textId="146D4F7C"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 i podnošenje Sporazuma o partnerstvu i programa Komisiji.</w:t>
            </w:r>
          </w:p>
        </w:tc>
        <w:tc>
          <w:tcPr>
            <w:tcW w:w="627" w:type="pct"/>
            <w:hideMark/>
          </w:tcPr>
          <w:p w14:paraId="0E05C69F" w14:textId="58829FD1" w:rsidR="0057474F" w:rsidRPr="0057474F" w:rsidRDefault="006D6E25"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419" w:type="pct"/>
            <w:hideMark/>
          </w:tcPr>
          <w:p w14:paraId="0EA16C66" w14:textId="6078875B" w:rsidR="0057474F" w:rsidRPr="0057474F" w:rsidRDefault="00975088"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61C84617" w14:textId="42D44F18"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Izveštaji o skriningu i utvrđivanju obima </w:t>
            </w:r>
            <w:r w:rsidR="00C17022">
              <w:rPr>
                <w:rFonts w:ascii="Aptos" w:eastAsia="Times New Roman" w:hAnsi="Aptos"/>
                <w:kern w:val="0"/>
                <w:sz w:val="14"/>
                <w:szCs w:val="14"/>
                <w:lang w:eastAsia="en-GB"/>
                <w14:ligatures w14:val="none"/>
              </w:rPr>
              <w:t>SPUŽS</w:t>
            </w:r>
            <w:r>
              <w:rPr>
                <w:rFonts w:ascii="Aptos" w:eastAsia="Times New Roman" w:hAnsi="Aptos"/>
                <w:kern w:val="0"/>
                <w:sz w:val="14"/>
                <w:szCs w:val="14"/>
                <w:lang w:eastAsia="en-GB"/>
                <w14:ligatures w14:val="none"/>
              </w:rPr>
              <w:t>, po potrebi.</w:t>
            </w:r>
          </w:p>
        </w:tc>
        <w:tc>
          <w:tcPr>
            <w:tcW w:w="434" w:type="pct"/>
            <w:hideMark/>
          </w:tcPr>
          <w:p w14:paraId="5B35D3AB" w14:textId="067A5719" w:rsidR="0057474F" w:rsidRPr="0057474F" w:rsidRDefault="0013334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3B0635DE" w14:textId="57CC6A07"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784D4AF4" w14:textId="3B0A1BE3"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skladu sa akcijom 4.1; indikativni početak je II kvartal 2026. i traje do IV kvartala 2028. Predviđeno je da će proces programiranja trajati između 18 i 24 mjeseca, prije zvaničnog podnošenja Komisiji.</w:t>
            </w:r>
          </w:p>
        </w:tc>
        <w:tc>
          <w:tcPr>
            <w:tcW w:w="554" w:type="pct"/>
            <w:hideMark/>
          </w:tcPr>
          <w:p w14:paraId="48417384"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6343106C" w14:textId="77777777" w:rsidTr="00C21BC9">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349" w:type="pct"/>
            <w:hideMark/>
          </w:tcPr>
          <w:p w14:paraId="2AA2E97C"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4.02.</w:t>
            </w:r>
          </w:p>
        </w:tc>
        <w:tc>
          <w:tcPr>
            <w:tcW w:w="722" w:type="pct"/>
            <w:hideMark/>
          </w:tcPr>
          <w:p w14:paraId="46E40BA5" w14:textId="4A67DD6D"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 i podnošenje Sporazuma o partnerstvu i programa Komisiji.</w:t>
            </w:r>
          </w:p>
        </w:tc>
        <w:tc>
          <w:tcPr>
            <w:tcW w:w="627" w:type="pct"/>
            <w:hideMark/>
          </w:tcPr>
          <w:p w14:paraId="359F8B5D" w14:textId="1A9A6392" w:rsidR="0057474F" w:rsidRPr="0057474F" w:rsidRDefault="006D6E25"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419" w:type="pct"/>
            <w:hideMark/>
          </w:tcPr>
          <w:p w14:paraId="44B24122" w14:textId="5712E240" w:rsidR="0057474F" w:rsidRPr="0057474F" w:rsidRDefault="00975088"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057980BC" w14:textId="5F42B97A" w:rsidR="0057474F" w:rsidRPr="0057474F" w:rsidRDefault="00CD002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NNZŠ</w:t>
            </w:r>
            <w:r w:rsidR="00C46F9D">
              <w:rPr>
                <w:rFonts w:ascii="Aptos" w:eastAsia="Times New Roman" w:hAnsi="Aptos"/>
                <w:kern w:val="0"/>
                <w:sz w:val="14"/>
                <w:szCs w:val="14"/>
                <w:lang w:eastAsia="en-GB"/>
                <w14:ligatures w14:val="none"/>
              </w:rPr>
              <w:t xml:space="preserve"> izvještaj o procjeni kriterijuma.</w:t>
            </w:r>
            <w:r w:rsidR="0057474F" w:rsidRPr="0057474F">
              <w:rPr>
                <w:rFonts w:ascii="Aptos" w:eastAsia="Times New Roman" w:hAnsi="Aptos"/>
                <w:kern w:val="0"/>
                <w:sz w:val="14"/>
                <w:szCs w:val="14"/>
                <w:lang w:eastAsia="en-GB"/>
                <w14:ligatures w14:val="none"/>
              </w:rPr>
              <w:t xml:space="preserve"> </w:t>
            </w:r>
          </w:p>
        </w:tc>
        <w:tc>
          <w:tcPr>
            <w:tcW w:w="434" w:type="pct"/>
            <w:hideMark/>
          </w:tcPr>
          <w:p w14:paraId="214C556F" w14:textId="35255808"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08765274" w14:textId="72D5FDB0"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3E45D86C" w14:textId="6475EC14"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skladu sa akcijom 4.1; indikativni početak je II kvartal 2026. i traje do IV kvartala 2028. Predviđeno je da će proces programiranja trajati između 18 i 24 mjeseca, prije zvaničnog podnošenja Komisiji.</w:t>
            </w:r>
          </w:p>
        </w:tc>
        <w:tc>
          <w:tcPr>
            <w:tcW w:w="554" w:type="pct"/>
            <w:hideMark/>
          </w:tcPr>
          <w:p w14:paraId="188C8E7D"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74BBA016" w14:textId="77777777" w:rsidTr="00C21BC9">
        <w:trPr>
          <w:trHeight w:val="1680"/>
        </w:trPr>
        <w:tc>
          <w:tcPr>
            <w:cnfStyle w:val="001000000000" w:firstRow="0" w:lastRow="0" w:firstColumn="1" w:lastColumn="0" w:oddVBand="0" w:evenVBand="0" w:oddHBand="0" w:evenHBand="0" w:firstRowFirstColumn="0" w:firstRowLastColumn="0" w:lastRowFirstColumn="0" w:lastRowLastColumn="0"/>
            <w:tcW w:w="349" w:type="pct"/>
            <w:hideMark/>
          </w:tcPr>
          <w:p w14:paraId="1ED9F639"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4.02.</w:t>
            </w:r>
          </w:p>
        </w:tc>
        <w:tc>
          <w:tcPr>
            <w:tcW w:w="722" w:type="pct"/>
            <w:hideMark/>
          </w:tcPr>
          <w:p w14:paraId="2AC7AD45" w14:textId="4710CABB"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 i podnošenje Sporazuma o partnerstvu i programa Komisiji.</w:t>
            </w:r>
          </w:p>
        </w:tc>
        <w:tc>
          <w:tcPr>
            <w:tcW w:w="627" w:type="pct"/>
            <w:hideMark/>
          </w:tcPr>
          <w:p w14:paraId="494EEB42" w14:textId="57C58CC8" w:rsidR="0057474F" w:rsidRPr="0057474F" w:rsidRDefault="006D6E25"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419" w:type="pct"/>
            <w:hideMark/>
          </w:tcPr>
          <w:p w14:paraId="73A42FD8" w14:textId="33FE1F47" w:rsidR="0057474F" w:rsidRPr="0057474F" w:rsidRDefault="00975088"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7CCC6EBF" w14:textId="13B97273"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Podnošenje Sporazuma o partnerstvu (gdje je primjenjivo).</w:t>
            </w:r>
          </w:p>
        </w:tc>
        <w:tc>
          <w:tcPr>
            <w:tcW w:w="434" w:type="pct"/>
            <w:hideMark/>
          </w:tcPr>
          <w:p w14:paraId="49C18A33" w14:textId="78DD2A7D" w:rsidR="0057474F" w:rsidRPr="0057474F" w:rsidRDefault="0013334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20DFA743" w14:textId="383369FF"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3F207BEC" w14:textId="4ED2335C"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skladu sa akcijom 4.1; indikativni početak je II kvartal 2026. i traje do IV kvartala 2028. Predviđeno je da će proces programiranja trajati između 18 i 24 mjeseca, prije zvaničnog podnošenja Komisiji.</w:t>
            </w:r>
          </w:p>
        </w:tc>
        <w:tc>
          <w:tcPr>
            <w:tcW w:w="554" w:type="pct"/>
            <w:hideMark/>
          </w:tcPr>
          <w:p w14:paraId="5C3EEA9E"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24956C87" w14:textId="77777777" w:rsidTr="00C21BC9">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349" w:type="pct"/>
            <w:hideMark/>
          </w:tcPr>
          <w:p w14:paraId="5CF97363"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lastRenderedPageBreak/>
              <w:t>4.02.</w:t>
            </w:r>
          </w:p>
        </w:tc>
        <w:tc>
          <w:tcPr>
            <w:tcW w:w="722" w:type="pct"/>
            <w:hideMark/>
          </w:tcPr>
          <w:p w14:paraId="68CC7F7E" w14:textId="6F6B91C0"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 i podnošenje Sporazuma o partnerstvu i programa Komisiji.</w:t>
            </w:r>
          </w:p>
        </w:tc>
        <w:tc>
          <w:tcPr>
            <w:tcW w:w="627" w:type="pct"/>
            <w:hideMark/>
          </w:tcPr>
          <w:p w14:paraId="0843FF82" w14:textId="0E9B49EB" w:rsidR="0057474F" w:rsidRPr="0057474F" w:rsidRDefault="006D6E25"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57474F" w:rsidRPr="0057474F">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419" w:type="pct"/>
            <w:hideMark/>
          </w:tcPr>
          <w:p w14:paraId="33ADE5EF" w14:textId="7EEA00ED" w:rsidR="0057474F" w:rsidRPr="0057474F" w:rsidRDefault="00975088"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315AD525" w14:textId="3FDF16E7"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Podnošenje Programa Komisiji.</w:t>
            </w:r>
          </w:p>
        </w:tc>
        <w:tc>
          <w:tcPr>
            <w:tcW w:w="434" w:type="pct"/>
            <w:hideMark/>
          </w:tcPr>
          <w:p w14:paraId="04AFC5AF" w14:textId="2C3562E4"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663F8ADC" w14:textId="7D4776FB"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2EBF1448" w14:textId="06372E92"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skladu sa akcijom 4.1; indikativni početak je II kvartal 2026. i traje do IV kvartala 2028. Predviđeno je da će proces programiranja trajati između 18 i 24 mjeseca, prije zvaničnog podnošenja Komisiji.</w:t>
            </w:r>
          </w:p>
        </w:tc>
        <w:tc>
          <w:tcPr>
            <w:tcW w:w="554" w:type="pct"/>
            <w:hideMark/>
          </w:tcPr>
          <w:p w14:paraId="7379D962"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515F7D3D" w14:textId="77777777" w:rsidTr="00C21BC9">
        <w:trPr>
          <w:trHeight w:val="1050"/>
        </w:trPr>
        <w:tc>
          <w:tcPr>
            <w:cnfStyle w:val="001000000000" w:firstRow="0" w:lastRow="0" w:firstColumn="1" w:lastColumn="0" w:oddVBand="0" w:evenVBand="0" w:oddHBand="0" w:evenHBand="0" w:firstRowFirstColumn="0" w:firstRowLastColumn="0" w:lastRowFirstColumn="0" w:lastRowLastColumn="0"/>
            <w:tcW w:w="349" w:type="pct"/>
            <w:hideMark/>
          </w:tcPr>
          <w:p w14:paraId="13714E7D"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4.03.</w:t>
            </w:r>
          </w:p>
        </w:tc>
        <w:tc>
          <w:tcPr>
            <w:tcW w:w="722" w:type="pct"/>
            <w:hideMark/>
          </w:tcPr>
          <w:p w14:paraId="7CDCC3E9" w14:textId="5FB7C7E8"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Pripremanje zrele Jedinstvene liste prioritetnih projekata u sektoru Kohezione politike.</w:t>
            </w:r>
          </w:p>
        </w:tc>
        <w:tc>
          <w:tcPr>
            <w:tcW w:w="627" w:type="pct"/>
            <w:hideMark/>
          </w:tcPr>
          <w:p w14:paraId="3C54ABD2" w14:textId="08EEC822"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 xml:space="preserve">Council for Public Investment; </w:t>
            </w:r>
            <w:r w:rsidR="00720740">
              <w:rPr>
                <w:rFonts w:ascii="Aptos" w:eastAsia="Times New Roman" w:hAnsi="Aptos"/>
                <w:kern w:val="0"/>
                <w:sz w:val="14"/>
                <w:szCs w:val="14"/>
                <w:lang w:eastAsia="en-GB"/>
                <w14:ligatures w14:val="none"/>
              </w:rPr>
              <w:t>Relevantna resorna ministarstva</w:t>
            </w:r>
            <w:r w:rsidRPr="0057474F">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javna tijela</w:t>
            </w:r>
          </w:p>
        </w:tc>
        <w:tc>
          <w:tcPr>
            <w:tcW w:w="419" w:type="pct"/>
            <w:hideMark/>
          </w:tcPr>
          <w:p w14:paraId="1750599A" w14:textId="16DF3196" w:rsidR="0057474F" w:rsidRPr="0057474F" w:rsidRDefault="00975088"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008A3946" w14:textId="5F69297F"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Pripremanje zrele Jedinstvene liste prioritetnih projekata u sektoru Kohezione politike.</w:t>
            </w:r>
          </w:p>
        </w:tc>
        <w:tc>
          <w:tcPr>
            <w:tcW w:w="434" w:type="pct"/>
            <w:hideMark/>
          </w:tcPr>
          <w:p w14:paraId="51C3DB1D" w14:textId="31310DA6" w:rsidR="0057474F" w:rsidRPr="0057474F" w:rsidRDefault="0013334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61B9D993" w14:textId="270F4D45"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31DCD33D"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554" w:type="pct"/>
            <w:hideMark/>
          </w:tcPr>
          <w:p w14:paraId="7FA0A825"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57474F" w:rsidRPr="0057474F" w14:paraId="49FB83AD" w14:textId="77777777" w:rsidTr="00C21BC9">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349" w:type="pct"/>
            <w:hideMark/>
          </w:tcPr>
          <w:p w14:paraId="57547948"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4.04.</w:t>
            </w:r>
          </w:p>
        </w:tc>
        <w:tc>
          <w:tcPr>
            <w:tcW w:w="722" w:type="pct"/>
            <w:hideMark/>
          </w:tcPr>
          <w:p w14:paraId="5EBD9D1D" w14:textId="7026B882"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Odluka o upotrebi teritorijalnih alata u Crnoj Gori za programe Kohezione politike i pristup Održivom urbanom razvoju.</w:t>
            </w:r>
          </w:p>
        </w:tc>
        <w:tc>
          <w:tcPr>
            <w:tcW w:w="627" w:type="pct"/>
            <w:hideMark/>
          </w:tcPr>
          <w:p w14:paraId="2B415932" w14:textId="2F16A77E" w:rsidR="0057474F" w:rsidRPr="0057474F" w:rsidRDefault="006D6E25"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19" w:type="pct"/>
            <w:hideMark/>
          </w:tcPr>
          <w:p w14:paraId="0507B014" w14:textId="533B048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57474F">
              <w:rPr>
                <w:rFonts w:ascii="Aptos" w:eastAsia="Times New Roman" w:hAnsi="Aptos"/>
                <w:kern w:val="0"/>
                <w:sz w:val="14"/>
                <w:szCs w:val="14"/>
                <w:lang w:eastAsia="en-GB"/>
                <w14:ligatures w14:val="none"/>
              </w:rPr>
              <w:t>3</w:t>
            </w:r>
          </w:p>
        </w:tc>
        <w:tc>
          <w:tcPr>
            <w:tcW w:w="708" w:type="pct"/>
            <w:hideMark/>
          </w:tcPr>
          <w:p w14:paraId="12FAABBC" w14:textId="11379FEA"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o opcijama i poređenje relevantne najbolje prakse za upotrebu teritorijalnih alata u Crnoj Gori.</w:t>
            </w:r>
          </w:p>
        </w:tc>
        <w:tc>
          <w:tcPr>
            <w:tcW w:w="434" w:type="pct"/>
            <w:hideMark/>
          </w:tcPr>
          <w:p w14:paraId="359B152D" w14:textId="1B50FAAD"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19883CF0" w14:textId="4C5F290D"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1A9671A5" w14:textId="1E2F9C57"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će morati da uzme u obzir prijedloge Komisije za perspektivu 2028-2034.</w:t>
            </w:r>
          </w:p>
        </w:tc>
        <w:tc>
          <w:tcPr>
            <w:tcW w:w="554" w:type="pct"/>
            <w:hideMark/>
          </w:tcPr>
          <w:p w14:paraId="18929219"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2C9BFD71" w14:textId="77777777" w:rsidTr="00C21BC9">
        <w:trPr>
          <w:trHeight w:val="1260"/>
        </w:trPr>
        <w:tc>
          <w:tcPr>
            <w:cnfStyle w:val="001000000000" w:firstRow="0" w:lastRow="0" w:firstColumn="1" w:lastColumn="0" w:oddVBand="0" w:evenVBand="0" w:oddHBand="0" w:evenHBand="0" w:firstRowFirstColumn="0" w:firstRowLastColumn="0" w:lastRowFirstColumn="0" w:lastRowLastColumn="0"/>
            <w:tcW w:w="349" w:type="pct"/>
            <w:hideMark/>
          </w:tcPr>
          <w:p w14:paraId="50F75F56"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4.04.</w:t>
            </w:r>
          </w:p>
        </w:tc>
        <w:tc>
          <w:tcPr>
            <w:tcW w:w="722" w:type="pct"/>
            <w:hideMark/>
          </w:tcPr>
          <w:p w14:paraId="3D1137C4" w14:textId="33989E39"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Odluka o upotrebi teritorijalnih alata u Crnoj Gori za programe Kohezione politike i pristup Održivom urbanom razvoju.</w:t>
            </w:r>
          </w:p>
        </w:tc>
        <w:tc>
          <w:tcPr>
            <w:tcW w:w="627" w:type="pct"/>
            <w:hideMark/>
          </w:tcPr>
          <w:p w14:paraId="589525A8" w14:textId="75003809" w:rsidR="0057474F" w:rsidRPr="0057474F" w:rsidRDefault="006D6E25"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19" w:type="pct"/>
            <w:hideMark/>
          </w:tcPr>
          <w:p w14:paraId="6CD2747F" w14:textId="45E55E3D"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57474F">
              <w:rPr>
                <w:rFonts w:ascii="Aptos" w:eastAsia="Times New Roman" w:hAnsi="Aptos"/>
                <w:kern w:val="0"/>
                <w:sz w:val="14"/>
                <w:szCs w:val="14"/>
                <w:lang w:eastAsia="en-GB"/>
                <w14:ligatures w14:val="none"/>
              </w:rPr>
              <w:t>3</w:t>
            </w:r>
          </w:p>
        </w:tc>
        <w:tc>
          <w:tcPr>
            <w:tcW w:w="708" w:type="pct"/>
            <w:hideMark/>
          </w:tcPr>
          <w:p w14:paraId="60CC1D80" w14:textId="5E0A2B47"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Odluka o predloženom pristupu za održivi urbani razvoj.</w:t>
            </w:r>
          </w:p>
        </w:tc>
        <w:tc>
          <w:tcPr>
            <w:tcW w:w="434" w:type="pct"/>
            <w:hideMark/>
          </w:tcPr>
          <w:p w14:paraId="1194B0F6" w14:textId="75DF421F" w:rsidR="0057474F" w:rsidRPr="0057474F" w:rsidRDefault="0013334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105591B4" w14:textId="6F092707"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3DC3730B" w14:textId="010CDB8A"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će morati da uzme u obzir prijedloge Komisije za perspektivu 2028-2034.</w:t>
            </w:r>
          </w:p>
        </w:tc>
        <w:tc>
          <w:tcPr>
            <w:tcW w:w="554" w:type="pct"/>
            <w:hideMark/>
          </w:tcPr>
          <w:p w14:paraId="0E213FDF"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1248FA97" w14:textId="77777777" w:rsidTr="00C21BC9">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349" w:type="pct"/>
            <w:hideMark/>
          </w:tcPr>
          <w:p w14:paraId="7756B110"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4.05.</w:t>
            </w:r>
          </w:p>
        </w:tc>
        <w:tc>
          <w:tcPr>
            <w:tcW w:w="722" w:type="pct"/>
            <w:hideMark/>
          </w:tcPr>
          <w:p w14:paraId="53D3AAEC" w14:textId="667CAC41"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Ex-ante procjena/e za upotrebu finansijskih instrumenata EU finansiranih kroz Kohezionu politiku, ukoliko je potrebno.</w:t>
            </w:r>
          </w:p>
        </w:tc>
        <w:tc>
          <w:tcPr>
            <w:tcW w:w="627" w:type="pct"/>
            <w:hideMark/>
          </w:tcPr>
          <w:p w14:paraId="7A51002A" w14:textId="280AAE34" w:rsidR="0057474F" w:rsidRPr="0057474F" w:rsidRDefault="006D6E25"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p>
        </w:tc>
        <w:tc>
          <w:tcPr>
            <w:tcW w:w="419" w:type="pct"/>
            <w:hideMark/>
          </w:tcPr>
          <w:p w14:paraId="108042B2" w14:textId="114BCDE1"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57474F">
              <w:rPr>
                <w:rFonts w:ascii="Aptos" w:eastAsia="Times New Roman" w:hAnsi="Aptos"/>
                <w:kern w:val="0"/>
                <w:sz w:val="14"/>
                <w:szCs w:val="14"/>
                <w:lang w:eastAsia="en-GB"/>
                <w14:ligatures w14:val="none"/>
              </w:rPr>
              <w:t>2</w:t>
            </w:r>
          </w:p>
        </w:tc>
        <w:tc>
          <w:tcPr>
            <w:tcW w:w="708" w:type="pct"/>
            <w:hideMark/>
          </w:tcPr>
          <w:p w14:paraId="238B6ED2" w14:textId="512F3DA4"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Ex ante izvještaj/i o procjeni.</w:t>
            </w:r>
          </w:p>
        </w:tc>
        <w:tc>
          <w:tcPr>
            <w:tcW w:w="434" w:type="pct"/>
            <w:hideMark/>
          </w:tcPr>
          <w:p w14:paraId="3727450F" w14:textId="2CA5CE6E"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789110F6" w14:textId="0BF583EF"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70449644" w14:textId="141F9AD0" w:rsidR="0057474F" w:rsidRPr="0057474F" w:rsidRDefault="00CD002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RZO</w:t>
            </w:r>
            <w:r w:rsidR="00C46F9D">
              <w:rPr>
                <w:rFonts w:ascii="Aptos" w:eastAsia="Times New Roman" w:hAnsi="Aptos"/>
                <w:kern w:val="0"/>
                <w:sz w:val="14"/>
                <w:szCs w:val="14"/>
                <w:lang w:eastAsia="en-GB"/>
                <w14:ligatures w14:val="none"/>
              </w:rPr>
              <w:t xml:space="preserve"> Član 58 (3) Odgovarajuća podrška iz Fondova kroz finansijske instrumente biće zasnovana na prethodnoj procjeni koja se sastavlja pod odgovornošću upravljačkog tijela. Ex-ante procjena mora biti završena pr</w:t>
            </w:r>
            <w:r w:rsidR="0086543E">
              <w:rPr>
                <w:rFonts w:ascii="Aptos" w:eastAsia="Times New Roman" w:hAnsi="Aptos"/>
                <w:kern w:val="0"/>
                <w:sz w:val="14"/>
                <w:szCs w:val="14"/>
                <w:lang w:eastAsia="en-GB"/>
                <w14:ligatures w14:val="none"/>
              </w:rPr>
              <w:t>ij</w:t>
            </w:r>
            <w:r w:rsidR="00C46F9D">
              <w:rPr>
                <w:rFonts w:ascii="Aptos" w:eastAsia="Times New Roman" w:hAnsi="Aptos"/>
                <w:kern w:val="0"/>
                <w:sz w:val="14"/>
                <w:szCs w:val="14"/>
                <w:lang w:eastAsia="en-GB"/>
                <w14:ligatures w14:val="none"/>
              </w:rPr>
              <w:t>e nego što upravljačk</w:t>
            </w:r>
            <w:r w:rsidR="0086543E">
              <w:rPr>
                <w:rFonts w:ascii="Aptos" w:eastAsia="Times New Roman" w:hAnsi="Aptos"/>
                <w:kern w:val="0"/>
                <w:sz w:val="14"/>
                <w:szCs w:val="14"/>
                <w:lang w:eastAsia="en-GB"/>
                <w14:ligatures w14:val="none"/>
              </w:rPr>
              <w:t>a</w:t>
            </w:r>
            <w:r w:rsidR="00C46F9D">
              <w:rPr>
                <w:rFonts w:ascii="Aptos" w:eastAsia="Times New Roman" w:hAnsi="Aptos"/>
                <w:kern w:val="0"/>
                <w:sz w:val="14"/>
                <w:szCs w:val="14"/>
                <w:lang w:eastAsia="en-GB"/>
                <w14:ligatures w14:val="none"/>
              </w:rPr>
              <w:t xml:space="preserve"> </w:t>
            </w:r>
            <w:r w:rsidR="0086543E">
              <w:rPr>
                <w:rFonts w:ascii="Aptos" w:eastAsia="Times New Roman" w:hAnsi="Aptos"/>
                <w:kern w:val="0"/>
                <w:sz w:val="14"/>
                <w:szCs w:val="14"/>
                <w:lang w:eastAsia="en-GB"/>
                <w14:ligatures w14:val="none"/>
              </w:rPr>
              <w:t>tijela.</w:t>
            </w:r>
            <w:r w:rsidR="00C46F9D">
              <w:rPr>
                <w:rFonts w:ascii="Aptos" w:eastAsia="Times New Roman" w:hAnsi="Aptos"/>
                <w:kern w:val="0"/>
                <w:sz w:val="14"/>
                <w:szCs w:val="14"/>
                <w:lang w:eastAsia="en-GB"/>
                <w14:ligatures w14:val="none"/>
              </w:rPr>
              <w:t xml:space="preserve">..     </w:t>
            </w:r>
          </w:p>
        </w:tc>
        <w:tc>
          <w:tcPr>
            <w:tcW w:w="554" w:type="pct"/>
            <w:hideMark/>
          </w:tcPr>
          <w:p w14:paraId="124593EF"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1ECA8069" w14:textId="77777777" w:rsidTr="00C21BC9">
        <w:trPr>
          <w:trHeight w:val="1260"/>
        </w:trPr>
        <w:tc>
          <w:tcPr>
            <w:cnfStyle w:val="001000000000" w:firstRow="0" w:lastRow="0" w:firstColumn="1" w:lastColumn="0" w:oddVBand="0" w:evenVBand="0" w:oddHBand="0" w:evenHBand="0" w:firstRowFirstColumn="0" w:firstRowLastColumn="0" w:lastRowFirstColumn="0" w:lastRowLastColumn="0"/>
            <w:tcW w:w="349" w:type="pct"/>
            <w:hideMark/>
          </w:tcPr>
          <w:p w14:paraId="14C22044"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4.06.</w:t>
            </w:r>
          </w:p>
        </w:tc>
        <w:tc>
          <w:tcPr>
            <w:tcW w:w="722" w:type="pct"/>
            <w:hideMark/>
          </w:tcPr>
          <w:p w14:paraId="765C8706" w14:textId="61B4EDC7"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Uspostavljanje Finansijskih instrumenata EU    </w:t>
            </w:r>
          </w:p>
        </w:tc>
        <w:tc>
          <w:tcPr>
            <w:tcW w:w="627" w:type="pct"/>
            <w:hideMark/>
          </w:tcPr>
          <w:p w14:paraId="56B4E578" w14:textId="218686E8" w:rsidR="0057474F" w:rsidRPr="0057474F" w:rsidRDefault="006D6E25"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p>
        </w:tc>
        <w:tc>
          <w:tcPr>
            <w:tcW w:w="419" w:type="pct"/>
            <w:hideMark/>
          </w:tcPr>
          <w:p w14:paraId="74D402D5" w14:textId="5DF894E8"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57474F">
              <w:rPr>
                <w:rFonts w:ascii="Aptos" w:eastAsia="Times New Roman" w:hAnsi="Aptos"/>
                <w:kern w:val="0"/>
                <w:sz w:val="14"/>
                <w:szCs w:val="14"/>
                <w:lang w:eastAsia="en-GB"/>
                <w14:ligatures w14:val="none"/>
              </w:rPr>
              <w:t>3</w:t>
            </w:r>
          </w:p>
        </w:tc>
        <w:tc>
          <w:tcPr>
            <w:tcW w:w="708" w:type="pct"/>
            <w:hideMark/>
          </w:tcPr>
          <w:p w14:paraId="047DA835" w14:textId="2205442C"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Uspostavljeni finansijski instrumenti, uključujući tijela izabrana za njihovu implementaciju, kao i pripadajuća investiciona strategija i poslovni plan.</w:t>
            </w:r>
          </w:p>
        </w:tc>
        <w:tc>
          <w:tcPr>
            <w:tcW w:w="434" w:type="pct"/>
            <w:hideMark/>
          </w:tcPr>
          <w:p w14:paraId="63AAB26C" w14:textId="774359D3" w:rsidR="0057474F" w:rsidRPr="0057474F" w:rsidRDefault="0013334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268BC9C7" w14:textId="116C4EEA"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5BC8AA63"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554" w:type="pct"/>
            <w:hideMark/>
          </w:tcPr>
          <w:p w14:paraId="3C3D82AA"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57474F" w:rsidRPr="0057474F" w14:paraId="43F6B8B6" w14:textId="77777777" w:rsidTr="00C21BC9">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349" w:type="pct"/>
            <w:hideMark/>
          </w:tcPr>
          <w:p w14:paraId="59AD0F04"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4.07.</w:t>
            </w:r>
          </w:p>
        </w:tc>
        <w:tc>
          <w:tcPr>
            <w:tcW w:w="722" w:type="pct"/>
            <w:hideMark/>
          </w:tcPr>
          <w:p w14:paraId="5F25E23F" w14:textId="5E3D7C71"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Definisanje metodologije, detaljan plan i vremenski okvir za pripremu INTERREG IPA prekograničnih programa u kojima će Crna Gora biti Upravljačko tijelo.</w:t>
            </w:r>
          </w:p>
        </w:tc>
        <w:tc>
          <w:tcPr>
            <w:tcW w:w="627" w:type="pct"/>
            <w:hideMark/>
          </w:tcPr>
          <w:p w14:paraId="4B6563E7" w14:textId="5B82E992" w:rsidR="0057474F" w:rsidRPr="0057474F" w:rsidRDefault="006D6E25"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419" w:type="pct"/>
            <w:hideMark/>
          </w:tcPr>
          <w:p w14:paraId="0BB666AB" w14:textId="4A865FCA"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57474F">
              <w:rPr>
                <w:rFonts w:ascii="Aptos" w:eastAsia="Times New Roman" w:hAnsi="Aptos"/>
                <w:kern w:val="0"/>
                <w:sz w:val="14"/>
                <w:szCs w:val="14"/>
                <w:lang w:eastAsia="en-GB"/>
                <w14:ligatures w14:val="none"/>
              </w:rPr>
              <w:t>3</w:t>
            </w:r>
          </w:p>
        </w:tc>
        <w:tc>
          <w:tcPr>
            <w:tcW w:w="708" w:type="pct"/>
            <w:hideMark/>
          </w:tcPr>
          <w:p w14:paraId="6F8D681D" w14:textId="6FBE9825"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Metodologija, detaljan plan i vremenski okvir za pripremu INTERREG IPA prekograničnih programa u kojima će Crna Gora biti Upravljačko tijelo, odobreni.</w:t>
            </w:r>
          </w:p>
        </w:tc>
        <w:tc>
          <w:tcPr>
            <w:tcW w:w="434" w:type="pct"/>
            <w:hideMark/>
          </w:tcPr>
          <w:p w14:paraId="1EE01101" w14:textId="5C8CB464"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14F91F91" w14:textId="6B419569"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16" w:type="pct"/>
            <w:hideMark/>
          </w:tcPr>
          <w:p w14:paraId="343CCD1A" w14:textId="014215B7" w:rsidR="0057474F" w:rsidRPr="0057474F" w:rsidRDefault="0061624A"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Uopšteno, programiranje nasljednih INTERREG programa podržava </w:t>
            </w:r>
            <w:r w:rsidR="00F6773D">
              <w:rPr>
                <w:rFonts w:ascii="Aptos" w:eastAsia="Times New Roman" w:hAnsi="Aptos"/>
                <w:kern w:val="0"/>
                <w:sz w:val="14"/>
                <w:szCs w:val="14"/>
                <w:lang w:eastAsia="en-GB"/>
                <w14:ligatures w14:val="none"/>
              </w:rPr>
              <w:t>tehnička pomoć</w:t>
            </w:r>
            <w:r>
              <w:rPr>
                <w:rFonts w:ascii="Aptos" w:eastAsia="Times New Roman" w:hAnsi="Aptos"/>
                <w:kern w:val="0"/>
                <w:sz w:val="14"/>
                <w:szCs w:val="14"/>
                <w:lang w:eastAsia="en-GB"/>
                <w14:ligatures w14:val="none"/>
              </w:rPr>
              <w:t xml:space="preserve"> koja je na raspolaganju i INTERACT-u. Međutim, to se neće odnositi na predviđene nove INTERREG IPA </w:t>
            </w:r>
            <w:r>
              <w:rPr>
                <w:rFonts w:ascii="Aptos" w:eastAsia="Times New Roman" w:hAnsi="Aptos"/>
                <w:kern w:val="0"/>
                <w:sz w:val="14"/>
                <w:szCs w:val="14"/>
                <w:lang w:eastAsia="en-GB"/>
                <w14:ligatures w14:val="none"/>
              </w:rPr>
              <w:lastRenderedPageBreak/>
              <w:t>programe, budući da trenutne programe podržava...</w:t>
            </w:r>
          </w:p>
        </w:tc>
        <w:tc>
          <w:tcPr>
            <w:tcW w:w="554" w:type="pct"/>
            <w:hideMark/>
          </w:tcPr>
          <w:p w14:paraId="1B95269B"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5834DA06" w14:textId="77777777" w:rsidTr="00C21BC9">
        <w:trPr>
          <w:trHeight w:val="840"/>
        </w:trPr>
        <w:tc>
          <w:tcPr>
            <w:cnfStyle w:val="001000000000" w:firstRow="0" w:lastRow="0" w:firstColumn="1" w:lastColumn="0" w:oddVBand="0" w:evenVBand="0" w:oddHBand="0" w:evenHBand="0" w:firstRowFirstColumn="0" w:firstRowLastColumn="0" w:lastRowFirstColumn="0" w:lastRowLastColumn="0"/>
            <w:tcW w:w="349" w:type="pct"/>
            <w:hideMark/>
          </w:tcPr>
          <w:p w14:paraId="6B1904FE"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4.08.</w:t>
            </w:r>
          </w:p>
        </w:tc>
        <w:tc>
          <w:tcPr>
            <w:tcW w:w="722" w:type="pct"/>
            <w:hideMark/>
          </w:tcPr>
          <w:p w14:paraId="39E16D2C" w14:textId="68E1AE1D"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Programiranje i podnošenje INTERREG IPA programa kojima upravlja Crna Gora</w:t>
            </w:r>
          </w:p>
        </w:tc>
        <w:tc>
          <w:tcPr>
            <w:tcW w:w="627" w:type="pct"/>
            <w:hideMark/>
          </w:tcPr>
          <w:p w14:paraId="18261637" w14:textId="31529609"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Vlada Crne Gore</w:t>
            </w:r>
          </w:p>
        </w:tc>
        <w:tc>
          <w:tcPr>
            <w:tcW w:w="419" w:type="pct"/>
          </w:tcPr>
          <w:p w14:paraId="082EFEAC" w14:textId="5AC81BFB" w:rsidR="0057474F" w:rsidRPr="0057474F" w:rsidRDefault="00975088"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0DECB2ED"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Programming of the INTERREG IPA programmes managed by Montenegro.</w:t>
            </w:r>
          </w:p>
        </w:tc>
        <w:tc>
          <w:tcPr>
            <w:tcW w:w="434" w:type="pct"/>
            <w:hideMark/>
          </w:tcPr>
          <w:p w14:paraId="4C98E88B" w14:textId="707BF0D2" w:rsidR="0057474F" w:rsidRPr="0057474F" w:rsidRDefault="0013334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211DEA0D"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716" w:type="pct"/>
            <w:hideMark/>
          </w:tcPr>
          <w:p w14:paraId="13A8A820" w14:textId="03003E76" w:rsidR="0057474F" w:rsidRPr="0057474F" w:rsidRDefault="0061624A"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Biće potrebna posvećena </w:t>
            </w:r>
            <w:r w:rsidR="0032369C">
              <w:rPr>
                <w:rFonts w:ascii="Aptos" w:eastAsia="Times New Roman" w:hAnsi="Aptos"/>
                <w:kern w:val="0"/>
                <w:sz w:val="14"/>
                <w:szCs w:val="14"/>
                <w:lang w:eastAsia="en-GB"/>
                <w14:ligatures w14:val="none"/>
              </w:rPr>
              <w:t>TP</w:t>
            </w:r>
            <w:r>
              <w:rPr>
                <w:rFonts w:ascii="Aptos" w:eastAsia="Times New Roman" w:hAnsi="Aptos"/>
                <w:kern w:val="0"/>
                <w:sz w:val="14"/>
                <w:szCs w:val="14"/>
                <w:lang w:eastAsia="en-GB"/>
                <w14:ligatures w14:val="none"/>
              </w:rPr>
              <w:t>.</w:t>
            </w:r>
          </w:p>
        </w:tc>
        <w:tc>
          <w:tcPr>
            <w:tcW w:w="554" w:type="pct"/>
            <w:hideMark/>
          </w:tcPr>
          <w:p w14:paraId="48469E54"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1BC2FA4F" w14:textId="77777777" w:rsidTr="00C21BC9">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349" w:type="pct"/>
            <w:hideMark/>
          </w:tcPr>
          <w:p w14:paraId="7E9D0C64"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4.08.</w:t>
            </w:r>
          </w:p>
        </w:tc>
        <w:tc>
          <w:tcPr>
            <w:tcW w:w="722" w:type="pct"/>
            <w:hideMark/>
          </w:tcPr>
          <w:p w14:paraId="69F14DF7" w14:textId="477670A6"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Programiranje i podnošenje INTERREG IPA programa kojima upravlja Crna Gora</w:t>
            </w:r>
          </w:p>
        </w:tc>
        <w:tc>
          <w:tcPr>
            <w:tcW w:w="627" w:type="pct"/>
            <w:hideMark/>
          </w:tcPr>
          <w:p w14:paraId="6948DD76" w14:textId="24E8ED4C"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Vlada Crne Gore</w:t>
            </w:r>
          </w:p>
        </w:tc>
        <w:tc>
          <w:tcPr>
            <w:tcW w:w="419" w:type="pct"/>
          </w:tcPr>
          <w:p w14:paraId="2B64E4D1" w14:textId="7E8725EE" w:rsidR="0057474F" w:rsidRPr="0057474F" w:rsidRDefault="00975088"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58AADD72" w14:textId="0A460287"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Izveštaji o skriningu i utvrđivanju obima </w:t>
            </w:r>
            <w:r w:rsidR="00C17022">
              <w:rPr>
                <w:rFonts w:ascii="Aptos" w:eastAsia="Times New Roman" w:hAnsi="Aptos"/>
                <w:kern w:val="0"/>
                <w:sz w:val="14"/>
                <w:szCs w:val="14"/>
                <w:lang w:eastAsia="en-GB"/>
                <w14:ligatures w14:val="none"/>
              </w:rPr>
              <w:t>SPUŽS</w:t>
            </w:r>
            <w:r>
              <w:rPr>
                <w:rFonts w:ascii="Aptos" w:eastAsia="Times New Roman" w:hAnsi="Aptos"/>
                <w:kern w:val="0"/>
                <w:sz w:val="14"/>
                <w:szCs w:val="14"/>
                <w:lang w:eastAsia="en-GB"/>
                <w14:ligatures w14:val="none"/>
              </w:rPr>
              <w:t>, po potrebi.</w:t>
            </w:r>
          </w:p>
        </w:tc>
        <w:tc>
          <w:tcPr>
            <w:tcW w:w="434" w:type="pct"/>
            <w:hideMark/>
          </w:tcPr>
          <w:p w14:paraId="2DFE4F1C" w14:textId="73D64FB1"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102D9FD8"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716" w:type="pct"/>
            <w:hideMark/>
          </w:tcPr>
          <w:p w14:paraId="4159DD90" w14:textId="3FE04996" w:rsidR="0057474F" w:rsidRPr="0057474F" w:rsidRDefault="0061624A"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Biće potrebna posvećena </w:t>
            </w:r>
            <w:r w:rsidR="0032369C">
              <w:rPr>
                <w:rFonts w:ascii="Aptos" w:eastAsia="Times New Roman" w:hAnsi="Aptos"/>
                <w:kern w:val="0"/>
                <w:sz w:val="14"/>
                <w:szCs w:val="14"/>
                <w:lang w:eastAsia="en-GB"/>
                <w14:ligatures w14:val="none"/>
              </w:rPr>
              <w:t>TP</w:t>
            </w:r>
            <w:r>
              <w:rPr>
                <w:rFonts w:ascii="Aptos" w:eastAsia="Times New Roman" w:hAnsi="Aptos"/>
                <w:kern w:val="0"/>
                <w:sz w:val="14"/>
                <w:szCs w:val="14"/>
                <w:lang w:eastAsia="en-GB"/>
                <w14:ligatures w14:val="none"/>
              </w:rPr>
              <w:t>.</w:t>
            </w:r>
          </w:p>
        </w:tc>
        <w:tc>
          <w:tcPr>
            <w:tcW w:w="554" w:type="pct"/>
            <w:hideMark/>
          </w:tcPr>
          <w:p w14:paraId="2F95AAB7"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4CB58665" w14:textId="77777777" w:rsidTr="00C21BC9">
        <w:trPr>
          <w:trHeight w:val="840"/>
        </w:trPr>
        <w:tc>
          <w:tcPr>
            <w:cnfStyle w:val="001000000000" w:firstRow="0" w:lastRow="0" w:firstColumn="1" w:lastColumn="0" w:oddVBand="0" w:evenVBand="0" w:oddHBand="0" w:evenHBand="0" w:firstRowFirstColumn="0" w:firstRowLastColumn="0" w:lastRowFirstColumn="0" w:lastRowLastColumn="0"/>
            <w:tcW w:w="349" w:type="pct"/>
            <w:hideMark/>
          </w:tcPr>
          <w:p w14:paraId="22097BA6"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4.08.</w:t>
            </w:r>
          </w:p>
        </w:tc>
        <w:tc>
          <w:tcPr>
            <w:tcW w:w="722" w:type="pct"/>
            <w:hideMark/>
          </w:tcPr>
          <w:p w14:paraId="60D945B3" w14:textId="2EAC1822" w:rsidR="0057474F" w:rsidRPr="0057474F" w:rsidRDefault="00C46F9D"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Programiranje i podnošenje INTERREG IPA programa kojima upravlja Crna Gora</w:t>
            </w:r>
          </w:p>
        </w:tc>
        <w:tc>
          <w:tcPr>
            <w:tcW w:w="627" w:type="pct"/>
            <w:hideMark/>
          </w:tcPr>
          <w:p w14:paraId="0A53DF4A" w14:textId="4EA7A48A" w:rsidR="0057474F" w:rsidRPr="0057474F" w:rsidRDefault="00720740"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Vlada Crne Gore</w:t>
            </w:r>
          </w:p>
        </w:tc>
        <w:tc>
          <w:tcPr>
            <w:tcW w:w="419" w:type="pct"/>
          </w:tcPr>
          <w:p w14:paraId="4EA9C5A4" w14:textId="6DED60F8" w:rsidR="0057474F" w:rsidRPr="0057474F" w:rsidRDefault="00975088"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6210016A" w14:textId="2D156726" w:rsidR="0057474F" w:rsidRPr="0057474F" w:rsidRDefault="0061624A"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Izvještaji o procjeni </w:t>
            </w:r>
            <w:r w:rsidR="00CD0020">
              <w:rPr>
                <w:rFonts w:ascii="Aptos" w:eastAsia="Times New Roman" w:hAnsi="Aptos"/>
                <w:kern w:val="0"/>
                <w:sz w:val="14"/>
                <w:szCs w:val="14"/>
                <w:lang w:eastAsia="en-GB"/>
                <w14:ligatures w14:val="none"/>
              </w:rPr>
              <w:t>NNZŠ</w:t>
            </w:r>
            <w:r>
              <w:rPr>
                <w:rFonts w:ascii="Aptos" w:eastAsia="Times New Roman" w:hAnsi="Aptos"/>
                <w:kern w:val="0"/>
                <w:sz w:val="14"/>
                <w:szCs w:val="14"/>
                <w:lang w:eastAsia="en-GB"/>
                <w14:ligatures w14:val="none"/>
              </w:rPr>
              <w:t xml:space="preserve"> kriterijuma.</w:t>
            </w:r>
          </w:p>
        </w:tc>
        <w:tc>
          <w:tcPr>
            <w:tcW w:w="434" w:type="pct"/>
            <w:hideMark/>
          </w:tcPr>
          <w:p w14:paraId="1B131B5F" w14:textId="728C8078" w:rsidR="0057474F" w:rsidRPr="0057474F" w:rsidRDefault="0013334C"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470DD983"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716" w:type="pct"/>
            <w:hideMark/>
          </w:tcPr>
          <w:p w14:paraId="795E53CC" w14:textId="6A179B88" w:rsidR="0057474F" w:rsidRPr="0057474F" w:rsidRDefault="0061624A"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Biće potrebna posvećena </w:t>
            </w:r>
            <w:r w:rsidR="0032369C">
              <w:rPr>
                <w:rFonts w:ascii="Aptos" w:eastAsia="Times New Roman" w:hAnsi="Aptos"/>
                <w:kern w:val="0"/>
                <w:sz w:val="14"/>
                <w:szCs w:val="14"/>
                <w:lang w:eastAsia="en-GB"/>
                <w14:ligatures w14:val="none"/>
              </w:rPr>
              <w:t>TP</w:t>
            </w:r>
            <w:r>
              <w:rPr>
                <w:rFonts w:ascii="Aptos" w:eastAsia="Times New Roman" w:hAnsi="Aptos"/>
                <w:kern w:val="0"/>
                <w:sz w:val="14"/>
                <w:szCs w:val="14"/>
                <w:lang w:eastAsia="en-GB"/>
                <w14:ligatures w14:val="none"/>
              </w:rPr>
              <w:t>.</w:t>
            </w:r>
          </w:p>
        </w:tc>
        <w:tc>
          <w:tcPr>
            <w:tcW w:w="554" w:type="pct"/>
            <w:hideMark/>
          </w:tcPr>
          <w:p w14:paraId="32C1B7D0" w14:textId="77777777" w:rsidR="0057474F" w:rsidRPr="0057474F" w:rsidRDefault="0057474F" w:rsidP="0057474F">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57474F" w:rsidRPr="0057474F" w14:paraId="053A3780" w14:textId="77777777" w:rsidTr="00C21BC9">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349" w:type="pct"/>
            <w:hideMark/>
          </w:tcPr>
          <w:p w14:paraId="6AF1B6BE" w14:textId="77777777" w:rsidR="0057474F" w:rsidRPr="0057474F" w:rsidRDefault="0057474F" w:rsidP="0057474F">
            <w:pPr>
              <w:spacing w:after="0"/>
              <w:jc w:val="left"/>
              <w:rPr>
                <w:rFonts w:ascii="Aptos" w:eastAsia="Times New Roman" w:hAnsi="Aptos"/>
                <w:kern w:val="0"/>
                <w:sz w:val="14"/>
                <w:szCs w:val="14"/>
                <w:lang w:eastAsia="en-GB"/>
                <w14:ligatures w14:val="none"/>
              </w:rPr>
            </w:pPr>
            <w:r w:rsidRPr="0057474F">
              <w:rPr>
                <w:rFonts w:ascii="Aptos" w:eastAsia="Times New Roman" w:hAnsi="Aptos"/>
                <w:kern w:val="0"/>
                <w:sz w:val="14"/>
                <w:szCs w:val="14"/>
                <w:lang w:eastAsia="en-GB"/>
                <w14:ligatures w14:val="none"/>
              </w:rPr>
              <w:t>4.08.</w:t>
            </w:r>
          </w:p>
        </w:tc>
        <w:tc>
          <w:tcPr>
            <w:tcW w:w="722" w:type="pct"/>
            <w:hideMark/>
          </w:tcPr>
          <w:p w14:paraId="55FC7FFF" w14:textId="30B02146" w:rsidR="0057474F" w:rsidRPr="0057474F" w:rsidRDefault="00C46F9D"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Programiranje i podnošenje INTERREG IPA programa kojima upravlja Crna Gora</w:t>
            </w:r>
          </w:p>
        </w:tc>
        <w:tc>
          <w:tcPr>
            <w:tcW w:w="627" w:type="pct"/>
            <w:hideMark/>
          </w:tcPr>
          <w:p w14:paraId="52C745E8" w14:textId="5120FC82" w:rsidR="0057474F" w:rsidRPr="0057474F" w:rsidRDefault="00720740"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Vlada Crne Gore</w:t>
            </w:r>
          </w:p>
        </w:tc>
        <w:tc>
          <w:tcPr>
            <w:tcW w:w="419" w:type="pct"/>
          </w:tcPr>
          <w:p w14:paraId="41D1C12E" w14:textId="1B2A55AD" w:rsidR="0057474F" w:rsidRPr="0057474F" w:rsidRDefault="00975088"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708" w:type="pct"/>
            <w:hideMark/>
          </w:tcPr>
          <w:p w14:paraId="26ECCAC5" w14:textId="6A7A4E3C" w:rsidR="0057474F" w:rsidRPr="0057474F" w:rsidRDefault="0061624A"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Podnošenje INTERREG IPA prekograničnih programa sa za saradnju.</w:t>
            </w:r>
          </w:p>
        </w:tc>
        <w:tc>
          <w:tcPr>
            <w:tcW w:w="434" w:type="pct"/>
            <w:hideMark/>
          </w:tcPr>
          <w:p w14:paraId="652B9EDD" w14:textId="35A23F58" w:rsidR="0057474F" w:rsidRPr="0057474F" w:rsidRDefault="0013334C"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71" w:type="pct"/>
            <w:hideMark/>
          </w:tcPr>
          <w:p w14:paraId="557A6012"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716" w:type="pct"/>
            <w:hideMark/>
          </w:tcPr>
          <w:p w14:paraId="52C47FEF" w14:textId="45C54ED5" w:rsidR="0057474F" w:rsidRPr="0057474F" w:rsidRDefault="0061624A"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Biće potrebna posvećena </w:t>
            </w:r>
            <w:r w:rsidR="0032369C">
              <w:rPr>
                <w:rFonts w:ascii="Aptos" w:eastAsia="Times New Roman" w:hAnsi="Aptos"/>
                <w:kern w:val="0"/>
                <w:sz w:val="14"/>
                <w:szCs w:val="14"/>
                <w:lang w:eastAsia="en-GB"/>
                <w14:ligatures w14:val="none"/>
              </w:rPr>
              <w:t>TP</w:t>
            </w:r>
            <w:r>
              <w:rPr>
                <w:rFonts w:ascii="Aptos" w:eastAsia="Times New Roman" w:hAnsi="Aptos"/>
                <w:kern w:val="0"/>
                <w:sz w:val="14"/>
                <w:szCs w:val="14"/>
                <w:lang w:eastAsia="en-GB"/>
                <w14:ligatures w14:val="none"/>
              </w:rPr>
              <w:t>.</w:t>
            </w:r>
          </w:p>
        </w:tc>
        <w:tc>
          <w:tcPr>
            <w:tcW w:w="554" w:type="pct"/>
            <w:hideMark/>
          </w:tcPr>
          <w:p w14:paraId="576CD528" w14:textId="77777777" w:rsidR="0057474F" w:rsidRPr="0057474F" w:rsidRDefault="0057474F" w:rsidP="0057474F">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bl>
    <w:p w14:paraId="49CFD535" w14:textId="77777777" w:rsidR="003001F8" w:rsidRPr="00B83578" w:rsidRDefault="003001F8" w:rsidP="003001F8">
      <w:pPr>
        <w:rPr>
          <w:rFonts w:eastAsiaTheme="majorEastAsia" w:cs="Arial"/>
          <w:szCs w:val="20"/>
        </w:rPr>
      </w:pPr>
    </w:p>
    <w:p w14:paraId="4E9BB31B" w14:textId="3B7B67CB" w:rsidR="00A30E76" w:rsidRPr="00B83578" w:rsidRDefault="00206BD1" w:rsidP="00A745C2">
      <w:pPr>
        <w:pStyle w:val="Heading1"/>
      </w:pPr>
      <w:bookmarkStart w:id="147" w:name="_Toc201700404"/>
      <w:r>
        <w:t>Monitoring i Evaluacija</w:t>
      </w:r>
      <w:bookmarkEnd w:id="147"/>
    </w:p>
    <w:p w14:paraId="46330406" w14:textId="6ABD1143" w:rsidR="00A30E76" w:rsidRPr="00B83578" w:rsidRDefault="009E36FF" w:rsidP="00A745C2">
      <w:pPr>
        <w:pStyle w:val="Heading2"/>
      </w:pPr>
      <w:bookmarkStart w:id="148" w:name="_Toc201700405"/>
      <w:r>
        <w:t>Relevantni zahtjevi Kohezione politike</w:t>
      </w:r>
      <w:bookmarkEnd w:id="148"/>
    </w:p>
    <w:p w14:paraId="3160ABD4" w14:textId="06240C97" w:rsidR="008A562E" w:rsidRDefault="00CD0020" w:rsidP="008A562E">
      <w:r>
        <w:t>RZO</w:t>
      </w:r>
      <w:r w:rsidR="00206379" w:rsidRPr="00B83578">
        <w:rPr>
          <w:rFonts w:cs="Arial"/>
          <w:color w:val="000000"/>
          <w:kern w:val="0"/>
          <w:vertAlign w:val="superscript"/>
        </w:rPr>
        <w:footnoteReference w:id="193"/>
      </w:r>
      <w:r w:rsidR="008A562E">
        <w:t xml:space="preserve"> propisuje glavne zahtjeve za </w:t>
      </w:r>
      <w:r w:rsidR="00A80895" w:rsidRPr="00A80895">
        <w:t>monitoring</w:t>
      </w:r>
      <w:r w:rsidR="008A562E">
        <w:t xml:space="preserve"> programa kako bi se provjerila njihova realizacija i napredak u odnosu na ciljeve i zadate mete, dok pripremu i </w:t>
      </w:r>
      <w:r w:rsidR="00A80895">
        <w:t>implementaciju</w:t>
      </w:r>
      <w:r w:rsidR="008A562E">
        <w:t xml:space="preserve"> programa treba da prate i podržavaju evaluacije sprovedene u skladu s utvrđenim planovima.  </w:t>
      </w:r>
    </w:p>
    <w:p w14:paraId="2FE67A5A" w14:textId="4480A172" w:rsidR="00D14970" w:rsidRDefault="008A562E" w:rsidP="00D14970">
      <w:r>
        <w:t xml:space="preserve">Zahtjevi za uspostavljanje </w:t>
      </w:r>
      <w:r w:rsidRPr="00206379">
        <w:rPr>
          <w:b/>
        </w:rPr>
        <w:t>Okvira učinka</w:t>
      </w:r>
      <w:r>
        <w:t xml:space="preserve"> definisani su u članovima 16‒17 </w:t>
      </w:r>
      <w:r w:rsidR="00CD0020">
        <w:t>RZO</w:t>
      </w:r>
      <w:r>
        <w:t>-a</w:t>
      </w:r>
      <w:r w:rsidR="00206379" w:rsidRPr="00B83578">
        <w:rPr>
          <w:rFonts w:cs="Arial"/>
          <w:color w:val="000000" w:themeColor="text1"/>
          <w:sz w:val="22"/>
          <w:vertAlign w:val="superscript"/>
        </w:rPr>
        <w:footnoteReference w:id="194"/>
      </w:r>
      <w:r>
        <w:t xml:space="preserve">, koji se odnose na sam </w:t>
      </w:r>
      <w:r w:rsidR="00206379">
        <w:t>O</w:t>
      </w:r>
      <w:r>
        <w:t xml:space="preserve">kvir učinka, kao i u članu 22(3)(d) koji uređuje sadržaj programa. Članovi 16‒17 </w:t>
      </w:r>
      <w:r w:rsidR="00CD0020">
        <w:t>RZO</w:t>
      </w:r>
      <w:r>
        <w:t>-a obavezuju državu članicu EU da pripremi okvir učinka (član 16)</w:t>
      </w:r>
      <w:r w:rsidR="00845D91">
        <w:t xml:space="preserve"> i </w:t>
      </w:r>
      <w:r>
        <w:t>to učini u skladu s metodologijom za njegovo uspostavljanje (član 17)</w:t>
      </w:r>
      <w:r w:rsidR="00206379" w:rsidRPr="00206379">
        <w:rPr>
          <w:rFonts w:cs="Arial"/>
          <w:color w:val="000000" w:themeColor="text1"/>
          <w:sz w:val="22"/>
          <w:vertAlign w:val="superscript"/>
        </w:rPr>
        <w:t xml:space="preserve"> </w:t>
      </w:r>
      <w:r w:rsidR="00206379" w:rsidRPr="00B83578">
        <w:rPr>
          <w:rFonts w:cs="Arial"/>
          <w:color w:val="000000" w:themeColor="text1"/>
          <w:sz w:val="22"/>
          <w:vertAlign w:val="superscript"/>
        </w:rPr>
        <w:footnoteReference w:id="195"/>
      </w:r>
      <w:r w:rsidR="00845D91">
        <w:t xml:space="preserve">, </w:t>
      </w:r>
      <w:r>
        <w:t xml:space="preserve">kako bi se tokom sprovođenja programa omogućilo </w:t>
      </w:r>
      <w:r w:rsidR="00A80895" w:rsidRPr="00A80895">
        <w:t>monitoring</w:t>
      </w:r>
      <w:r>
        <w:t>, izvještavanje i procjena učinka programa.</w:t>
      </w:r>
      <w:r w:rsidR="00D14970" w:rsidRPr="00D14970">
        <w:t xml:space="preserve"> </w:t>
      </w:r>
      <w:r w:rsidR="00D14970">
        <w:t xml:space="preserve">Okvir učinka sastoji se od:  </w:t>
      </w:r>
    </w:p>
    <w:p w14:paraId="37F09E1F" w14:textId="352D41AA" w:rsidR="00D14970" w:rsidRDefault="00D14970" w:rsidP="00845D91">
      <w:pPr>
        <w:ind w:left="720" w:hanging="720"/>
      </w:pPr>
      <w:r>
        <w:t>d)</w:t>
      </w:r>
      <w:r w:rsidR="00845D91">
        <w:tab/>
      </w:r>
      <w:r w:rsidR="00305C14">
        <w:t>indikatora</w:t>
      </w:r>
      <w:r>
        <w:t xml:space="preserve"> </w:t>
      </w:r>
      <w:r w:rsidR="00305C14">
        <w:t>izlaznih rezultata</w:t>
      </w:r>
      <w:r>
        <w:t xml:space="preserve"> (</w:t>
      </w:r>
      <w:r w:rsidRPr="00206379">
        <w:rPr>
          <w:i/>
        </w:rPr>
        <w:t>outpu</w:t>
      </w:r>
      <w:r>
        <w:t xml:space="preserve">t) i rezultata povezanih sa specifičnim ciljevima utvrđenim u posebnim propisima za pojedinačne fondove koji su odabrani za program;  </w:t>
      </w:r>
    </w:p>
    <w:p w14:paraId="24EED36B" w14:textId="25B94EE0" w:rsidR="00D14970" w:rsidRDefault="00D14970" w:rsidP="00D14970">
      <w:r>
        <w:lastRenderedPageBreak/>
        <w:t>e)</w:t>
      </w:r>
      <w:r w:rsidR="00845D91">
        <w:tab/>
      </w:r>
      <w:r>
        <w:t>prekretnica (</w:t>
      </w:r>
      <w:r w:rsidRPr="00206379">
        <w:rPr>
          <w:i/>
        </w:rPr>
        <w:t>milestones</w:t>
      </w:r>
      <w:r>
        <w:t xml:space="preserve">) koje treba postići do kraja 2024. godine za pokazatelje ostvarenja; i  </w:t>
      </w:r>
    </w:p>
    <w:p w14:paraId="793186A3" w14:textId="6E17E501" w:rsidR="00D14970" w:rsidRDefault="00D14970" w:rsidP="00D14970">
      <w:r>
        <w:t xml:space="preserve">f) </w:t>
      </w:r>
      <w:r w:rsidR="00845D91">
        <w:tab/>
      </w:r>
      <w:r>
        <w:t>ciljeva (</w:t>
      </w:r>
      <w:r w:rsidRPr="00206379">
        <w:rPr>
          <w:i/>
        </w:rPr>
        <w:t>targets</w:t>
      </w:r>
      <w:r>
        <w:t xml:space="preserve">) koje treba dostići do kraja 2029. godine za pokazatelje ostvarenja i rezultate.  </w:t>
      </w:r>
    </w:p>
    <w:p w14:paraId="33E81555" w14:textId="7A1CD15D" w:rsidR="00D14970" w:rsidRDefault="00D14970" w:rsidP="00D14970">
      <w:r>
        <w:t xml:space="preserve">Zajednički </w:t>
      </w:r>
      <w:r w:rsidR="00305C14">
        <w:t>indikatori izlaznih rezultata(</w:t>
      </w:r>
      <w:r w:rsidR="00305C14">
        <w:rPr>
          <w:i/>
        </w:rPr>
        <w:t>output</w:t>
      </w:r>
      <w:r w:rsidR="00305C14">
        <w:t>)</w:t>
      </w:r>
      <w:r>
        <w:t xml:space="preserve"> i rezultata objavljeni su u propisima za pojedinačne fondove, i to:  </w:t>
      </w:r>
    </w:p>
    <w:p w14:paraId="14B73A08" w14:textId="7B8C42B7" w:rsidR="00845D91" w:rsidRDefault="00975088" w:rsidP="00D15218">
      <w:pPr>
        <w:pStyle w:val="ListParagraph"/>
        <w:numPr>
          <w:ilvl w:val="0"/>
          <w:numId w:val="45"/>
        </w:numPr>
      </w:pPr>
      <w:r>
        <w:t>Regulativa</w:t>
      </w:r>
      <w:r w:rsidR="00D14970">
        <w:t xml:space="preserve"> o </w:t>
      </w:r>
      <w:r w:rsidR="003D7057">
        <w:t>EFRR</w:t>
      </w:r>
      <w:r w:rsidR="00D14970">
        <w:t xml:space="preserve"> i Kohezi</w:t>
      </w:r>
      <w:r w:rsidR="00206379">
        <w:t>on</w:t>
      </w:r>
      <w:r w:rsidR="00D14970">
        <w:t>om fondu (</w:t>
      </w:r>
      <w:r>
        <w:t>Regulativa</w:t>
      </w:r>
      <w:r w:rsidR="00D14970">
        <w:t xml:space="preserve"> 2021/1058)</w:t>
      </w:r>
      <w:r w:rsidR="00206379" w:rsidRPr="00206379">
        <w:rPr>
          <w:rFonts w:cs="Arial"/>
          <w:color w:val="000000" w:themeColor="text1"/>
          <w:sz w:val="22"/>
          <w:vertAlign w:val="superscript"/>
        </w:rPr>
        <w:t xml:space="preserve"> </w:t>
      </w:r>
      <w:r w:rsidR="00206379" w:rsidRPr="00B83578">
        <w:rPr>
          <w:rFonts w:cs="Arial"/>
          <w:color w:val="000000" w:themeColor="text1"/>
          <w:sz w:val="22"/>
          <w:vertAlign w:val="superscript"/>
        </w:rPr>
        <w:footnoteReference w:id="196"/>
      </w:r>
      <w:r w:rsidR="00D14970">
        <w:t xml:space="preserve">, član 8(1) i Aneksi I i II  </w:t>
      </w:r>
    </w:p>
    <w:p w14:paraId="6CF7C11B" w14:textId="05653031" w:rsidR="00845D91" w:rsidRDefault="00975088" w:rsidP="00D15218">
      <w:pPr>
        <w:pStyle w:val="ListParagraph"/>
        <w:numPr>
          <w:ilvl w:val="0"/>
          <w:numId w:val="45"/>
        </w:numPr>
      </w:pPr>
      <w:r>
        <w:t>Regulativa</w:t>
      </w:r>
      <w:r w:rsidR="00D14970">
        <w:t xml:space="preserve"> o Fondu za pravednu tranziciju (</w:t>
      </w:r>
      <w:r>
        <w:t>Regulativa</w:t>
      </w:r>
      <w:r w:rsidR="00D14970">
        <w:t xml:space="preserve"> 2021/1056)</w:t>
      </w:r>
      <w:r w:rsidR="00206379" w:rsidRPr="00206379">
        <w:rPr>
          <w:rFonts w:cs="Arial"/>
          <w:color w:val="000000" w:themeColor="text1"/>
          <w:sz w:val="22"/>
          <w:vertAlign w:val="superscript"/>
        </w:rPr>
        <w:t xml:space="preserve"> </w:t>
      </w:r>
      <w:r w:rsidR="00206379" w:rsidRPr="00B83578">
        <w:rPr>
          <w:rFonts w:cs="Arial"/>
          <w:color w:val="000000" w:themeColor="text1"/>
          <w:sz w:val="22"/>
          <w:vertAlign w:val="superscript"/>
        </w:rPr>
        <w:footnoteReference w:id="197"/>
      </w:r>
      <w:r w:rsidR="00D14970">
        <w:t xml:space="preserve">, član 12 i Aneks III  </w:t>
      </w:r>
    </w:p>
    <w:p w14:paraId="5DF5B800" w14:textId="1324D985" w:rsidR="00845D91" w:rsidRDefault="00975088" w:rsidP="00D15218">
      <w:pPr>
        <w:pStyle w:val="ListParagraph"/>
        <w:numPr>
          <w:ilvl w:val="0"/>
          <w:numId w:val="45"/>
        </w:numPr>
      </w:pPr>
      <w:r>
        <w:t>Regulativa</w:t>
      </w:r>
      <w:r w:rsidR="00D14970">
        <w:t xml:space="preserve"> o ESF+ (</w:t>
      </w:r>
      <w:r>
        <w:t>Regulativa</w:t>
      </w:r>
      <w:r w:rsidR="00D14970">
        <w:t xml:space="preserve"> 2021/1057)</w:t>
      </w:r>
      <w:r w:rsidR="00206379" w:rsidRPr="00206379">
        <w:rPr>
          <w:rFonts w:cs="Arial"/>
          <w:color w:val="000000" w:themeColor="text1"/>
          <w:sz w:val="22"/>
          <w:vertAlign w:val="superscript"/>
        </w:rPr>
        <w:t xml:space="preserve"> </w:t>
      </w:r>
      <w:r w:rsidR="00206379" w:rsidRPr="00B83578">
        <w:rPr>
          <w:rFonts w:cs="Arial"/>
          <w:color w:val="000000" w:themeColor="text1"/>
          <w:sz w:val="22"/>
          <w:vertAlign w:val="superscript"/>
        </w:rPr>
        <w:footnoteReference w:id="198"/>
      </w:r>
      <w:r w:rsidR="00D14970">
        <w:t xml:space="preserve">, članovi 17 i 23 te Aneksi I, II, III  </w:t>
      </w:r>
    </w:p>
    <w:p w14:paraId="28B5BC43" w14:textId="2B5CDB76" w:rsidR="00D14970" w:rsidRDefault="00975088" w:rsidP="00D15218">
      <w:pPr>
        <w:pStyle w:val="ListParagraph"/>
        <w:numPr>
          <w:ilvl w:val="0"/>
          <w:numId w:val="45"/>
        </w:numPr>
      </w:pPr>
      <w:r>
        <w:t>Regulativa</w:t>
      </w:r>
      <w:r w:rsidR="00D14970">
        <w:t xml:space="preserve"> o </w:t>
      </w:r>
      <w:r w:rsidR="003D7057">
        <w:t>ETS</w:t>
      </w:r>
      <w:r w:rsidR="00D14970">
        <w:t xml:space="preserve"> (</w:t>
      </w:r>
      <w:r>
        <w:t>Regulativa</w:t>
      </w:r>
      <w:r w:rsidR="00D14970">
        <w:t xml:space="preserve"> 2021/1059)</w:t>
      </w:r>
      <w:r w:rsidR="00206379" w:rsidRPr="00206379">
        <w:rPr>
          <w:rFonts w:cs="Arial"/>
          <w:color w:val="000000" w:themeColor="text1"/>
          <w:sz w:val="22"/>
          <w:vertAlign w:val="superscript"/>
        </w:rPr>
        <w:t xml:space="preserve"> </w:t>
      </w:r>
      <w:r w:rsidR="00206379" w:rsidRPr="00B83578">
        <w:rPr>
          <w:rFonts w:cs="Arial"/>
          <w:color w:val="000000" w:themeColor="text1"/>
          <w:sz w:val="22"/>
          <w:vertAlign w:val="superscript"/>
        </w:rPr>
        <w:footnoteReference w:id="199"/>
      </w:r>
      <w:r w:rsidR="00D14970">
        <w:t xml:space="preserve">, poglavlje IV čl. 28-35  </w:t>
      </w:r>
    </w:p>
    <w:p w14:paraId="32825176" w14:textId="4694EE61" w:rsidR="00A30E76" w:rsidRPr="00B83578" w:rsidRDefault="00206379" w:rsidP="00A30E76">
      <w:r w:rsidRPr="00206379">
        <w:t xml:space="preserve">Član 22 stav 3 tačka (d) </w:t>
      </w:r>
      <w:r w:rsidR="00CD0020">
        <w:t>RZO</w:t>
      </w:r>
      <w:r w:rsidRPr="00206379">
        <w:t xml:space="preserve">-a zahtijeva izbor pokazatelja ostvarenja i rezultata za svaki specifični cilj (osim za posebne oblike </w:t>
      </w:r>
      <w:r w:rsidR="00F6773D">
        <w:t>tehničke pomoći</w:t>
      </w:r>
      <w:r w:rsidRPr="00206379">
        <w:t>).</w:t>
      </w:r>
    </w:p>
    <w:p w14:paraId="2F06C373" w14:textId="76AAC3B0" w:rsidR="00206379" w:rsidRDefault="00206379" w:rsidP="00206379">
      <w:r>
        <w:t xml:space="preserve">Što se tiče uspostavljanja </w:t>
      </w:r>
      <w:r w:rsidRPr="00206379">
        <w:rPr>
          <w:b/>
        </w:rPr>
        <w:t xml:space="preserve">Odbora za </w:t>
      </w:r>
      <w:r w:rsidR="00E26D99">
        <w:rPr>
          <w:b/>
        </w:rPr>
        <w:t>monitoring</w:t>
      </w:r>
      <w:r>
        <w:t xml:space="preserve"> i podrške njegovom radu od strane Upravljačkog tijela, član 38 </w:t>
      </w:r>
      <w:r w:rsidR="00CD0020">
        <w:t>RZO</w:t>
      </w:r>
      <w:r>
        <w:t xml:space="preserve">-a fokusira se na formiranje Odbora za </w:t>
      </w:r>
      <w:r w:rsidR="00E26D99">
        <w:t>monitoring</w:t>
      </w:r>
      <w:r>
        <w:t xml:space="preserve"> te usvajanje i objavljivanje Poslovnika; član 39 o sastavu Odbora za </w:t>
      </w:r>
      <w:r w:rsidR="00A80895" w:rsidRPr="00A80895">
        <w:t>monitoring</w:t>
      </w:r>
      <w:r>
        <w:t xml:space="preserve"> treba se tumačiti zajedno sa članom 88 o partnerstvu i višeslojnom upravljanju; član 40 propisuje funkcije Odbora za </w:t>
      </w:r>
      <w:r w:rsidR="00A80895" w:rsidRPr="00A80895">
        <w:t>monitoring</w:t>
      </w:r>
      <w:r>
        <w:t xml:space="preserve">; član 41 nalaže organizovanje godišnjih </w:t>
      </w:r>
      <w:r w:rsidR="00CE1BBE">
        <w:t>revizijskih</w:t>
      </w:r>
      <w:r>
        <w:t xml:space="preserve"> sastanaka radi razmatranja učinka Programa.  </w:t>
      </w:r>
    </w:p>
    <w:p w14:paraId="3184E666" w14:textId="7E0D5975" w:rsidR="00206379" w:rsidRDefault="00206379" w:rsidP="00206379">
      <w:r>
        <w:t xml:space="preserve">Član 75 propisuje da Upravljačko tijelo pravovremeno obezbijedi Odboru za </w:t>
      </w:r>
      <w:r w:rsidR="00E26D99" w:rsidRPr="00E26D99">
        <w:t>monitoring</w:t>
      </w:r>
      <w:r>
        <w:t xml:space="preserve"> sve informacije neophodne za izvršavanje njegovih zadataka i osigura sprovođenje odluka i preporuka Odbora za </w:t>
      </w:r>
      <w:r w:rsidR="00E26D99" w:rsidRPr="00E26D99">
        <w:t>monitoring</w:t>
      </w:r>
      <w:r>
        <w:t xml:space="preserve">.  </w:t>
      </w:r>
    </w:p>
    <w:p w14:paraId="4B6B5A0C" w14:textId="55EA7B89" w:rsidR="00206379" w:rsidRDefault="00206379" w:rsidP="00206379">
      <w:r>
        <w:t xml:space="preserve">Što se tiče uspostavljanja elektronskog </w:t>
      </w:r>
      <w:r w:rsidR="00A067C3">
        <w:rPr>
          <w:b/>
        </w:rPr>
        <w:t>Informacionog sistema za upravljanje</w:t>
      </w:r>
      <w:r w:rsidRPr="00CE1BBE">
        <w:rPr>
          <w:b/>
        </w:rPr>
        <w:t xml:space="preserve"> (</w:t>
      </w:r>
      <w:r w:rsidR="00A067C3">
        <w:rPr>
          <w:b/>
        </w:rPr>
        <w:t>ISU</w:t>
      </w:r>
      <w:r w:rsidRPr="00CE1BBE">
        <w:rPr>
          <w:b/>
        </w:rPr>
        <w:t xml:space="preserve">), </w:t>
      </w:r>
      <w:r w:rsidR="00CE1BBE">
        <w:rPr>
          <w:b/>
        </w:rPr>
        <w:t>E</w:t>
      </w:r>
      <w:r w:rsidRPr="00CE1BBE">
        <w:rPr>
          <w:b/>
        </w:rPr>
        <w:t>lektronskog prenosa podataka</w:t>
      </w:r>
      <w:r>
        <w:t xml:space="preserve"> i Završnog izvještaja o učinku: član 42 </w:t>
      </w:r>
      <w:r w:rsidR="00CD0020">
        <w:t>RZO</w:t>
      </w:r>
      <w:r>
        <w:t xml:space="preserve">-a odnosi se na elektronski prenos podataka, koji se vrši popunjavanjem 12 tabela prema obrascu iz Aneksa VII </w:t>
      </w:r>
      <w:r w:rsidR="00CD0020">
        <w:t>RZO</w:t>
      </w:r>
      <w:r>
        <w:t>-a, dok član 43 zahtijeva izradu i Završnog izvještaja o učinku</w:t>
      </w:r>
      <w:r w:rsidR="00CE1BBE">
        <w:t>:</w:t>
      </w:r>
    </w:p>
    <w:p w14:paraId="1458BD8D" w14:textId="6C5ED66E" w:rsidR="00CE1BBE" w:rsidRDefault="00CE1BBE" w:rsidP="00CE1BBE">
      <w:r>
        <w:t xml:space="preserve">Član 42 </w:t>
      </w:r>
      <w:r w:rsidR="00CD0020">
        <w:t>RZO</w:t>
      </w:r>
      <w:r>
        <w:t xml:space="preserve">-a odnosi se na elektronski prenos podataka, koji se obavlja popunjavanjem 12 tabela prema obrascu iz Aneksa VII </w:t>
      </w:r>
      <w:r w:rsidR="00CD0020">
        <w:t>RZO</w:t>
      </w:r>
      <w:r>
        <w:t xml:space="preserve">-a. Član 43 zahtijeva pripremu i objavljivanje Završnog izvještaja o učinku.  </w:t>
      </w:r>
    </w:p>
    <w:p w14:paraId="03777C5E" w14:textId="16D3AF65" w:rsidR="00CE1BBE" w:rsidRDefault="00CE1BBE" w:rsidP="00CE1BBE">
      <w:r>
        <w:t xml:space="preserve">Član 69 </w:t>
      </w:r>
      <w:r w:rsidR="00CD0020">
        <w:t>RZO</w:t>
      </w:r>
      <w:r>
        <w:t xml:space="preserve">-a fokusira se na kvalitet, tačnost i pouzdanost sistema za </w:t>
      </w:r>
      <w:r w:rsidR="00E26D99" w:rsidRPr="00E26D99">
        <w:t>monitoring</w:t>
      </w:r>
      <w:r>
        <w:t xml:space="preserve"> i podataka o pokazateljima, objavljivanje informacija, sisteme i procedure za revizijski trag, sisteme elektronske razmjene podataka.  </w:t>
      </w:r>
    </w:p>
    <w:p w14:paraId="396C6D58" w14:textId="55DBA642" w:rsidR="00A30E76" w:rsidRDefault="00CE1BBE" w:rsidP="00A30E76">
      <w:r>
        <w:t xml:space="preserve">Član 69 fokusira se na odgovornosti država članica, između ostalog, u pogledu: </w:t>
      </w:r>
    </w:p>
    <w:p w14:paraId="6686272A" w14:textId="2167D484" w:rsidR="00CE1BBE" w:rsidRPr="00B83578" w:rsidRDefault="00CE1BBE" w:rsidP="00A30E76">
      <w:r>
        <w:t>Član 69</w:t>
      </w:r>
      <w:r w:rsidR="00670E53">
        <w:t>(4) Kvalitet, tačnost i pouzdanost sistema praćenja i podataka o indikatorima.</w:t>
      </w:r>
    </w:p>
    <w:p w14:paraId="19D9D0F9" w14:textId="2210809E" w:rsidR="00CE1BBE" w:rsidRDefault="00CE1BBE" w:rsidP="00CE1BBE">
      <w:r>
        <w:t>Član 69(5) Objavljivanje informacija u skladu sa zahtjevima utvrđenim ov</w:t>
      </w:r>
      <w:r w:rsidR="00670E53">
        <w:t>o</w:t>
      </w:r>
      <w:r>
        <w:t xml:space="preserve">m </w:t>
      </w:r>
      <w:r w:rsidR="00420726">
        <w:t>Regulativom</w:t>
      </w:r>
      <w:r>
        <w:t xml:space="preserve"> (</w:t>
      </w:r>
      <w:r w:rsidR="00CD0020">
        <w:t>RZO</w:t>
      </w:r>
      <w:r>
        <w:t>) i</w:t>
      </w:r>
      <w:r w:rsidR="00670E53">
        <w:t xml:space="preserve"> </w:t>
      </w:r>
      <w:r w:rsidR="00420726">
        <w:t>Regulativama</w:t>
      </w:r>
      <w:r w:rsidR="00670E53">
        <w:t xml:space="preserve"> specifičnim za fondove</w:t>
      </w:r>
      <w:r>
        <w:t>, osim ako pravo Unije ili nacionalno pravo isključuje takvo objavljivanje zbog razloga sigurnosti, javnog reda, krivičnih istraga ili zaštite ličnih podataka u skladu s</w:t>
      </w:r>
      <w:r w:rsidR="00670E53">
        <w:t>a Regulativom</w:t>
      </w:r>
      <w:r>
        <w:t xml:space="preserve"> (EU) 2016/679</w:t>
      </w:r>
      <w:r w:rsidR="00670E53" w:rsidRPr="00B83578">
        <w:rPr>
          <w:rFonts w:cs="Arial"/>
          <w:color w:val="000000" w:themeColor="text1"/>
          <w:kern w:val="0"/>
          <w:vertAlign w:val="superscript"/>
        </w:rPr>
        <w:footnoteReference w:id="200"/>
      </w:r>
      <w:r>
        <w:t xml:space="preserve">. Posebno su relevantni i Direktiva (EU) 2019/1024 Evropskog parlamenta i Savjeta od 20. juna 2019. o otvorenim podacima i ponovnoj upotrebi informacija javnog sektora (prečišćeni </w:t>
      </w:r>
      <w:r>
        <w:lastRenderedPageBreak/>
        <w:t xml:space="preserve">tekst) te </w:t>
      </w:r>
      <w:r w:rsidR="00670E53">
        <w:t xml:space="preserve">Implementaciona Regulativa </w:t>
      </w:r>
      <w:r>
        <w:t xml:space="preserve">Komisije (EU) 2023/138 od 21. decembra 2022. kojom se utvrđuje lista specifičnih skupova podataka od visokog značaja i aranžmani za njihovu objavu i ponovnu upotrebu.  </w:t>
      </w:r>
    </w:p>
    <w:p w14:paraId="33118D1E" w14:textId="1FF768A9" w:rsidR="00CE1BBE" w:rsidRDefault="00CE1BBE" w:rsidP="00CE1BBE">
      <w:r>
        <w:t>Član 69(6) Sistemi i procedure kojima se osigurava da se svi dokumenti potrebni za reviz</w:t>
      </w:r>
      <w:r w:rsidR="00670E53">
        <w:t>orski</w:t>
      </w:r>
      <w:r>
        <w:t xml:space="preserve"> trag</w:t>
      </w:r>
      <w:r w:rsidR="00670E53" w:rsidRPr="00B83578">
        <w:rPr>
          <w:rFonts w:cs="Arial"/>
          <w:color w:val="000000"/>
          <w:kern w:val="0"/>
          <w:vertAlign w:val="superscript"/>
        </w:rPr>
        <w:footnoteReference w:id="201"/>
      </w:r>
      <w:r>
        <w:t xml:space="preserve">, kako je navedeno u Aneksu XIII, čuvaju u skladu sa zahtjevima iz člana 82.  </w:t>
      </w:r>
    </w:p>
    <w:p w14:paraId="45151BE3" w14:textId="77777777" w:rsidR="00CE1BBE" w:rsidRDefault="00CE1BBE" w:rsidP="00CE1BBE">
      <w:r>
        <w:t>Član 69(8) Elektronski sistemi razmjene podataka između programskih tijela i korisnika. Član 69(8) upućuje na ANEKS XIV za dodatne smjernice.</w:t>
      </w:r>
    </w:p>
    <w:p w14:paraId="6DE96236" w14:textId="3D21963D" w:rsidR="003E2A14" w:rsidRPr="003E2A14" w:rsidRDefault="003E2A14" w:rsidP="003E2A14">
      <w:pPr>
        <w:rPr>
          <w:color w:val="000000"/>
          <w:kern w:val="0"/>
        </w:rPr>
      </w:pPr>
      <w:r w:rsidRPr="003E2A14">
        <w:rPr>
          <w:color w:val="000000"/>
          <w:kern w:val="0"/>
        </w:rPr>
        <w:t xml:space="preserve">Član 69(9) Elektronski sistem razmjene podataka između država članica i Komisije – član 69(9) upućuje na ANEKS XV SFC2021 za dodatne smjernice.  </w:t>
      </w:r>
    </w:p>
    <w:p w14:paraId="45FAEF1C" w14:textId="6F0344E6" w:rsidR="003E2A14" w:rsidRPr="003E2A14" w:rsidRDefault="003E2A14" w:rsidP="003E2A14">
      <w:pPr>
        <w:rPr>
          <w:color w:val="000000"/>
          <w:kern w:val="0"/>
        </w:rPr>
      </w:pPr>
      <w:r w:rsidRPr="003E2A14">
        <w:rPr>
          <w:color w:val="000000"/>
          <w:kern w:val="0"/>
        </w:rPr>
        <w:t xml:space="preserve">Član 72 stav 1 tačka (e) propisuje da Upravljačko tijelo mora elektronski evidentirati i čuvati </w:t>
      </w:r>
      <w:r w:rsidRPr="003E2A14">
        <w:rPr>
          <w:b/>
          <w:color w:val="000000"/>
          <w:kern w:val="0"/>
        </w:rPr>
        <w:t xml:space="preserve">podatke o svakoj </w:t>
      </w:r>
      <w:r w:rsidR="001B45D8">
        <w:rPr>
          <w:b/>
          <w:color w:val="000000"/>
          <w:kern w:val="0"/>
        </w:rPr>
        <w:t>operaciji</w:t>
      </w:r>
      <w:r w:rsidRPr="003E2A14">
        <w:rPr>
          <w:color w:val="000000"/>
          <w:kern w:val="0"/>
        </w:rPr>
        <w:t xml:space="preserve">, neophodne za </w:t>
      </w:r>
      <w:r w:rsidR="00E26D99" w:rsidRPr="00E26D99">
        <w:rPr>
          <w:color w:val="000000"/>
          <w:kern w:val="0"/>
        </w:rPr>
        <w:t>monitoring</w:t>
      </w:r>
      <w:r w:rsidRPr="003E2A14">
        <w:rPr>
          <w:color w:val="000000"/>
          <w:kern w:val="0"/>
        </w:rPr>
        <w:t>, evaluaciju, finansijsko upravljanje, verifikacije i revizije, u skladu s Aneksom XVII</w:t>
      </w:r>
      <w:r w:rsidRPr="00B83578">
        <w:rPr>
          <w:vertAlign w:val="superscript"/>
        </w:rPr>
        <w:footnoteReference w:id="202"/>
      </w:r>
      <w:r w:rsidRPr="003E2A14">
        <w:rPr>
          <w:color w:val="000000"/>
          <w:kern w:val="0"/>
        </w:rPr>
        <w:t xml:space="preserve">, te obezbijediti sigurnost, integritet i povjerljivost podataka kao i autentifikaciju korisnika.  </w:t>
      </w:r>
    </w:p>
    <w:p w14:paraId="4DD250AB" w14:textId="02420C60" w:rsidR="003E2A14" w:rsidRDefault="003E2A14" w:rsidP="003E2A14">
      <w:pPr>
        <w:rPr>
          <w:color w:val="000000"/>
          <w:kern w:val="0"/>
        </w:rPr>
      </w:pPr>
      <w:r w:rsidRPr="003E2A14">
        <w:rPr>
          <w:color w:val="000000"/>
          <w:kern w:val="0"/>
        </w:rPr>
        <w:t xml:space="preserve">Što se tiče izrade </w:t>
      </w:r>
      <w:r w:rsidRPr="003E2A14">
        <w:rPr>
          <w:b/>
          <w:color w:val="000000"/>
          <w:kern w:val="0"/>
        </w:rPr>
        <w:t>Plana evaluacije</w:t>
      </w:r>
      <w:r w:rsidRPr="003E2A14">
        <w:rPr>
          <w:color w:val="000000"/>
          <w:kern w:val="0"/>
        </w:rPr>
        <w:t xml:space="preserve"> za </w:t>
      </w:r>
      <w:r>
        <w:rPr>
          <w:color w:val="000000"/>
          <w:kern w:val="0"/>
        </w:rPr>
        <w:t>K</w:t>
      </w:r>
      <w:r w:rsidRPr="003E2A14">
        <w:rPr>
          <w:color w:val="000000"/>
          <w:kern w:val="0"/>
        </w:rPr>
        <w:t>oh</w:t>
      </w:r>
      <w:r>
        <w:rPr>
          <w:color w:val="000000"/>
          <w:kern w:val="0"/>
        </w:rPr>
        <w:t>e</w:t>
      </w:r>
      <w:r w:rsidRPr="003E2A14">
        <w:rPr>
          <w:color w:val="000000"/>
          <w:kern w:val="0"/>
        </w:rPr>
        <w:t xml:space="preserve">zione programe, čl. 44 i 45 </w:t>
      </w:r>
      <w:r w:rsidR="00CD0020">
        <w:rPr>
          <w:color w:val="000000"/>
          <w:kern w:val="0"/>
        </w:rPr>
        <w:t>RZO</w:t>
      </w:r>
      <w:r w:rsidRPr="003E2A14">
        <w:rPr>
          <w:color w:val="000000"/>
          <w:kern w:val="0"/>
        </w:rPr>
        <w:t>-a odnose se na evaluaciju programa od strane države članice i evaluaciju od strane Komisije. Plan evaluacije mora biti dostavljen Komisiji u roku od jedne godine od odobrenja programa.</w:t>
      </w:r>
    </w:p>
    <w:p w14:paraId="573A210D" w14:textId="764E9BC4" w:rsidR="00A30E76" w:rsidRPr="00B83578" w:rsidRDefault="00017758" w:rsidP="00A745C2">
      <w:pPr>
        <w:pStyle w:val="Heading2"/>
      </w:pPr>
      <w:bookmarkStart w:id="149" w:name="_Toc181860725"/>
      <w:bookmarkStart w:id="150" w:name="_Toc201700406"/>
      <w:r>
        <w:t>Procjena trenutne situacije</w:t>
      </w:r>
      <w:r w:rsidR="00A30E76" w:rsidRPr="00B83578">
        <w:rPr>
          <w:sz w:val="22"/>
          <w:vertAlign w:val="superscript"/>
        </w:rPr>
        <w:footnoteReference w:id="203"/>
      </w:r>
      <w:bookmarkEnd w:id="149"/>
      <w:bookmarkEnd w:id="150"/>
    </w:p>
    <w:p w14:paraId="5500070D" w14:textId="54FEECD9" w:rsidR="003E2A14" w:rsidRDefault="003E2A14" w:rsidP="003E2A14">
      <w:r>
        <w:t xml:space="preserve">Crna Gora je razvila sistem za </w:t>
      </w:r>
      <w:r w:rsidR="00E26D99" w:rsidRPr="00E26D99">
        <w:t>monitoring</w:t>
      </w:r>
      <w:r>
        <w:t xml:space="preserve"> i evaluaciju IPA-e na osnovu odredbi Zakona o potvrđivanju Okvirnog sporazuma za IPA II</w:t>
      </w:r>
      <w:r w:rsidR="0039738B" w:rsidRPr="00B83578">
        <w:rPr>
          <w:rFonts w:cs="Arial"/>
          <w:vertAlign w:val="superscript"/>
        </w:rPr>
        <w:footnoteReference w:id="204"/>
      </w:r>
      <w:r>
        <w:t xml:space="preserve"> (FA) i Zakona o potvrđivanju </w:t>
      </w:r>
      <w:r w:rsidR="002F51DA">
        <w:t>Okvirnog finansijskog</w:t>
      </w:r>
      <w:r>
        <w:t xml:space="preserve"> sporazuma o partnerstvu za IPA III</w:t>
      </w:r>
      <w:r w:rsidR="0039738B" w:rsidRPr="00B83578">
        <w:rPr>
          <w:vertAlign w:val="superscript"/>
        </w:rPr>
        <w:footnoteReference w:id="205"/>
      </w:r>
      <w:r w:rsidR="0039738B" w:rsidRPr="00B83578">
        <w:t xml:space="preserve"> </w:t>
      </w:r>
      <w:r>
        <w:t xml:space="preserve"> (FFPA).  </w:t>
      </w:r>
    </w:p>
    <w:p w14:paraId="7D1B4ECB" w14:textId="3DF8DD97" w:rsidR="003E2A14" w:rsidRDefault="003E2A14" w:rsidP="003E2A14">
      <w:r>
        <w:t>Nacionalni koordinator za IPA (</w:t>
      </w:r>
      <w:r w:rsidR="0086543E" w:rsidRPr="0086543E">
        <w:t>NIPAK</w:t>
      </w:r>
      <w:r>
        <w:t xml:space="preserve">) je glavni sagovornik Evropske komisije za cjelokupan proces koordinacije </w:t>
      </w:r>
      <w:r w:rsidR="00477A44">
        <w:t>monitoringa</w:t>
      </w:r>
      <w:r>
        <w:t xml:space="preserve"> sprovođenja, evaluacije i izvještavanja o IPA po</w:t>
      </w:r>
      <w:r w:rsidR="00477A44">
        <w:t>dršci</w:t>
      </w:r>
      <w:r>
        <w:t xml:space="preserve">. Položaj </w:t>
      </w:r>
      <w:r w:rsidR="0086543E" w:rsidRPr="0086543E">
        <w:t>NIPAK</w:t>
      </w:r>
      <w:r>
        <w:t xml:space="preserve">-a je trenutno upražnjen (zvanično imenovanje je u toku). </w:t>
      </w:r>
      <w:r w:rsidR="0086543E" w:rsidRPr="0086543E">
        <w:t>NIPAK</w:t>
      </w:r>
      <w:r>
        <w:t xml:space="preserve">-u u radu pruža podršku Kancelarija </w:t>
      </w:r>
      <w:r w:rsidR="0086543E" w:rsidRPr="0086543E">
        <w:t>NIPAK</w:t>
      </w:r>
      <w:r>
        <w:t xml:space="preserve">-a pri Ministarstvu evropskih poslova – Direktorat za koordinaciju finansijske </w:t>
      </w:r>
      <w:r w:rsidR="00477A44">
        <w:t>podrške</w:t>
      </w:r>
      <w:r>
        <w:t xml:space="preserve"> EU. Kadrovski kapaciteti Kancelarije </w:t>
      </w:r>
      <w:r w:rsidR="0086543E" w:rsidRPr="0086543E">
        <w:t>NIPAK</w:t>
      </w:r>
      <w:r>
        <w:t>-a trenutno ni</w:t>
      </w:r>
      <w:r w:rsidR="0039738B">
        <w:t>je</w:t>
      </w:r>
      <w:r>
        <w:t xml:space="preserve">su dovoljni za efikasno i efektivno obavljanje zadataka praćenja i evaluacije.  </w:t>
      </w:r>
    </w:p>
    <w:p w14:paraId="02204B59" w14:textId="77777777" w:rsidR="003E2A14" w:rsidRDefault="003E2A14" w:rsidP="003E2A14">
      <w:r>
        <w:t>Uspostavljeni M&amp;E sistem obuhvata skup priručnika o procedurama i operativnim alatima.</w:t>
      </w:r>
    </w:p>
    <w:p w14:paraId="0C38D3EF" w14:textId="77777777" w:rsidR="00A30E76" w:rsidRPr="00B83578" w:rsidRDefault="00A30E76" w:rsidP="00A745C2">
      <w:pPr>
        <w:pStyle w:val="Heading3"/>
      </w:pPr>
      <w:bookmarkStart w:id="151" w:name="_Toc181860726"/>
      <w:bookmarkStart w:id="152" w:name="_Toc201700407"/>
      <w:r w:rsidRPr="00B83578">
        <w:t>Monitoring</w:t>
      </w:r>
      <w:bookmarkEnd w:id="151"/>
      <w:bookmarkEnd w:id="152"/>
    </w:p>
    <w:p w14:paraId="7B2722C1" w14:textId="241EB8E0" w:rsidR="00A30E76" w:rsidRPr="00B83578" w:rsidRDefault="00624648" w:rsidP="00A745C2">
      <w:pPr>
        <w:pStyle w:val="Heading4"/>
      </w:pPr>
      <w:r>
        <w:t>Odbor za m</w:t>
      </w:r>
      <w:r w:rsidR="00A30E76" w:rsidRPr="00B83578">
        <w:t xml:space="preserve">onitoring </w:t>
      </w:r>
    </w:p>
    <w:p w14:paraId="44530CB3" w14:textId="279E9E92" w:rsidR="0039738B" w:rsidRPr="0039738B" w:rsidRDefault="0039738B" w:rsidP="0039738B">
      <w:pPr>
        <w:rPr>
          <w:color w:val="000000" w:themeColor="text1"/>
        </w:rPr>
      </w:pPr>
      <w:r w:rsidRPr="0039738B">
        <w:rPr>
          <w:color w:val="000000" w:themeColor="text1"/>
        </w:rPr>
        <w:t xml:space="preserve">U skladu sa članom 52 FFPA, uspostavljen je IPA Odbor za </w:t>
      </w:r>
      <w:r w:rsidR="00E26D99" w:rsidRPr="00E26D99">
        <w:rPr>
          <w:color w:val="000000" w:themeColor="text1"/>
        </w:rPr>
        <w:t>monitoring</w:t>
      </w:r>
      <w:r w:rsidRPr="0039738B">
        <w:rPr>
          <w:color w:val="000000" w:themeColor="text1"/>
        </w:rPr>
        <w:t xml:space="preserve"> radi oc</w:t>
      </w:r>
      <w:r>
        <w:rPr>
          <w:color w:val="000000" w:themeColor="text1"/>
        </w:rPr>
        <w:t>j</w:t>
      </w:r>
      <w:r w:rsidRPr="0039738B">
        <w:rPr>
          <w:color w:val="000000" w:themeColor="text1"/>
        </w:rPr>
        <w:t xml:space="preserve">ene ukupne efikasnosti, efektivnosti, kvaliteta, koherentnosti, koordinacije i usklađenosti sprovođenja svih IPA programa u cilju postizanja ciljeva utvrđenih u finansijskim sporazumima, programskom okviru IPA II i IPA III i Strateškom odgovoru. IPA Odbor za </w:t>
      </w:r>
      <w:r w:rsidR="00E26D99" w:rsidRPr="00E26D99">
        <w:rPr>
          <w:color w:val="000000" w:themeColor="text1"/>
        </w:rPr>
        <w:t>monitoring</w:t>
      </w:r>
      <w:r w:rsidRPr="0039738B">
        <w:rPr>
          <w:color w:val="000000" w:themeColor="text1"/>
        </w:rPr>
        <w:t xml:space="preserve"> sastaje se jednom godišnje, sa fleksibilnim/prilagodljivim rasporedom, ali najčešće krajem kalendarske godine. Sastanke inicira Delegacija EU ili </w:t>
      </w:r>
      <w:r w:rsidR="0086543E" w:rsidRPr="0086543E">
        <w:rPr>
          <w:color w:val="000000" w:themeColor="text1"/>
        </w:rPr>
        <w:t>NIPAK</w:t>
      </w:r>
      <w:r w:rsidRPr="0039738B">
        <w:rPr>
          <w:color w:val="000000" w:themeColor="text1"/>
        </w:rPr>
        <w:t xml:space="preserve"> (putem </w:t>
      </w:r>
      <w:r w:rsidR="0086543E" w:rsidRPr="0086543E">
        <w:rPr>
          <w:color w:val="000000" w:themeColor="text1"/>
        </w:rPr>
        <w:t>NIPAK</w:t>
      </w:r>
      <w:r w:rsidRPr="0039738B">
        <w:rPr>
          <w:color w:val="000000" w:themeColor="text1"/>
        </w:rPr>
        <w:t xml:space="preserve"> Kancelarije). </w:t>
      </w:r>
      <w:r w:rsidR="0086543E" w:rsidRPr="0086543E">
        <w:rPr>
          <w:color w:val="000000" w:themeColor="text1"/>
        </w:rPr>
        <w:t>NIPAK</w:t>
      </w:r>
      <w:r w:rsidRPr="0039738B">
        <w:rPr>
          <w:color w:val="000000" w:themeColor="text1"/>
        </w:rPr>
        <w:t xml:space="preserve"> Kancelarija je sekretarijat IPA Odbora za </w:t>
      </w:r>
      <w:r w:rsidR="00E26D99" w:rsidRPr="00E26D99">
        <w:rPr>
          <w:color w:val="000000" w:themeColor="text1"/>
        </w:rPr>
        <w:t>monitoring</w:t>
      </w:r>
      <w:r w:rsidRPr="0039738B">
        <w:rPr>
          <w:color w:val="000000" w:themeColor="text1"/>
        </w:rPr>
        <w:t xml:space="preserve"> (IPA MC).  </w:t>
      </w:r>
    </w:p>
    <w:p w14:paraId="564997D8" w14:textId="4F8AC244" w:rsidR="0039738B" w:rsidRDefault="0039738B" w:rsidP="0039738B">
      <w:pPr>
        <w:rPr>
          <w:color w:val="000000" w:themeColor="text1"/>
        </w:rPr>
      </w:pPr>
      <w:r w:rsidRPr="0039738B">
        <w:rPr>
          <w:color w:val="000000" w:themeColor="text1"/>
        </w:rPr>
        <w:t xml:space="preserve">Pored IPA Odbora za </w:t>
      </w:r>
      <w:r w:rsidR="00E26D99" w:rsidRPr="00E26D99">
        <w:rPr>
          <w:color w:val="000000" w:themeColor="text1"/>
        </w:rPr>
        <w:t>monitoring</w:t>
      </w:r>
      <w:r w:rsidRPr="0039738B">
        <w:rPr>
          <w:color w:val="000000" w:themeColor="text1"/>
        </w:rPr>
        <w:t xml:space="preserve">, u skladu sa članom 53 FFPA, uspostavljeni su Sektorski odbori za </w:t>
      </w:r>
      <w:r w:rsidR="00E26D99" w:rsidRPr="00E26D99">
        <w:rPr>
          <w:color w:val="000000" w:themeColor="text1"/>
        </w:rPr>
        <w:t>monitoring</w:t>
      </w:r>
      <w:r w:rsidRPr="0039738B">
        <w:rPr>
          <w:color w:val="000000" w:themeColor="text1"/>
        </w:rPr>
        <w:t xml:space="preserve"> za pojedine sektore/prozore IPA III. U praksi se sastanci Sektorskih odbora organizuju kao jedan veliki sastanak, gd</w:t>
      </w:r>
      <w:r>
        <w:rPr>
          <w:color w:val="000000" w:themeColor="text1"/>
        </w:rPr>
        <w:t>j</w:t>
      </w:r>
      <w:r w:rsidRPr="0039738B">
        <w:rPr>
          <w:color w:val="000000" w:themeColor="text1"/>
        </w:rPr>
        <w:t xml:space="preserve">e se različiti programi/sektori/IPA III prozori prezentuju i razmatraju uzastopno. Sektorski odbori za </w:t>
      </w:r>
      <w:r w:rsidR="00E26D99" w:rsidRPr="00E26D99">
        <w:rPr>
          <w:color w:val="000000" w:themeColor="text1"/>
        </w:rPr>
        <w:t>monitoring</w:t>
      </w:r>
      <w:r w:rsidRPr="0039738B">
        <w:rPr>
          <w:color w:val="000000" w:themeColor="text1"/>
        </w:rPr>
        <w:t xml:space="preserve"> sastaju se dva puta godišnje (izuzev godina na koje je uticao Covid), takođe sa </w:t>
      </w:r>
      <w:r w:rsidRPr="0039738B">
        <w:rPr>
          <w:color w:val="000000" w:themeColor="text1"/>
        </w:rPr>
        <w:lastRenderedPageBreak/>
        <w:t xml:space="preserve">fleksibilnim/prilagodljivim rasporedom. Sastanke inicira Delegacija EU ili </w:t>
      </w:r>
      <w:r w:rsidR="0086543E" w:rsidRPr="0086543E">
        <w:rPr>
          <w:color w:val="000000" w:themeColor="text1"/>
        </w:rPr>
        <w:t>NIPAK</w:t>
      </w:r>
      <w:r w:rsidRPr="0039738B">
        <w:rPr>
          <w:color w:val="000000" w:themeColor="text1"/>
        </w:rPr>
        <w:t xml:space="preserve"> (putem </w:t>
      </w:r>
      <w:r w:rsidR="0086543E" w:rsidRPr="0086543E">
        <w:rPr>
          <w:color w:val="000000" w:themeColor="text1"/>
        </w:rPr>
        <w:t>NIPAK</w:t>
      </w:r>
      <w:r w:rsidRPr="0039738B">
        <w:rPr>
          <w:color w:val="000000" w:themeColor="text1"/>
        </w:rPr>
        <w:t xml:space="preserve"> Kancelarije). </w:t>
      </w:r>
      <w:r w:rsidR="0086543E" w:rsidRPr="0086543E">
        <w:rPr>
          <w:color w:val="000000" w:themeColor="text1"/>
        </w:rPr>
        <w:t>NIPAK</w:t>
      </w:r>
      <w:r>
        <w:rPr>
          <w:color w:val="000000" w:themeColor="text1"/>
        </w:rPr>
        <w:t xml:space="preserve"> </w:t>
      </w:r>
      <w:r w:rsidRPr="0039738B">
        <w:rPr>
          <w:color w:val="000000" w:themeColor="text1"/>
        </w:rPr>
        <w:t xml:space="preserve">Kancelarija je sekretarijat Sektorskih odbora za </w:t>
      </w:r>
      <w:r w:rsidR="00E26D99" w:rsidRPr="00E26D99">
        <w:rPr>
          <w:color w:val="000000" w:themeColor="text1"/>
        </w:rPr>
        <w:t>monitoring</w:t>
      </w:r>
      <w:r w:rsidRPr="0039738B">
        <w:rPr>
          <w:color w:val="000000" w:themeColor="text1"/>
        </w:rPr>
        <w:t>.</w:t>
      </w:r>
    </w:p>
    <w:p w14:paraId="0E510F0A" w14:textId="77777777" w:rsidR="00C527FF" w:rsidRDefault="0039738B" w:rsidP="00A30E76">
      <w:r w:rsidRPr="0039738B">
        <w:t xml:space="preserve">I IPA MC i SMC su usvojili Poslovnik o radu. </w:t>
      </w:r>
    </w:p>
    <w:p w14:paraId="3A28941D" w14:textId="33771EB0" w:rsidR="0039738B" w:rsidRDefault="0039738B" w:rsidP="00A30E76">
      <w:r w:rsidRPr="0039738B">
        <w:t>Na osnovu FFPA - Član 53, Crna Gora će formirati SMC za Operativni program za životnu sredinu i klimatske promjene u korist Crne Gore za period 2024-2027 i Operativni program za zapošljavanje i socijalnu uključenost 2024-2027 (usvojen 5.8.2024.). SMC-ima će predsjedavati nadležn</w:t>
      </w:r>
      <w:r w:rsidR="00C527FF">
        <w:t>a</w:t>
      </w:r>
      <w:r w:rsidRPr="0039738B">
        <w:t xml:space="preserve"> Upravljačk</w:t>
      </w:r>
      <w:r w:rsidR="00C527FF">
        <w:t>a tijela</w:t>
      </w:r>
      <w:r w:rsidRPr="0039738B">
        <w:t xml:space="preserve"> i sastajaće se dva puta godišnje.</w:t>
      </w:r>
    </w:p>
    <w:p w14:paraId="6237CBF4" w14:textId="046384F6" w:rsidR="00A30E76" w:rsidRPr="00B83578" w:rsidRDefault="00624648" w:rsidP="00A745C2">
      <w:pPr>
        <w:pStyle w:val="Heading4"/>
      </w:pPr>
      <w:r>
        <w:t>Sastav odbora za monitoring</w:t>
      </w:r>
      <w:r w:rsidR="00A30E76" w:rsidRPr="00B83578">
        <w:t xml:space="preserve"> </w:t>
      </w:r>
    </w:p>
    <w:p w14:paraId="3D0E0AEB" w14:textId="1DD209F8" w:rsidR="00C527FF" w:rsidRDefault="00C527FF" w:rsidP="00A30E76">
      <w:r w:rsidRPr="00C527FF">
        <w:t>Sastav i preds</w:t>
      </w:r>
      <w:r>
        <w:t>j</w:t>
      </w:r>
      <w:r w:rsidRPr="00C527FF">
        <w:t>edavanje IPA MC</w:t>
      </w:r>
      <w:r>
        <w:t>-em</w:t>
      </w:r>
      <w:r w:rsidRPr="00C527FF">
        <w:t xml:space="preserve"> i Sektorskim odborima</w:t>
      </w:r>
      <w:r w:rsidR="00624648">
        <w:t xml:space="preserve"> za monitoring</w:t>
      </w:r>
      <w:r w:rsidRPr="00C527FF">
        <w:t xml:space="preserve"> (SMC) dogovaraju se prema relevantnim Poslovnicima o radu. IPA MC</w:t>
      </w:r>
      <w:r>
        <w:t>-ijem</w:t>
      </w:r>
      <w:r w:rsidRPr="00C527FF">
        <w:t xml:space="preserve"> </w:t>
      </w:r>
      <w:r>
        <w:t>s</w:t>
      </w:r>
      <w:r w:rsidRPr="00C527FF">
        <w:t>e kopreds</w:t>
      </w:r>
      <w:r>
        <w:t>j</w:t>
      </w:r>
      <w:r w:rsidRPr="00C527FF">
        <w:t xml:space="preserve">edava (u skladu sa FFPA) od strane </w:t>
      </w:r>
      <w:r w:rsidR="0086543E" w:rsidRPr="0086543E">
        <w:t>NIPAK</w:t>
      </w:r>
      <w:r w:rsidRPr="00C527FF">
        <w:t>-a i Komisije, dok SMC</w:t>
      </w:r>
      <w:r>
        <w:t>-om</w:t>
      </w:r>
      <w:r w:rsidRPr="00C527FF">
        <w:t xml:space="preserve"> preds</w:t>
      </w:r>
      <w:r>
        <w:t>j</w:t>
      </w:r>
      <w:r w:rsidRPr="00C527FF">
        <w:t xml:space="preserve">edava </w:t>
      </w:r>
      <w:r w:rsidR="0086543E" w:rsidRPr="0086543E">
        <w:t>NIPAK</w:t>
      </w:r>
      <w:r w:rsidRPr="00C527FF">
        <w:t>. Poslovnik o radu SMC-a predviđa mogućnost da Komisija kopreds</w:t>
      </w:r>
      <w:r>
        <w:t>j</w:t>
      </w:r>
      <w:r w:rsidRPr="00C527FF">
        <w:t>edava sastancima. IPA MC i SMC omogućavaju učešće t</w:t>
      </w:r>
      <w:r>
        <w:t>ij</w:t>
      </w:r>
      <w:r w:rsidRPr="00C527FF">
        <w:t>ela/aktera/predstavnika van IPA sistema – relevantnih ekonomskih aktera, civilnog društva, međunarodnih organizacija itd., bez prava glasa.</w:t>
      </w:r>
    </w:p>
    <w:p w14:paraId="19087C7E" w14:textId="0C17D5AC" w:rsidR="00A30E76" w:rsidRPr="00B83578" w:rsidRDefault="00A30E76" w:rsidP="00A745C2">
      <w:pPr>
        <w:pStyle w:val="Heading4"/>
      </w:pPr>
      <w:r w:rsidRPr="00B83578">
        <w:t>Fu</w:t>
      </w:r>
      <w:r w:rsidR="00624648">
        <w:t>nkcije odbora za monitoring</w:t>
      </w:r>
      <w:r w:rsidRPr="00B83578">
        <w:t xml:space="preserve"> </w:t>
      </w:r>
    </w:p>
    <w:p w14:paraId="62FB1226" w14:textId="16D1921D" w:rsidR="00C527FF" w:rsidRDefault="00C527FF" w:rsidP="00A30E76">
      <w:r w:rsidRPr="00C527FF">
        <w:t xml:space="preserve">U skladu sa Finansijskim sporazumom, Okvirnim finansijskim partnerskim sporazumom i važećim </w:t>
      </w:r>
      <w:r>
        <w:t>P</w:t>
      </w:r>
      <w:r w:rsidRPr="00C527FF">
        <w:t>riručnicima</w:t>
      </w:r>
      <w:r>
        <w:t xml:space="preserve"> o</w:t>
      </w:r>
      <w:r w:rsidRPr="00C527FF">
        <w:t xml:space="preserve"> procedura</w:t>
      </w:r>
      <w:r>
        <w:t>ma</w:t>
      </w:r>
      <w:r w:rsidRPr="00C527FF">
        <w:t xml:space="preserve">, Odbori za </w:t>
      </w:r>
      <w:r w:rsidR="00E26D99" w:rsidRPr="00E26D99">
        <w:t>monitoring</w:t>
      </w:r>
      <w:r w:rsidRPr="00C527FF">
        <w:t xml:space="preserve"> pregledaju efektivnost, efikasnost, kvalitet, koordinaciju i usklađenost sa propisima u implementaciji programa; razmatraju napredak u ostvarivanju ciljeva, postizanju planiranih rezultata i ishoda, i proc</w:t>
      </w:r>
      <w:r>
        <w:t>j</w:t>
      </w:r>
      <w:r w:rsidRPr="00C527FF">
        <w:t xml:space="preserve">enjuju uticaj i održivost IPA </w:t>
      </w:r>
      <w:r w:rsidR="00477A44">
        <w:t>podrške</w:t>
      </w:r>
      <w:r w:rsidRPr="00C527FF">
        <w:t>; razmatraju godišnje izv</w:t>
      </w:r>
      <w:r>
        <w:t>j</w:t>
      </w:r>
      <w:r w:rsidRPr="00C527FF">
        <w:t>eštaje o implementaciji, uključujući finansijsko izvršenje programa; ispituju relevantne nalaze i zaključke, kao i pr</w:t>
      </w:r>
      <w:r>
        <w:t>ij</w:t>
      </w:r>
      <w:r w:rsidRPr="00C527FF">
        <w:t>edloge za korektivne m</w:t>
      </w:r>
      <w:r>
        <w:t>j</w:t>
      </w:r>
      <w:r w:rsidRPr="00C527FF">
        <w:t xml:space="preserve">ere; razmatraju sve relevantne aspekte funkcionisanja sistema upravljanja i kontrole; razmatraju sva problematična pitanja i </w:t>
      </w:r>
      <w:r w:rsidR="001B45D8">
        <w:t>operacije</w:t>
      </w:r>
      <w:r w:rsidRPr="00C527FF">
        <w:t>; predlažu preduzimanje korektivnih m</w:t>
      </w:r>
      <w:r>
        <w:t>j</w:t>
      </w:r>
      <w:r w:rsidRPr="00C527FF">
        <w:t>era; razmatraju preduzete m</w:t>
      </w:r>
      <w:r>
        <w:t>j</w:t>
      </w:r>
      <w:r w:rsidRPr="00C527FF">
        <w:t>ere informisanja, promocije, transparentnosti, komunikacije i vidljivosti.</w:t>
      </w:r>
    </w:p>
    <w:p w14:paraId="2AB0CE16" w14:textId="77777777" w:rsidR="00C527FF" w:rsidRPr="00C527FF" w:rsidRDefault="00C527FF" w:rsidP="00C527FF">
      <w:pPr>
        <w:rPr>
          <w:b/>
          <w:bCs/>
        </w:rPr>
      </w:pPr>
      <w:r w:rsidRPr="00C527FF">
        <w:rPr>
          <w:b/>
          <w:bCs/>
        </w:rPr>
        <w:t xml:space="preserve">Godišnji pregled učinka  </w:t>
      </w:r>
    </w:p>
    <w:p w14:paraId="5BDEE3A1" w14:textId="77777777" w:rsidR="00C527FF" w:rsidRPr="00C527FF" w:rsidRDefault="00C527FF" w:rsidP="00C527FF">
      <w:pPr>
        <w:rPr>
          <w:bCs/>
        </w:rPr>
      </w:pPr>
      <w:r w:rsidRPr="00C527FF">
        <w:rPr>
          <w:bCs/>
        </w:rPr>
        <w:t xml:space="preserve">U IPA-i se ne održavaju sastanci za pregled učinka.  </w:t>
      </w:r>
    </w:p>
    <w:p w14:paraId="10CF75D4" w14:textId="2DA65446" w:rsidR="00C527FF" w:rsidRPr="00C527FF" w:rsidRDefault="00C527FF" w:rsidP="00C527FF">
      <w:pPr>
        <w:rPr>
          <w:b/>
          <w:bCs/>
        </w:rPr>
      </w:pPr>
      <w:r w:rsidRPr="00C527FF">
        <w:rPr>
          <w:b/>
          <w:bCs/>
        </w:rPr>
        <w:t xml:space="preserve">Prenos podataka, </w:t>
      </w:r>
      <w:r w:rsidR="0065321C">
        <w:rPr>
          <w:b/>
          <w:bCs/>
        </w:rPr>
        <w:t>S</w:t>
      </w:r>
      <w:r w:rsidRPr="00C527FF">
        <w:rPr>
          <w:b/>
          <w:bCs/>
        </w:rPr>
        <w:t xml:space="preserve">istemi elektronske razmjene podataka, kvalitet, tačnost i pouzdanost podataka  </w:t>
      </w:r>
    </w:p>
    <w:p w14:paraId="01E7ED6F" w14:textId="0BF16505" w:rsidR="00C527FF" w:rsidRPr="00C527FF" w:rsidRDefault="00C527FF" w:rsidP="00C527FF">
      <w:pPr>
        <w:rPr>
          <w:bCs/>
        </w:rPr>
      </w:pPr>
      <w:r w:rsidRPr="00C527FF">
        <w:rPr>
          <w:bCs/>
        </w:rPr>
        <w:t>Član 58(3) FFPA propisuje: „Korisnik IPA III sredstava uspostaviće sistem upravlja</w:t>
      </w:r>
      <w:r w:rsidR="0065321C">
        <w:rPr>
          <w:bCs/>
        </w:rPr>
        <w:t>nja</w:t>
      </w:r>
      <w:r w:rsidRPr="00C527FF">
        <w:rPr>
          <w:bCs/>
        </w:rPr>
        <w:t xml:space="preserve"> informacija</w:t>
      </w:r>
      <w:r w:rsidR="0065321C">
        <w:rPr>
          <w:bCs/>
        </w:rPr>
        <w:t>ma</w:t>
      </w:r>
      <w:r w:rsidRPr="00C527FF">
        <w:rPr>
          <w:bCs/>
        </w:rPr>
        <w:t xml:space="preserve"> radi bilježenja i čuvanja, u elektronskom obliku, podataka o svakom IPA III programu/ak</w:t>
      </w:r>
      <w:r w:rsidR="0065321C">
        <w:rPr>
          <w:bCs/>
        </w:rPr>
        <w:t>ciji</w:t>
      </w:r>
      <w:r w:rsidRPr="00C527FF">
        <w:rPr>
          <w:bCs/>
        </w:rPr>
        <w:t xml:space="preserve">/operaciji neophodnih za planiranje, </w:t>
      </w:r>
      <w:r w:rsidR="00A80895">
        <w:rPr>
          <w:bCs/>
        </w:rPr>
        <w:t>implementaciju</w:t>
      </w:r>
      <w:r w:rsidRPr="00C527FF">
        <w:rPr>
          <w:bCs/>
        </w:rPr>
        <w:t xml:space="preserve">, upravljanje, </w:t>
      </w:r>
      <w:r w:rsidR="00E26D99" w:rsidRPr="00E26D99">
        <w:rPr>
          <w:bCs/>
        </w:rPr>
        <w:t>monitoring</w:t>
      </w:r>
      <w:r w:rsidRPr="00C527FF">
        <w:rPr>
          <w:bCs/>
        </w:rPr>
        <w:t xml:space="preserve">, evaluaciju, provjere i revizije IPA III </w:t>
      </w:r>
      <w:r w:rsidR="00477A44">
        <w:rPr>
          <w:bCs/>
        </w:rPr>
        <w:t>podrške</w:t>
      </w:r>
      <w:r w:rsidRPr="00C527FF">
        <w:rPr>
          <w:bCs/>
        </w:rPr>
        <w:t xml:space="preserve">.”  </w:t>
      </w:r>
    </w:p>
    <w:p w14:paraId="127B316C" w14:textId="5E85340C" w:rsidR="00C527FF" w:rsidRPr="00C527FF" w:rsidRDefault="00C527FF" w:rsidP="00C527FF">
      <w:pPr>
        <w:rPr>
          <w:bCs/>
        </w:rPr>
      </w:pPr>
      <w:r w:rsidRPr="00C527FF">
        <w:rPr>
          <w:bCs/>
        </w:rPr>
        <w:t xml:space="preserve">Trenutno ne postoji jedinstven IPA elektronski sistem za unos i/ili upravljanje podacima koji bi se mogao koristiti za </w:t>
      </w:r>
      <w:r w:rsidR="00E26D99" w:rsidRPr="00E26D99">
        <w:rPr>
          <w:bCs/>
        </w:rPr>
        <w:t>monitoring</w:t>
      </w:r>
      <w:r w:rsidRPr="00C527FF">
        <w:rPr>
          <w:bCs/>
        </w:rPr>
        <w:t xml:space="preserve"> i evaluaciju, međutim, postoji Sistem projektnih informacija (SAP IPA) koji je razvila crnogorska administracija za potrebe upravljanja pretpristupnim fondovima. Pored toga, postoji i sistem koji je razvila Komisija (IPA APP) koji crnogorske institucije koriste za unošenje podataka o sprovođenju, uključujući nabavke, ugovaranje i plaćanja: Trenutno se napredak ka postavljenim rezultatima, pitanja i rizici prenose u papirnoj formi ili putem e-pošte. Često postoje nedosljednosti i praznine u prijavljenim podacima. Takođe dolazi do dupliranja izvještavanja različitim kanalima, što stvara nepotrebno administrativno opterećenje, bez dodate vrijednosti. Zaštita podataka i arhiviranje nijesu adekvatno obezbijeđeni.</w:t>
      </w:r>
    </w:p>
    <w:p w14:paraId="729C8E73" w14:textId="5A14FDEF" w:rsidR="0065321C" w:rsidRDefault="0065321C" w:rsidP="00A30E76">
      <w:r w:rsidRPr="0065321C">
        <w:t xml:space="preserve">Kao što je ranije objašnjeno, za upravljanje IPA sredstvima Crna Gora je razvila poseban sistem za upravljanje dokumentacijom ‒ </w:t>
      </w:r>
      <w:r w:rsidR="00C17022">
        <w:t>Sistem za informacije o projektu</w:t>
      </w:r>
      <w:r w:rsidRPr="0065321C">
        <w:t xml:space="preserve"> (</w:t>
      </w:r>
      <w:r w:rsidR="00C17022">
        <w:t>SIP</w:t>
      </w:r>
      <w:r w:rsidRPr="0065321C">
        <w:t xml:space="preserve">), koji obuhvata bazu podataka za sve programe kojima se upravlja posredno, uključujući i računovodstveni sistem. </w:t>
      </w:r>
      <w:r w:rsidR="00C17022">
        <w:t>SIP</w:t>
      </w:r>
      <w:r w:rsidRPr="0065321C">
        <w:t xml:space="preserve"> koriste i </w:t>
      </w:r>
      <w:r w:rsidR="00477A44">
        <w:t>Ugovorna tijela</w:t>
      </w:r>
      <w:r w:rsidRPr="0065321C">
        <w:t xml:space="preserve"> (CFCU i Uprava za kapitalne projekte ‒ </w:t>
      </w:r>
      <w:r w:rsidR="00AF5AA9">
        <w:t>UKP</w:t>
      </w:r>
      <w:r w:rsidRPr="0065321C">
        <w:t xml:space="preserve">) i NAO struktura upravljanja. Ovaj sistem su razvile nacionalne vlasti kao elektronsku platformu za održavanje tačnih, potpunih i statističkih informacija za sve IPA II akcije i programe prekogranične saradnje kojima se upravlja posredno. Evropska komisija je angažovala nezavisnog revizora, </w:t>
      </w:r>
      <w:r w:rsidRPr="0065321C">
        <w:rPr>
          <w:i/>
        </w:rPr>
        <w:t>PricewaterhouseCoopers</w:t>
      </w:r>
      <w:r w:rsidRPr="0065321C">
        <w:t xml:space="preserve"> (PwC), da procijeni sistem i ocijeni kvalitet računovodstvenih podataka koji se odnose na programe IPA II kojima se upravlja posredno. Revizija je zaključila da sistem funkcioniše u skladu sa međunarodno prihvaćenim standardima. Imajući u vidu da je SAP IPA sistem osnovna verzija projektnog informacionog sistema i uzimajući u obzir nova tijela uključena u upravljanje programima IPA III (novo Posredničko tijelo za finansijsko upravljanje ‒ Zavod za zapošljavanje i Upravljačka tijela), planira se razvoj novog Informacionog sistema koji će služiti za upravljanje programima IPA III i koji će omogućiti ne samo unos i knjiženje podataka, već i pojednostavljivanje procesa izvještavanja. Dok se novi sistem ne razvije, postojeći SAP IPA sistem koristiće </w:t>
      </w:r>
      <w:r w:rsidRPr="0065321C">
        <w:lastRenderedPageBreak/>
        <w:t xml:space="preserve">sva relevantna tijela, tj. posrednička tijela za finansijsko upravljanje (CFCU i </w:t>
      </w:r>
      <w:r w:rsidR="00AF5AA9">
        <w:t>UKP</w:t>
      </w:r>
      <w:r w:rsidRPr="0065321C">
        <w:t xml:space="preserve">), kao i </w:t>
      </w:r>
      <w:r w:rsidR="000270DD">
        <w:t>Tijelo za računovodstvo</w:t>
      </w:r>
      <w:r w:rsidRPr="0065321C">
        <w:t xml:space="preserve"> (nekadašnji Nacionalni fond). Za nova tijela u okviru programa IPA III posrednog upravljanja, u narednom periodu planira se dogovor o korisničkim nalozima i licencama za korišćenje SAP IPA sistema.</w:t>
      </w:r>
    </w:p>
    <w:p w14:paraId="5D989A40" w14:textId="45D29175" w:rsidR="0065321C" w:rsidRDefault="0065321C" w:rsidP="0065321C">
      <w:r>
        <w:t xml:space="preserve">Za WBIF, crnogorske vlasti su obavezne da koriste WBIF </w:t>
      </w:r>
      <w:r w:rsidR="00A067C3">
        <w:t>ISU</w:t>
      </w:r>
      <w:r>
        <w:t xml:space="preserve">.  </w:t>
      </w:r>
    </w:p>
    <w:p w14:paraId="42627F69" w14:textId="14F528B4" w:rsidR="0065321C" w:rsidRDefault="0065321C" w:rsidP="0065321C">
      <w:r>
        <w:t>Procjenu trenutno dostupnih IT sistema, planirani razvoj IT sistema i analizu nedostataka za budućnost, kako bi se ispunili zahtjevi Kohezi</w:t>
      </w:r>
      <w:r w:rsidR="002C0AC4">
        <w:t>one</w:t>
      </w:r>
      <w:r>
        <w:t xml:space="preserve"> politike u pogledu elektronske razmjene informacija, trenutno sprovodi PPF sa </w:t>
      </w:r>
      <w:r w:rsidR="0086543E" w:rsidRPr="0086543E">
        <w:t>NIPAK</w:t>
      </w:r>
      <w:r w:rsidR="007534E5">
        <w:t xml:space="preserve"> projektom</w:t>
      </w:r>
      <w:r>
        <w:t xml:space="preserve">. Ovaj rezultat će se koristiti kao osnova za buduću pripremu tehničkih specifikacija.  </w:t>
      </w:r>
    </w:p>
    <w:p w14:paraId="1E268FB3" w14:textId="6C2F6CE8" w:rsidR="0065321C" w:rsidRDefault="0065321C" w:rsidP="0065321C">
      <w:r>
        <w:t xml:space="preserve">Tehničke specifikacije za </w:t>
      </w:r>
      <w:r w:rsidR="00A067C3">
        <w:t>Informacioni sistem za upravljanje</w:t>
      </w:r>
      <w:r>
        <w:t xml:space="preserve"> (</w:t>
      </w:r>
      <w:r w:rsidR="00A067C3">
        <w:t>ISU</w:t>
      </w:r>
      <w:r>
        <w:t>) za fondove EU planirane su kao mjera u okviru Programa reforme javnih finansija 2022–2026.</w:t>
      </w:r>
    </w:p>
    <w:p w14:paraId="234E3037" w14:textId="052284C5" w:rsidR="0065321C" w:rsidRDefault="0065321C" w:rsidP="0065321C">
      <w:r>
        <w:t xml:space="preserve">Kako će budući </w:t>
      </w:r>
      <w:r w:rsidR="00A067C3">
        <w:t>ISU</w:t>
      </w:r>
      <w:r>
        <w:t xml:space="preserve"> biti integrisan s nacionalnim IT sistemima, važno je istaći da je prva godina sprovođenja nacionalne Strategije digitalne transformacije 2022–2026 (podaci za 2022</w:t>
      </w:r>
      <w:r w:rsidR="007534E5">
        <w:t>.</w:t>
      </w:r>
      <w:r>
        <w:t xml:space="preserve">) zabilježila značajan napredak u nekoliko ključnih oblasti, uprkos određenim izazovima. Ključna dostignuća obuhvataju uspostavljanje Koordinacionog tijela zaduženog za nadgledanje napora u digitalnoj transformaciji i značajno povećanje broja elektronskih registara, čime je unaprijeđeno upravljanje podacima u državnim institucijama. Uvođenje 5G mrežnih frekvencija takođe predstavlja prekretnicu, uz plan da se do 2026. pokrije 50% stanovništva, a do 2030. ruralna područja. Pored toga, pokretanje Digitalne akademije doprinijelo je poboljšanju digitalnih vještina državnih službenika, studenata i ranjivih grupa. Crna Gora je takođe proširila usluge e-uprave. Ipak, realizacija </w:t>
      </w:r>
      <w:r w:rsidR="007534E5">
        <w:t xml:space="preserve">je naišla na </w:t>
      </w:r>
      <w:r>
        <w:t>izazov</w:t>
      </w:r>
      <w:r w:rsidR="007534E5">
        <w:t>e</w:t>
      </w:r>
      <w:r>
        <w:t>, uključujući političku nestabilnost i sajber-napad na IT infrastrukturu Vlade u avgustu 2022</w:t>
      </w:r>
      <w:r w:rsidR="007534E5">
        <w:t>. godine</w:t>
      </w:r>
      <w:r>
        <w:t xml:space="preserve">, koji je privremeno zaustavio digitalne usluge.  </w:t>
      </w:r>
    </w:p>
    <w:p w14:paraId="1C300C83" w14:textId="794EABB8" w:rsidR="0065321C" w:rsidRDefault="0065321C" w:rsidP="0065321C">
      <w:r>
        <w:t xml:space="preserve">Crna Gora ima pristup i koristi JEMS sisteme za </w:t>
      </w:r>
      <w:r w:rsidR="00E26D99" w:rsidRPr="00E26D99">
        <w:t>monitoring</w:t>
      </w:r>
      <w:r>
        <w:t xml:space="preserve"> koje primjenjuju INTERREG programi sa državama članicama, a koji ispunjavaju sve zahtjeve </w:t>
      </w:r>
      <w:r w:rsidR="00CD0020">
        <w:t>RZO</w:t>
      </w:r>
      <w:r>
        <w:t xml:space="preserve"> i </w:t>
      </w:r>
      <w:r w:rsidR="003D7057">
        <w:t>ETS</w:t>
      </w:r>
      <w:r>
        <w:t xml:space="preserve"> </w:t>
      </w:r>
      <w:r w:rsidR="007534E5">
        <w:t>regulativa</w:t>
      </w:r>
      <w:r>
        <w:t xml:space="preserve">. Praćenje IPA-IPA programa pod posrednim upravljanjem odvija se </w:t>
      </w:r>
      <w:r w:rsidR="007534E5">
        <w:t xml:space="preserve">u </w:t>
      </w:r>
      <w:r>
        <w:t>papir</w:t>
      </w:r>
      <w:r w:rsidR="007534E5">
        <w:t>noj formi</w:t>
      </w:r>
      <w:r>
        <w:t>.</w:t>
      </w:r>
    </w:p>
    <w:p w14:paraId="1A1545BC" w14:textId="6F5FA92D" w:rsidR="00A30E76" w:rsidRPr="00B83578" w:rsidRDefault="007B4787" w:rsidP="00A745C2">
      <w:pPr>
        <w:pStyle w:val="Heading4"/>
      </w:pPr>
      <w:r>
        <w:t>Završni izvještaj o učinku</w:t>
      </w:r>
    </w:p>
    <w:p w14:paraId="22F6F5D0" w14:textId="2AECAEBD" w:rsidR="0065321C" w:rsidRDefault="0065321C" w:rsidP="0065321C">
      <w:r>
        <w:t xml:space="preserve">U skladu sa odredbama FA i FFPA, najkasnije šesnaest mjeseci nakon završetka </w:t>
      </w:r>
      <w:r w:rsidR="007B4787">
        <w:t>implementacije</w:t>
      </w:r>
      <w:r>
        <w:t xml:space="preserve"> svakog programa, </w:t>
      </w:r>
      <w:r w:rsidR="0086543E" w:rsidRPr="0086543E">
        <w:t>NIPAK</w:t>
      </w:r>
      <w:r>
        <w:t xml:space="preserve"> dostavlja Komisiji završni izvještaj o </w:t>
      </w:r>
      <w:r w:rsidR="007B4787">
        <w:t>implementaciji</w:t>
      </w:r>
      <w:r>
        <w:t xml:space="preserve"> tog programa koji obuhvata čitav period </w:t>
      </w:r>
      <w:r w:rsidR="007B4787">
        <w:t>implementacije</w:t>
      </w:r>
      <w:r>
        <w:t xml:space="preserve">, uključujući posebno informacije o planiranim i stvarno postignutim rezultatima, kao i finansijske podatke vezane za realizaciju aktivnosti. Završni izvještaji o </w:t>
      </w:r>
      <w:r w:rsidR="007B4787">
        <w:t>implementaciji</w:t>
      </w:r>
      <w:r>
        <w:t xml:space="preserve"> podnose se prema šablonu koji propisuje Komisija.  </w:t>
      </w:r>
    </w:p>
    <w:p w14:paraId="105B203D" w14:textId="3F293C7E" w:rsidR="0065321C" w:rsidRDefault="0065321C" w:rsidP="0065321C">
      <w:r>
        <w:t xml:space="preserve">Do sada su završni izvještaji o </w:t>
      </w:r>
      <w:r w:rsidR="007B4787">
        <w:t>implementaciji</w:t>
      </w:r>
      <w:r>
        <w:t xml:space="preserve"> podnijeti za programe IPA 2014 i IPA 2015. Glavni problem prilikom njihove izrade bio je pristup podacima, budući da za IPA II nije postojao </w:t>
      </w:r>
      <w:r w:rsidR="00A067C3">
        <w:t>ISU</w:t>
      </w:r>
      <w:r>
        <w:t xml:space="preserve">.  </w:t>
      </w:r>
    </w:p>
    <w:p w14:paraId="1511D652" w14:textId="77777777" w:rsidR="0065321C" w:rsidRDefault="0065321C" w:rsidP="0065321C">
      <w:r>
        <w:t>Komisija nije dostavila povratne informacije na podnijete izvještaje. Ovaj korak nije propisan relevantnom IPA regulativom.</w:t>
      </w:r>
    </w:p>
    <w:p w14:paraId="53731C42" w14:textId="2ECB017A" w:rsidR="00A30E76" w:rsidRPr="00B83578" w:rsidRDefault="007B4787" w:rsidP="00A745C2">
      <w:pPr>
        <w:pStyle w:val="Heading4"/>
      </w:pPr>
      <w:r>
        <w:t>Podrška radu Odbora za monitoring od strane Upravljačkog tijela</w:t>
      </w:r>
    </w:p>
    <w:p w14:paraId="11425270" w14:textId="740054D4" w:rsidR="0065321C" w:rsidRDefault="0065321C" w:rsidP="0065321C">
      <w:r>
        <w:t xml:space="preserve">IPA III FFPA predviđa da rad SMC-ova bude podržan izvještajima koje pripremaju Upravljačka tijela. Trenutno postoji samo jedno UT u okviru IPA III (Kancelarija </w:t>
      </w:r>
      <w:r w:rsidR="0086543E" w:rsidRPr="0086543E">
        <w:t>NIPAK</w:t>
      </w:r>
      <w:r>
        <w:t xml:space="preserve">-a kao </w:t>
      </w:r>
      <w:r w:rsidR="00A067C3">
        <w:t>UPT</w:t>
      </w:r>
      <w:r>
        <w:t xml:space="preserve"> za godišnje programe), </w:t>
      </w:r>
      <w:proofErr w:type="gramStart"/>
      <w:r>
        <w:t>a</w:t>
      </w:r>
      <w:proofErr w:type="gramEnd"/>
      <w:r>
        <w:t xml:space="preserve"> osnivanje još dva UT-a i njihovo buduće funkcionisanje su u toku – </w:t>
      </w:r>
      <w:r w:rsidR="00A067C3">
        <w:t>UPT</w:t>
      </w:r>
      <w:r>
        <w:t xml:space="preserve"> za OP Životna sredina i </w:t>
      </w:r>
      <w:r w:rsidR="00A067C3">
        <w:t>UPT</w:t>
      </w:r>
      <w:r>
        <w:t xml:space="preserve"> za OP Zapošljavanje. Do sada Kancelarija </w:t>
      </w:r>
      <w:r w:rsidR="0086543E" w:rsidRPr="0086543E">
        <w:t>NIPAK</w:t>
      </w:r>
      <w:r>
        <w:t xml:space="preserve">-a kao </w:t>
      </w:r>
      <w:r w:rsidR="00A067C3">
        <w:t>UPT</w:t>
      </w:r>
      <w:r>
        <w:t xml:space="preserve"> nije imala značajnu ulogu u pripremi izvještaja za SMC niti u pružanju smjernica o vrsti i strukturi informacija koje treba da se prezentuju SMC-ovima.  </w:t>
      </w:r>
    </w:p>
    <w:p w14:paraId="49F41B0C" w14:textId="77777777" w:rsidR="0065321C" w:rsidRDefault="0065321C" w:rsidP="0065321C">
      <w:r>
        <w:t>Upravljačka tijela pružaju podršku MC-ovima, ali sa ograničenim informacijama i obimom, jer su odgovorna samo za posredno upravljanje od strane države korisnice; stoga su informacije o akcijama pod direktnim upravljanjem ili posrednim upravljanjem od strane povjerenih entiteta, kao i informacije u vezi sa WBIF investicijama, nedostupne ili ograničene.</w:t>
      </w:r>
    </w:p>
    <w:p w14:paraId="0C0C0185" w14:textId="06E5D4CD" w:rsidR="00A30E76" w:rsidRPr="00B83578" w:rsidRDefault="00206BD1" w:rsidP="00A745C2">
      <w:pPr>
        <w:pStyle w:val="Heading3"/>
      </w:pPr>
      <w:bookmarkStart w:id="153" w:name="_Toc201700408"/>
      <w:r>
        <w:t>Evaluacija</w:t>
      </w:r>
      <w:bookmarkEnd w:id="153"/>
    </w:p>
    <w:p w14:paraId="43A309BB" w14:textId="7B7E8251" w:rsidR="00A30E76" w:rsidRPr="00B83578" w:rsidRDefault="00A30E76" w:rsidP="00A745C2">
      <w:pPr>
        <w:pStyle w:val="Heading4"/>
      </w:pPr>
      <w:r w:rsidRPr="00B83578">
        <w:t>Evalua</w:t>
      </w:r>
      <w:r w:rsidR="007B4787">
        <w:t>cije od strane države članice</w:t>
      </w:r>
      <w:r w:rsidRPr="00B83578">
        <w:t xml:space="preserve"> </w:t>
      </w:r>
    </w:p>
    <w:p w14:paraId="7224EE25" w14:textId="6339205B" w:rsidR="0065321C" w:rsidRPr="0065321C" w:rsidRDefault="0065321C" w:rsidP="0065321C">
      <w:pPr>
        <w:rPr>
          <w:color w:val="000000" w:themeColor="text1"/>
        </w:rPr>
      </w:pPr>
      <w:r w:rsidRPr="0065321C">
        <w:rPr>
          <w:color w:val="000000" w:themeColor="text1"/>
        </w:rPr>
        <w:t xml:space="preserve">U skladu sa članom 57 FA za IPA II i članom 56 FFPA za IPA III, korisnik IPA sredstava koji sprovodi IPA finansiranje u posrednom upravljanju odgovoran je za </w:t>
      </w:r>
      <w:r w:rsidR="007B4787">
        <w:rPr>
          <w:color w:val="000000" w:themeColor="text1"/>
        </w:rPr>
        <w:t>implementaciju</w:t>
      </w:r>
      <w:r w:rsidRPr="0065321C">
        <w:rPr>
          <w:color w:val="000000" w:themeColor="text1"/>
        </w:rPr>
        <w:t xml:space="preserve"> evaluacija programa kojima upravlja. </w:t>
      </w:r>
      <w:r w:rsidRPr="0065321C">
        <w:rPr>
          <w:color w:val="000000" w:themeColor="text1"/>
        </w:rPr>
        <w:lastRenderedPageBreak/>
        <w:t xml:space="preserve">Korisnik IPA sredstava, u konsultacijama sa Komisijom, izrađuje plan evaluacije koji prikazuje aktivnosti evaluacije koje će se sprovoditi u različitim fazama implementacije.  </w:t>
      </w:r>
    </w:p>
    <w:p w14:paraId="21A9DD32" w14:textId="62C41BCB" w:rsidR="0065321C" w:rsidRPr="0065321C" w:rsidRDefault="0065321C" w:rsidP="0065321C">
      <w:pPr>
        <w:rPr>
          <w:color w:val="000000" w:themeColor="text1"/>
        </w:rPr>
      </w:pPr>
      <w:r w:rsidRPr="0065321C">
        <w:rPr>
          <w:color w:val="000000" w:themeColor="text1"/>
        </w:rPr>
        <w:t>IPA II i IPA III</w:t>
      </w:r>
      <w:r w:rsidR="007534E5">
        <w:rPr>
          <w:color w:val="000000" w:themeColor="text1"/>
        </w:rPr>
        <w:t xml:space="preserve"> regulative</w:t>
      </w:r>
      <w:r w:rsidRPr="0065321C">
        <w:rPr>
          <w:color w:val="000000" w:themeColor="text1"/>
        </w:rPr>
        <w:t xml:space="preserve"> takođe propisuju opšta načela evaluacije IPA </w:t>
      </w:r>
      <w:r w:rsidR="00477A44">
        <w:rPr>
          <w:color w:val="000000" w:themeColor="text1"/>
        </w:rPr>
        <w:t>podrške</w:t>
      </w:r>
      <w:r w:rsidRPr="0065321C">
        <w:rPr>
          <w:color w:val="000000" w:themeColor="text1"/>
        </w:rPr>
        <w:t xml:space="preserve">, kao i ciljeve evaluacije, vrste evaluacija i uloge i odgovornosti u evaluaciji.  </w:t>
      </w:r>
    </w:p>
    <w:p w14:paraId="5CA8621C" w14:textId="0F1D8894" w:rsidR="0065321C" w:rsidRDefault="0086543E" w:rsidP="0065321C">
      <w:pPr>
        <w:rPr>
          <w:color w:val="000000" w:themeColor="text1"/>
        </w:rPr>
      </w:pPr>
      <w:r w:rsidRPr="0086543E">
        <w:rPr>
          <w:color w:val="000000" w:themeColor="text1"/>
        </w:rPr>
        <w:t>NIPAK</w:t>
      </w:r>
      <w:r w:rsidR="0065321C" w:rsidRPr="0065321C">
        <w:rPr>
          <w:color w:val="000000" w:themeColor="text1"/>
        </w:rPr>
        <w:t xml:space="preserve"> je glavni sagovornik Komisije za evaluaciju i snosi ukupnu odgovornost za planiranje i olakšavanje aktivnosti evaluacije, uključujući obezbjeđivanje pristupa podacima i koordinaciju unutar administracije korisnika IPA sredstava.</w:t>
      </w:r>
    </w:p>
    <w:p w14:paraId="42FC3E57" w14:textId="4655717E" w:rsidR="00280CEA" w:rsidRDefault="00280CEA" w:rsidP="00280CEA">
      <w:r>
        <w:t xml:space="preserve">Za IPA II, FA propisuje da </w:t>
      </w:r>
      <w:r w:rsidR="0086543E" w:rsidRPr="0086543E">
        <w:t>NIPAK</w:t>
      </w:r>
      <w:r>
        <w:t xml:space="preserve"> preduzima mjere kako bi osigurao da se ciljevi utvrđeni u akcijama ili programima za koje su povjereni zadaci izvršenja budžeta adekvatno ostvaruju tokom sprovođenja IPA II </w:t>
      </w:r>
      <w:r w:rsidR="00477A44">
        <w:t>podrške</w:t>
      </w:r>
      <w:r>
        <w:t>, te da koordinira izradu plana evaluacije u konsultaciji s Komisijom, koji prikazuje evaluacione aktivnosti predviđene za različite faze sprovođenja.</w:t>
      </w:r>
    </w:p>
    <w:p w14:paraId="7571ECAB" w14:textId="7822A7BF" w:rsidR="00280CEA" w:rsidRDefault="00280CEA" w:rsidP="00280CEA">
      <w:r>
        <w:t xml:space="preserve">U skladu s odredbama IPA III FFPA u Crnoj Gori, Ministarstvo evropskih poslova – Kancelarija </w:t>
      </w:r>
      <w:r w:rsidR="0086543E" w:rsidRPr="0086543E">
        <w:t>NIPAK</w:t>
      </w:r>
      <w:r>
        <w:t>-a je Upravljačko tijelo (</w:t>
      </w:r>
      <w:r w:rsidR="00A067C3">
        <w:t>UPT</w:t>
      </w:r>
      <w:r>
        <w:t xml:space="preserve">) za godišnje akcione programe. Kao takvo, Ministarstvo evropskih poslova – Kancelarija </w:t>
      </w:r>
      <w:r w:rsidR="0086543E" w:rsidRPr="0086543E">
        <w:t>NIPAK</w:t>
      </w:r>
      <w:r>
        <w:t>-a/</w:t>
      </w:r>
      <w:r w:rsidR="00A067C3">
        <w:t>UPT</w:t>
      </w:r>
      <w:r>
        <w:t xml:space="preserve"> ima ukupnu odgovornost za izradu Plana evaluacije i za upravljanje evaluacijama u režimu posrednog upravljanja od strane korisnika za IPA III GAP-ove.</w:t>
      </w:r>
    </w:p>
    <w:p w14:paraId="30C8C542" w14:textId="4DAD3178" w:rsidR="00280CEA" w:rsidRDefault="00280CEA" w:rsidP="00280CEA">
      <w:r>
        <w:t xml:space="preserve">U skladu s IPA propisima, zaključci i preporuke iz evaluacija koje pokreću korisnik IPA sredstava ili Komisija dostavljaju se SMC-ovima i IPA MC-u, koji ih razmatraju, daju prijedloge za korektivne mjere, ako je primjenjivo, i na kraju ispituju </w:t>
      </w:r>
      <w:r w:rsidR="00A80895">
        <w:t>implementaciju</w:t>
      </w:r>
      <w:r>
        <w:t xml:space="preserve"> korektivnih mjera.  </w:t>
      </w:r>
    </w:p>
    <w:p w14:paraId="51F5979A" w14:textId="74588E73" w:rsidR="00280CEA" w:rsidRDefault="00280CEA" w:rsidP="00280CEA">
      <w:r>
        <w:t>PPF sa</w:t>
      </w:r>
      <w:r w:rsidR="007534E5">
        <w:t xml:space="preserve"> </w:t>
      </w:r>
      <w:r w:rsidR="0086543E" w:rsidRPr="0086543E">
        <w:t>NIPAK</w:t>
      </w:r>
      <w:r w:rsidR="007534E5">
        <w:t xml:space="preserve"> projektom za </w:t>
      </w:r>
      <w:r w:rsidR="00F6773D">
        <w:t>tehničku pomoć</w:t>
      </w:r>
      <w:r>
        <w:t xml:space="preserve"> trenutno podržava redizajn Priručnika </w:t>
      </w:r>
      <w:r w:rsidR="00374EDF">
        <w:t>o</w:t>
      </w:r>
      <w:r>
        <w:t xml:space="preserve"> procedure</w:t>
      </w:r>
      <w:r w:rsidR="00374EDF">
        <w:t>ma</w:t>
      </w:r>
      <w:r>
        <w:t xml:space="preserve"> za evaluaciju programa koje izrađuje Ministarstvo evropskih poslova – Kancelarija </w:t>
      </w:r>
      <w:r w:rsidR="0086543E" w:rsidRPr="0086543E">
        <w:t>NIPAK</w:t>
      </w:r>
      <w:r>
        <w:t>-a/</w:t>
      </w:r>
      <w:r w:rsidR="00A067C3">
        <w:t>UPT</w:t>
      </w:r>
      <w:r>
        <w:t xml:space="preserve"> za godišnje akcione programe, uključujući operativne alate i šablone, kako bi se obezbijedila primjena najboljih praksi u evaluaciji i visok stepen usklađenosti sa odredbama budućeg kohezionog okvira. Isti </w:t>
      </w:r>
      <w:r w:rsidR="0032369C">
        <w:t>TP</w:t>
      </w:r>
      <w:r>
        <w:t xml:space="preserve"> projekat takođe podržava izradu Plana evaluacije koji se odnosi na posredno upravljanje IPA II i IPA III godišnjim akcionim programima, budući da do sada nije bio formalno razvijen. Nacrt Plana evaluacije za IPA III predstavljen je u obliku petogodišnjeg indikativnog rotirajućeg programa, pri čemu je plan uglavnom definisan za prve dvije godine, dok za kasnije godine ostaje indikativniji, pružajući pregled vremena, vrste, troškova i obuhvata evaluacija, kao i evaluacionih pitanja.  </w:t>
      </w:r>
    </w:p>
    <w:p w14:paraId="59DBC633" w14:textId="174869B3" w:rsidR="00280CEA" w:rsidRDefault="00280CEA" w:rsidP="00280CEA">
      <w:r>
        <w:t xml:space="preserve">Kapaciteti Ministarstva evropskih poslova – Kancelarije </w:t>
      </w:r>
      <w:r w:rsidR="0086543E" w:rsidRPr="0086543E">
        <w:t>NIPAK</w:t>
      </w:r>
      <w:r>
        <w:t>-a/</w:t>
      </w:r>
      <w:r w:rsidR="00A067C3">
        <w:t>UPT</w:t>
      </w:r>
      <w:r>
        <w:t xml:space="preserve"> za planiranje, koordinaciju ugovaranja evaluacija sa eksternim izvođačima, upravljanje procesom evaluacije i </w:t>
      </w:r>
      <w:r w:rsidR="00E26D99" w:rsidRPr="00E26D99">
        <w:t>monitoring</w:t>
      </w:r>
      <w:r>
        <w:t xml:space="preserve"> preporuka iz evaluacija trenutno se unapr</w:t>
      </w:r>
      <w:r w:rsidR="00006A6F">
        <w:t>j</w:t>
      </w:r>
      <w:r>
        <w:t xml:space="preserve">eđuju kroz projekat Ministarstva evropskih poslova – PPF sa </w:t>
      </w:r>
      <w:r w:rsidR="0086543E" w:rsidRPr="0086543E">
        <w:t>NIPAK</w:t>
      </w:r>
      <w:r>
        <w:t>-om.</w:t>
      </w:r>
    </w:p>
    <w:p w14:paraId="7A499FCB" w14:textId="7D8D712C" w:rsidR="00280CEA" w:rsidRPr="00280CEA" w:rsidRDefault="00280CEA" w:rsidP="00280CEA">
      <w:pPr>
        <w:rPr>
          <w:color w:val="000000" w:themeColor="text1"/>
        </w:rPr>
      </w:pPr>
      <w:r w:rsidRPr="00280CEA">
        <w:rPr>
          <w:color w:val="000000" w:themeColor="text1"/>
        </w:rPr>
        <w:t>Preporuke iz evaluacija uzimaju se u obzir pri pripremi programskih dokumenata i takođe su izričito navedene u od</w:t>
      </w:r>
      <w:r w:rsidR="00006A6F">
        <w:rPr>
          <w:color w:val="000000" w:themeColor="text1"/>
        </w:rPr>
        <w:t>j</w:t>
      </w:r>
      <w:r w:rsidRPr="00280CEA">
        <w:rPr>
          <w:color w:val="000000" w:themeColor="text1"/>
        </w:rPr>
        <w:t xml:space="preserve">eljku „Naučene </w:t>
      </w:r>
      <w:proofErr w:type="gramStart"/>
      <w:r w:rsidRPr="00280CEA">
        <w:rPr>
          <w:color w:val="000000" w:themeColor="text1"/>
        </w:rPr>
        <w:t>lekcije“</w:t>
      </w:r>
      <w:proofErr w:type="gramEnd"/>
      <w:r w:rsidRPr="00280CEA">
        <w:rPr>
          <w:color w:val="000000" w:themeColor="text1"/>
        </w:rPr>
        <w:t>, koji je d</w:t>
      </w:r>
      <w:r w:rsidR="00006A6F">
        <w:rPr>
          <w:color w:val="000000" w:themeColor="text1"/>
        </w:rPr>
        <w:t>i</w:t>
      </w:r>
      <w:r w:rsidRPr="00280CEA">
        <w:rPr>
          <w:color w:val="000000" w:themeColor="text1"/>
        </w:rPr>
        <w:t>o šablona za IPA Akcion</w:t>
      </w:r>
      <w:r w:rsidR="00006A6F">
        <w:rPr>
          <w:color w:val="000000" w:themeColor="text1"/>
        </w:rPr>
        <w:t>a</w:t>
      </w:r>
      <w:r w:rsidRPr="00280CEA">
        <w:rPr>
          <w:color w:val="000000" w:themeColor="text1"/>
        </w:rPr>
        <w:t xml:space="preserve"> dokument</w:t>
      </w:r>
      <w:r w:rsidR="00006A6F">
        <w:rPr>
          <w:color w:val="000000" w:themeColor="text1"/>
        </w:rPr>
        <w:t>a</w:t>
      </w:r>
      <w:r w:rsidRPr="00280CEA">
        <w:rPr>
          <w:color w:val="000000" w:themeColor="text1"/>
        </w:rPr>
        <w:t>.</w:t>
      </w:r>
    </w:p>
    <w:p w14:paraId="6AC4F520" w14:textId="24936452" w:rsidR="00280CEA" w:rsidRPr="00280CEA" w:rsidRDefault="00280CEA" w:rsidP="00280CEA">
      <w:pPr>
        <w:rPr>
          <w:color w:val="000000" w:themeColor="text1"/>
        </w:rPr>
      </w:pPr>
      <w:r w:rsidRPr="00280CEA">
        <w:rPr>
          <w:color w:val="000000" w:themeColor="text1"/>
        </w:rPr>
        <w:t>U vezi sa IPA II, trenutno se sprovode sl</w:t>
      </w:r>
      <w:r w:rsidR="00006A6F">
        <w:rPr>
          <w:color w:val="000000" w:themeColor="text1"/>
        </w:rPr>
        <w:t>j</w:t>
      </w:r>
      <w:r w:rsidRPr="00280CEA">
        <w:rPr>
          <w:color w:val="000000" w:themeColor="text1"/>
        </w:rPr>
        <w:t xml:space="preserve">edeće </w:t>
      </w:r>
      <w:r w:rsidR="003C3478">
        <w:rPr>
          <w:color w:val="000000" w:themeColor="text1"/>
        </w:rPr>
        <w:t xml:space="preserve">periodične </w:t>
      </w:r>
      <w:r w:rsidRPr="00280CEA">
        <w:rPr>
          <w:color w:val="000000" w:themeColor="text1"/>
        </w:rPr>
        <w:t>evaluacije specifičnih akcija u okviru godišnjih i višegodišnjih programa u posrednom upravljanju:</w:t>
      </w:r>
    </w:p>
    <w:p w14:paraId="6DDDFC6D" w14:textId="59489370" w:rsidR="00006A6F" w:rsidRDefault="00280CEA" w:rsidP="00D15218">
      <w:pPr>
        <w:pStyle w:val="ListParagraph"/>
        <w:numPr>
          <w:ilvl w:val="0"/>
          <w:numId w:val="46"/>
        </w:numPr>
        <w:rPr>
          <w:color w:val="000000" w:themeColor="text1"/>
        </w:rPr>
      </w:pPr>
      <w:r w:rsidRPr="00006A6F">
        <w:rPr>
          <w:color w:val="000000" w:themeColor="text1"/>
        </w:rPr>
        <w:t xml:space="preserve">Sektor životna sredina i klimatska akcija – </w:t>
      </w:r>
      <w:r w:rsidR="00B24B2D">
        <w:rPr>
          <w:color w:val="000000" w:themeColor="text1"/>
        </w:rPr>
        <w:t>DAP</w:t>
      </w:r>
      <w:r w:rsidRPr="00006A6F">
        <w:rPr>
          <w:color w:val="000000" w:themeColor="text1"/>
        </w:rPr>
        <w:t xml:space="preserve"> 2016 – Izgradnja kapaciteta i aktivnosti u vezi sa </w:t>
      </w:r>
      <w:r w:rsidRPr="00006A6F">
        <w:rPr>
          <w:i/>
          <w:color w:val="000000" w:themeColor="text1"/>
        </w:rPr>
        <w:t>acquis-em</w:t>
      </w:r>
      <w:r w:rsidRPr="00006A6F">
        <w:rPr>
          <w:color w:val="000000" w:themeColor="text1"/>
        </w:rPr>
        <w:t xml:space="preserve"> za sektor životne sredine i klimatske akcije  </w:t>
      </w:r>
    </w:p>
    <w:p w14:paraId="43321241" w14:textId="39D1AAEB" w:rsidR="00006A6F" w:rsidRDefault="00280CEA" w:rsidP="00D15218">
      <w:pPr>
        <w:pStyle w:val="ListParagraph"/>
        <w:numPr>
          <w:ilvl w:val="0"/>
          <w:numId w:val="46"/>
        </w:numPr>
        <w:rPr>
          <w:color w:val="000000" w:themeColor="text1"/>
        </w:rPr>
      </w:pPr>
      <w:r w:rsidRPr="00006A6F">
        <w:rPr>
          <w:color w:val="000000" w:themeColor="text1"/>
        </w:rPr>
        <w:t xml:space="preserve">Sektor konkurentnost i inovacije – </w:t>
      </w:r>
      <w:r w:rsidR="00B24B2D">
        <w:rPr>
          <w:color w:val="000000" w:themeColor="text1"/>
        </w:rPr>
        <w:t>DAP</w:t>
      </w:r>
      <w:r w:rsidRPr="00006A6F">
        <w:rPr>
          <w:color w:val="000000" w:themeColor="text1"/>
        </w:rPr>
        <w:t xml:space="preserve"> 2016 – Jačanje sektora konkurentnosti i inovacija Crne Gore  </w:t>
      </w:r>
    </w:p>
    <w:p w14:paraId="30355ACA" w14:textId="416D8360" w:rsidR="00006A6F" w:rsidRDefault="00280CEA" w:rsidP="00D15218">
      <w:pPr>
        <w:pStyle w:val="ListParagraph"/>
        <w:numPr>
          <w:ilvl w:val="0"/>
          <w:numId w:val="46"/>
        </w:numPr>
        <w:rPr>
          <w:color w:val="000000" w:themeColor="text1"/>
        </w:rPr>
      </w:pPr>
      <w:r w:rsidRPr="00006A6F">
        <w:rPr>
          <w:color w:val="000000" w:themeColor="text1"/>
        </w:rPr>
        <w:t>Zajednički program EU-CG za zapošljavanje, obrazovanje i socijalnu zaštitu (2015–2017) – dv</w:t>
      </w:r>
      <w:r w:rsidR="00006A6F">
        <w:rPr>
          <w:color w:val="000000" w:themeColor="text1"/>
        </w:rPr>
        <w:t>ij</w:t>
      </w:r>
      <w:r w:rsidRPr="00006A6F">
        <w:rPr>
          <w:color w:val="000000" w:themeColor="text1"/>
        </w:rPr>
        <w:t xml:space="preserve">e grant šeme  </w:t>
      </w:r>
    </w:p>
    <w:p w14:paraId="003873D9" w14:textId="22D2E012" w:rsidR="00A30E76" w:rsidRPr="007B4787" w:rsidRDefault="00280CEA" w:rsidP="00D15218">
      <w:pPr>
        <w:pStyle w:val="ListParagraph"/>
        <w:numPr>
          <w:ilvl w:val="0"/>
          <w:numId w:val="46"/>
        </w:numPr>
        <w:rPr>
          <w:color w:val="000000" w:themeColor="text1"/>
        </w:rPr>
      </w:pPr>
      <w:r w:rsidRPr="00006A6F">
        <w:rPr>
          <w:color w:val="000000" w:themeColor="text1"/>
        </w:rPr>
        <w:t xml:space="preserve">Podrška privremenoj evaluaciji IPA II akcija sprovedenih u posrednom upravljanju – </w:t>
      </w:r>
      <w:r w:rsidR="00B24B2D">
        <w:rPr>
          <w:color w:val="000000" w:themeColor="text1"/>
        </w:rPr>
        <w:t>DAP</w:t>
      </w:r>
      <w:r w:rsidRPr="00006A6F">
        <w:rPr>
          <w:color w:val="000000" w:themeColor="text1"/>
        </w:rPr>
        <w:t xml:space="preserve"> 2020 – Sektori: zapošljavanje, obrazovanje i socijalne politike, te konkurentnost i inovacije</w:t>
      </w:r>
    </w:p>
    <w:p w14:paraId="40FC0A0F" w14:textId="723DE0F4" w:rsidR="00280CEA" w:rsidRPr="00280CEA" w:rsidRDefault="00280CEA" w:rsidP="00280CEA">
      <w:pPr>
        <w:spacing w:after="0"/>
        <w:rPr>
          <w:color w:val="000000" w:themeColor="text1"/>
        </w:rPr>
      </w:pPr>
      <w:r w:rsidRPr="00280CEA">
        <w:rPr>
          <w:color w:val="000000" w:themeColor="text1"/>
        </w:rPr>
        <w:t>Sl</w:t>
      </w:r>
      <w:r w:rsidR="00006A6F">
        <w:rPr>
          <w:color w:val="000000" w:themeColor="text1"/>
        </w:rPr>
        <w:t>j</w:t>
      </w:r>
      <w:r w:rsidRPr="00280CEA">
        <w:rPr>
          <w:color w:val="000000" w:themeColor="text1"/>
        </w:rPr>
        <w:t xml:space="preserve">edeće evaluacije su završene:  </w:t>
      </w:r>
    </w:p>
    <w:p w14:paraId="2377A451" w14:textId="3B6AB67C" w:rsidR="00006A6F" w:rsidRDefault="00280CEA" w:rsidP="00280CEA">
      <w:pPr>
        <w:spacing w:after="0"/>
        <w:rPr>
          <w:color w:val="000000" w:themeColor="text1"/>
        </w:rPr>
      </w:pPr>
      <w:r w:rsidRPr="00280CEA">
        <w:rPr>
          <w:color w:val="000000" w:themeColor="text1"/>
        </w:rPr>
        <w:t>Evropska komisija, „Podrška p</w:t>
      </w:r>
      <w:r w:rsidR="003C3478">
        <w:rPr>
          <w:color w:val="000000" w:themeColor="text1"/>
        </w:rPr>
        <w:t>eriodičnoj</w:t>
      </w:r>
      <w:r w:rsidRPr="00280CEA">
        <w:rPr>
          <w:color w:val="000000" w:themeColor="text1"/>
        </w:rPr>
        <w:t xml:space="preserve"> evaluaciji IPA II akcija sprovedenih u posrednom </w:t>
      </w:r>
      <w:proofErr w:type="gramStart"/>
      <w:r w:rsidRPr="00280CEA">
        <w:rPr>
          <w:color w:val="000000" w:themeColor="text1"/>
        </w:rPr>
        <w:t>upravljanju“</w:t>
      </w:r>
      <w:proofErr w:type="gramEnd"/>
      <w:r w:rsidRPr="00280CEA">
        <w:rPr>
          <w:color w:val="000000" w:themeColor="text1"/>
        </w:rPr>
        <w:t>, Završni izvještaj (Particip), 8. maj 2022. Godišnji akcioni program za Crnu Goru za 2017. godinu</w:t>
      </w:r>
      <w:r w:rsidR="00006A6F" w:rsidRPr="00B83578">
        <w:rPr>
          <w:rFonts w:cs="Arial"/>
          <w:color w:val="000000" w:themeColor="text1"/>
          <w:szCs w:val="20"/>
          <w:vertAlign w:val="superscript"/>
        </w:rPr>
        <w:footnoteReference w:id="206"/>
      </w:r>
      <w:r w:rsidRPr="00280CEA">
        <w:rPr>
          <w:color w:val="000000" w:themeColor="text1"/>
        </w:rPr>
        <w:t xml:space="preserve">, sa fokusom na:  </w:t>
      </w:r>
    </w:p>
    <w:p w14:paraId="2F4A4371" w14:textId="604552EA" w:rsidR="00006A6F" w:rsidRDefault="00280CEA" w:rsidP="00D15218">
      <w:pPr>
        <w:pStyle w:val="ListParagraph"/>
        <w:numPr>
          <w:ilvl w:val="0"/>
          <w:numId w:val="47"/>
        </w:numPr>
        <w:spacing w:after="0"/>
        <w:rPr>
          <w:color w:val="000000" w:themeColor="text1"/>
        </w:rPr>
      </w:pPr>
      <w:r w:rsidRPr="00006A6F">
        <w:rPr>
          <w:color w:val="000000" w:themeColor="text1"/>
        </w:rPr>
        <w:lastRenderedPageBreak/>
        <w:t xml:space="preserve">Sektor životna sredina i klimatska akcija – Akcija 1: Izgradnja kapaciteta i aktivnosti u vezi sa </w:t>
      </w:r>
      <w:r w:rsidRPr="00006A6F">
        <w:rPr>
          <w:i/>
          <w:color w:val="000000" w:themeColor="text1"/>
        </w:rPr>
        <w:t>acquis-em</w:t>
      </w:r>
      <w:r w:rsidRPr="00006A6F">
        <w:rPr>
          <w:color w:val="000000" w:themeColor="text1"/>
        </w:rPr>
        <w:t xml:space="preserve"> za sektor životne sredine i klimatske akcije – Aktivnost 1.4: Podrška sprovođenju i praćenju upravljanja vodama (</w:t>
      </w:r>
      <w:r w:rsidR="00B24B2D">
        <w:rPr>
          <w:color w:val="000000" w:themeColor="text1"/>
        </w:rPr>
        <w:t>DAP</w:t>
      </w:r>
      <w:r w:rsidRPr="00006A6F">
        <w:rPr>
          <w:color w:val="000000" w:themeColor="text1"/>
        </w:rPr>
        <w:t xml:space="preserve">2016).  </w:t>
      </w:r>
    </w:p>
    <w:p w14:paraId="41C8767B" w14:textId="0F11436A" w:rsidR="00006A6F" w:rsidRDefault="00280CEA" w:rsidP="00D15218">
      <w:pPr>
        <w:pStyle w:val="ListParagraph"/>
        <w:numPr>
          <w:ilvl w:val="0"/>
          <w:numId w:val="47"/>
        </w:numPr>
        <w:spacing w:after="0"/>
        <w:rPr>
          <w:color w:val="000000" w:themeColor="text1"/>
        </w:rPr>
      </w:pPr>
      <w:r w:rsidRPr="00006A6F">
        <w:rPr>
          <w:color w:val="000000" w:themeColor="text1"/>
        </w:rPr>
        <w:t>Sektor konkurentnost i inovacije – Akcija 2: Jačanje sektora konkurentnosti i inovacija Crne Gore – Aktivnost 2.2: Poboljšanje pristupa finansi</w:t>
      </w:r>
      <w:r w:rsidR="00082837">
        <w:rPr>
          <w:color w:val="000000" w:themeColor="text1"/>
        </w:rPr>
        <w:t>ranju</w:t>
      </w:r>
      <w:r w:rsidRPr="00006A6F">
        <w:rPr>
          <w:color w:val="000000" w:themeColor="text1"/>
        </w:rPr>
        <w:t xml:space="preserve"> privatno</w:t>
      </w:r>
      <w:r w:rsidR="00082837">
        <w:rPr>
          <w:color w:val="000000" w:themeColor="text1"/>
        </w:rPr>
        <w:t>g</w:t>
      </w:r>
      <w:r w:rsidRPr="00006A6F">
        <w:rPr>
          <w:color w:val="000000" w:themeColor="text1"/>
        </w:rPr>
        <w:t xml:space="preserve"> sektor</w:t>
      </w:r>
      <w:r w:rsidR="00082837">
        <w:rPr>
          <w:color w:val="000000" w:themeColor="text1"/>
        </w:rPr>
        <w:t>a</w:t>
      </w:r>
      <w:r w:rsidRPr="00006A6F">
        <w:rPr>
          <w:color w:val="000000" w:themeColor="text1"/>
        </w:rPr>
        <w:t xml:space="preserve"> za konkurentnost i inovacije (</w:t>
      </w:r>
      <w:r w:rsidR="00B24B2D">
        <w:rPr>
          <w:color w:val="000000" w:themeColor="text1"/>
        </w:rPr>
        <w:t>DAP</w:t>
      </w:r>
      <w:r w:rsidRPr="00006A6F">
        <w:rPr>
          <w:color w:val="000000" w:themeColor="text1"/>
        </w:rPr>
        <w:t xml:space="preserve">2016).  </w:t>
      </w:r>
    </w:p>
    <w:p w14:paraId="29358436" w14:textId="4404C238" w:rsidR="00280CEA" w:rsidRPr="00006A6F" w:rsidRDefault="00280CEA" w:rsidP="00D15218">
      <w:pPr>
        <w:pStyle w:val="ListParagraph"/>
        <w:numPr>
          <w:ilvl w:val="0"/>
          <w:numId w:val="47"/>
        </w:numPr>
        <w:spacing w:after="0"/>
        <w:rPr>
          <w:color w:val="000000" w:themeColor="text1"/>
        </w:rPr>
      </w:pPr>
      <w:r w:rsidRPr="00006A6F">
        <w:rPr>
          <w:color w:val="000000" w:themeColor="text1"/>
        </w:rPr>
        <w:t xml:space="preserve">Sektor transport – Akcija 3: Podrška transportnom sektoru u Crnoj Gori – Aktivnost 3.2: Tehnička pomoć za podršku kapacitetima transportnog sektora i usklađivanje sa EU </w:t>
      </w:r>
      <w:r w:rsidRPr="00006A6F">
        <w:rPr>
          <w:i/>
          <w:color w:val="000000" w:themeColor="text1"/>
        </w:rPr>
        <w:t>acquis-em</w:t>
      </w:r>
      <w:r w:rsidRPr="00006A6F">
        <w:rPr>
          <w:color w:val="000000" w:themeColor="text1"/>
        </w:rPr>
        <w:t xml:space="preserve"> u Crnoj Gori (</w:t>
      </w:r>
      <w:r w:rsidR="00B24B2D">
        <w:rPr>
          <w:color w:val="000000" w:themeColor="text1"/>
        </w:rPr>
        <w:t>DAP</w:t>
      </w:r>
      <w:r w:rsidRPr="00006A6F">
        <w:rPr>
          <w:color w:val="000000" w:themeColor="text1"/>
        </w:rPr>
        <w:t>2017).</w:t>
      </w:r>
    </w:p>
    <w:p w14:paraId="051DE72F" w14:textId="77777777" w:rsidR="00280CEA" w:rsidRPr="00280CEA" w:rsidRDefault="00280CEA" w:rsidP="00280CEA">
      <w:pPr>
        <w:spacing w:after="0"/>
        <w:rPr>
          <w:color w:val="000000" w:themeColor="text1"/>
        </w:rPr>
      </w:pPr>
    </w:p>
    <w:p w14:paraId="140B4D1C" w14:textId="77777777" w:rsidR="00006A6F" w:rsidRDefault="00006A6F" w:rsidP="00006A6F">
      <w:r>
        <w:t>Trenutno se ne sprovode evaluacije godišnjih programa IPA III u posrednom upravljanju, budući da je njihova realizacija još u ranoj fazi.</w:t>
      </w:r>
    </w:p>
    <w:p w14:paraId="69B16FD8" w14:textId="43BCB632" w:rsidR="00006A6F" w:rsidRDefault="00006A6F" w:rsidP="00006A6F">
      <w:r>
        <w:t xml:space="preserve">Plan evaluacije mora biti predstavljen Odboru za </w:t>
      </w:r>
      <w:r w:rsidR="00E26D99" w:rsidRPr="00E26D99">
        <w:t>monitoring</w:t>
      </w:r>
      <w:r>
        <w:t xml:space="preserve"> najkasnije godinu dana nakon donošenja odluke o odobrenju programa, a sve evaluacije moraju biti objavljene na relevantnim veb-sajtovima.</w:t>
      </w:r>
    </w:p>
    <w:p w14:paraId="279948B5" w14:textId="00459890" w:rsidR="00A30E76" w:rsidRPr="00B83578" w:rsidRDefault="00A30E76" w:rsidP="00A745C2">
      <w:pPr>
        <w:pStyle w:val="Heading4"/>
      </w:pPr>
      <w:r w:rsidRPr="00B83578">
        <w:t>Evalua</w:t>
      </w:r>
      <w:r w:rsidR="007B4787">
        <w:t>cije od strane Komisije</w:t>
      </w:r>
      <w:r w:rsidRPr="00B83578">
        <w:t xml:space="preserve"> </w:t>
      </w:r>
    </w:p>
    <w:p w14:paraId="00F4967F" w14:textId="68684001" w:rsidR="00006A6F" w:rsidRDefault="00006A6F" w:rsidP="00006A6F">
      <w:r>
        <w:t xml:space="preserve">Član 55 IPA III FFPA i član 56 IPA II FA propisuju da, kada Komisija provodi evaluacije IPA </w:t>
      </w:r>
      <w:r w:rsidR="00477A44">
        <w:t>podrške</w:t>
      </w:r>
      <w:r>
        <w:t xml:space="preserve">, korisnik IPA III mora omogućiti pristup podacima i svim relevantnim informacijama potrebnim za sprovođenje evaluacija, uključujući olakšavanje intervjua s relevantnim zainteresovanim stranama.  </w:t>
      </w:r>
    </w:p>
    <w:p w14:paraId="423E26F5" w14:textId="77777777" w:rsidR="00006A6F" w:rsidRDefault="00006A6F" w:rsidP="00006A6F">
      <w:r>
        <w:t xml:space="preserve">Delegacija EU u Crnoj Gori je do sada naručila više evaluacija IPA II akcija u režimu direktnog upravljanja:  </w:t>
      </w:r>
    </w:p>
    <w:p w14:paraId="6934E69D" w14:textId="6ACC251F" w:rsidR="00082837" w:rsidRDefault="00006A6F" w:rsidP="00D15218">
      <w:pPr>
        <w:pStyle w:val="ListParagraph"/>
        <w:numPr>
          <w:ilvl w:val="0"/>
          <w:numId w:val="48"/>
        </w:numPr>
      </w:pPr>
      <w:r>
        <w:t xml:space="preserve">Sektor životna sredina i klimatska akcija – projekat: Podrška </w:t>
      </w:r>
      <w:r w:rsidR="00082837">
        <w:t>implementaciji</w:t>
      </w:r>
      <w:r>
        <w:t xml:space="preserve"> i praćenju upravljanja vodama (IPA 2016).  </w:t>
      </w:r>
    </w:p>
    <w:p w14:paraId="091A8406" w14:textId="77777777" w:rsidR="00082837" w:rsidRDefault="00006A6F" w:rsidP="00D15218">
      <w:pPr>
        <w:pStyle w:val="ListParagraph"/>
        <w:numPr>
          <w:ilvl w:val="0"/>
          <w:numId w:val="48"/>
        </w:numPr>
      </w:pPr>
      <w:r>
        <w:t xml:space="preserve">Sektor konkurentnost i inovacije – projekat: Poboljšanje pristupa finansiranju privatnog sektora za konkurentnost i inovacije (IPA 2016).  </w:t>
      </w:r>
    </w:p>
    <w:p w14:paraId="762172AB" w14:textId="282AB2CF" w:rsidR="00006A6F" w:rsidRDefault="00006A6F" w:rsidP="00D15218">
      <w:pPr>
        <w:pStyle w:val="ListParagraph"/>
        <w:numPr>
          <w:ilvl w:val="0"/>
          <w:numId w:val="48"/>
        </w:numPr>
      </w:pPr>
      <w:r>
        <w:t xml:space="preserve">Sektor transport – projekat: Tehnička pomoć za podršku kapacitetima transportnog sektora i usklađivanje sa EU </w:t>
      </w:r>
      <w:r w:rsidRPr="00082837">
        <w:rPr>
          <w:i/>
        </w:rPr>
        <w:t>acquis-em</w:t>
      </w:r>
      <w:r>
        <w:t xml:space="preserve"> u Crnoj Gori (IPA 2017).</w:t>
      </w:r>
    </w:p>
    <w:p w14:paraId="5F20E0AF" w14:textId="77777777" w:rsidR="00082837" w:rsidRDefault="00082837" w:rsidP="00082837">
      <w:r>
        <w:t xml:space="preserve">Završni izvještaji evaluacija dostavljeni su u maju 2022.  </w:t>
      </w:r>
    </w:p>
    <w:p w14:paraId="5C6D0E60" w14:textId="112AAAD9" w:rsidR="00082837" w:rsidRDefault="00082837" w:rsidP="00082837">
      <w:r>
        <w:t xml:space="preserve">Prema elektronskoj prepisci između Ministarstva evropskih poslova – Kancelarije </w:t>
      </w:r>
      <w:r w:rsidR="0086543E" w:rsidRPr="0086543E">
        <w:t>NIPAK</w:t>
      </w:r>
      <w:r>
        <w:t xml:space="preserve">-a i Delegacije EU, EUD trenutno planira naručivanje tri ex-post evaluacije akcija koje su sprovedene kroz budžetsku podršku:  </w:t>
      </w:r>
    </w:p>
    <w:p w14:paraId="6D0B26BB" w14:textId="77777777" w:rsidR="00082837" w:rsidRDefault="00082837" w:rsidP="00D15218">
      <w:pPr>
        <w:pStyle w:val="ListParagraph"/>
        <w:numPr>
          <w:ilvl w:val="0"/>
          <w:numId w:val="49"/>
        </w:numPr>
      </w:pPr>
      <w:r>
        <w:t xml:space="preserve">Odgovor na krizu izazvanu COVID-19 u Crnoj Gori (IPA 2019)  </w:t>
      </w:r>
    </w:p>
    <w:p w14:paraId="13A37191" w14:textId="704B62B0" w:rsidR="00082837" w:rsidRDefault="00082837" w:rsidP="00D15218">
      <w:pPr>
        <w:pStyle w:val="ListParagraph"/>
        <w:numPr>
          <w:ilvl w:val="0"/>
          <w:numId w:val="49"/>
        </w:numPr>
      </w:pPr>
      <w:r>
        <w:t xml:space="preserve">Podrška Crnoj Gori za </w:t>
      </w:r>
      <w:r w:rsidR="00A80895">
        <w:t>implementaciju</w:t>
      </w:r>
      <w:r>
        <w:t xml:space="preserve"> IBM strategije (IPA 2022)  </w:t>
      </w:r>
    </w:p>
    <w:p w14:paraId="2C54BCE4" w14:textId="28746069" w:rsidR="00082837" w:rsidRDefault="00082837" w:rsidP="00D15218">
      <w:pPr>
        <w:pStyle w:val="ListParagraph"/>
        <w:numPr>
          <w:ilvl w:val="0"/>
          <w:numId w:val="49"/>
        </w:numPr>
      </w:pPr>
      <w:r>
        <w:t>EU podrška reformi javne uprave u Crnoj Gori (IPA 2022)</w:t>
      </w:r>
    </w:p>
    <w:p w14:paraId="2C971E75" w14:textId="77777777" w:rsidR="00A30E76" w:rsidRPr="00B83578" w:rsidRDefault="00A30E76" w:rsidP="00A30E76">
      <w:pPr>
        <w:ind w:left="720"/>
        <w:contextualSpacing/>
      </w:pPr>
    </w:p>
    <w:p w14:paraId="3C7845F2" w14:textId="03898768" w:rsidR="00A30E76" w:rsidRPr="00B83578" w:rsidRDefault="00206BD1" w:rsidP="00A745C2">
      <w:pPr>
        <w:pStyle w:val="Heading3"/>
      </w:pPr>
      <w:bookmarkStart w:id="154" w:name="_Toc201700409"/>
      <w:r>
        <w:t>Okvir učinka i metodologija za uspostavljanje Okvira učinka</w:t>
      </w:r>
      <w:bookmarkEnd w:id="154"/>
    </w:p>
    <w:p w14:paraId="4C411315" w14:textId="09EC1050" w:rsidR="00082837" w:rsidRPr="007B4787" w:rsidRDefault="00082837" w:rsidP="00082837">
      <w:r>
        <w:t xml:space="preserve">Radni dokument osoblja Komisije – Okvir rezultata Instrumenta za pretpristupnu </w:t>
      </w:r>
      <w:r w:rsidR="00477A44">
        <w:t>podršku</w:t>
      </w:r>
      <w:r>
        <w:t xml:space="preserve"> (IPA III)</w:t>
      </w:r>
      <w:r w:rsidRPr="00B83578">
        <w:rPr>
          <w:rFonts w:cs="Arial"/>
          <w:vertAlign w:val="superscript"/>
        </w:rPr>
        <w:footnoteReference w:id="207"/>
      </w:r>
      <w:r>
        <w:t xml:space="preserve"> obezbjeđuje jedinstveni skup indikatora koji se moraju koristiti u svim relevantnim intervencijama, kako bi se omogućilo </w:t>
      </w:r>
      <w:r w:rsidR="007C1B8B">
        <w:t>spajanje</w:t>
      </w:r>
      <w:r>
        <w:t xml:space="preserve"> rezultata i jasnije prikazao uticaj i ishodi IPA III za cio instrument</w:t>
      </w:r>
      <w:r w:rsidRPr="007B4787">
        <w:t xml:space="preserve">. Postoje tri nivoa indikatora u Okviru rezultata IPA III za svaki prozor/tematski prioritet – 1. Uticaj; 2. Ishod i </w:t>
      </w:r>
      <w:r w:rsidR="007B4787" w:rsidRPr="007B4787">
        <w:t>izlazni rezultat</w:t>
      </w:r>
      <w:r w:rsidRPr="007B4787">
        <w:t>; 3. Resursi. Propisani indikatori koriste se u programiranju, praćenju i evaluaciji.</w:t>
      </w:r>
    </w:p>
    <w:p w14:paraId="688DE841" w14:textId="77777777" w:rsidR="00082837" w:rsidRDefault="00082837" w:rsidP="00082837">
      <w:r w:rsidRPr="007B4787">
        <w:t>Skup indikatora učinka (okvir učinka) propisan je i za programe i intervencije IPA II, uz manje prilagođavanje</w:t>
      </w:r>
      <w:r>
        <w:t xml:space="preserve"> za programe IPA III.</w:t>
      </w:r>
    </w:p>
    <w:p w14:paraId="0D272D8D" w14:textId="77777777" w:rsidR="00082837" w:rsidRDefault="00082837" w:rsidP="00082837">
      <w:r>
        <w:t>Do sada je upotreba propisanih indikatora (za programe i akcije IPA II i IPA III u Crnoj Gori) bila minimalna i/ili nedosljedna. Prepoznata je potreba za dodatnim smjernicama Komisije u vezi sa korišćenjem propisanog okvira rezultata.</w:t>
      </w:r>
    </w:p>
    <w:p w14:paraId="0CE500CB" w14:textId="396B801A" w:rsidR="007C1B8B" w:rsidRDefault="007C1B8B" w:rsidP="007C1B8B">
      <w:r>
        <w:t>Samo se nekoliko pokazatelja IPA III iz okvira rezultata preklapa sa zajedničkim izlaznim i rezultatskim pokazateljima Kohezi</w:t>
      </w:r>
      <w:r w:rsidR="00D05395">
        <w:t>one</w:t>
      </w:r>
      <w:r>
        <w:t xml:space="preserve"> politike.  </w:t>
      </w:r>
    </w:p>
    <w:p w14:paraId="485C2F08" w14:textId="766FD792" w:rsidR="007C1B8B" w:rsidRDefault="007C1B8B" w:rsidP="007C1B8B">
      <w:r>
        <w:lastRenderedPageBreak/>
        <w:t xml:space="preserve">Za aktivnosti koje se podržavaju putem budžetske podrške uspostavlja se okvir učinka (u vidu </w:t>
      </w:r>
      <w:r w:rsidRPr="00D05395">
        <w:rPr>
          <w:i/>
        </w:rPr>
        <w:t>logframe matrice</w:t>
      </w:r>
      <w:r>
        <w:t xml:space="preserve"> i pas</w:t>
      </w:r>
      <w:r w:rsidR="00D05395">
        <w:t>oša</w:t>
      </w:r>
      <w:r>
        <w:t xml:space="preserve"> (</w:t>
      </w:r>
      <w:r w:rsidR="00D05395">
        <w:rPr>
          <w:i/>
        </w:rPr>
        <w:t>Fiche</w:t>
      </w:r>
      <w:r>
        <w:t xml:space="preserve">) pokazatelja), </w:t>
      </w:r>
      <w:proofErr w:type="gramStart"/>
      <w:r>
        <w:t>a</w:t>
      </w:r>
      <w:proofErr w:type="gramEnd"/>
      <w:r>
        <w:t xml:space="preserve"> isplata varijabilnih tranši vezuje se za ciljeve postavljene za ostvarenje tih pokazatelja.  </w:t>
      </w:r>
    </w:p>
    <w:p w14:paraId="583F7A7F" w14:textId="6A05E4A9" w:rsidR="007C1B8B" w:rsidRDefault="007C1B8B" w:rsidP="007C1B8B">
      <w:r>
        <w:t>Crna Gora ima određeno iskustvo s konceptom i metodologijom okvira učinka kroz svoje učešće u programima IPA INTERREG</w:t>
      </w:r>
      <w:r w:rsidR="00D05395" w:rsidRPr="00B83578">
        <w:rPr>
          <w:rFonts w:cs="Arial"/>
          <w:vertAlign w:val="superscript"/>
        </w:rPr>
        <w:footnoteReference w:id="208"/>
      </w:r>
      <w:r w:rsidR="00D05395" w:rsidRPr="00B83578">
        <w:t xml:space="preserve"> </w:t>
      </w:r>
      <w:r>
        <w:t xml:space="preserve"> i interregionalnim programima.</w:t>
      </w:r>
    </w:p>
    <w:p w14:paraId="68165EB2" w14:textId="77777777" w:rsidR="007C1B8B" w:rsidRDefault="007C1B8B" w:rsidP="007C1B8B">
      <w:r>
        <w:t xml:space="preserve">Crna Gora je definisala okvir učinka u okviru Agende reformi finansirane iz Fonda za reforme i rast za Zapadni Balkan.  </w:t>
      </w:r>
    </w:p>
    <w:p w14:paraId="054195D5" w14:textId="20DB6948" w:rsidR="007C1B8B" w:rsidRDefault="007C1B8B" w:rsidP="007C1B8B">
      <w:r>
        <w:t>Pored toga, država članica mora uspostaviti metodologiju za okvir učinka koja obuhvata: (a) kriterijume koje država članica primjenjuje pri odabiru pokazatelja; (b) podatke ili dokaze koji se koriste, o</w:t>
      </w:r>
      <w:r w:rsidR="00D05395">
        <w:t>siguranje</w:t>
      </w:r>
      <w:r>
        <w:t xml:space="preserve"> kvaliteta podataka i metod obračuna; (c) faktore koji mogu uticati na ostvarenje prekretnica i ciljeva i način na koji su oni uzeti u obzir.</w:t>
      </w:r>
    </w:p>
    <w:p w14:paraId="14280654" w14:textId="182B670C" w:rsidR="007C1B8B" w:rsidRPr="007C1B8B" w:rsidRDefault="007C1B8B" w:rsidP="007C1B8B">
      <w:pPr>
        <w:rPr>
          <w:b/>
          <w:bCs/>
        </w:rPr>
      </w:pPr>
      <w:r w:rsidRPr="007C1B8B">
        <w:rPr>
          <w:b/>
          <w:bCs/>
        </w:rPr>
        <w:t xml:space="preserve">Procjena trenutnog funkcionisanja sistema </w:t>
      </w:r>
      <w:r w:rsidR="00EB3B07">
        <w:rPr>
          <w:b/>
          <w:bCs/>
        </w:rPr>
        <w:t>monitoringa</w:t>
      </w:r>
      <w:r w:rsidRPr="007C1B8B">
        <w:rPr>
          <w:b/>
          <w:bCs/>
        </w:rPr>
        <w:t xml:space="preserve"> i evaluacije u vezi sa IPA II i IPA III u Crnoj Gori  </w:t>
      </w:r>
    </w:p>
    <w:p w14:paraId="5E8787F3" w14:textId="1F83A83B" w:rsidR="007C1B8B" w:rsidRPr="007C1B8B" w:rsidRDefault="007C1B8B" w:rsidP="007C1B8B">
      <w:pPr>
        <w:rPr>
          <w:bCs/>
        </w:rPr>
      </w:pPr>
      <w:r w:rsidRPr="007C1B8B">
        <w:rPr>
          <w:bCs/>
        </w:rPr>
        <w:t xml:space="preserve">Procjenu trenutnog funkcionisanja sistema </w:t>
      </w:r>
      <w:r w:rsidR="00EB3B07">
        <w:rPr>
          <w:bCs/>
        </w:rPr>
        <w:t>monitoringa</w:t>
      </w:r>
      <w:r w:rsidRPr="007C1B8B">
        <w:rPr>
          <w:bCs/>
        </w:rPr>
        <w:t xml:space="preserve"> i evaluacije u vezi sa IPA II i IPA III u Crnoj Gori, zajedno sa preporukama za poboljšanje, sprovodi PPF sa </w:t>
      </w:r>
      <w:r w:rsidR="0086543E" w:rsidRPr="0086543E">
        <w:rPr>
          <w:bCs/>
        </w:rPr>
        <w:t>NIPAK</w:t>
      </w:r>
      <w:r w:rsidR="00D05395">
        <w:rPr>
          <w:bCs/>
        </w:rPr>
        <w:t xml:space="preserve"> projektom</w:t>
      </w:r>
      <w:r w:rsidRPr="007C1B8B">
        <w:rPr>
          <w:bCs/>
        </w:rPr>
        <w:t xml:space="preserve">. Ova procjena obuhvata cjelokupan sistem programskog </w:t>
      </w:r>
      <w:r w:rsidR="00EB3B07">
        <w:rPr>
          <w:bCs/>
        </w:rPr>
        <w:t>monitoringa</w:t>
      </w:r>
      <w:r w:rsidRPr="007C1B8B">
        <w:rPr>
          <w:bCs/>
        </w:rPr>
        <w:t xml:space="preserve"> i evaluacije – institucionalno uređenje i upravljanje; efikasnost i efektivnost uspostavljenih procedura – uključujući administrativno opterećenje, kvalitet podataka, postojeće prakse, ljudske resurse; uključenost zainteresovanih strana; i obaveze iz </w:t>
      </w:r>
      <w:r w:rsidR="00CD0020">
        <w:rPr>
          <w:bCs/>
        </w:rPr>
        <w:t>RZO</w:t>
      </w:r>
      <w:r w:rsidRPr="007C1B8B">
        <w:rPr>
          <w:bCs/>
        </w:rPr>
        <w:t>-a za buduć</w:t>
      </w:r>
      <w:r w:rsidR="00EB3B07">
        <w:rPr>
          <w:bCs/>
        </w:rPr>
        <w:t>i monitoring</w:t>
      </w:r>
      <w:r w:rsidRPr="007C1B8B">
        <w:rPr>
          <w:bCs/>
        </w:rPr>
        <w:t xml:space="preserve"> Kohezi</w:t>
      </w:r>
      <w:r w:rsidR="00D05395">
        <w:rPr>
          <w:bCs/>
        </w:rPr>
        <w:t>one</w:t>
      </w:r>
      <w:r w:rsidRPr="007C1B8B">
        <w:rPr>
          <w:bCs/>
        </w:rPr>
        <w:t xml:space="preserve"> politike.  </w:t>
      </w:r>
    </w:p>
    <w:p w14:paraId="10776167" w14:textId="772E30DB" w:rsidR="007C1B8B" w:rsidRPr="007C1B8B" w:rsidRDefault="007C1B8B" w:rsidP="007C1B8B">
      <w:pPr>
        <w:rPr>
          <w:bCs/>
        </w:rPr>
      </w:pPr>
      <w:r w:rsidRPr="007C1B8B">
        <w:rPr>
          <w:bCs/>
        </w:rPr>
        <w:t>Samoprocjena (koju je sprovelo IPA osoblje) realizovana u okviru PPF</w:t>
      </w:r>
      <w:r w:rsidR="00D05395">
        <w:rPr>
          <w:bCs/>
        </w:rPr>
        <w:t>-a</w:t>
      </w:r>
      <w:r w:rsidRPr="007C1B8B">
        <w:rPr>
          <w:bCs/>
        </w:rPr>
        <w:t xml:space="preserve"> sa </w:t>
      </w:r>
      <w:r w:rsidR="0086543E" w:rsidRPr="0086543E">
        <w:rPr>
          <w:bCs/>
        </w:rPr>
        <w:t>NIPAK</w:t>
      </w:r>
      <w:r w:rsidR="00D05395">
        <w:rPr>
          <w:bCs/>
        </w:rPr>
        <w:t xml:space="preserve"> projektom</w:t>
      </w:r>
      <w:r w:rsidRPr="007C1B8B">
        <w:rPr>
          <w:bCs/>
        </w:rPr>
        <w:t xml:space="preserve"> </w:t>
      </w:r>
      <w:r w:rsidR="00F6773D">
        <w:rPr>
          <w:bCs/>
        </w:rPr>
        <w:t>tehničke pomoći</w:t>
      </w:r>
      <w:r w:rsidR="00D05395" w:rsidRPr="00A745C2">
        <w:rPr>
          <w:rFonts w:eastAsia="Times New Roman" w:cs="Arial"/>
          <w:vertAlign w:val="superscript"/>
        </w:rPr>
        <w:footnoteReference w:id="209"/>
      </w:r>
      <w:r w:rsidRPr="007C1B8B">
        <w:rPr>
          <w:bCs/>
        </w:rPr>
        <w:t xml:space="preserve"> pokazuje da se najmanje razvijene kompetencije i znanja uglavnom odnose na obaveze IPA </w:t>
      </w:r>
      <w:r w:rsidR="00EB3B07">
        <w:rPr>
          <w:bCs/>
        </w:rPr>
        <w:t>monitoringa</w:t>
      </w:r>
      <w:r w:rsidRPr="007C1B8B">
        <w:rPr>
          <w:bCs/>
        </w:rPr>
        <w:t xml:space="preserve">, uspostavljanje sistema IPA </w:t>
      </w:r>
      <w:r w:rsidR="00EB3B07">
        <w:rPr>
          <w:bCs/>
        </w:rPr>
        <w:t>monitoringa</w:t>
      </w:r>
      <w:r w:rsidRPr="007C1B8B">
        <w:rPr>
          <w:bCs/>
        </w:rPr>
        <w:t xml:space="preserve">, obezbjeđivanje informacija o </w:t>
      </w:r>
      <w:r w:rsidR="00EB3B07">
        <w:rPr>
          <w:bCs/>
        </w:rPr>
        <w:t>monitoringu</w:t>
      </w:r>
      <w:r w:rsidRPr="007C1B8B">
        <w:rPr>
          <w:bCs/>
        </w:rPr>
        <w:t xml:space="preserve"> Odborima za </w:t>
      </w:r>
      <w:r w:rsidR="00E26D99" w:rsidRPr="00E26D99">
        <w:rPr>
          <w:bCs/>
        </w:rPr>
        <w:t>monitoring</w:t>
      </w:r>
      <w:r w:rsidRPr="007C1B8B">
        <w:rPr>
          <w:bCs/>
        </w:rPr>
        <w:t xml:space="preserve"> i izvještavanje o održivosti. Kada je riječ o stručnosti za poslove povezane sa evaluacijom, samoprocjena ukazuje na nizak nivo kompetencija i znanja u planiranju evaluacija, upravljanju, prikupljanju podataka i organizovanju konsultacija. Anketa i izvještaj zasnovani na kompetencijama, koje je izradio projekat </w:t>
      </w:r>
      <w:r w:rsidR="0032369C">
        <w:rPr>
          <w:bCs/>
        </w:rPr>
        <w:t>TP</w:t>
      </w:r>
      <w:r w:rsidRPr="007C1B8B">
        <w:rPr>
          <w:bCs/>
        </w:rPr>
        <w:t xml:space="preserve">, navode da postoje značajne potrebe za </w:t>
      </w:r>
      <w:r w:rsidR="00671D09">
        <w:rPr>
          <w:bCs/>
        </w:rPr>
        <w:t>obukama</w:t>
      </w:r>
      <w:r w:rsidRPr="007C1B8B">
        <w:rPr>
          <w:bCs/>
        </w:rPr>
        <w:t xml:space="preserve"> IPA tijela u oblasti </w:t>
      </w:r>
      <w:r w:rsidR="00EB3B07">
        <w:rPr>
          <w:bCs/>
        </w:rPr>
        <w:t>monitoringa</w:t>
      </w:r>
      <w:r w:rsidRPr="007C1B8B">
        <w:rPr>
          <w:bCs/>
        </w:rPr>
        <w:t xml:space="preserve">, izvještavanja i evaluacije. Jedno od ključnih pitanja jeste da mnogi zaposleni u IPA strukturama ne razumiju čitav sistem i fokusirani su samo na ograničen broj zadataka, uglavnom projektnih ili ugovornih. To znatno utiče na njihovu sposobnost da vrše </w:t>
      </w:r>
      <w:r w:rsidR="00E26D99" w:rsidRPr="00E26D99">
        <w:rPr>
          <w:bCs/>
        </w:rPr>
        <w:t>monitoring</w:t>
      </w:r>
      <w:r w:rsidRPr="007C1B8B">
        <w:rPr>
          <w:bCs/>
        </w:rPr>
        <w:t xml:space="preserve"> na programskoj ravni.  </w:t>
      </w:r>
    </w:p>
    <w:p w14:paraId="20C7A8AA" w14:textId="41892A0B" w:rsidR="007C1B8B" w:rsidRPr="007C1B8B" w:rsidRDefault="007C1B8B" w:rsidP="007C1B8B">
      <w:pPr>
        <w:rPr>
          <w:bCs/>
        </w:rPr>
      </w:pPr>
      <w:r w:rsidRPr="007C1B8B">
        <w:rPr>
          <w:bCs/>
        </w:rPr>
        <w:t xml:space="preserve">PPF sa </w:t>
      </w:r>
      <w:r w:rsidR="0086543E" w:rsidRPr="0086543E">
        <w:rPr>
          <w:bCs/>
        </w:rPr>
        <w:t>NIPAK</w:t>
      </w:r>
      <w:r w:rsidRPr="007C1B8B">
        <w:rPr>
          <w:bCs/>
        </w:rPr>
        <w:t xml:space="preserve"> </w:t>
      </w:r>
      <w:r w:rsidR="00D05395">
        <w:rPr>
          <w:bCs/>
        </w:rPr>
        <w:t xml:space="preserve">projektom </w:t>
      </w:r>
      <w:r w:rsidR="00F6773D">
        <w:rPr>
          <w:bCs/>
        </w:rPr>
        <w:t>tehničke pomoći</w:t>
      </w:r>
      <w:r w:rsidRPr="007C1B8B">
        <w:rPr>
          <w:bCs/>
        </w:rPr>
        <w:t xml:space="preserve"> trenutno pruža podršku (re)dizajnu priručnika procedura i praktičnih alata za IPA M&amp;E, kao i </w:t>
      </w:r>
      <w:r w:rsidR="00C30F51" w:rsidRPr="00C30F51">
        <w:rPr>
          <w:bCs/>
        </w:rPr>
        <w:t>jačanju kapaciteta</w:t>
      </w:r>
      <w:r w:rsidRPr="007C1B8B">
        <w:rPr>
          <w:bCs/>
        </w:rPr>
        <w:t>.</w:t>
      </w:r>
    </w:p>
    <w:p w14:paraId="69295FB6" w14:textId="39377F79" w:rsidR="00A30E76" w:rsidRPr="00B83578" w:rsidRDefault="00017758" w:rsidP="00A745C2">
      <w:pPr>
        <w:pStyle w:val="Heading2"/>
      </w:pPr>
      <w:bookmarkStart w:id="155" w:name="_Toc201700410"/>
      <w:r>
        <w:t>Planirane akcije</w:t>
      </w:r>
      <w:bookmarkEnd w:id="155"/>
      <w:r w:rsidR="00A30E76" w:rsidRPr="00B83578">
        <w:t xml:space="preserve"> </w:t>
      </w:r>
    </w:p>
    <w:p w14:paraId="7349B802" w14:textId="23FA82B2" w:rsidR="00A30E76" w:rsidRPr="00B83578" w:rsidRDefault="00D05395" w:rsidP="00A745C2">
      <w:r>
        <w:t>Na osnovu procjene trenutne situacije i u svijetlu relevatnih zahtjeva Kohezione politike, sljedeće akcije i mjere su planirane:</w:t>
      </w:r>
    </w:p>
    <w:p w14:paraId="6E251E55" w14:textId="349078E3" w:rsidR="00A30E76" w:rsidRPr="00B83578" w:rsidRDefault="00543023" w:rsidP="00A745C2">
      <w:pPr>
        <w:pStyle w:val="Heading4"/>
      </w:pPr>
      <w:r>
        <w:t>Akcija</w:t>
      </w:r>
      <w:r w:rsidR="00A30E76" w:rsidRPr="00B83578">
        <w:t xml:space="preserve"> 5.1. </w:t>
      </w:r>
      <w:r w:rsidR="00A22920">
        <w:t>Studija o uspostavljanju e-Kohezije i Informacionog sistema za upravljanje</w:t>
      </w:r>
    </w:p>
    <w:p w14:paraId="5C387129" w14:textId="13E2643B" w:rsidR="00D05395" w:rsidRDefault="00D05395" w:rsidP="00D05395">
      <w:r>
        <w:t xml:space="preserve">Period 2021–2027 donio je pojednostavljeni pristup upotrebljivosti informacionih sistema – države članice uvode sisteme koji korisnicima omogućavaju da sve informacije i dokumenta dostave elektronski i samo jednom </w:t>
      </w:r>
      <w:r w:rsidR="00D0076E">
        <w:t>tijelima</w:t>
      </w:r>
      <w:r>
        <w:t xml:space="preserve"> Programa. To zahtijeva uspostavljanje potpuno razvijenog elektronskog sistema za apliciranje i </w:t>
      </w:r>
      <w:r w:rsidR="00E26D99" w:rsidRPr="00E26D99">
        <w:t>monitoring</w:t>
      </w:r>
      <w:r>
        <w:t>, s mogućnostima pristupa za različit</w:t>
      </w:r>
      <w:r w:rsidR="0086543E">
        <w:t>a tijela</w:t>
      </w:r>
      <w:r>
        <w:t xml:space="preserve"> Programa, uključujući službenike koji vrše upravljačke provjere, kao osnovu ne samo za </w:t>
      </w:r>
      <w:r w:rsidR="00E26D99" w:rsidRPr="00E26D99">
        <w:t>monitoring</w:t>
      </w:r>
      <w:r>
        <w:t xml:space="preserve"> i evaluaciju, već i za kontrolne i revizorske sisteme (ili razvoj interfejsa i maksimalno korišćenje već postojećih baza podataka). Poboljšane funkcionalnosti obuhvataju intuitivne interfejse, pojednostavljene procese unosa podataka i veću pristupačnost kako bi svi korisnici, bez obzira na tehničku stručnost, mogli efikasno da koriste sisteme. Cilj je smanjenje </w:t>
      </w:r>
      <w:r w:rsidR="000744D1">
        <w:t>administrativnih</w:t>
      </w:r>
      <w:r>
        <w:t xml:space="preserve"> opterećenja i unapr</w:t>
      </w:r>
      <w:r w:rsidR="00D0076E">
        <w:t>j</w:t>
      </w:r>
      <w:r>
        <w:t xml:space="preserve">eđenje korisničkog iskustva za sve aktere uključene u upravljanje i izvještavanje o sredstvima EU. Ovaj korisnički orijentisan pristup osmišljen je da omogući brže prihvatanje i efikasnije korišćenje sistema na različitim administrativnim nivoima.  </w:t>
      </w:r>
    </w:p>
    <w:p w14:paraId="298EC729" w14:textId="55E59047" w:rsidR="00D05395" w:rsidRDefault="00D05395" w:rsidP="00D05395">
      <w:r>
        <w:lastRenderedPageBreak/>
        <w:t xml:space="preserve">Međutim, uvođenje novog alata očigledno podrazumijeva period učenja i prilagođavanja za </w:t>
      </w:r>
      <w:r w:rsidR="00D0076E">
        <w:t>tijela</w:t>
      </w:r>
      <w:r>
        <w:t xml:space="preserve"> Programa, što ukazuje na rast troškova koji nijesu samo finansijske prirode. I dalje ne postoji sistematska studija o uticaju ovih promjena na </w:t>
      </w:r>
      <w:r w:rsidR="00D0076E">
        <w:t>tijela</w:t>
      </w:r>
      <w:r>
        <w:t xml:space="preserve"> Programa.</w:t>
      </w:r>
    </w:p>
    <w:p w14:paraId="55F7614D" w14:textId="60748970" w:rsidR="00D0076E" w:rsidRDefault="00D0076E" w:rsidP="00D0076E">
      <w:r>
        <w:t>Evropska unija je 2012. procijenila da će upotreba digitalnih tehnologija smanjiti obim posla upravljačkih tijela za 11%, čime će se riješiti ukupno administrativno opterećenje u upravljanju fondovima</w:t>
      </w:r>
      <w:r w:rsidR="008955B0" w:rsidRPr="00B83578">
        <w:rPr>
          <w:vertAlign w:val="superscript"/>
        </w:rPr>
        <w:footnoteReference w:id="210"/>
      </w:r>
      <w:r w:rsidR="008955B0" w:rsidRPr="00B83578">
        <w:t>.</w:t>
      </w:r>
      <w:r>
        <w:t xml:space="preserve">. Međutim, očekuje se da će primjena vještačke inteligencije značajno povećati navedeni procenat.  </w:t>
      </w:r>
    </w:p>
    <w:p w14:paraId="05B8D385" w14:textId="23F49ECA" w:rsidR="00D0076E" w:rsidRDefault="00D0076E" w:rsidP="00D0076E">
      <w:r>
        <w:t xml:space="preserve">Planirano je sprovođenje studije o uspostavljanju e-Kohezije i </w:t>
      </w:r>
      <w:r w:rsidR="00A067C3">
        <w:t>ISU</w:t>
      </w:r>
      <w:r>
        <w:t xml:space="preserve">-a kako bi se identifikovalo optimalno rješenje za uparivanje e-Kohezije i Sistema za </w:t>
      </w:r>
      <w:r w:rsidR="00E26D99" w:rsidRPr="00E26D99">
        <w:t>monitoring</w:t>
      </w:r>
      <w:r>
        <w:t xml:space="preserve"> informacija u Crnoj Gori, pri čemu će e-Kohezija biti integrisani modul, uz uvažavanje najnaprednijih tehnologija, efikasne interoperabilnosti sistema na različitim administrativnim nivoima i između različitih aktera uključenih u Kohezionu politiku, kao i iskustava stečenih u državama članicama EU prilikom uspostavljanja e-Kohezije i </w:t>
      </w:r>
      <w:r w:rsidR="00A067C3">
        <w:t>ISU</w:t>
      </w:r>
      <w:r>
        <w:t xml:space="preserve">-a. Studija će takođe analizirati opcije za jedinstveni </w:t>
      </w:r>
      <w:r w:rsidR="00A067C3">
        <w:t>ISU</w:t>
      </w:r>
      <w:r>
        <w:t xml:space="preserve"> ili </w:t>
      </w:r>
      <w:r w:rsidR="00A067C3">
        <w:t>ISU</w:t>
      </w:r>
      <w:r>
        <w:t xml:space="preserve"> za </w:t>
      </w:r>
      <w:r w:rsidR="003D7057">
        <w:t>EFRR</w:t>
      </w:r>
      <w:r>
        <w:t>+CF+</w:t>
      </w:r>
      <w:r w:rsidR="00A067C3">
        <w:t>FPT</w:t>
      </w:r>
      <w:r>
        <w:t xml:space="preserve"> i odvojeni </w:t>
      </w:r>
      <w:r w:rsidR="00A067C3">
        <w:t>ISU</w:t>
      </w:r>
      <w:r>
        <w:t xml:space="preserve"> za ESF+. U slučaju jedinstvenog </w:t>
      </w:r>
      <w:r w:rsidR="00A067C3">
        <w:t>ISU</w:t>
      </w:r>
      <w:r>
        <w:t xml:space="preserve">-a, pored jednog sistema koji bi koristila sva </w:t>
      </w:r>
      <w:r w:rsidR="005B55A5">
        <w:t>tijela programa</w:t>
      </w:r>
      <w:r>
        <w:t xml:space="preserve"> i ostali predviđeni korisnici, posebni moduli za svaki Fond mogu da obezbijede različite funkcionalnosti unutar fondova Kohezione politike.  </w:t>
      </w:r>
    </w:p>
    <w:p w14:paraId="19833D20" w14:textId="6E6B1B83" w:rsidR="00A30E76" w:rsidRPr="00B83578" w:rsidRDefault="00D0076E" w:rsidP="00A745C2">
      <w:r>
        <w:t xml:space="preserve">Mogućnost da se crnogorske vlasti priključe REGIO </w:t>
      </w:r>
      <w:r w:rsidRPr="008955B0">
        <w:rPr>
          <w:i/>
        </w:rPr>
        <w:t>Peer2Peer</w:t>
      </w:r>
      <w:r>
        <w:t xml:space="preserve"> zajednici za digitalnu administraciju, IT sisteme za upravljanje fondovima i e-</w:t>
      </w:r>
      <w:r w:rsidR="008955B0">
        <w:t>Koheziji</w:t>
      </w:r>
      <w:r>
        <w:t xml:space="preserve">, koja okuplja praktičare fondova Kohezione politike EU zaposlene u programskim </w:t>
      </w:r>
      <w:r w:rsidR="008955B0">
        <w:t>tijelima</w:t>
      </w:r>
      <w:r>
        <w:t xml:space="preserve"> radi razmjene i diskusije o najboljim praksama u primjeni IT sistema za pojednostavljivanje administrativnih procedura i sigurnu razmjenu podataka, biće istražena što je prije moguće</w:t>
      </w:r>
      <w:r w:rsidR="00A30E76" w:rsidRPr="00B83578">
        <w:t>.</w:t>
      </w:r>
    </w:p>
    <w:p w14:paraId="5ACCB583" w14:textId="2CC3C497" w:rsidR="00A30E76" w:rsidRPr="00B83578" w:rsidRDefault="00543023" w:rsidP="00A745C2">
      <w:pPr>
        <w:pStyle w:val="Heading4"/>
        <w:rPr>
          <w:sz w:val="16"/>
          <w:szCs w:val="16"/>
        </w:rPr>
      </w:pPr>
      <w:r>
        <w:t>Akcija</w:t>
      </w:r>
      <w:r w:rsidR="00A30E76" w:rsidRPr="00B83578">
        <w:t xml:space="preserve"> 5.2. </w:t>
      </w:r>
      <w:r w:rsidR="00A22920">
        <w:t xml:space="preserve">Odluka o </w:t>
      </w:r>
      <w:r w:rsidR="00A067C3">
        <w:t>ISU</w:t>
      </w:r>
      <w:r w:rsidR="00A22920">
        <w:t xml:space="preserve"> arhitekturi</w:t>
      </w:r>
      <w:r w:rsidR="00A30E76" w:rsidRPr="00B83578">
        <w:rPr>
          <w:sz w:val="16"/>
          <w:szCs w:val="16"/>
        </w:rPr>
        <w:t xml:space="preserve"> </w:t>
      </w:r>
    </w:p>
    <w:p w14:paraId="4F9729D3" w14:textId="2E148A63" w:rsidR="008955B0" w:rsidRDefault="008955B0" w:rsidP="008955B0">
      <w:r>
        <w:t xml:space="preserve">Na osnovu Studije iz tačke 5.1, donijeće se odluka o arhitekturi </w:t>
      </w:r>
      <w:r w:rsidR="00A067C3">
        <w:t>ISU</w:t>
      </w:r>
      <w:r>
        <w:t xml:space="preserve">-a od strane ad hoc formiranog međuinstitucionalnog Upravljačkog odbora odgovornog za dizajn, razvoj i implementaciju </w:t>
      </w:r>
      <w:r w:rsidR="00A067C3">
        <w:t>ISU</w:t>
      </w:r>
      <w:r>
        <w:t xml:space="preserve">-a. Ovaj Odbor će uključivati predstavnike svih ključnih aktera: Ministarstva finansija, Budućih programskih tijela, Ministarstva evropskih poslova – Kancelarije </w:t>
      </w:r>
      <w:r w:rsidR="0086543E" w:rsidRPr="0086543E">
        <w:t>NIPAK</w:t>
      </w:r>
      <w:r>
        <w:t xml:space="preserve">-a i predstavnika Koordinacionog tijela za </w:t>
      </w:r>
      <w:r w:rsidR="00A80895">
        <w:t>implementaciju</w:t>
      </w:r>
      <w:r>
        <w:t xml:space="preserve"> Strategije digitalne transformacije Crne Gore ili njegovog pravnog i operativnog nasljednika</w:t>
      </w:r>
      <w:r w:rsidRPr="00B83578">
        <w:rPr>
          <w:rFonts w:ascii="Calibri" w:hAnsi="Calibri"/>
          <w:sz w:val="22"/>
          <w:vertAlign w:val="superscript"/>
        </w:rPr>
        <w:footnoteReference w:id="211"/>
      </w:r>
      <w:r>
        <w:t xml:space="preserve">.  </w:t>
      </w:r>
    </w:p>
    <w:p w14:paraId="479D569E" w14:textId="399535FD" w:rsidR="008955B0" w:rsidRDefault="008955B0" w:rsidP="008955B0">
      <w:r>
        <w:t xml:space="preserve">Odluka o arhitekturi </w:t>
      </w:r>
      <w:r w:rsidR="00A067C3">
        <w:t>ISU</w:t>
      </w:r>
      <w:r>
        <w:t>-a definisaće potrebe i očekivanja od sistema, identifikujući ključne indikatore u</w:t>
      </w:r>
      <w:r w:rsidR="00760F26">
        <w:t>činka</w:t>
      </w:r>
      <w:r>
        <w:t xml:space="preserve"> (</w:t>
      </w:r>
      <w:r w:rsidR="00A067C3">
        <w:t>KIU</w:t>
      </w:r>
      <w:r>
        <w:t xml:space="preserve">), zahtjeve u pogledu podataka, korisnike, njihove uloge i željene funkcionalnosti, što će voditi izradi nacrta </w:t>
      </w:r>
      <w:r w:rsidR="00A067C3">
        <w:t>ISU</w:t>
      </w:r>
      <w:r>
        <w:t>-a. Ova aktivnost obuhvatiće projektovanje strukture podataka, korisničkih interfejsa i arhitekture sistema, odnosno njegovih komponenti i njihovih međusobnih interakcija.</w:t>
      </w:r>
    </w:p>
    <w:p w14:paraId="134AE868" w14:textId="580541D6" w:rsidR="00A30E76" w:rsidRPr="00B83578" w:rsidRDefault="00543023" w:rsidP="00A745C2">
      <w:pPr>
        <w:pStyle w:val="Heading4"/>
      </w:pPr>
      <w:r>
        <w:t>Akcija</w:t>
      </w:r>
      <w:r w:rsidR="00A30E76" w:rsidRPr="00B83578">
        <w:t xml:space="preserve"> 5.3. </w:t>
      </w:r>
      <w:r w:rsidR="00A22920">
        <w:t>Detaljan plan i vremenski raspored koji se tiču uspostavljanja sistema za monitoring i evaluaciju, uključujući uspostavljanje sistema za elektronsko upravljanj</w:t>
      </w:r>
      <w:r w:rsidR="00A067C3">
        <w:t>e</w:t>
      </w:r>
      <w:r w:rsidR="00A22920">
        <w:t xml:space="preserve"> i informacije (</w:t>
      </w:r>
      <w:r w:rsidR="00A067C3">
        <w:t>ISU</w:t>
      </w:r>
      <w:r w:rsidR="00A22920">
        <w:t xml:space="preserve">) </w:t>
      </w:r>
    </w:p>
    <w:p w14:paraId="368034F7" w14:textId="619DCB54" w:rsidR="008955B0" w:rsidRDefault="008955B0" w:rsidP="00A745C2">
      <w:r w:rsidRPr="008955B0">
        <w:t>Ova Ak</w:t>
      </w:r>
      <w:r>
        <w:t>cija</w:t>
      </w:r>
      <w:r w:rsidRPr="008955B0">
        <w:t xml:space="preserve"> fokusira se na izradu detaljnog plana implementacije i vremenskog okvira, uključujući procijenjeni budžet i predložene uloge po instituciji/tijelu, za uspostavljanje </w:t>
      </w:r>
      <w:r w:rsidR="00A067C3">
        <w:t>Informacionog sistema za upravljanje</w:t>
      </w:r>
      <w:r w:rsidRPr="008955B0">
        <w:t xml:space="preserve"> (</w:t>
      </w:r>
      <w:r w:rsidR="00A067C3">
        <w:t>ISU</w:t>
      </w:r>
      <w:r w:rsidRPr="008955B0">
        <w:t xml:space="preserve">) koji obuhvata sistem za </w:t>
      </w:r>
      <w:r w:rsidR="00E26D99" w:rsidRPr="00E26D99">
        <w:t>monitoring</w:t>
      </w:r>
      <w:r w:rsidRPr="008955B0">
        <w:t xml:space="preserve"> i evaluaciju i sistem e-</w:t>
      </w:r>
      <w:r>
        <w:t>Kohezija</w:t>
      </w:r>
      <w:r w:rsidRPr="008955B0">
        <w:t xml:space="preserve">. Izrada detaljnog plana integriše aktivnosti i zadatke koje sprovode različite institucije/tijela u sistemu kako bi se osigurala tijesna integracija budućeg </w:t>
      </w:r>
      <w:r w:rsidR="00A067C3">
        <w:t>ISU</w:t>
      </w:r>
      <w:r w:rsidRPr="008955B0">
        <w:t>-a sa e-</w:t>
      </w:r>
      <w:r w:rsidR="00EF31BD">
        <w:t>Kohezijom</w:t>
      </w:r>
      <w:r w:rsidRPr="008955B0">
        <w:t xml:space="preserve">, kao i usklađenost sa propisima EU, omogućavajući korisnicima i upravljačkim tijelima nesmetano elektronsko podnošenje i upravljanje dokumentima. Primarni cilj ovog detaljnog plana i rasporeda jeste operacionalizacija svih budućih koraka u razvoju </w:t>
      </w:r>
      <w:r w:rsidR="00A067C3">
        <w:t>ISU</w:t>
      </w:r>
      <w:r w:rsidRPr="008955B0">
        <w:t xml:space="preserve">-a kao interaktivne elektronske platforme koja omogućava </w:t>
      </w:r>
      <w:r w:rsidR="00E26D99" w:rsidRPr="00E26D99">
        <w:t>monitoring</w:t>
      </w:r>
      <w:r w:rsidRPr="008955B0">
        <w:t xml:space="preserve"> projekata u realnom vremenu, efikasno praćenje troškova i nesmetanu komunikaciju među akterima. Plan će definisati ključne prekretnice i rokove potrebne za razvoj sistema, uključujući kritične faze. Takođe će obuhvatiti planiranje ublažavanja rizika i koordinaciju na nacionalnom nivou u vezi sa tehničkim izazovima interoperabilnosti sistema sa različitim nacionalnim sistemima, poput državne trezorske i poreskih evidencija, radi obezbjeđenja integriteta podataka i usklađenosti sa standardima EU.</w:t>
      </w:r>
    </w:p>
    <w:p w14:paraId="33737554" w14:textId="54A7119D" w:rsidR="00A30E76" w:rsidRPr="00B83578" w:rsidRDefault="00543023" w:rsidP="00A745C2">
      <w:pPr>
        <w:pStyle w:val="Heading4"/>
      </w:pPr>
      <w:r>
        <w:lastRenderedPageBreak/>
        <w:t>Akcija</w:t>
      </w:r>
      <w:r w:rsidR="00A30E76" w:rsidRPr="00B83578">
        <w:t xml:space="preserve"> 5.4. Te</w:t>
      </w:r>
      <w:r w:rsidR="00EB3B07">
        <w:t xml:space="preserve">hničke specifikacije za razvoj </w:t>
      </w:r>
      <w:r w:rsidR="00A067C3">
        <w:t>ISU</w:t>
      </w:r>
      <w:r w:rsidR="00EB3B07">
        <w:t>-a</w:t>
      </w:r>
      <w:r w:rsidR="00A30E76" w:rsidRPr="00B83578">
        <w:t xml:space="preserve"> </w:t>
      </w:r>
    </w:p>
    <w:p w14:paraId="080BD5B0" w14:textId="2F39A175" w:rsidR="000C223D" w:rsidRPr="000C223D" w:rsidRDefault="000C223D" w:rsidP="000C223D">
      <w:pPr>
        <w:rPr>
          <w:color w:val="000000" w:themeColor="text1"/>
        </w:rPr>
      </w:pPr>
      <w:r w:rsidRPr="000C223D">
        <w:rPr>
          <w:color w:val="000000" w:themeColor="text1"/>
        </w:rPr>
        <w:t xml:space="preserve">U okviru ove podakcije/mjere biće precizirane funkcionalnosti </w:t>
      </w:r>
      <w:r w:rsidR="00EB3B07">
        <w:rPr>
          <w:color w:val="000000" w:themeColor="text1"/>
        </w:rPr>
        <w:t>Informacionog Sistema za upravljanje</w:t>
      </w:r>
      <w:r w:rsidRPr="000C223D">
        <w:rPr>
          <w:color w:val="000000" w:themeColor="text1"/>
        </w:rPr>
        <w:t xml:space="preserve"> (</w:t>
      </w:r>
      <w:r w:rsidR="00A067C3">
        <w:rPr>
          <w:color w:val="000000" w:themeColor="text1"/>
        </w:rPr>
        <w:t>ISU</w:t>
      </w:r>
      <w:r w:rsidRPr="000C223D">
        <w:rPr>
          <w:color w:val="000000" w:themeColor="text1"/>
        </w:rPr>
        <w:t>)</w:t>
      </w:r>
      <w:r>
        <w:rPr>
          <w:color w:val="000000" w:themeColor="text1"/>
        </w:rPr>
        <w:t>,</w:t>
      </w:r>
      <w:r w:rsidRPr="000C223D">
        <w:rPr>
          <w:color w:val="000000" w:themeColor="text1"/>
        </w:rPr>
        <w:t xml:space="preserve"> koji uključuje i Sistem za </w:t>
      </w:r>
      <w:r w:rsidR="00E26D99" w:rsidRPr="00E26D99">
        <w:rPr>
          <w:color w:val="000000" w:themeColor="text1"/>
        </w:rPr>
        <w:t>monitoring</w:t>
      </w:r>
      <w:r w:rsidRPr="000C223D">
        <w:rPr>
          <w:color w:val="000000" w:themeColor="text1"/>
        </w:rPr>
        <w:t xml:space="preserve"> informacija</w:t>
      </w:r>
      <w:r w:rsidRPr="00B83578">
        <w:rPr>
          <w:rFonts w:cs="Arial"/>
          <w:vertAlign w:val="superscript"/>
        </w:rPr>
        <w:footnoteReference w:id="212"/>
      </w:r>
      <w:r>
        <w:rPr>
          <w:color w:val="000000" w:themeColor="text1"/>
        </w:rPr>
        <w:t>,</w:t>
      </w:r>
      <w:r w:rsidRPr="000C223D">
        <w:rPr>
          <w:color w:val="000000" w:themeColor="text1"/>
        </w:rPr>
        <w:t xml:space="preserve"> kako bi se moglo pokrenuti javno nadmetanje za njegov razvoj. Funkcionalnosti će obuhvatiti i dizajn standardizovanih izvještaja. Specifikacije za </w:t>
      </w:r>
      <w:r w:rsidR="00A067C3">
        <w:rPr>
          <w:color w:val="000000" w:themeColor="text1"/>
        </w:rPr>
        <w:t>ISU</w:t>
      </w:r>
      <w:r w:rsidRPr="000C223D">
        <w:rPr>
          <w:color w:val="000000" w:themeColor="text1"/>
        </w:rPr>
        <w:t xml:space="preserve"> biće pripremljene tako da podrže poslovne procese</w:t>
      </w:r>
      <w:r>
        <w:rPr>
          <w:color w:val="000000" w:themeColor="text1"/>
        </w:rPr>
        <w:t>:</w:t>
      </w:r>
      <w:r w:rsidRPr="000C223D">
        <w:rPr>
          <w:color w:val="000000" w:themeColor="text1"/>
        </w:rPr>
        <w:t xml:space="preserve"> selekcije projekata, ugovaranja, provjere troškova, plaćanja te </w:t>
      </w:r>
      <w:r>
        <w:rPr>
          <w:color w:val="000000" w:themeColor="text1"/>
        </w:rPr>
        <w:t>praćenja</w:t>
      </w:r>
      <w:r w:rsidRPr="000C223D">
        <w:rPr>
          <w:color w:val="000000" w:themeColor="text1"/>
        </w:rPr>
        <w:t xml:space="preserve"> i evaluacije, pri čemu će se osigurati usklađenost sa standardima EU za elektronski prenos podataka utvrđenim u regulativama. S obzirom na specifična rješenja za programe Evropske teritorijalne saradnje, ova aktivnost neće obuhvatati sisteme za </w:t>
      </w:r>
      <w:r w:rsidR="00E26D99" w:rsidRPr="00E26D99">
        <w:rPr>
          <w:color w:val="000000" w:themeColor="text1"/>
        </w:rPr>
        <w:t>monitoring</w:t>
      </w:r>
      <w:r w:rsidRPr="000C223D">
        <w:rPr>
          <w:color w:val="000000" w:themeColor="text1"/>
        </w:rPr>
        <w:t xml:space="preserve"> tih programa, koji su pokriveni inicijativom INTERACT</w:t>
      </w:r>
      <w:r w:rsidRPr="00B83578">
        <w:rPr>
          <w:rFonts w:cs="Arial"/>
          <w:color w:val="000000" w:themeColor="text1"/>
          <w:vertAlign w:val="superscript"/>
        </w:rPr>
        <w:footnoteReference w:id="213"/>
      </w:r>
      <w:r w:rsidRPr="000C223D">
        <w:rPr>
          <w:color w:val="000000" w:themeColor="text1"/>
        </w:rPr>
        <w:t xml:space="preserve">.  </w:t>
      </w:r>
    </w:p>
    <w:p w14:paraId="2E53A997" w14:textId="006CA9D2" w:rsidR="000C223D" w:rsidRDefault="000C223D" w:rsidP="000C223D">
      <w:pPr>
        <w:rPr>
          <w:color w:val="000000" w:themeColor="text1"/>
        </w:rPr>
      </w:pPr>
      <w:r w:rsidRPr="000C223D">
        <w:rPr>
          <w:color w:val="000000" w:themeColor="text1"/>
        </w:rPr>
        <w:t xml:space="preserve">Rane faze razvoja biće ključne za </w:t>
      </w:r>
      <w:r w:rsidR="000744D1">
        <w:rPr>
          <w:color w:val="000000" w:themeColor="text1"/>
        </w:rPr>
        <w:t>jačanje</w:t>
      </w:r>
      <w:r w:rsidRPr="000C223D">
        <w:rPr>
          <w:color w:val="000000" w:themeColor="text1"/>
        </w:rPr>
        <w:t xml:space="preserve"> funkcionalnosti sistema koje će odgovarati rastućim potrebama Crne Gore u upravljanju sredstvima EU. Predviđa se obuhvat čitavog procesa i budućeg izgleda </w:t>
      </w:r>
      <w:r w:rsidR="00A067C3">
        <w:rPr>
          <w:color w:val="000000" w:themeColor="text1"/>
        </w:rPr>
        <w:t>ISU</w:t>
      </w:r>
      <w:r w:rsidRPr="000C223D">
        <w:rPr>
          <w:color w:val="000000" w:themeColor="text1"/>
        </w:rPr>
        <w:t>-a, uključujući razvoj Portala za korisnike (</w:t>
      </w:r>
      <w:r w:rsidRPr="000C223D">
        <w:rPr>
          <w:i/>
          <w:color w:val="000000" w:themeColor="text1"/>
        </w:rPr>
        <w:t>Beneficiary Portal</w:t>
      </w:r>
      <w:r w:rsidRPr="000C223D">
        <w:rPr>
          <w:color w:val="000000" w:themeColor="text1"/>
        </w:rPr>
        <w:t xml:space="preserve"> – BP) koji će omogućiti dvosmjernu elektronsku komunikaciju između aplikanata/korisnika i upravljačkih tijela/posredničkih tijela, čime se osigurava nesmetano podnošenje i praćenje projektnih prijava. Ovo će omogućiti isključivo onlajn predaju projektne dokumentacije, ažuriranja statusa i razmjenu ključnih dokumenata, smanjujući administrativna kašnjenja i obezbjeđujući pristup informacijama u realnom vremenu za sve uključene aktere. Pored toga, tehničke specifikacije budućeg </w:t>
      </w:r>
      <w:r w:rsidR="00A067C3">
        <w:rPr>
          <w:color w:val="000000" w:themeColor="text1"/>
        </w:rPr>
        <w:t>ISU</w:t>
      </w:r>
      <w:r w:rsidRPr="000C223D">
        <w:rPr>
          <w:color w:val="000000" w:themeColor="text1"/>
        </w:rPr>
        <w:t>-a u Crnoj Gori moraju uzeti u obzir</w:t>
      </w:r>
      <w:r>
        <w:rPr>
          <w:color w:val="000000" w:themeColor="text1"/>
        </w:rPr>
        <w:t xml:space="preserve"> rješenja</w:t>
      </w:r>
      <w:r w:rsidRPr="000C223D">
        <w:rPr>
          <w:color w:val="000000" w:themeColor="text1"/>
        </w:rPr>
        <w:t xml:space="preserve"> e-uprav</w:t>
      </w:r>
      <w:r>
        <w:rPr>
          <w:color w:val="000000" w:themeColor="text1"/>
        </w:rPr>
        <w:t>e</w:t>
      </w:r>
      <w:r w:rsidRPr="000C223D">
        <w:rPr>
          <w:color w:val="000000" w:themeColor="text1"/>
        </w:rPr>
        <w:t xml:space="preserve"> i smanjenje </w:t>
      </w:r>
      <w:r w:rsidR="000744D1">
        <w:rPr>
          <w:color w:val="000000" w:themeColor="text1"/>
        </w:rPr>
        <w:t>administrativnih</w:t>
      </w:r>
      <w:r w:rsidRPr="000C223D">
        <w:rPr>
          <w:color w:val="000000" w:themeColor="text1"/>
        </w:rPr>
        <w:t xml:space="preserve"> opterećenja.</w:t>
      </w:r>
    </w:p>
    <w:p w14:paraId="53FE4782" w14:textId="12B55772" w:rsidR="000C223D" w:rsidRDefault="000C223D" w:rsidP="000C223D">
      <w:r>
        <w:t xml:space="preserve">Sistem će takođe imati ugrađene automatske unakrsne provjere podnijetih informacija radi osiguranja tačnosti i sprječavanja grešaka. Ova rješenja imaće za cilj da smanje administrativno opterećenje i za korisnike i za državne organe, obezbjeđujući efikasniji i korisnicima pristupačniji proces upravljanja sredstvima EU. Konačne tehničke specifikacije </w:t>
      </w:r>
      <w:r w:rsidR="00A067C3">
        <w:t>ISU</w:t>
      </w:r>
      <w:r>
        <w:t xml:space="preserve">-a predviđaće potrebu za kontinuiranim nadogradnjama kako bi se obezbijedila interoperabilnost sa nacionalnim sistemima, uključujući povezanost sa državnom trezorom, poreskim registrima i sistemima na nivou EU. Ova poboljšanja omogućiće automatsku razmjenu dokumenata i podataka među sistemima, pomažući u ublažavanju rizika, poput dvostrukog finansiranja, i obezbjeđujući usklađenost sa revizijskim zahtjevima EU. Sistem će biti u potpunosti usklađen sa okvirom e-Kohezija i </w:t>
      </w:r>
      <w:proofErr w:type="gramStart"/>
      <w:r w:rsidR="00765DC1">
        <w:t xml:space="preserve">Regulativom </w:t>
      </w:r>
      <w:r>
        <w:t xml:space="preserve"> o</w:t>
      </w:r>
      <w:proofErr w:type="gramEnd"/>
      <w:r>
        <w:t xml:space="preserve"> </w:t>
      </w:r>
      <w:r w:rsidR="00765DC1">
        <w:t xml:space="preserve">zajedničkim </w:t>
      </w:r>
      <w:r>
        <w:t>odredbama (</w:t>
      </w:r>
      <w:r w:rsidR="00CD0020">
        <w:t>RZO</w:t>
      </w:r>
      <w:r>
        <w:t xml:space="preserve">), čime će se osigurati da upravljanje fondovima u Crnoj Gori zadovoljava najnovije propise EU o transparentnosti i odgovornosti. U zavisnosti od eksternih faktora, kao što su promjenjivi regulatorni zahtjevi i razvoj novih tehnologija, specifikacije mogu predvidjeti fazno uvođenje </w:t>
      </w:r>
      <w:r w:rsidR="00A067C3">
        <w:t>ISU</w:t>
      </w:r>
      <w:r>
        <w:t xml:space="preserve">-a </w:t>
      </w:r>
      <w:proofErr w:type="gramStart"/>
      <w:r>
        <w:t xml:space="preserve">ili </w:t>
      </w:r>
      <w:r w:rsidR="0092439E">
        <w:t xml:space="preserve"> usvajanje</w:t>
      </w:r>
      <w:proofErr w:type="gramEnd"/>
      <w:r w:rsidR="0092439E">
        <w:t xml:space="preserve"> </w:t>
      </w:r>
      <w:r>
        <w:t>pristup</w:t>
      </w:r>
      <w:r w:rsidR="0092439E">
        <w:t>a</w:t>
      </w:r>
      <w:r>
        <w:t xml:space="preserve"> potpun</w:t>
      </w:r>
      <w:r w:rsidR="0092439E">
        <w:t>e</w:t>
      </w:r>
      <w:r>
        <w:t xml:space="preserve"> implementaciji.</w:t>
      </w:r>
    </w:p>
    <w:p w14:paraId="11BE9895" w14:textId="2BA90A0C" w:rsidR="000C223D" w:rsidRDefault="000C223D" w:rsidP="000C223D">
      <w:r>
        <w:t xml:space="preserve">Odobrene tehničke specifikacije koristiće se za sprovođenje postupka eksternog angažovanja za razvoj, implementaciju i punu uspostavu </w:t>
      </w:r>
      <w:r w:rsidR="00A067C3">
        <w:t>ISU</w:t>
      </w:r>
      <w:r>
        <w:t>-a.</w:t>
      </w:r>
    </w:p>
    <w:p w14:paraId="1AC2917E" w14:textId="25148A7D" w:rsidR="00A30E76" w:rsidRPr="00B83578" w:rsidRDefault="00543023" w:rsidP="00A745C2">
      <w:pPr>
        <w:pStyle w:val="Heading4"/>
      </w:pPr>
      <w:r>
        <w:t>Akcija</w:t>
      </w:r>
      <w:r w:rsidR="00A30E76" w:rsidRPr="00B83578">
        <w:t xml:space="preserve"> 5.5. </w:t>
      </w:r>
      <w:r w:rsidR="002C188C">
        <w:t>Razvoj</w:t>
      </w:r>
      <w:r w:rsidR="00A30E76" w:rsidRPr="00B83578">
        <w:t xml:space="preserve"> </w:t>
      </w:r>
      <w:r w:rsidR="00A067C3">
        <w:t>ISU</w:t>
      </w:r>
      <w:r w:rsidR="002C188C">
        <w:t>-a</w:t>
      </w:r>
      <w:r w:rsidR="00A30E76" w:rsidRPr="00B83578">
        <w:t xml:space="preserve"> </w:t>
      </w:r>
    </w:p>
    <w:p w14:paraId="35D0B69A" w14:textId="10DBAAE6" w:rsidR="0092439E" w:rsidRPr="0092439E" w:rsidRDefault="0092439E" w:rsidP="0092439E">
      <w:pPr>
        <w:rPr>
          <w:color w:val="000000" w:themeColor="text1"/>
        </w:rPr>
      </w:pPr>
      <w:r w:rsidRPr="0092439E">
        <w:rPr>
          <w:color w:val="000000" w:themeColor="text1"/>
        </w:rPr>
        <w:t xml:space="preserve">Aktuelni </w:t>
      </w:r>
      <w:r w:rsidRPr="0092439E">
        <w:rPr>
          <w:b/>
          <w:color w:val="000000" w:themeColor="text1"/>
        </w:rPr>
        <w:t xml:space="preserve">razvoj </w:t>
      </w:r>
      <w:r w:rsidR="00A067C3">
        <w:rPr>
          <w:b/>
          <w:color w:val="000000" w:themeColor="text1"/>
        </w:rPr>
        <w:t>ISU</w:t>
      </w:r>
      <w:r w:rsidRPr="0092439E">
        <w:rPr>
          <w:b/>
          <w:color w:val="000000" w:themeColor="text1"/>
        </w:rPr>
        <w:t>-a</w:t>
      </w:r>
      <w:r w:rsidRPr="0092439E">
        <w:rPr>
          <w:color w:val="000000" w:themeColor="text1"/>
        </w:rPr>
        <w:t xml:space="preserve"> biće uslovljen novim </w:t>
      </w:r>
      <w:r>
        <w:rPr>
          <w:b/>
          <w:color w:val="000000" w:themeColor="text1"/>
        </w:rPr>
        <w:t>Regulativama</w:t>
      </w:r>
      <w:r w:rsidRPr="0092439E">
        <w:rPr>
          <w:color w:val="000000" w:themeColor="text1"/>
        </w:rPr>
        <w:t xml:space="preserve"> Evropske komisije za period od 2028. do 2034. godine. Faza razvoja obuhvatiće izgradnju tehničke infrastrukture </w:t>
      </w:r>
      <w:r w:rsidR="00A067C3">
        <w:rPr>
          <w:color w:val="000000" w:themeColor="text1"/>
        </w:rPr>
        <w:t>ISU</w:t>
      </w:r>
      <w:r w:rsidRPr="0092439E">
        <w:rPr>
          <w:color w:val="000000" w:themeColor="text1"/>
        </w:rPr>
        <w:t xml:space="preserve">-a na osnovu specifikacija utvrđenih u ranijim fazama, kao i pisanje koda koji će oživjeti dizajn </w:t>
      </w:r>
      <w:r w:rsidR="00A067C3">
        <w:rPr>
          <w:color w:val="000000" w:themeColor="text1"/>
        </w:rPr>
        <w:t>ISU</w:t>
      </w:r>
      <w:r w:rsidRPr="0092439E">
        <w:rPr>
          <w:color w:val="000000" w:themeColor="text1"/>
        </w:rPr>
        <w:t>-a. Kod će proći rigorozne testove i procese osiguranja kvaliteta kako bi se osigurala njegova otpornost i usklađenost sa specifikacijama.</w:t>
      </w:r>
    </w:p>
    <w:p w14:paraId="7179A3B2" w14:textId="77777777" w:rsidR="0092439E" w:rsidRDefault="0092439E" w:rsidP="0092439E">
      <w:pPr>
        <w:spacing w:after="0"/>
        <w:rPr>
          <w:color w:val="000000" w:themeColor="text1"/>
        </w:rPr>
      </w:pPr>
      <w:r w:rsidRPr="0092439E">
        <w:rPr>
          <w:color w:val="000000" w:themeColor="text1"/>
        </w:rPr>
        <w:t>Ova faza će takođe obezbijediti da sistem bude opremljen za upravljanje elektronskom razmjenom podataka između programskih tijela i korisnika, kao i između država članica i Evropske komisije, i da u potpunosti ispunjava regulatorni okvir EU.</w:t>
      </w:r>
    </w:p>
    <w:p w14:paraId="05073F61" w14:textId="348DCA72" w:rsidR="0092439E" w:rsidRPr="0092439E" w:rsidRDefault="0092439E" w:rsidP="0092439E">
      <w:pPr>
        <w:rPr>
          <w:color w:val="000000" w:themeColor="text1"/>
        </w:rPr>
      </w:pPr>
      <w:r w:rsidRPr="0092439E">
        <w:rPr>
          <w:color w:val="000000" w:themeColor="text1"/>
        </w:rPr>
        <w:t>Završetak ove Ak</w:t>
      </w:r>
      <w:r>
        <w:rPr>
          <w:color w:val="000000" w:themeColor="text1"/>
        </w:rPr>
        <w:t>cije</w:t>
      </w:r>
      <w:r w:rsidRPr="0092439E">
        <w:rPr>
          <w:color w:val="000000" w:themeColor="text1"/>
        </w:rPr>
        <w:t xml:space="preserve"> zavisi od vremenskog okvira objavljivanja barem Komisijin</w:t>
      </w:r>
      <w:r>
        <w:rPr>
          <w:color w:val="000000" w:themeColor="text1"/>
        </w:rPr>
        <w:t>og</w:t>
      </w:r>
      <w:r w:rsidRPr="0092439E">
        <w:rPr>
          <w:color w:val="000000" w:themeColor="text1"/>
        </w:rPr>
        <w:t xml:space="preserve"> prijedlog</w:t>
      </w:r>
      <w:r>
        <w:rPr>
          <w:color w:val="000000" w:themeColor="text1"/>
        </w:rPr>
        <w:t>a</w:t>
      </w:r>
      <w:r w:rsidRPr="0092439E">
        <w:rPr>
          <w:color w:val="000000" w:themeColor="text1"/>
        </w:rPr>
        <w:t xml:space="preserve"> za novu Zajedničku regulativu za period 2028–2034. godine. To se odnosi na to da Ak</w:t>
      </w:r>
      <w:r>
        <w:rPr>
          <w:color w:val="000000" w:themeColor="text1"/>
        </w:rPr>
        <w:t>cija</w:t>
      </w:r>
      <w:r w:rsidRPr="0092439E">
        <w:rPr>
          <w:color w:val="000000" w:themeColor="text1"/>
        </w:rPr>
        <w:t xml:space="preserve"> treba da uzme u obzir zahtjeve Komisije u vezi sa:</w:t>
      </w:r>
    </w:p>
    <w:p w14:paraId="3FD1F49D" w14:textId="5F0B1889" w:rsidR="0092439E" w:rsidRDefault="0092439E" w:rsidP="00D15218">
      <w:pPr>
        <w:pStyle w:val="ListParagraph"/>
        <w:numPr>
          <w:ilvl w:val="0"/>
          <w:numId w:val="50"/>
        </w:numPr>
        <w:rPr>
          <w:color w:val="000000" w:themeColor="text1"/>
        </w:rPr>
      </w:pPr>
      <w:r w:rsidRPr="0092439E">
        <w:rPr>
          <w:color w:val="000000" w:themeColor="text1"/>
        </w:rPr>
        <w:t xml:space="preserve">Podacima koji će se evidentirati i čuvati elektronski za svaku </w:t>
      </w:r>
      <w:r w:rsidR="001B45D8">
        <w:rPr>
          <w:color w:val="000000" w:themeColor="text1"/>
        </w:rPr>
        <w:t>operaciju</w:t>
      </w:r>
      <w:r w:rsidRPr="0092439E">
        <w:rPr>
          <w:color w:val="000000" w:themeColor="text1"/>
        </w:rPr>
        <w:t>.</w:t>
      </w:r>
    </w:p>
    <w:p w14:paraId="2EF8DC29" w14:textId="77777777" w:rsidR="0092439E" w:rsidRDefault="0092439E" w:rsidP="00D15218">
      <w:pPr>
        <w:pStyle w:val="ListParagraph"/>
        <w:numPr>
          <w:ilvl w:val="0"/>
          <w:numId w:val="50"/>
        </w:numPr>
        <w:rPr>
          <w:color w:val="000000" w:themeColor="text1"/>
        </w:rPr>
      </w:pPr>
      <w:r w:rsidRPr="0092439E">
        <w:rPr>
          <w:color w:val="000000" w:themeColor="text1"/>
        </w:rPr>
        <w:t>Elektronskim sistemima razmjene podataka između programskih tijela i korisnika.</w:t>
      </w:r>
    </w:p>
    <w:p w14:paraId="7B15442B" w14:textId="05B940D5" w:rsidR="0092439E" w:rsidRPr="0092439E" w:rsidRDefault="0092439E" w:rsidP="00D15218">
      <w:pPr>
        <w:pStyle w:val="ListParagraph"/>
        <w:numPr>
          <w:ilvl w:val="0"/>
          <w:numId w:val="50"/>
        </w:numPr>
        <w:rPr>
          <w:color w:val="000000" w:themeColor="text1"/>
        </w:rPr>
      </w:pPr>
      <w:r w:rsidRPr="0092439E">
        <w:rPr>
          <w:color w:val="000000" w:themeColor="text1"/>
        </w:rPr>
        <w:t>Elektronskim sistemom razmjene podataka između država članica i Komisije.</w:t>
      </w:r>
    </w:p>
    <w:p w14:paraId="29BA303E" w14:textId="77777777" w:rsidR="00FF2322" w:rsidRPr="00B83578" w:rsidRDefault="00FF2322" w:rsidP="004F5EA5">
      <w:pPr>
        <w:spacing w:after="0"/>
        <w:rPr>
          <w:b/>
          <w:bCs/>
          <w:color w:val="000000" w:themeColor="text1"/>
        </w:rPr>
      </w:pPr>
    </w:p>
    <w:p w14:paraId="5AB979E6" w14:textId="3AA6FC6A" w:rsidR="00A30E76" w:rsidRPr="00B83578" w:rsidRDefault="00543023" w:rsidP="00A745C2">
      <w:pPr>
        <w:pStyle w:val="Heading4"/>
      </w:pPr>
      <w:r>
        <w:lastRenderedPageBreak/>
        <w:t>Akcija</w:t>
      </w:r>
      <w:r w:rsidR="00A30E76" w:rsidRPr="00B83578">
        <w:t xml:space="preserve"> 5.6. </w:t>
      </w:r>
      <w:r w:rsidR="002C188C">
        <w:t xml:space="preserve">Razvoj i implementacija </w:t>
      </w:r>
      <w:r w:rsidR="00A067C3">
        <w:t>ISU</w:t>
      </w:r>
      <w:r w:rsidR="002C188C">
        <w:t>-a</w:t>
      </w:r>
    </w:p>
    <w:p w14:paraId="5A12839E" w14:textId="11B9EE96" w:rsidR="0092439E" w:rsidRDefault="0092439E" w:rsidP="0092439E">
      <w:r>
        <w:t xml:space="preserve">Nakon uspješnog testiranja i odobrenja, </w:t>
      </w:r>
      <w:r w:rsidR="00A067C3">
        <w:t>ISU</w:t>
      </w:r>
      <w:r>
        <w:t xml:space="preserve"> će biti implementiran konfigurisanjem sistema i obukom krajnjih korisnika. Ova Ak</w:t>
      </w:r>
      <w:r w:rsidR="00114239">
        <w:t>cija</w:t>
      </w:r>
      <w:r>
        <w:t xml:space="preserve"> naglašava kontinuirane nadogradnje kako bi se sistem uskladio sa regulatornim zahtjevima i osigurao optimalan rad za sve korisnike.</w:t>
      </w:r>
    </w:p>
    <w:p w14:paraId="219EA28E" w14:textId="41353C50" w:rsidR="0092439E" w:rsidRDefault="0092439E" w:rsidP="0092439E">
      <w:r>
        <w:t>Testiranje prihvatanja korisnika (UAT) biće sprovedeno kako bi se prikupil</w:t>
      </w:r>
      <w:r w:rsidR="00114239">
        <w:t>e</w:t>
      </w:r>
      <w:r>
        <w:t xml:space="preserve"> povratn</w:t>
      </w:r>
      <w:r w:rsidR="00114239">
        <w:t>e</w:t>
      </w:r>
      <w:r>
        <w:t xml:space="preserve"> informacij</w:t>
      </w:r>
      <w:r w:rsidR="00114239">
        <w:t>e</w:t>
      </w:r>
      <w:r>
        <w:t xml:space="preserve"> od korisnika za dalja poboljšanja.</w:t>
      </w:r>
    </w:p>
    <w:p w14:paraId="03398671" w14:textId="397C4FE5" w:rsidR="00A30E76" w:rsidRPr="00B83578" w:rsidRDefault="00543023" w:rsidP="00A745C2">
      <w:pPr>
        <w:pStyle w:val="Heading4"/>
      </w:pPr>
      <w:r>
        <w:t>Akcija</w:t>
      </w:r>
      <w:r w:rsidR="00A30E76" w:rsidRPr="00B83578">
        <w:t xml:space="preserve"> 5.7. Metodolog</w:t>
      </w:r>
      <w:r w:rsidR="002C188C">
        <w:t>ija za uspostavljanje Okvira učinka</w:t>
      </w:r>
    </w:p>
    <w:p w14:paraId="49DC5274" w14:textId="23193646" w:rsidR="00114239" w:rsidRDefault="00114239" w:rsidP="00114239">
      <w:r>
        <w:t>Metodologija za uspostavljanje Okvira</w:t>
      </w:r>
      <w:r w:rsidR="002C188C">
        <w:t xml:space="preserve"> učinka</w:t>
      </w:r>
      <w:r>
        <w:t xml:space="preserve"> biće razvijena na osnovu nacrta Propisa o fondovima i nacrta programa, kako bi se omogućilo </w:t>
      </w:r>
      <w:r w:rsidR="00E26D99" w:rsidRPr="00E26D99">
        <w:t>monitoring</w:t>
      </w:r>
      <w:r>
        <w:t xml:space="preserve">, izvještavanje i evaluacija učinka programa tokom njihove implementacije. Na osnovu važećih propisa, Okvir </w:t>
      </w:r>
      <w:r w:rsidR="002C188C">
        <w:t xml:space="preserve">učinka </w:t>
      </w:r>
      <w:r>
        <w:t xml:space="preserve">sastoji se od pokazatelja učinka i rezultata povezanih sa specifičnim ciljevima utvrđenim u Propisima o fondovima koji su izabrani za program, kao i prekretnica koje je potrebno dostići za pokazatelje učinka i rezultata u ustanovljenim vremenskim okvirima. Član 22(3)(d) </w:t>
      </w:r>
      <w:r w:rsidR="00CD0020">
        <w:t>RZO</w:t>
      </w:r>
      <w:r>
        <w:t xml:space="preserve">-a zahtijeva izbor pokazatelja učinka i rezultata za svaki specifični cilj (osim za specifične oblike </w:t>
      </w:r>
      <w:r w:rsidR="00F6773D">
        <w:t>tehničke pomoći</w:t>
      </w:r>
      <w:r>
        <w:t xml:space="preserve">). S obzirom na to da razvoj Okvira </w:t>
      </w:r>
      <w:r w:rsidR="002C188C">
        <w:t>učinka</w:t>
      </w:r>
      <w:r>
        <w:t xml:space="preserve"> zahtijeva da nacrti propisa i bar inicijalni nacrti programa budu dostupni, ova aktivnost je planirana da počne u četvrtom kvartalu 2027. godine. Rok bi mogao biti ranije postavljen ukoliko Izvještaj Komisije o zemlji, koji sadrži smjernice Komisije za ulaganja u fondove Kohezione politike za period 2028-2034 (takozvani Aneks D) koji je dio mehanizma Evropskog semestra, bude dostavljen crnogorskim vlastima ranije</w:t>
      </w:r>
      <w:r w:rsidR="002C188C">
        <w:t>g datuma</w:t>
      </w:r>
      <w:r w:rsidRPr="00B83578">
        <w:rPr>
          <w:rFonts w:cs="Arial"/>
          <w:vertAlign w:val="superscript"/>
        </w:rPr>
        <w:footnoteReference w:id="214"/>
      </w:r>
      <w:r>
        <w:t xml:space="preserve">. Okvir </w:t>
      </w:r>
      <w:r w:rsidR="002C188C">
        <w:t>učinka</w:t>
      </w:r>
      <w:r>
        <w:t xml:space="preserve"> će uzeti u obzir primjenjive makroregionalne strategije i strategije morskih slivova, kada je to prikladno.</w:t>
      </w:r>
    </w:p>
    <w:p w14:paraId="5639CF02" w14:textId="671704A0" w:rsidR="00A30E76" w:rsidRPr="00B83578" w:rsidRDefault="00543023" w:rsidP="00A745C2">
      <w:pPr>
        <w:pStyle w:val="Heading4"/>
      </w:pPr>
      <w:r>
        <w:t>Akcija</w:t>
      </w:r>
      <w:r w:rsidR="00A30E76" w:rsidRPr="00B83578">
        <w:t xml:space="preserve"> 5.8. </w:t>
      </w:r>
      <w:r w:rsidR="002C188C">
        <w:t xml:space="preserve">Uspostavljanje Sistema za monitoring i evaluaciju, uključujući uspostavljanje Odbora za monitoring (ili više njih) i Poslovnika o radu </w:t>
      </w:r>
    </w:p>
    <w:p w14:paraId="2CB61AD0" w14:textId="51932C94" w:rsidR="00A65069" w:rsidRDefault="00A65069" w:rsidP="00A65069">
      <w:r>
        <w:t xml:space="preserve">Ova akcija će započeti procjenom trenutnog sistema monitoringa i evaluacije (M&amp;E) i preporukama za izmjene, uključujući plan i vremenski okvir. Prije uspostavljanja institucionalne strukture, uloga i odgovornosti, pravaca izvještavanja i komunikacije, kao i skupa operativnih procedura, biće izvršena detaljna procjena stanja "kakvo jeste" s ciljem da se predlože i implementiraju prilagođavanja neophodna za usklađivanje sa zahtjevima </w:t>
      </w:r>
      <w:r w:rsidR="00CD0020">
        <w:t>RZO</w:t>
      </w:r>
      <w:r>
        <w:t xml:space="preserve">-a. Biće predložen plan akcija i vremenski okvir za njihovu implementaciju, sa mehanizmom monitoringa koji će prikazati nivo izvršenih prilagođavanja i spremnost sistema.  </w:t>
      </w:r>
    </w:p>
    <w:p w14:paraId="612F65CB" w14:textId="75EF13FA" w:rsidR="00A65069" w:rsidRDefault="00A65069" w:rsidP="00A65069">
      <w:r>
        <w:t>Ova akcija će se, između ostalog, fokusirati na uspostavljanje Odbora za monitoring na nivou programa</w:t>
      </w:r>
      <w:r w:rsidRPr="00B83578">
        <w:rPr>
          <w:rFonts w:cs="Arial"/>
          <w:vertAlign w:val="superscript"/>
        </w:rPr>
        <w:footnoteReference w:id="215"/>
      </w:r>
      <w:r>
        <w:t xml:space="preserve"> i uključiti pripremu P</w:t>
      </w:r>
      <w:r w:rsidR="002C188C">
        <w:t>oslovnika o radu</w:t>
      </w:r>
      <w:r>
        <w:t xml:space="preserve"> za Odbore za monitoring.  </w:t>
      </w:r>
    </w:p>
    <w:p w14:paraId="083A691E" w14:textId="494A03FB" w:rsidR="00A65069" w:rsidRDefault="00A65069" w:rsidP="00A65069">
      <w:r>
        <w:t>Krucijalno je da dizajn sistema osigura dobru koordinaciju i adekvatno osoblje za pozicije monitoringa i evaluacije, sa opisima poslova i identifikacijom dodijeljenih resursa prema organizacionim šemama relevantnih institucija. To bi trebalo uključivati osoblje sa specifičnim odgovornostima za pripremu strategije i plana evaluacije, kao i koordinaciju njihove implementacije, odvojeno od aktivnosti monitoringa.</w:t>
      </w:r>
    </w:p>
    <w:p w14:paraId="14429F53" w14:textId="6FB0965E" w:rsidR="00A30E76" w:rsidRPr="00B83578" w:rsidRDefault="00543023" w:rsidP="00A745C2">
      <w:pPr>
        <w:pStyle w:val="Heading4"/>
      </w:pPr>
      <w:r>
        <w:t>Akcija</w:t>
      </w:r>
      <w:r w:rsidR="00A30E76" w:rsidRPr="00B83578">
        <w:t xml:space="preserve"> 5.9. </w:t>
      </w:r>
      <w:r w:rsidR="002C188C">
        <w:t xml:space="preserve">Razvoj Evaluacione strategije i Plana za evaluaciju programa Kohezione politike </w:t>
      </w:r>
    </w:p>
    <w:p w14:paraId="2B1566A7" w14:textId="6581E20E" w:rsidR="00A65069" w:rsidRDefault="00A65069" w:rsidP="00A30E76">
      <w:pPr>
        <w:rPr>
          <w:color w:val="000000" w:themeColor="text1"/>
        </w:rPr>
      </w:pPr>
      <w:r w:rsidRPr="00A65069">
        <w:rPr>
          <w:color w:val="000000" w:themeColor="text1"/>
        </w:rPr>
        <w:t>Strategija i plan evaluacije biće razvijeni kako bi obuhvatili pripremu ex-ante evaluacij</w:t>
      </w:r>
      <w:r>
        <w:rPr>
          <w:color w:val="000000" w:themeColor="text1"/>
        </w:rPr>
        <w:t>e</w:t>
      </w:r>
      <w:r w:rsidRPr="00A65069">
        <w:rPr>
          <w:color w:val="000000" w:themeColor="text1"/>
        </w:rPr>
        <w:t xml:space="preserve"> programa (ako je primjenjivo), kao i</w:t>
      </w:r>
      <w:r w:rsidR="003C3478">
        <w:rPr>
          <w:color w:val="000000" w:themeColor="text1"/>
        </w:rPr>
        <w:t xml:space="preserve"> periodične</w:t>
      </w:r>
      <w:r w:rsidRPr="00A65069">
        <w:rPr>
          <w:color w:val="000000" w:themeColor="text1"/>
        </w:rPr>
        <w:t xml:space="preserve"> i ex-post evaluacije.</w:t>
      </w:r>
    </w:p>
    <w:p w14:paraId="66D4440A" w14:textId="3C8F238F" w:rsidR="00A30E76" w:rsidRPr="00B83578" w:rsidRDefault="00543023" w:rsidP="00A745C2">
      <w:pPr>
        <w:pStyle w:val="Heading4"/>
      </w:pPr>
      <w:r>
        <w:t>Akcija</w:t>
      </w:r>
      <w:r w:rsidR="00A30E76" w:rsidRPr="00B83578">
        <w:t xml:space="preserve"> 5.10. </w:t>
      </w:r>
      <w:r w:rsidR="002C188C">
        <w:t xml:space="preserve">Zahtijev za pridruživanje </w:t>
      </w:r>
      <w:r w:rsidR="002F783F">
        <w:t>Mreži za evaluaciju koja se sastoji od država članica odgovornih za evaluaciju Kohezione politike</w:t>
      </w:r>
    </w:p>
    <w:p w14:paraId="5E6D79E3" w14:textId="69055911" w:rsidR="00A65069" w:rsidRDefault="00A65069" w:rsidP="00A65069">
      <w:r>
        <w:t xml:space="preserve">Evaluaciona mreža je važan forum za diskusiju između Evropske komisije i država članica o pitanjima koja se tiču evaluacije Kohezione politike, uključujući metodološke smjernice, indikatore, planove evaluacije, napredak u vezi sa evaluacijama koje se sprovode za Evropsku komisiju i države članice, kao i rezultate evaluacije i njihovu upotrebu. Misija Mreže je takođe da olakša razmjenu iskustava i dobrih praksi između država članica kako bi se ojačala kapaciteta za evaluaciju širom Evropske unije. U očekivanju pristupanja, Crna Gora </w:t>
      </w:r>
      <w:r w:rsidR="002F783F">
        <w:t xml:space="preserve">će zatražiti </w:t>
      </w:r>
      <w:r>
        <w:t>pristup</w:t>
      </w:r>
      <w:r w:rsidR="002F783F">
        <w:t>anje</w:t>
      </w:r>
      <w:r>
        <w:t xml:space="preserve"> </w:t>
      </w:r>
      <w:r w:rsidR="002F783F">
        <w:t>M</w:t>
      </w:r>
      <w:r>
        <w:t>reži za evaluaciju Kohezione politike</w:t>
      </w:r>
      <w:r w:rsidR="006B36CC" w:rsidRPr="00B83578">
        <w:rPr>
          <w:rFonts w:cs="Arial"/>
          <w:vertAlign w:val="superscript"/>
        </w:rPr>
        <w:footnoteReference w:id="216"/>
      </w:r>
      <w:r>
        <w:t xml:space="preserve">.  </w:t>
      </w:r>
    </w:p>
    <w:p w14:paraId="5B2B6A86" w14:textId="74A400B3" w:rsidR="00A65069" w:rsidRDefault="00A65069" w:rsidP="00A65069">
      <w:r>
        <w:lastRenderedPageBreak/>
        <w:t xml:space="preserve">Izvještavanje o Kohezionoj politici je već postalo bezpapirno prema propisima za period 2021-2027, pri čemu stručnost u naprednim tehnikama analize podataka i korišćenju novih </w:t>
      </w:r>
      <w:r w:rsidR="00A067C3">
        <w:t>ISU</w:t>
      </w:r>
      <w:r>
        <w:t xml:space="preserve"> tehnologija postaje sve važnija. Što se tiče evaluacije, prelazak na utemeljenu evaluacionu kulturu unutar Kohezione politike predstavlja odgovor na potrebu za dinamičnijim i odgovarajućim programiranjem i upravljanjem programima. Stoga, profesionalizacija stručnjaka za monitoring i evaluatora će biti važna komponenta investicija planiranih Planom za </w:t>
      </w:r>
      <w:r w:rsidR="000744D1">
        <w:t>jačanje</w:t>
      </w:r>
      <w:r>
        <w:t xml:space="preserve"> administrativnih kapaciteta.</w:t>
      </w:r>
    </w:p>
    <w:p w14:paraId="21C17186" w14:textId="2082739A" w:rsidR="006B36CC" w:rsidRPr="006B36CC" w:rsidRDefault="006B36CC" w:rsidP="006B36CC">
      <w:pPr>
        <w:rPr>
          <w:color w:val="000000" w:themeColor="text1"/>
        </w:rPr>
      </w:pPr>
      <w:r w:rsidRPr="006B36CC">
        <w:rPr>
          <w:color w:val="000000" w:themeColor="text1"/>
        </w:rPr>
        <w:t xml:space="preserve">Akcije predviđene u ovom poglavlju </w:t>
      </w:r>
      <w:r w:rsidR="00343A02">
        <w:rPr>
          <w:rStyle w:val="IntenseEmphasis"/>
          <w:i w:val="0"/>
          <w:iCs w:val="0"/>
          <w:color w:val="auto"/>
        </w:rPr>
        <w:t>Plana aktivnosti</w:t>
      </w:r>
      <w:r w:rsidR="00343A02" w:rsidRPr="00AE0F6C">
        <w:rPr>
          <w:rStyle w:val="IntenseEmphasis"/>
          <w:i w:val="0"/>
          <w:iCs w:val="0"/>
          <w:color w:val="auto"/>
        </w:rPr>
        <w:t xml:space="preserve"> </w:t>
      </w:r>
      <w:r w:rsidRPr="006B36CC">
        <w:rPr>
          <w:b/>
          <w:color w:val="000000" w:themeColor="text1"/>
        </w:rPr>
        <w:t>ne uključuju</w:t>
      </w:r>
      <w:r w:rsidRPr="006B36CC">
        <w:rPr>
          <w:color w:val="000000" w:themeColor="text1"/>
        </w:rPr>
        <w:t xml:space="preserve">:  </w:t>
      </w:r>
    </w:p>
    <w:p w14:paraId="723B5CC8" w14:textId="77777777" w:rsidR="006B36CC" w:rsidRDefault="006B36CC" w:rsidP="00D15218">
      <w:pPr>
        <w:pStyle w:val="ListParagraph"/>
        <w:numPr>
          <w:ilvl w:val="0"/>
          <w:numId w:val="51"/>
        </w:numPr>
        <w:rPr>
          <w:color w:val="000000" w:themeColor="text1"/>
        </w:rPr>
      </w:pPr>
      <w:r w:rsidRPr="006B36CC">
        <w:rPr>
          <w:color w:val="000000" w:themeColor="text1"/>
        </w:rPr>
        <w:t xml:space="preserve">Izradu </w:t>
      </w:r>
      <w:r w:rsidRPr="006B36CC">
        <w:rPr>
          <w:b/>
          <w:color w:val="000000" w:themeColor="text1"/>
        </w:rPr>
        <w:t>procedura monitoringa i evaluacije</w:t>
      </w:r>
      <w:r w:rsidRPr="006B36CC">
        <w:rPr>
          <w:color w:val="000000" w:themeColor="text1"/>
        </w:rPr>
        <w:t xml:space="preserve"> koje su uključene u Poglavlju 2 (Institucionalni okvir).  </w:t>
      </w:r>
    </w:p>
    <w:p w14:paraId="6F837E99" w14:textId="23864CC1" w:rsidR="006B36CC" w:rsidRPr="006B36CC" w:rsidRDefault="006B36CC" w:rsidP="00D15218">
      <w:pPr>
        <w:pStyle w:val="ListParagraph"/>
        <w:numPr>
          <w:ilvl w:val="0"/>
          <w:numId w:val="51"/>
        </w:numPr>
        <w:rPr>
          <w:color w:val="000000" w:themeColor="text1"/>
        </w:rPr>
      </w:pPr>
      <w:r w:rsidRPr="006B36CC">
        <w:rPr>
          <w:b/>
          <w:color w:val="000000" w:themeColor="text1"/>
        </w:rPr>
        <w:t>Izgradnju kapaciteta relevantnih institucija u oblastima monitoringa i evaluacije</w:t>
      </w:r>
      <w:r w:rsidRPr="006B36CC">
        <w:rPr>
          <w:color w:val="000000" w:themeColor="text1"/>
        </w:rPr>
        <w:t>, koje su uključene u Poglavlju 3 (Administrativni kapaciteti).</w:t>
      </w:r>
    </w:p>
    <w:p w14:paraId="644F2453" w14:textId="2D64599E" w:rsidR="00A30E76" w:rsidRPr="00B83578" w:rsidRDefault="001D692B" w:rsidP="003B55E8">
      <w:pPr>
        <w:pStyle w:val="Caption"/>
      </w:pPr>
      <w:bookmarkStart w:id="156" w:name="_Toc193895456"/>
      <w:r>
        <w:t>Tabela</w:t>
      </w:r>
      <w:r w:rsidR="0075415E" w:rsidRPr="00B83578">
        <w:t xml:space="preserve"> </w:t>
      </w:r>
      <w:fldSimple w:instr=" SEQ Table \* ARABIC ">
        <w:r w:rsidR="003C2962">
          <w:rPr>
            <w:noProof/>
          </w:rPr>
          <w:t>12</w:t>
        </w:r>
      </w:fldSimple>
      <w:r w:rsidR="0075415E" w:rsidRPr="00B83578">
        <w:t xml:space="preserve">: </w:t>
      </w:r>
      <w:r w:rsidRPr="001D692B">
        <w:t>Planirane akcije u okviru Poglavlja Monitoring i evaluacija</w:t>
      </w:r>
      <w:bookmarkEnd w:id="156"/>
    </w:p>
    <w:tbl>
      <w:tblPr>
        <w:tblStyle w:val="GridTable5Dark-Accent11"/>
        <w:tblW w:w="5000" w:type="pct"/>
        <w:tblInd w:w="0" w:type="dxa"/>
        <w:tblLook w:val="04A0" w:firstRow="1" w:lastRow="0" w:firstColumn="1" w:lastColumn="0" w:noHBand="0" w:noVBand="1"/>
      </w:tblPr>
      <w:tblGrid>
        <w:gridCol w:w="594"/>
        <w:gridCol w:w="1070"/>
        <w:gridCol w:w="1321"/>
        <w:gridCol w:w="840"/>
        <w:gridCol w:w="1426"/>
        <w:gridCol w:w="846"/>
        <w:gridCol w:w="1076"/>
        <w:gridCol w:w="1473"/>
        <w:gridCol w:w="704"/>
      </w:tblGrid>
      <w:tr w:rsidR="00421603" w:rsidRPr="00421603" w14:paraId="21A32B59" w14:textId="77777777" w:rsidTr="0042160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3" w:type="pct"/>
            <w:hideMark/>
          </w:tcPr>
          <w:p w14:paraId="6EC37255" w14:textId="1AB96966" w:rsidR="00421603" w:rsidRPr="00421603" w:rsidRDefault="00543023" w:rsidP="00421603">
            <w:pPr>
              <w:spacing w:after="0"/>
              <w:jc w:val="left"/>
              <w:rPr>
                <w:rFonts w:eastAsia="Times New Roman"/>
                <w:kern w:val="0"/>
                <w:sz w:val="14"/>
                <w:szCs w:val="14"/>
                <w:lang w:eastAsia="en-GB"/>
                <w14:ligatures w14:val="none"/>
              </w:rPr>
            </w:pPr>
            <w:r>
              <w:rPr>
                <w:rFonts w:eastAsia="Times New Roman"/>
                <w:kern w:val="0"/>
                <w:sz w:val="14"/>
                <w:szCs w:val="14"/>
                <w:lang w:eastAsia="en-GB"/>
                <w14:ligatures w14:val="none"/>
              </w:rPr>
              <w:t>Kod akcije</w:t>
            </w:r>
          </w:p>
        </w:tc>
        <w:tc>
          <w:tcPr>
            <w:tcW w:w="806" w:type="pct"/>
            <w:hideMark/>
          </w:tcPr>
          <w:p w14:paraId="5B0620A3" w14:textId="30EFEA2A" w:rsidR="00421603" w:rsidRPr="00421603" w:rsidRDefault="00543023" w:rsidP="0042160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Naziv akcije</w:t>
            </w:r>
          </w:p>
        </w:tc>
        <w:tc>
          <w:tcPr>
            <w:tcW w:w="631" w:type="pct"/>
            <w:hideMark/>
          </w:tcPr>
          <w:p w14:paraId="151EED80" w14:textId="67498935" w:rsidR="00421603" w:rsidRPr="00421603" w:rsidRDefault="0013334C" w:rsidP="0042160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Nadležnost</w:t>
            </w:r>
          </w:p>
        </w:tc>
        <w:tc>
          <w:tcPr>
            <w:tcW w:w="391" w:type="pct"/>
            <w:hideMark/>
          </w:tcPr>
          <w:p w14:paraId="5E8A0AA2" w14:textId="1252DC84" w:rsidR="00421603" w:rsidRPr="00421603" w:rsidRDefault="0013334C" w:rsidP="0042160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Raspored</w:t>
            </w:r>
          </w:p>
        </w:tc>
        <w:tc>
          <w:tcPr>
            <w:tcW w:w="876" w:type="pct"/>
            <w:hideMark/>
          </w:tcPr>
          <w:p w14:paraId="70C6DF76" w14:textId="3792AAB9" w:rsidR="00421603" w:rsidRPr="00421603" w:rsidRDefault="0013334C" w:rsidP="0042160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Indikator</w:t>
            </w:r>
          </w:p>
        </w:tc>
        <w:tc>
          <w:tcPr>
            <w:tcW w:w="391" w:type="pct"/>
            <w:hideMark/>
          </w:tcPr>
          <w:p w14:paraId="1877A050" w14:textId="3E3B4AB8" w:rsidR="00421603" w:rsidRPr="00421603" w:rsidRDefault="00683B6B" w:rsidP="0042160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Vrsta</w:t>
            </w:r>
          </w:p>
        </w:tc>
        <w:tc>
          <w:tcPr>
            <w:tcW w:w="449" w:type="pct"/>
            <w:hideMark/>
          </w:tcPr>
          <w:p w14:paraId="404DED03" w14:textId="7C79D594" w:rsidR="00421603" w:rsidRPr="00421603" w:rsidRDefault="00683B6B" w:rsidP="0042160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Resurs</w:t>
            </w:r>
          </w:p>
        </w:tc>
        <w:tc>
          <w:tcPr>
            <w:tcW w:w="798" w:type="pct"/>
            <w:hideMark/>
          </w:tcPr>
          <w:p w14:paraId="088A5EAA" w14:textId="3E9C7876" w:rsidR="00421603" w:rsidRPr="00421603" w:rsidRDefault="00683B6B" w:rsidP="0042160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Napomena</w:t>
            </w:r>
          </w:p>
        </w:tc>
        <w:tc>
          <w:tcPr>
            <w:tcW w:w="405" w:type="pct"/>
            <w:hideMark/>
          </w:tcPr>
          <w:p w14:paraId="3F5E59AE" w14:textId="0972BC93" w:rsidR="00421603" w:rsidRPr="00421603" w:rsidRDefault="00683B6B" w:rsidP="0042160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 xml:space="preserve">Oznaka </w:t>
            </w:r>
            <w:r w:rsidR="00AF5AA9">
              <w:rPr>
                <w:rFonts w:eastAsia="Times New Roman"/>
                <w:kern w:val="0"/>
                <w:sz w:val="14"/>
                <w:szCs w:val="14"/>
                <w:lang w:eastAsia="en-GB"/>
                <w14:ligatures w14:val="none"/>
              </w:rPr>
              <w:t>mjerila</w:t>
            </w:r>
          </w:p>
        </w:tc>
      </w:tr>
      <w:tr w:rsidR="00421603" w:rsidRPr="00421603" w14:paraId="43DE37AD" w14:textId="77777777" w:rsidTr="00421603">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253" w:type="pct"/>
            <w:hideMark/>
          </w:tcPr>
          <w:p w14:paraId="0BC2C595"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5.01.</w:t>
            </w:r>
          </w:p>
        </w:tc>
        <w:tc>
          <w:tcPr>
            <w:tcW w:w="806" w:type="pct"/>
            <w:hideMark/>
          </w:tcPr>
          <w:p w14:paraId="4A22AD36" w14:textId="7F447208" w:rsidR="00421603" w:rsidRPr="00421603" w:rsidRDefault="00130A44"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za uspostavljanje e-Kohezije i Informacionog sistema za monitoring.</w:t>
            </w:r>
          </w:p>
        </w:tc>
        <w:tc>
          <w:tcPr>
            <w:tcW w:w="631" w:type="pct"/>
            <w:hideMark/>
          </w:tcPr>
          <w:p w14:paraId="2F5BC06B" w14:textId="0355C38D" w:rsidR="00421603" w:rsidRPr="00421603" w:rsidRDefault="006D6E25"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
        </w:tc>
        <w:tc>
          <w:tcPr>
            <w:tcW w:w="391" w:type="pct"/>
            <w:hideMark/>
          </w:tcPr>
          <w:p w14:paraId="6DF18D81" w14:textId="79F46B41"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4</w:t>
            </w:r>
          </w:p>
        </w:tc>
        <w:tc>
          <w:tcPr>
            <w:tcW w:w="876" w:type="pct"/>
            <w:hideMark/>
          </w:tcPr>
          <w:p w14:paraId="66CE7663" w14:textId="1E392B86" w:rsidR="00421603" w:rsidRPr="00421603" w:rsidRDefault="00130A44"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Studija za uspostavljanje e-Kohezije i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-a.</w:t>
            </w:r>
          </w:p>
        </w:tc>
        <w:tc>
          <w:tcPr>
            <w:tcW w:w="391" w:type="pct"/>
            <w:hideMark/>
          </w:tcPr>
          <w:p w14:paraId="19A09CCB" w14:textId="3F8C506B" w:rsidR="00421603" w:rsidRPr="00421603" w:rsidRDefault="0013334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41ABCFA5" w14:textId="545C70A7" w:rsidR="00421603" w:rsidRPr="00421603" w:rsidRDefault="00720740"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7749B3BF" w14:textId="5AF902C1" w:rsidR="00421603" w:rsidRPr="00421603" w:rsidRDefault="00130A44"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Studija će uzeti u obzir relevantna iskustva država članica EU, kao i pristup ovoj akciji od strane drugih zemalja u regionu. Jedan od preduslova je </w:t>
            </w:r>
            <w:proofErr w:type="gramStart"/>
            <w:r>
              <w:rPr>
                <w:rFonts w:ascii="Aptos" w:eastAsia="Times New Roman" w:hAnsi="Aptos"/>
                <w:kern w:val="0"/>
                <w:sz w:val="14"/>
                <w:szCs w:val="14"/>
                <w:lang w:eastAsia="en-GB"/>
                <w14:ligatures w14:val="none"/>
              </w:rPr>
              <w:t>objavljivanje  prijedloga</w:t>
            </w:r>
            <w:proofErr w:type="gramEnd"/>
            <w:r>
              <w:rPr>
                <w:rFonts w:ascii="Aptos" w:eastAsia="Times New Roman" w:hAnsi="Aptos"/>
                <w:kern w:val="0"/>
                <w:sz w:val="14"/>
                <w:szCs w:val="14"/>
                <w:lang w:eastAsia="en-GB"/>
                <w14:ligatures w14:val="none"/>
              </w:rPr>
              <w:t xml:space="preserve"> Regulativa  od strane Komisije za period nakon 2027. godine.</w:t>
            </w:r>
          </w:p>
        </w:tc>
        <w:tc>
          <w:tcPr>
            <w:tcW w:w="405" w:type="pct"/>
            <w:hideMark/>
          </w:tcPr>
          <w:p w14:paraId="6181992D" w14:textId="71B5AC2F" w:rsidR="00421603" w:rsidRPr="00421603" w:rsidRDefault="0032369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421603" w:rsidRPr="00421603">
              <w:rPr>
                <w:rFonts w:ascii="Aptos" w:eastAsia="Times New Roman" w:hAnsi="Aptos"/>
                <w:kern w:val="0"/>
                <w:sz w:val="14"/>
                <w:szCs w:val="14"/>
                <w:lang w:eastAsia="en-GB"/>
                <w14:ligatures w14:val="none"/>
              </w:rPr>
              <w:t>.6.01.</w:t>
            </w:r>
          </w:p>
        </w:tc>
      </w:tr>
      <w:tr w:rsidR="00421603" w:rsidRPr="00421603" w14:paraId="2C3D1089" w14:textId="77777777" w:rsidTr="00421603">
        <w:trPr>
          <w:trHeight w:val="1470"/>
        </w:trPr>
        <w:tc>
          <w:tcPr>
            <w:cnfStyle w:val="001000000000" w:firstRow="0" w:lastRow="0" w:firstColumn="1" w:lastColumn="0" w:oddVBand="0" w:evenVBand="0" w:oddHBand="0" w:evenHBand="0" w:firstRowFirstColumn="0" w:firstRowLastColumn="0" w:lastRowFirstColumn="0" w:lastRowLastColumn="0"/>
            <w:tcW w:w="253" w:type="pct"/>
            <w:hideMark/>
          </w:tcPr>
          <w:p w14:paraId="3F0ACA01"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5.02.</w:t>
            </w:r>
          </w:p>
        </w:tc>
        <w:tc>
          <w:tcPr>
            <w:tcW w:w="806" w:type="pct"/>
            <w:hideMark/>
          </w:tcPr>
          <w:p w14:paraId="1BF46042" w14:textId="58C8D5A4" w:rsidR="00421603" w:rsidRPr="00421603" w:rsidRDefault="00A22920"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Odluka o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 xml:space="preserve"> arhitekturi</w:t>
            </w:r>
            <w:r w:rsidR="00421603" w:rsidRPr="00421603">
              <w:rPr>
                <w:rFonts w:ascii="Aptos" w:eastAsia="Times New Roman" w:hAnsi="Aptos"/>
                <w:kern w:val="0"/>
                <w:sz w:val="14"/>
                <w:szCs w:val="14"/>
                <w:lang w:eastAsia="en-GB"/>
                <w14:ligatures w14:val="none"/>
              </w:rPr>
              <w:t xml:space="preserve">. </w:t>
            </w:r>
          </w:p>
        </w:tc>
        <w:tc>
          <w:tcPr>
            <w:tcW w:w="631" w:type="pct"/>
            <w:hideMark/>
          </w:tcPr>
          <w:p w14:paraId="091D79EE" w14:textId="65CF9F5F" w:rsidR="00421603" w:rsidRPr="00421603" w:rsidRDefault="006D6E25"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421603" w:rsidRPr="00421603">
              <w:rPr>
                <w:rFonts w:ascii="Aptos" w:eastAsia="Times New Roman" w:hAnsi="Aptos"/>
                <w:kern w:val="0"/>
                <w:sz w:val="14"/>
                <w:szCs w:val="14"/>
                <w:lang w:eastAsia="en-GB"/>
                <w14:ligatures w14:val="none"/>
              </w:rPr>
              <w:t>;</w:t>
            </w:r>
            <w:proofErr w:type="gramEnd"/>
            <w:r w:rsidR="00421603" w:rsidRPr="00421603">
              <w:rPr>
                <w:rFonts w:ascii="Aptos" w:eastAsia="Times New Roman" w:hAnsi="Aptos"/>
                <w:kern w:val="0"/>
                <w:sz w:val="14"/>
                <w:szCs w:val="14"/>
                <w:lang w:eastAsia="en-GB"/>
                <w14:ligatures w14:val="none"/>
              </w:rPr>
              <w:t xml:space="preserve"> </w:t>
            </w:r>
            <w:r w:rsidR="00130A44">
              <w:rPr>
                <w:rFonts w:ascii="Aptos" w:eastAsia="Times New Roman" w:hAnsi="Aptos"/>
                <w:kern w:val="0"/>
                <w:sz w:val="14"/>
                <w:szCs w:val="14"/>
                <w:lang w:eastAsia="en-GB"/>
                <w14:ligatures w14:val="none"/>
              </w:rPr>
              <w:t>Međuinstitucionalni Upravljački odbor</w:t>
            </w:r>
          </w:p>
        </w:tc>
        <w:tc>
          <w:tcPr>
            <w:tcW w:w="391" w:type="pct"/>
            <w:hideMark/>
          </w:tcPr>
          <w:p w14:paraId="4ADB4A8B" w14:textId="59F3E03A"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1</w:t>
            </w:r>
          </w:p>
        </w:tc>
        <w:tc>
          <w:tcPr>
            <w:tcW w:w="876" w:type="pct"/>
            <w:hideMark/>
          </w:tcPr>
          <w:p w14:paraId="59C7A158" w14:textId="03746E36" w:rsidR="00421603" w:rsidRPr="00421603" w:rsidRDefault="00163D4B"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Odluka Ministarstva za evropske poslove; Ministarstva finansija/Kancelarije NAO zasnovana na preporukama uspostavljenog Međuinstitucionalnog Upravljačkog odbora.</w:t>
            </w:r>
          </w:p>
        </w:tc>
        <w:tc>
          <w:tcPr>
            <w:tcW w:w="391" w:type="pct"/>
            <w:hideMark/>
          </w:tcPr>
          <w:p w14:paraId="5A85878E" w14:textId="698FABBF" w:rsidR="00421603" w:rsidRPr="00421603" w:rsidRDefault="0013334C"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4FAE4394" w14:textId="26886D4F" w:rsidR="00421603" w:rsidRPr="00421603" w:rsidRDefault="00720740"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6B635B4E"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05" w:type="pct"/>
            <w:hideMark/>
          </w:tcPr>
          <w:p w14:paraId="5DB2B7AB" w14:textId="22C4AD08" w:rsidR="00421603" w:rsidRPr="00421603" w:rsidRDefault="0032369C"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421603" w:rsidRPr="00421603">
              <w:rPr>
                <w:rFonts w:ascii="Aptos" w:eastAsia="Times New Roman" w:hAnsi="Aptos"/>
                <w:kern w:val="0"/>
                <w:sz w:val="14"/>
                <w:szCs w:val="14"/>
                <w:lang w:eastAsia="en-GB"/>
                <w14:ligatures w14:val="none"/>
              </w:rPr>
              <w:t>.6.02.</w:t>
            </w:r>
          </w:p>
        </w:tc>
      </w:tr>
      <w:tr w:rsidR="00421603" w:rsidRPr="00421603" w14:paraId="531060A3" w14:textId="77777777" w:rsidTr="00421603">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253" w:type="pct"/>
            <w:hideMark/>
          </w:tcPr>
          <w:p w14:paraId="3DB02373"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5.03.</w:t>
            </w:r>
          </w:p>
        </w:tc>
        <w:tc>
          <w:tcPr>
            <w:tcW w:w="806" w:type="pct"/>
            <w:hideMark/>
          </w:tcPr>
          <w:p w14:paraId="294CB7CA" w14:textId="6DF2F819" w:rsidR="00421603" w:rsidRPr="00421603" w:rsidRDefault="00163D4B"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Detaljan plan i raspored za uspostavljanje elektronskog Informaciong sistema za upravljanje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w:t>
            </w:r>
          </w:p>
        </w:tc>
        <w:tc>
          <w:tcPr>
            <w:tcW w:w="631" w:type="pct"/>
            <w:hideMark/>
          </w:tcPr>
          <w:p w14:paraId="7F337F05" w14:textId="583962B4" w:rsidR="00421603" w:rsidRPr="00421603" w:rsidRDefault="006D6E25"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421603" w:rsidRPr="00421603">
              <w:rPr>
                <w:rFonts w:ascii="Aptos" w:eastAsia="Times New Roman" w:hAnsi="Aptos"/>
                <w:kern w:val="0"/>
                <w:sz w:val="14"/>
                <w:szCs w:val="14"/>
                <w:lang w:eastAsia="en-GB"/>
                <w14:ligatures w14:val="none"/>
              </w:rPr>
              <w:t>;</w:t>
            </w:r>
            <w:proofErr w:type="gramEnd"/>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1" w:type="pct"/>
            <w:hideMark/>
          </w:tcPr>
          <w:p w14:paraId="759CDD52" w14:textId="70E3E39E"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2</w:t>
            </w:r>
          </w:p>
        </w:tc>
        <w:tc>
          <w:tcPr>
            <w:tcW w:w="876" w:type="pct"/>
            <w:hideMark/>
          </w:tcPr>
          <w:p w14:paraId="1DE39265" w14:textId="2795122A" w:rsidR="00421603" w:rsidRPr="00421603" w:rsidRDefault="00163D4B"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Plan i raspored za uspostavljanje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w:t>
            </w:r>
          </w:p>
        </w:tc>
        <w:tc>
          <w:tcPr>
            <w:tcW w:w="391" w:type="pct"/>
            <w:hideMark/>
          </w:tcPr>
          <w:p w14:paraId="3E73ED0E" w14:textId="4AB9CC33" w:rsidR="00421603" w:rsidRPr="00C21BC9" w:rsidRDefault="0013334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49" w:type="pct"/>
            <w:hideMark/>
          </w:tcPr>
          <w:p w14:paraId="005A0D0E" w14:textId="66B6A87F" w:rsidR="00421603" w:rsidRPr="00421603" w:rsidRDefault="00720740"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19B372D5" w14:textId="56CFDB29" w:rsidR="00421603" w:rsidRPr="00421603" w:rsidRDefault="00163D4B"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Pretpostavlja se da je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 xml:space="preserve"> koji se uspostavlja sveobuhvatan i integrisan informacioni sistem upravljanja koji je povezan sa e-Kohezionim sistemom kao integrisani modul.</w:t>
            </w:r>
          </w:p>
        </w:tc>
        <w:tc>
          <w:tcPr>
            <w:tcW w:w="405" w:type="pct"/>
            <w:hideMark/>
          </w:tcPr>
          <w:p w14:paraId="14491752" w14:textId="1325FC21" w:rsidR="00421603" w:rsidRPr="00421603" w:rsidRDefault="0032369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421603" w:rsidRPr="00421603">
              <w:rPr>
                <w:rFonts w:ascii="Aptos" w:eastAsia="Times New Roman" w:hAnsi="Aptos"/>
                <w:kern w:val="0"/>
                <w:sz w:val="14"/>
                <w:szCs w:val="14"/>
                <w:lang w:eastAsia="en-GB"/>
                <w14:ligatures w14:val="none"/>
              </w:rPr>
              <w:t>.6.03.</w:t>
            </w:r>
          </w:p>
        </w:tc>
      </w:tr>
      <w:tr w:rsidR="00421603" w:rsidRPr="00421603" w14:paraId="16421E6A" w14:textId="77777777" w:rsidTr="00421603">
        <w:trPr>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365833EC"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5.04.</w:t>
            </w:r>
          </w:p>
        </w:tc>
        <w:tc>
          <w:tcPr>
            <w:tcW w:w="806" w:type="pct"/>
            <w:hideMark/>
          </w:tcPr>
          <w:p w14:paraId="70CCC790" w14:textId="48207A63"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Tehničke specifikacije za razvoj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-a.</w:t>
            </w:r>
          </w:p>
        </w:tc>
        <w:tc>
          <w:tcPr>
            <w:tcW w:w="631" w:type="pct"/>
            <w:hideMark/>
          </w:tcPr>
          <w:p w14:paraId="7B10CF8D" w14:textId="23DF6FBE" w:rsidR="00421603" w:rsidRPr="00421603" w:rsidRDefault="006D6E25"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
        </w:tc>
        <w:tc>
          <w:tcPr>
            <w:tcW w:w="391" w:type="pct"/>
            <w:hideMark/>
          </w:tcPr>
          <w:p w14:paraId="4EF75852" w14:textId="242DE1C9"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2</w:t>
            </w:r>
          </w:p>
        </w:tc>
        <w:tc>
          <w:tcPr>
            <w:tcW w:w="876" w:type="pct"/>
            <w:hideMark/>
          </w:tcPr>
          <w:p w14:paraId="020424A0" w14:textId="4BC8E7C7"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Analiza tržišta.</w:t>
            </w:r>
          </w:p>
        </w:tc>
        <w:tc>
          <w:tcPr>
            <w:tcW w:w="391" w:type="pct"/>
            <w:hideMark/>
          </w:tcPr>
          <w:p w14:paraId="73FDB1A3" w14:textId="2AA7098B" w:rsidR="00421603" w:rsidRPr="00421603" w:rsidRDefault="0013334C"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6694BE2A" w14:textId="0C480356" w:rsidR="00421603" w:rsidRPr="00421603" w:rsidRDefault="00720740"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73503D14" w14:textId="3335FCF5"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Odobrene tehničke specifikacije će biti korišćene za raspisivanje tendera za razvoj, implementaciju i uvođenje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-a.</w:t>
            </w:r>
          </w:p>
        </w:tc>
        <w:tc>
          <w:tcPr>
            <w:tcW w:w="405" w:type="pct"/>
            <w:hideMark/>
          </w:tcPr>
          <w:p w14:paraId="684410B7"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30AEB844" w14:textId="77777777" w:rsidTr="00421603">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01958B7F"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5.04.</w:t>
            </w:r>
          </w:p>
        </w:tc>
        <w:tc>
          <w:tcPr>
            <w:tcW w:w="806" w:type="pct"/>
            <w:hideMark/>
          </w:tcPr>
          <w:p w14:paraId="61154972" w14:textId="679C4E93"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Tehničke specifikacije za razvoj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-a.</w:t>
            </w:r>
          </w:p>
        </w:tc>
        <w:tc>
          <w:tcPr>
            <w:tcW w:w="631" w:type="pct"/>
            <w:hideMark/>
          </w:tcPr>
          <w:p w14:paraId="08AF911B" w14:textId="0A36F28D" w:rsidR="00421603" w:rsidRPr="00421603" w:rsidRDefault="006D6E25"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
        </w:tc>
        <w:tc>
          <w:tcPr>
            <w:tcW w:w="391" w:type="pct"/>
            <w:hideMark/>
          </w:tcPr>
          <w:p w14:paraId="525E6CF5" w14:textId="7DB46D82"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3</w:t>
            </w:r>
          </w:p>
        </w:tc>
        <w:tc>
          <w:tcPr>
            <w:tcW w:w="876" w:type="pct"/>
            <w:hideMark/>
          </w:tcPr>
          <w:p w14:paraId="0B86DD08" w14:textId="75438252"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Tehničke specifikacije.</w:t>
            </w:r>
          </w:p>
        </w:tc>
        <w:tc>
          <w:tcPr>
            <w:tcW w:w="391" w:type="pct"/>
            <w:hideMark/>
          </w:tcPr>
          <w:p w14:paraId="4FDA3035" w14:textId="7A3D2FB3" w:rsidR="00421603" w:rsidRPr="00421603" w:rsidRDefault="0013334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007832DB" w14:textId="4B4B3F96" w:rsidR="00421603" w:rsidRPr="00421603" w:rsidRDefault="00720740"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1E43A79E" w14:textId="1A8A5CBE"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Odobrene tehničke specifikacije će biti korišćene za raspisivanje tendera za razvoj, implementaciju i uvođenje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-a.</w:t>
            </w:r>
          </w:p>
        </w:tc>
        <w:tc>
          <w:tcPr>
            <w:tcW w:w="405" w:type="pct"/>
            <w:hideMark/>
          </w:tcPr>
          <w:p w14:paraId="24822ABF" w14:textId="77777777"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5E82116B" w14:textId="77777777" w:rsidTr="00421603">
        <w:trPr>
          <w:trHeight w:val="1680"/>
        </w:trPr>
        <w:tc>
          <w:tcPr>
            <w:cnfStyle w:val="001000000000" w:firstRow="0" w:lastRow="0" w:firstColumn="1" w:lastColumn="0" w:oddVBand="0" w:evenVBand="0" w:oddHBand="0" w:evenHBand="0" w:firstRowFirstColumn="0" w:firstRowLastColumn="0" w:lastRowFirstColumn="0" w:lastRowLastColumn="0"/>
            <w:tcW w:w="253" w:type="pct"/>
            <w:hideMark/>
          </w:tcPr>
          <w:p w14:paraId="39DFE6DA"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lastRenderedPageBreak/>
              <w:t>5.05.</w:t>
            </w:r>
          </w:p>
        </w:tc>
        <w:tc>
          <w:tcPr>
            <w:tcW w:w="806" w:type="pct"/>
            <w:hideMark/>
          </w:tcPr>
          <w:p w14:paraId="5DA808BB" w14:textId="38AF1B34"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Razvoj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-a</w:t>
            </w:r>
          </w:p>
        </w:tc>
        <w:tc>
          <w:tcPr>
            <w:tcW w:w="631" w:type="pct"/>
            <w:hideMark/>
          </w:tcPr>
          <w:p w14:paraId="1263D3B0" w14:textId="1D678558" w:rsidR="00421603" w:rsidRPr="00421603" w:rsidRDefault="006D6E25"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421603" w:rsidRPr="00421603">
              <w:rPr>
                <w:rFonts w:ascii="Aptos" w:eastAsia="Times New Roman" w:hAnsi="Aptos"/>
                <w:kern w:val="0"/>
                <w:sz w:val="14"/>
                <w:szCs w:val="14"/>
                <w:lang w:eastAsia="en-GB"/>
                <w14:ligatures w14:val="none"/>
              </w:rPr>
              <w:t>;</w:t>
            </w:r>
            <w:proofErr w:type="gramEnd"/>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1" w:type="pct"/>
            <w:hideMark/>
          </w:tcPr>
          <w:p w14:paraId="1ABCD40B" w14:textId="0243123B"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2</w:t>
            </w:r>
          </w:p>
        </w:tc>
        <w:tc>
          <w:tcPr>
            <w:tcW w:w="876" w:type="pct"/>
            <w:hideMark/>
          </w:tcPr>
          <w:p w14:paraId="591F59F3" w14:textId="6EFE6384"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Izvorni kod za</w:t>
            </w:r>
            <w:r w:rsidR="00421603" w:rsidRPr="00421603">
              <w:rPr>
                <w:rFonts w:ascii="Aptos" w:eastAsia="Times New Roman" w:hAnsi="Aptos"/>
                <w:kern w:val="0"/>
                <w:sz w:val="14"/>
                <w:szCs w:val="14"/>
                <w:lang w:eastAsia="en-GB"/>
                <w14:ligatures w14:val="none"/>
              </w:rPr>
              <w:t xml:space="preserve"> </w:t>
            </w:r>
            <w:r w:rsidR="00A067C3">
              <w:rPr>
                <w:rFonts w:ascii="Aptos" w:eastAsia="Times New Roman" w:hAnsi="Aptos"/>
                <w:kern w:val="0"/>
                <w:sz w:val="14"/>
                <w:szCs w:val="14"/>
                <w:lang w:eastAsia="en-GB"/>
                <w14:ligatures w14:val="none"/>
              </w:rPr>
              <w:t>ISU</w:t>
            </w:r>
            <w:r w:rsidR="00421603" w:rsidRPr="00421603">
              <w:rPr>
                <w:rFonts w:ascii="Aptos" w:eastAsia="Times New Roman" w:hAnsi="Aptos"/>
                <w:kern w:val="0"/>
                <w:sz w:val="14"/>
                <w:szCs w:val="14"/>
                <w:lang w:eastAsia="en-GB"/>
                <w14:ligatures w14:val="none"/>
              </w:rPr>
              <w:t>.</w:t>
            </w:r>
          </w:p>
        </w:tc>
        <w:tc>
          <w:tcPr>
            <w:tcW w:w="391" w:type="pct"/>
            <w:hideMark/>
          </w:tcPr>
          <w:p w14:paraId="22CAA2B6" w14:textId="154C3D42" w:rsidR="00421603" w:rsidRPr="00421603" w:rsidRDefault="0013334C"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52D0D504"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798" w:type="pct"/>
            <w:hideMark/>
          </w:tcPr>
          <w:p w14:paraId="3088DD6F" w14:textId="038A30DE"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Ova akcija će biti prepuštena eksternom izvršenju(outsourcing).</w:t>
            </w:r>
          </w:p>
        </w:tc>
        <w:tc>
          <w:tcPr>
            <w:tcW w:w="405" w:type="pct"/>
            <w:hideMark/>
          </w:tcPr>
          <w:p w14:paraId="0DA3C325"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6E97CD21" w14:textId="77777777" w:rsidTr="00421603">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253" w:type="pct"/>
            <w:hideMark/>
          </w:tcPr>
          <w:p w14:paraId="3EE331CE"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5.06.</w:t>
            </w:r>
          </w:p>
        </w:tc>
        <w:tc>
          <w:tcPr>
            <w:tcW w:w="806" w:type="pct"/>
            <w:hideMark/>
          </w:tcPr>
          <w:p w14:paraId="2CFA6FF2" w14:textId="25E5AEA0"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Implementacija i puštanje u rad </w:t>
            </w:r>
            <w:r w:rsidR="00A067C3">
              <w:rPr>
                <w:rFonts w:ascii="Aptos" w:eastAsia="Times New Roman" w:hAnsi="Aptos"/>
                <w:kern w:val="0"/>
                <w:sz w:val="14"/>
                <w:szCs w:val="14"/>
                <w:lang w:eastAsia="en-GB"/>
                <w14:ligatures w14:val="none"/>
              </w:rPr>
              <w:t>ISU</w:t>
            </w:r>
            <w:r>
              <w:rPr>
                <w:rFonts w:ascii="Aptos" w:eastAsia="Times New Roman" w:hAnsi="Aptos"/>
                <w:kern w:val="0"/>
                <w:sz w:val="14"/>
                <w:szCs w:val="14"/>
                <w:lang w:eastAsia="en-GB"/>
                <w14:ligatures w14:val="none"/>
              </w:rPr>
              <w:t>-a</w:t>
            </w:r>
          </w:p>
        </w:tc>
        <w:tc>
          <w:tcPr>
            <w:tcW w:w="631" w:type="pct"/>
            <w:hideMark/>
          </w:tcPr>
          <w:p w14:paraId="1EA57507" w14:textId="0A5C4354" w:rsidR="00421603" w:rsidRPr="00421603" w:rsidRDefault="006D6E25"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Ministarstvo Finansija - NAO/Upravljačka struktura   </w:t>
            </w:r>
            <w:proofErr w:type="gramStart"/>
            <w:r>
              <w:rPr>
                <w:rFonts w:ascii="Aptos" w:eastAsia="Times New Roman" w:hAnsi="Aptos"/>
                <w:kern w:val="0"/>
                <w:sz w:val="14"/>
                <w:szCs w:val="14"/>
                <w:lang w:eastAsia="en-GB"/>
                <w14:ligatures w14:val="none"/>
              </w:rPr>
              <w:t xml:space="preserve">  </w:t>
            </w:r>
            <w:r w:rsidR="00421603" w:rsidRPr="00421603">
              <w:rPr>
                <w:rFonts w:ascii="Aptos" w:eastAsia="Times New Roman" w:hAnsi="Aptos"/>
                <w:kern w:val="0"/>
                <w:sz w:val="14"/>
                <w:szCs w:val="14"/>
                <w:lang w:eastAsia="en-GB"/>
                <w14:ligatures w14:val="none"/>
              </w:rPr>
              <w:t>;</w:t>
            </w:r>
            <w:proofErr w:type="gramEnd"/>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tijelo za koordinaciju</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1" w:type="pct"/>
            <w:hideMark/>
          </w:tcPr>
          <w:p w14:paraId="4C87466A" w14:textId="5B24BAD4"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4</w:t>
            </w:r>
          </w:p>
        </w:tc>
        <w:tc>
          <w:tcPr>
            <w:tcW w:w="876" w:type="pct"/>
            <w:hideMark/>
          </w:tcPr>
          <w:p w14:paraId="7CA5252C" w14:textId="0FADE893" w:rsidR="00421603" w:rsidRPr="00421603" w:rsidRDefault="00A067C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ISU</w:t>
            </w:r>
            <w:r w:rsidR="00421603" w:rsidRPr="00421603">
              <w:rPr>
                <w:rFonts w:ascii="Aptos" w:eastAsia="Times New Roman" w:hAnsi="Aptos"/>
                <w:kern w:val="0"/>
                <w:sz w:val="14"/>
                <w:szCs w:val="14"/>
                <w:lang w:eastAsia="en-GB"/>
                <w14:ligatures w14:val="none"/>
              </w:rPr>
              <w:t xml:space="preserve"> </w:t>
            </w:r>
            <w:r w:rsidR="0061624A">
              <w:rPr>
                <w:rFonts w:ascii="Aptos" w:eastAsia="Times New Roman" w:hAnsi="Aptos"/>
                <w:kern w:val="0"/>
                <w:sz w:val="14"/>
                <w:szCs w:val="14"/>
                <w:lang w:eastAsia="en-GB"/>
                <w14:ligatures w14:val="none"/>
              </w:rPr>
              <w:t>korisnici obučeni.</w:t>
            </w:r>
          </w:p>
        </w:tc>
        <w:tc>
          <w:tcPr>
            <w:tcW w:w="391" w:type="pct"/>
            <w:hideMark/>
          </w:tcPr>
          <w:p w14:paraId="669012ED" w14:textId="558766EF" w:rsidR="00421603" w:rsidRPr="00421603" w:rsidRDefault="0013334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4032F75F" w14:textId="77777777"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798" w:type="pct"/>
            <w:hideMark/>
          </w:tcPr>
          <w:p w14:paraId="7E48D937" w14:textId="2FEA65E6"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Ova akcija će biti prepuštena eksternom izvršenju(outsourcing).</w:t>
            </w:r>
          </w:p>
        </w:tc>
        <w:tc>
          <w:tcPr>
            <w:tcW w:w="405" w:type="pct"/>
            <w:hideMark/>
          </w:tcPr>
          <w:p w14:paraId="4BC20DCA" w14:textId="77777777"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7934EC35" w14:textId="77777777" w:rsidTr="00421603">
        <w:trPr>
          <w:trHeight w:val="1890"/>
        </w:trPr>
        <w:tc>
          <w:tcPr>
            <w:cnfStyle w:val="001000000000" w:firstRow="0" w:lastRow="0" w:firstColumn="1" w:lastColumn="0" w:oddVBand="0" w:evenVBand="0" w:oddHBand="0" w:evenHBand="0" w:firstRowFirstColumn="0" w:firstRowLastColumn="0" w:lastRowFirstColumn="0" w:lastRowLastColumn="0"/>
            <w:tcW w:w="253" w:type="pct"/>
            <w:hideMark/>
          </w:tcPr>
          <w:p w14:paraId="50A56785"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5.07.</w:t>
            </w:r>
          </w:p>
        </w:tc>
        <w:tc>
          <w:tcPr>
            <w:tcW w:w="806" w:type="pct"/>
            <w:hideMark/>
          </w:tcPr>
          <w:p w14:paraId="74812EF5" w14:textId="26E72172"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okvira za praćenje učinka uključujući organizaciju seminara o trenutnom stanju i razvoju indikatora rezultata.</w:t>
            </w:r>
          </w:p>
        </w:tc>
        <w:tc>
          <w:tcPr>
            <w:tcW w:w="631" w:type="pct"/>
            <w:hideMark/>
          </w:tcPr>
          <w:p w14:paraId="1AF35E73" w14:textId="743F1DFD" w:rsidR="00421603" w:rsidRPr="00421603" w:rsidRDefault="006D6E25"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91" w:type="pct"/>
            <w:hideMark/>
          </w:tcPr>
          <w:p w14:paraId="057B158F" w14:textId="107FEAE2"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4</w:t>
            </w:r>
          </w:p>
        </w:tc>
        <w:tc>
          <w:tcPr>
            <w:tcW w:w="876" w:type="pct"/>
            <w:hideMark/>
          </w:tcPr>
          <w:p w14:paraId="5DF6AFC4" w14:textId="595739E2"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Razvijen Okvir za učinka za svaki Program.</w:t>
            </w:r>
          </w:p>
        </w:tc>
        <w:tc>
          <w:tcPr>
            <w:tcW w:w="391" w:type="pct"/>
            <w:hideMark/>
          </w:tcPr>
          <w:p w14:paraId="5BC1E178" w14:textId="06790870" w:rsidR="00421603" w:rsidRPr="00421603" w:rsidRDefault="0013334C"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49" w:type="pct"/>
            <w:hideMark/>
          </w:tcPr>
          <w:p w14:paraId="37F3AEAE" w14:textId="604F5CF3" w:rsidR="00421603" w:rsidRPr="00421603" w:rsidRDefault="00720740"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1A812D3E" w14:textId="5E349264"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Vremenski okvir može se predvidjeti u slučaju da su i nacrt Regulativa o fondovima i nacrt Programa / Aneks D dostupni u ranijoj fazi. Okvir učinka biće inkorporiran u Programe.   </w:t>
            </w:r>
          </w:p>
        </w:tc>
        <w:tc>
          <w:tcPr>
            <w:tcW w:w="405" w:type="pct"/>
            <w:hideMark/>
          </w:tcPr>
          <w:p w14:paraId="68B169CE"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0B6E8DE9" w14:textId="77777777" w:rsidTr="00421603">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253" w:type="pct"/>
            <w:hideMark/>
          </w:tcPr>
          <w:p w14:paraId="7E56AE6D"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5.08.</w:t>
            </w:r>
          </w:p>
        </w:tc>
        <w:tc>
          <w:tcPr>
            <w:tcW w:w="806" w:type="pct"/>
            <w:hideMark/>
          </w:tcPr>
          <w:p w14:paraId="5E6E917E" w14:textId="04A8ECCF"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Sistema monitoringa i evaluacije, uključujući formiranje Odbora za monitoring (ili više njih) i Poslovnika o radu.</w:t>
            </w:r>
          </w:p>
        </w:tc>
        <w:tc>
          <w:tcPr>
            <w:tcW w:w="631" w:type="pct"/>
            <w:hideMark/>
          </w:tcPr>
          <w:p w14:paraId="52D07F64" w14:textId="0CFAE902" w:rsidR="00421603" w:rsidRPr="00421603" w:rsidRDefault="006D6E25"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1" w:type="pct"/>
            <w:hideMark/>
          </w:tcPr>
          <w:p w14:paraId="23B3F965" w14:textId="617C0724"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4</w:t>
            </w:r>
          </w:p>
        </w:tc>
        <w:tc>
          <w:tcPr>
            <w:tcW w:w="876" w:type="pct"/>
            <w:hideMark/>
          </w:tcPr>
          <w:p w14:paraId="4A7357E8" w14:textId="3D7044CD"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Procjena trenutnog Sistema monitoringa i evaluacije, Opis Sistema monitoringa i evaluacije za Kohezionu politiku, koraci i vremenski okvir za njegovo uspostavljanje.</w:t>
            </w:r>
          </w:p>
        </w:tc>
        <w:tc>
          <w:tcPr>
            <w:tcW w:w="391" w:type="pct"/>
            <w:hideMark/>
          </w:tcPr>
          <w:p w14:paraId="46002C4F" w14:textId="3DDB4886" w:rsidR="00421603" w:rsidRPr="00421603" w:rsidRDefault="0013334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449" w:type="pct"/>
            <w:hideMark/>
          </w:tcPr>
          <w:p w14:paraId="0FB0A20D" w14:textId="25DFB9D9" w:rsidR="00421603" w:rsidRPr="00421603" w:rsidRDefault="00720740"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06458DEA" w14:textId="02389F1B"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Pretpostavlja se da je nacrt Regulative o zajedničkim odredbama objavljen. </w:t>
            </w:r>
          </w:p>
        </w:tc>
        <w:tc>
          <w:tcPr>
            <w:tcW w:w="405" w:type="pct"/>
            <w:hideMark/>
          </w:tcPr>
          <w:p w14:paraId="3561FE89" w14:textId="77777777"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1F93B416" w14:textId="77777777" w:rsidTr="00421603">
        <w:trPr>
          <w:trHeight w:val="1260"/>
        </w:trPr>
        <w:tc>
          <w:tcPr>
            <w:cnfStyle w:val="001000000000" w:firstRow="0" w:lastRow="0" w:firstColumn="1" w:lastColumn="0" w:oddVBand="0" w:evenVBand="0" w:oddHBand="0" w:evenHBand="0" w:firstRowFirstColumn="0" w:firstRowLastColumn="0" w:lastRowFirstColumn="0" w:lastRowLastColumn="0"/>
            <w:tcW w:w="253" w:type="pct"/>
            <w:hideMark/>
          </w:tcPr>
          <w:p w14:paraId="2B46E9B4"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5.08.</w:t>
            </w:r>
          </w:p>
        </w:tc>
        <w:tc>
          <w:tcPr>
            <w:tcW w:w="806" w:type="pct"/>
            <w:hideMark/>
          </w:tcPr>
          <w:p w14:paraId="5A8071DC" w14:textId="69D9E6A8"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Sistema monitoringa i evaluacije, uključujući formiranje Odbora za monitoring (ili više njih) i Poslovnika o radu.</w:t>
            </w:r>
          </w:p>
        </w:tc>
        <w:tc>
          <w:tcPr>
            <w:tcW w:w="631" w:type="pct"/>
            <w:hideMark/>
          </w:tcPr>
          <w:p w14:paraId="0C9CEC1A" w14:textId="24859A09" w:rsidR="00421603" w:rsidRPr="00421603" w:rsidRDefault="006D6E25"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1" w:type="pct"/>
            <w:hideMark/>
          </w:tcPr>
          <w:p w14:paraId="7B1A597D" w14:textId="7A858E8F"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4</w:t>
            </w:r>
          </w:p>
        </w:tc>
        <w:tc>
          <w:tcPr>
            <w:tcW w:w="876" w:type="pct"/>
            <w:hideMark/>
          </w:tcPr>
          <w:p w14:paraId="3CE80B85" w14:textId="399AEB56"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Poslovnik o radu Odbora za monitoring.</w:t>
            </w:r>
          </w:p>
        </w:tc>
        <w:tc>
          <w:tcPr>
            <w:tcW w:w="391" w:type="pct"/>
            <w:hideMark/>
          </w:tcPr>
          <w:p w14:paraId="2D0EB194" w14:textId="70C65439" w:rsidR="00421603" w:rsidRPr="00421603" w:rsidRDefault="0013334C"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27BF4073" w14:textId="226366BB" w:rsidR="00421603" w:rsidRPr="00421603" w:rsidRDefault="00720740"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6F1852C4" w14:textId="1A928E5C" w:rsidR="00421603" w:rsidRPr="00421603" w:rsidRDefault="0061624A"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Pretpostavlja se da je nacrt Regulative o zajedničkim odredbama objavljen. </w:t>
            </w:r>
          </w:p>
        </w:tc>
        <w:tc>
          <w:tcPr>
            <w:tcW w:w="405" w:type="pct"/>
            <w:hideMark/>
          </w:tcPr>
          <w:p w14:paraId="132C24FD"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18A6DBB2" w14:textId="77777777" w:rsidTr="00421603">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253" w:type="pct"/>
            <w:hideMark/>
          </w:tcPr>
          <w:p w14:paraId="00706FFC"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5.08.</w:t>
            </w:r>
          </w:p>
        </w:tc>
        <w:tc>
          <w:tcPr>
            <w:tcW w:w="806" w:type="pct"/>
            <w:hideMark/>
          </w:tcPr>
          <w:p w14:paraId="7484CEAA" w14:textId="3438A47E"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Sistema monitoringa i evaluacije, uključujući formiranje Odbora za monitoring (ili više njih) i Poslovnika o radu.</w:t>
            </w:r>
          </w:p>
        </w:tc>
        <w:tc>
          <w:tcPr>
            <w:tcW w:w="631" w:type="pct"/>
            <w:hideMark/>
          </w:tcPr>
          <w:p w14:paraId="25F951D6" w14:textId="3F0D643C" w:rsidR="00421603" w:rsidRPr="00421603" w:rsidRDefault="006D6E25"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421603" w:rsidRPr="0042160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1" w:type="pct"/>
            <w:hideMark/>
          </w:tcPr>
          <w:p w14:paraId="68C54A58" w14:textId="4E484432"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4</w:t>
            </w:r>
          </w:p>
        </w:tc>
        <w:tc>
          <w:tcPr>
            <w:tcW w:w="876" w:type="pct"/>
            <w:hideMark/>
          </w:tcPr>
          <w:p w14:paraId="73C1F65F" w14:textId="7AAA4779"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Nacrt Poslovnika za uspostavljanje Odbora za Monitoring.</w:t>
            </w:r>
          </w:p>
        </w:tc>
        <w:tc>
          <w:tcPr>
            <w:tcW w:w="391" w:type="pct"/>
            <w:hideMark/>
          </w:tcPr>
          <w:p w14:paraId="731583A2" w14:textId="46F60114" w:rsidR="00421603" w:rsidRPr="00421603" w:rsidRDefault="0013334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1B67D810" w14:textId="05A79FEB" w:rsidR="00421603" w:rsidRPr="00421603" w:rsidRDefault="00720740"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798" w:type="pct"/>
            <w:hideMark/>
          </w:tcPr>
          <w:p w14:paraId="79D89B2D" w14:textId="64A7CD04" w:rsidR="00421603" w:rsidRPr="00421603" w:rsidRDefault="0061624A"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Pretpostavlja se da je nacrt Regulative o zajedničkim odredbama objavljen. </w:t>
            </w:r>
          </w:p>
        </w:tc>
        <w:tc>
          <w:tcPr>
            <w:tcW w:w="405" w:type="pct"/>
            <w:hideMark/>
          </w:tcPr>
          <w:p w14:paraId="05C6047D" w14:textId="77777777"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3B88714B" w14:textId="77777777" w:rsidTr="00421603">
        <w:trPr>
          <w:trHeight w:val="2310"/>
        </w:trPr>
        <w:tc>
          <w:tcPr>
            <w:cnfStyle w:val="001000000000" w:firstRow="0" w:lastRow="0" w:firstColumn="1" w:lastColumn="0" w:oddVBand="0" w:evenVBand="0" w:oddHBand="0" w:evenHBand="0" w:firstRowFirstColumn="0" w:firstRowLastColumn="0" w:lastRowFirstColumn="0" w:lastRowLastColumn="0"/>
            <w:tcW w:w="253" w:type="pct"/>
            <w:hideMark/>
          </w:tcPr>
          <w:p w14:paraId="5446FC8D"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lastRenderedPageBreak/>
              <w:t>5.09.</w:t>
            </w:r>
          </w:p>
        </w:tc>
        <w:tc>
          <w:tcPr>
            <w:tcW w:w="806" w:type="pct"/>
            <w:hideMark/>
          </w:tcPr>
          <w:p w14:paraId="4253929A" w14:textId="0C92719F" w:rsidR="00421603" w:rsidRPr="00421603" w:rsidRDefault="009C7879"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Zahtjev za pridruživanje Evaluacionoj mreži koju čine predstavnici država članica odgovorni za evaluaciju Kohezione politike.</w:t>
            </w:r>
          </w:p>
        </w:tc>
        <w:tc>
          <w:tcPr>
            <w:tcW w:w="631" w:type="pct"/>
            <w:hideMark/>
          </w:tcPr>
          <w:p w14:paraId="1B2BEE92" w14:textId="2F058D05" w:rsidR="00421603" w:rsidRPr="00421603" w:rsidRDefault="006D6E25"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91" w:type="pct"/>
            <w:hideMark/>
          </w:tcPr>
          <w:p w14:paraId="7F6C1B98" w14:textId="0344561C"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421603">
              <w:rPr>
                <w:rFonts w:ascii="Aptos" w:eastAsia="Times New Roman" w:hAnsi="Aptos"/>
                <w:kern w:val="0"/>
                <w:sz w:val="14"/>
                <w:szCs w:val="14"/>
                <w:lang w:eastAsia="en-GB"/>
                <w14:ligatures w14:val="none"/>
              </w:rPr>
              <w:t>2</w:t>
            </w:r>
          </w:p>
        </w:tc>
        <w:tc>
          <w:tcPr>
            <w:tcW w:w="876" w:type="pct"/>
            <w:hideMark/>
          </w:tcPr>
          <w:p w14:paraId="716B9E23" w14:textId="66308E78" w:rsidR="00421603" w:rsidRPr="00421603" w:rsidRDefault="009C7879"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Zahtjev DR REGIO-u da Crna Gora pristupi Evalucionoj mreži.</w:t>
            </w:r>
          </w:p>
        </w:tc>
        <w:tc>
          <w:tcPr>
            <w:tcW w:w="391" w:type="pct"/>
            <w:hideMark/>
          </w:tcPr>
          <w:p w14:paraId="489E91BC" w14:textId="61BDFB05" w:rsidR="00421603" w:rsidRPr="00421603" w:rsidRDefault="0013334C"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0649BE3B" w14:textId="28B7A5EF"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 xml:space="preserve">One Evaluation Officer is appointed by the </w:t>
            </w:r>
            <w:r w:rsidR="0086543E" w:rsidRPr="0086543E">
              <w:rPr>
                <w:rFonts w:ascii="Aptos" w:eastAsia="Times New Roman" w:hAnsi="Aptos"/>
                <w:kern w:val="0"/>
                <w:sz w:val="14"/>
                <w:szCs w:val="14"/>
                <w:lang w:eastAsia="en-GB"/>
                <w14:ligatures w14:val="none"/>
              </w:rPr>
              <w:t>NIPAK</w:t>
            </w:r>
            <w:r w:rsidRPr="00421603">
              <w:rPr>
                <w:rFonts w:ascii="Aptos" w:eastAsia="Times New Roman" w:hAnsi="Aptos"/>
                <w:kern w:val="0"/>
                <w:sz w:val="14"/>
                <w:szCs w:val="14"/>
                <w:lang w:eastAsia="en-GB"/>
                <w14:ligatures w14:val="none"/>
              </w:rPr>
              <w:t xml:space="preserve"> as representatives for Montenegro in the Evaluation Network.</w:t>
            </w:r>
          </w:p>
        </w:tc>
        <w:tc>
          <w:tcPr>
            <w:tcW w:w="798" w:type="pct"/>
            <w:hideMark/>
          </w:tcPr>
          <w:p w14:paraId="5613843F"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05" w:type="pct"/>
            <w:hideMark/>
          </w:tcPr>
          <w:p w14:paraId="45C5422C"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421603" w:rsidRPr="00421603" w14:paraId="6402486A" w14:textId="77777777" w:rsidTr="00421603">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53" w:type="pct"/>
            <w:hideMark/>
          </w:tcPr>
          <w:p w14:paraId="7C6F25E1"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5.10.</w:t>
            </w:r>
          </w:p>
        </w:tc>
        <w:tc>
          <w:tcPr>
            <w:tcW w:w="806" w:type="pct"/>
            <w:hideMark/>
          </w:tcPr>
          <w:p w14:paraId="4F0D2E8F" w14:textId="74B146B6" w:rsidR="00421603" w:rsidRPr="00421603" w:rsidRDefault="009C7879"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Razvoj Evaluacione strategije i Evluacionog plana za Programe Kohezione politike.</w:t>
            </w:r>
          </w:p>
        </w:tc>
        <w:tc>
          <w:tcPr>
            <w:tcW w:w="631" w:type="pct"/>
            <w:hideMark/>
          </w:tcPr>
          <w:p w14:paraId="47C00DAC" w14:textId="58D8E20F" w:rsidR="00421603" w:rsidRPr="00421603" w:rsidRDefault="006D6E25"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91" w:type="pct"/>
            <w:hideMark/>
          </w:tcPr>
          <w:p w14:paraId="2DD964A4" w14:textId="2418CED5" w:rsidR="00421603" w:rsidRPr="00C21BC9" w:rsidRDefault="00975088"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76" w:type="pct"/>
            <w:hideMark/>
          </w:tcPr>
          <w:p w14:paraId="07F6A34D" w14:textId="10404EDC" w:rsidR="00421603" w:rsidRPr="00421603" w:rsidRDefault="009C7879"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Evaluaciona strategija.</w:t>
            </w:r>
          </w:p>
        </w:tc>
        <w:tc>
          <w:tcPr>
            <w:tcW w:w="391" w:type="pct"/>
            <w:hideMark/>
          </w:tcPr>
          <w:p w14:paraId="1BE36B89" w14:textId="396B0506" w:rsidR="00421603" w:rsidRPr="00421603" w:rsidRDefault="0013334C"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7EA120D6" w14:textId="77777777"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798" w:type="pct"/>
            <w:hideMark/>
          </w:tcPr>
          <w:p w14:paraId="0675A92F" w14:textId="31E8835F" w:rsidR="00421603" w:rsidRPr="00421603" w:rsidRDefault="009C7879"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Rok za Evaluacioni plan određen čl. 44.6 </w:t>
            </w:r>
            <w:r w:rsidR="00CD0020">
              <w:rPr>
                <w:rFonts w:ascii="Aptos" w:eastAsia="Times New Roman" w:hAnsi="Aptos"/>
                <w:kern w:val="0"/>
                <w:sz w:val="14"/>
                <w:szCs w:val="14"/>
                <w:lang w:eastAsia="en-GB"/>
                <w14:ligatures w14:val="none"/>
              </w:rPr>
              <w:t>RZO</w:t>
            </w:r>
            <w:r>
              <w:rPr>
                <w:rFonts w:ascii="Aptos" w:eastAsia="Times New Roman" w:hAnsi="Aptos"/>
                <w:kern w:val="0"/>
                <w:sz w:val="14"/>
                <w:szCs w:val="14"/>
                <w:lang w:eastAsia="en-GB"/>
                <w14:ligatures w14:val="none"/>
              </w:rPr>
              <w:t>.</w:t>
            </w:r>
          </w:p>
        </w:tc>
        <w:tc>
          <w:tcPr>
            <w:tcW w:w="405" w:type="pct"/>
            <w:hideMark/>
          </w:tcPr>
          <w:p w14:paraId="6AE811DD" w14:textId="77777777" w:rsidR="00421603" w:rsidRPr="00421603" w:rsidRDefault="00421603" w:rsidP="0042160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421603" w:rsidRPr="00421603" w14:paraId="2B3B8991" w14:textId="77777777" w:rsidTr="00421603">
        <w:trPr>
          <w:trHeight w:val="630"/>
        </w:trPr>
        <w:tc>
          <w:tcPr>
            <w:cnfStyle w:val="001000000000" w:firstRow="0" w:lastRow="0" w:firstColumn="1" w:lastColumn="0" w:oddVBand="0" w:evenVBand="0" w:oddHBand="0" w:evenHBand="0" w:firstRowFirstColumn="0" w:firstRowLastColumn="0" w:lastRowFirstColumn="0" w:lastRowLastColumn="0"/>
            <w:tcW w:w="253" w:type="pct"/>
            <w:hideMark/>
          </w:tcPr>
          <w:p w14:paraId="46A0F189" w14:textId="77777777" w:rsidR="00421603" w:rsidRPr="00421603" w:rsidRDefault="00421603" w:rsidP="00421603">
            <w:pPr>
              <w:spacing w:after="0"/>
              <w:jc w:val="left"/>
              <w:rPr>
                <w:rFonts w:ascii="Aptos" w:eastAsia="Times New Roman" w:hAnsi="Aptos"/>
                <w:kern w:val="0"/>
                <w:sz w:val="14"/>
                <w:szCs w:val="14"/>
                <w:lang w:eastAsia="en-GB"/>
                <w14:ligatures w14:val="none"/>
              </w:rPr>
            </w:pPr>
            <w:r w:rsidRPr="00421603">
              <w:rPr>
                <w:rFonts w:ascii="Aptos" w:eastAsia="Times New Roman" w:hAnsi="Aptos"/>
                <w:kern w:val="0"/>
                <w:sz w:val="14"/>
                <w:szCs w:val="14"/>
                <w:lang w:eastAsia="en-GB"/>
                <w14:ligatures w14:val="none"/>
              </w:rPr>
              <w:t>5.10.</w:t>
            </w:r>
          </w:p>
        </w:tc>
        <w:tc>
          <w:tcPr>
            <w:tcW w:w="806" w:type="pct"/>
            <w:hideMark/>
          </w:tcPr>
          <w:p w14:paraId="275EE53F" w14:textId="0CC30355" w:rsidR="00421603" w:rsidRPr="00421603" w:rsidRDefault="009C7879"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Razvoj Evaluacione strategije i Evluacionog plana za Programe Kohezione politike.</w:t>
            </w:r>
          </w:p>
        </w:tc>
        <w:tc>
          <w:tcPr>
            <w:tcW w:w="631" w:type="pct"/>
            <w:hideMark/>
          </w:tcPr>
          <w:p w14:paraId="7E8D5882" w14:textId="2D3F461E" w:rsidR="00421603" w:rsidRPr="00421603" w:rsidRDefault="006D6E25"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91" w:type="pct"/>
            <w:hideMark/>
          </w:tcPr>
          <w:p w14:paraId="0F895D07" w14:textId="78630DCE" w:rsidR="00421603" w:rsidRPr="00C21BC9" w:rsidRDefault="00975088"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76" w:type="pct"/>
            <w:hideMark/>
          </w:tcPr>
          <w:p w14:paraId="23C29B4E" w14:textId="7D526A7E" w:rsidR="00421603" w:rsidRPr="00421603" w:rsidRDefault="009C7879"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Evaluacioni plan.</w:t>
            </w:r>
          </w:p>
        </w:tc>
        <w:tc>
          <w:tcPr>
            <w:tcW w:w="391" w:type="pct"/>
            <w:hideMark/>
          </w:tcPr>
          <w:p w14:paraId="7BCCB6EE" w14:textId="49EB7984" w:rsidR="00421603" w:rsidRPr="00421603" w:rsidRDefault="0013334C"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449" w:type="pct"/>
            <w:hideMark/>
          </w:tcPr>
          <w:p w14:paraId="7792C01E"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798" w:type="pct"/>
            <w:hideMark/>
          </w:tcPr>
          <w:p w14:paraId="53E1423F" w14:textId="0A847506" w:rsidR="00421603" w:rsidRPr="00421603" w:rsidRDefault="009C7879"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Rok za Evaluacioni plan određen čl. 44.6 </w:t>
            </w:r>
            <w:r w:rsidR="00CD0020">
              <w:rPr>
                <w:rFonts w:ascii="Aptos" w:eastAsia="Times New Roman" w:hAnsi="Aptos"/>
                <w:kern w:val="0"/>
                <w:sz w:val="14"/>
                <w:szCs w:val="14"/>
                <w:lang w:eastAsia="en-GB"/>
                <w14:ligatures w14:val="none"/>
              </w:rPr>
              <w:t>RZO</w:t>
            </w:r>
            <w:r>
              <w:rPr>
                <w:rFonts w:ascii="Aptos" w:eastAsia="Times New Roman" w:hAnsi="Aptos"/>
                <w:kern w:val="0"/>
                <w:sz w:val="14"/>
                <w:szCs w:val="14"/>
                <w:lang w:eastAsia="en-GB"/>
                <w14:ligatures w14:val="none"/>
              </w:rPr>
              <w:t>.</w:t>
            </w:r>
          </w:p>
        </w:tc>
        <w:tc>
          <w:tcPr>
            <w:tcW w:w="405" w:type="pct"/>
            <w:hideMark/>
          </w:tcPr>
          <w:p w14:paraId="03B754C4" w14:textId="77777777" w:rsidR="00421603" w:rsidRPr="00421603" w:rsidRDefault="00421603" w:rsidP="0042160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bl>
    <w:p w14:paraId="49064172" w14:textId="77777777" w:rsidR="00A30E76" w:rsidRPr="00B83578" w:rsidRDefault="00A30E76" w:rsidP="00A30E76">
      <w:pPr>
        <w:rPr>
          <w:rFonts w:eastAsia="Calibri" w:cs="Arial"/>
          <w:kern w:val="0"/>
          <w:szCs w:val="20"/>
        </w:rPr>
      </w:pPr>
    </w:p>
    <w:p w14:paraId="10098D75" w14:textId="77777777" w:rsidR="00A30E76" w:rsidRPr="00B83578" w:rsidRDefault="00A30E76" w:rsidP="00A30E76">
      <w:pPr>
        <w:rPr>
          <w:rFonts w:eastAsia="Calibri" w:cs="Arial"/>
          <w:bCs/>
          <w:kern w:val="0"/>
          <w:sz w:val="24"/>
          <w:szCs w:val="24"/>
        </w:rPr>
      </w:pPr>
    </w:p>
    <w:p w14:paraId="4E139C65" w14:textId="18C73FD7" w:rsidR="005D3178" w:rsidRPr="00B83578" w:rsidRDefault="00206BD1" w:rsidP="00CE3066">
      <w:pPr>
        <w:pStyle w:val="Heading1"/>
      </w:pPr>
      <w:bookmarkStart w:id="157" w:name="_Toc201700411"/>
      <w:r>
        <w:t>Finansijsko upravljanje i kontrola</w:t>
      </w:r>
      <w:bookmarkEnd w:id="157"/>
    </w:p>
    <w:p w14:paraId="6163AB00" w14:textId="6C4FD6F7" w:rsidR="005D3178" w:rsidRPr="00B83578" w:rsidRDefault="009E36FF" w:rsidP="00CE3066">
      <w:pPr>
        <w:pStyle w:val="Heading2"/>
      </w:pPr>
      <w:bookmarkStart w:id="158" w:name="_Toc201700412"/>
      <w:r>
        <w:t>Relevantni zahtjevi Kohezione politike</w:t>
      </w:r>
      <w:bookmarkEnd w:id="158"/>
    </w:p>
    <w:p w14:paraId="49587A2B" w14:textId="6CC24B52" w:rsidR="006B36CC" w:rsidRPr="006B36CC" w:rsidRDefault="002F783F" w:rsidP="006B36CC">
      <w:r>
        <w:rPr>
          <w:u w:val="single"/>
        </w:rPr>
        <w:t>Aneks</w:t>
      </w:r>
      <w:r w:rsidR="006B36CC" w:rsidRPr="006B36CC">
        <w:rPr>
          <w:u w:val="single"/>
        </w:rPr>
        <w:t xml:space="preserve"> 1 </w:t>
      </w:r>
      <w:r w:rsidR="00343A02" w:rsidRPr="00343A02">
        <w:rPr>
          <w:rStyle w:val="IntenseEmphasis"/>
          <w:i w:val="0"/>
          <w:iCs w:val="0"/>
          <w:color w:val="auto"/>
          <w:u w:val="single"/>
        </w:rPr>
        <w:t>Plana aktivnosti</w:t>
      </w:r>
      <w:r w:rsidR="006B36CC" w:rsidRPr="006B36CC">
        <w:rPr>
          <w:u w:val="single"/>
        </w:rPr>
        <w:t xml:space="preserve"> </w:t>
      </w:r>
      <w:r w:rsidR="006B36CC" w:rsidRPr="006B36CC">
        <w:t xml:space="preserve">predstavlja zahtjeve </w:t>
      </w:r>
      <w:r w:rsidR="006B36CC">
        <w:t>Kohezione politike</w:t>
      </w:r>
      <w:r w:rsidR="006B36CC" w:rsidRPr="006B36CC">
        <w:t xml:space="preserve"> utvrđene u </w:t>
      </w:r>
      <w:r w:rsidR="00420726">
        <w:t>Regulativi</w:t>
      </w:r>
      <w:r w:rsidR="006B36CC" w:rsidRPr="006B36CC">
        <w:t xml:space="preserve"> o zajedničkim odredbama (br. 2021/1060 - </w:t>
      </w:r>
      <w:r w:rsidR="00CD0020">
        <w:t>RZO</w:t>
      </w:r>
      <w:r w:rsidR="006B36CC" w:rsidRPr="006B36CC">
        <w:t xml:space="preserve">) i drugim primjenjivim EU </w:t>
      </w:r>
      <w:r w:rsidR="006B36CC">
        <w:t>propisima</w:t>
      </w:r>
      <w:r w:rsidR="006B36CC" w:rsidRPr="006B36CC">
        <w:t xml:space="preserve">.  </w:t>
      </w:r>
    </w:p>
    <w:p w14:paraId="6027427D" w14:textId="69284759" w:rsidR="006B36CC" w:rsidRPr="006B36CC" w:rsidRDefault="006B36CC" w:rsidP="006B36CC">
      <w:r w:rsidRPr="006B36CC">
        <w:t xml:space="preserve">Efektivna </w:t>
      </w:r>
      <w:r w:rsidRPr="006B36CC">
        <w:rPr>
          <w:u w:val="single"/>
        </w:rPr>
        <w:t>prevencija i otkrivanje nepravilnosti</w:t>
      </w:r>
      <w:r w:rsidRPr="006B36CC">
        <w:t xml:space="preserve">, uključujući duplo finansiranje, prevaru, sukob interesa, korupciju i druge ilegalne aktivnosti koje utiču na državne i finansijske interese EU, ključni su za osiguranje da se sredstva EU koja su pogrešno isplaćena ili netačno korišćena podvrgnu administrativnim i krivičnim sankcijama, kada je to primjenjivo, i da se brzo povrate. U cilju isključenja troškova koji su nastali u suprotnosti sa primjenjivim zakonom iz finansiranja Unije, kada se naplaćeni iznosi ne mogu precizno identifikovati, </w:t>
      </w:r>
      <w:r w:rsidRPr="006B36CC">
        <w:rPr>
          <w:u w:val="single"/>
        </w:rPr>
        <w:t>određivanje finansijskih korekcija</w:t>
      </w:r>
      <w:r w:rsidRPr="006B36CC">
        <w:t xml:space="preserve"> (</w:t>
      </w:r>
      <w:r w:rsidR="00CD0020">
        <w:t>RZO</w:t>
      </w:r>
      <w:r w:rsidRPr="006B36CC">
        <w:t>, članovi 103-104 i Odluka Komisije od 14.5.2019. o utvrđivanju smjernica za određivanje finansijskih korekcija koje će biti izvršene na troškove finansirane od strane Unije zbog neusklađenosti sa primjenjivim pravilima o javnim nabavkama) može zahtijevati primjenu specifičnih principa, kriterijuma i skala (na primjer, korekcije po fiksnoj stopi) kako bi se uzela u obzir proporcionalna upotreba administrativnih resursa, u zavisnosti od prirode i ozbiljnosti kršenja primjenjivog zakona i finansijskih posljedica za budžet. Pravni sistem Crne Gore treba osigurati pravnu sigurnost za korekcije po fiksnoj stopi.</w:t>
      </w:r>
    </w:p>
    <w:p w14:paraId="4DB81CF2" w14:textId="7F81990F" w:rsidR="005D3178" w:rsidRPr="00A747E2" w:rsidRDefault="006B36CC" w:rsidP="005D3178">
      <w:r w:rsidRPr="006B36CC">
        <w:t xml:space="preserve">Nekoliko odredbi u </w:t>
      </w:r>
      <w:r w:rsidR="00420726">
        <w:t>Regulativi</w:t>
      </w:r>
      <w:r w:rsidRPr="006B36CC">
        <w:t xml:space="preserve"> o zajedničkim odredbama (čl. 51-94-95) i EU </w:t>
      </w:r>
      <w:r w:rsidR="00420726">
        <w:t>Finansijskoj Regulativi</w:t>
      </w:r>
      <w:r w:rsidRPr="006B36CC">
        <w:t xml:space="preserve"> (br. 2024/2509, član 125) su od posebnog značaja za Crnu Goru u trenutnom kontekstu implementacije sredstava EU u okviru IPA III i Agende reformi: posebno, definicija </w:t>
      </w:r>
      <w:r w:rsidRPr="006B36CC">
        <w:rPr>
          <w:u w:val="single"/>
        </w:rPr>
        <w:t xml:space="preserve">Pojednostavljenih </w:t>
      </w:r>
      <w:r w:rsidR="00B24B2D">
        <w:rPr>
          <w:u w:val="single"/>
        </w:rPr>
        <w:t>opcija troškova</w:t>
      </w:r>
      <w:r w:rsidRPr="006B36CC">
        <w:t xml:space="preserve"> (tj. jediničnih troškova, paušalnih suma i korekcija po fiksnoj stopi) pod IPA III i </w:t>
      </w:r>
      <w:r w:rsidRPr="006B36CC">
        <w:rPr>
          <w:u w:val="single"/>
        </w:rPr>
        <w:t>finansiranje koje nije povezano sa troškovima za nadoknadu troškova od strane Komisije državama članicama</w:t>
      </w:r>
      <w:r w:rsidRPr="006B36CC">
        <w:t xml:space="preserve">, što čini osnovu mehanizma za Reformu i rast. Ključno je da ovi oblici podrške, koji predstavljaju odstupanje od principa verifikacije stvarnih troškova, budu adekvatno podržani dovoljnom pravnom sigurnošću u pravnom sistemu Crne Gore, kao i adekvatnim kapacitetima kontrole i revizije. Takođe, potrebne su odgovarajuće smjernice za </w:t>
      </w:r>
      <w:r w:rsidRPr="006B36CC">
        <w:lastRenderedPageBreak/>
        <w:t xml:space="preserve">crnogorske kontrolore i revizore o usklađivanju koncepta "duplog finansiranja" i drugih nepravilnosti sa Pojednostavljenim opcijama </w:t>
      </w:r>
      <w:r w:rsidR="00B24B2D">
        <w:t xml:space="preserve">troškova </w:t>
      </w:r>
      <w:r w:rsidRPr="006B36CC">
        <w:t>i finansiranjem koje nije povezano sa troškovima</w:t>
      </w:r>
      <w:r w:rsidR="00A747E2" w:rsidRPr="00B83578">
        <w:rPr>
          <w:rFonts w:cs="Arial"/>
          <w:color w:val="000000" w:themeColor="text1"/>
          <w:vertAlign w:val="superscript"/>
        </w:rPr>
        <w:footnoteReference w:id="217"/>
      </w:r>
      <w:r w:rsidRPr="006B36CC">
        <w:t>.</w:t>
      </w:r>
    </w:p>
    <w:p w14:paraId="46DB426A" w14:textId="1E3B931D" w:rsidR="00A747E2" w:rsidRDefault="00A747E2" w:rsidP="00A747E2">
      <w:r>
        <w:t xml:space="preserve">U </w:t>
      </w:r>
      <w:r w:rsidR="00CD0020">
        <w:t>RZO</w:t>
      </w:r>
      <w:r>
        <w:t xml:space="preserve">-u se nalaze specifična </w:t>
      </w:r>
      <w:r w:rsidRPr="00A747E2">
        <w:rPr>
          <w:u w:val="single"/>
        </w:rPr>
        <w:t>pravila o grantovima</w:t>
      </w:r>
      <w:r>
        <w:t xml:space="preserve"> (čl. 53-57) koja dopunjuju pravila o grantovima postavljena u Poglavlju VIII </w:t>
      </w:r>
      <w:r w:rsidR="00765DC1">
        <w:t>Finansijske Regulative</w:t>
      </w:r>
      <w:r w:rsidR="00765DC1" w:rsidRPr="00765DC1">
        <w:t xml:space="preserve"> </w:t>
      </w:r>
      <w:r w:rsidR="00765DC1">
        <w:t>EU</w:t>
      </w:r>
      <w:r>
        <w:t>. U okviru zajedničkog upravljanja programima finansiranim iz Kohezione politike, PRAG procedure</w:t>
      </w:r>
      <w:r w:rsidRPr="00B83578">
        <w:rPr>
          <w:rFonts w:cs="Arial"/>
          <w:color w:val="000000" w:themeColor="text1"/>
          <w:sz w:val="22"/>
          <w:vertAlign w:val="superscript"/>
        </w:rPr>
        <w:footnoteReference w:id="218"/>
      </w:r>
      <w:r>
        <w:t xml:space="preserve"> više neće biti primjenjive, te će se stoga primjenjivati specifična nacionalna pravila za upravljanje programima granta, uključujući i </w:t>
      </w:r>
      <w:r w:rsidRPr="00A747E2">
        <w:rPr>
          <w:u w:val="single"/>
        </w:rPr>
        <w:t>nabavke od strane korisnika granta</w:t>
      </w:r>
      <w:r>
        <w:t xml:space="preserve"> koji nijesu podložni zakonodavstvu o javnim nabavkama.  </w:t>
      </w:r>
    </w:p>
    <w:p w14:paraId="648FC508" w14:textId="7B7EBDDC" w:rsidR="00A747E2" w:rsidRDefault="00A747E2" w:rsidP="00A747E2">
      <w:r>
        <w:t xml:space="preserve">Osiguranje </w:t>
      </w:r>
      <w:r w:rsidRPr="00A747E2">
        <w:rPr>
          <w:u w:val="single"/>
        </w:rPr>
        <w:t xml:space="preserve">održivosti EU </w:t>
      </w:r>
      <w:r w:rsidR="00477A44">
        <w:rPr>
          <w:u w:val="single"/>
        </w:rPr>
        <w:t>podrške</w:t>
      </w:r>
      <w:r>
        <w:t xml:space="preserve"> je zahtjev koji je ugrađen u koncept dobrog finansijskog upravljanja utvrđenog u </w:t>
      </w:r>
      <w:r w:rsidR="00765DC1">
        <w:t>Finansijske Regulative</w:t>
      </w:r>
      <w:r>
        <w:t xml:space="preserve"> </w:t>
      </w:r>
      <w:r w:rsidR="00765DC1">
        <w:t xml:space="preserve">EU </w:t>
      </w:r>
      <w:r>
        <w:t xml:space="preserve">(čl. 56) i ponovo naglašen u </w:t>
      </w:r>
      <w:r w:rsidR="00CD0020">
        <w:t>RZO</w:t>
      </w:r>
      <w:r>
        <w:t xml:space="preserve">-u (čl. 69). </w:t>
      </w:r>
      <w:r w:rsidR="00CD0020">
        <w:t>RZO</w:t>
      </w:r>
      <w:r>
        <w:t xml:space="preserve"> takođe uključuje specifična pravila o trajnosti operacija koje obuhvataju ulaganja u infrastrukturu ili produktivna ulaganja (čl. 65).  </w:t>
      </w:r>
    </w:p>
    <w:p w14:paraId="1139BB29" w14:textId="7EBDF23F" w:rsidR="00A747E2" w:rsidRDefault="00A747E2" w:rsidP="00A747E2">
      <w:r>
        <w:t xml:space="preserve">Od izuzetnog je značaja </w:t>
      </w:r>
      <w:r w:rsidRPr="004618B1">
        <w:rPr>
          <w:u w:val="single"/>
        </w:rPr>
        <w:t>pravni okvir EU za zaštitu finansijskih interesa EU,</w:t>
      </w:r>
      <w:r>
        <w:t xml:space="preserve"> </w:t>
      </w:r>
      <w:r w:rsidR="004618B1">
        <w:t>što se posebno odnosi na Direktive EU</w:t>
      </w:r>
      <w:r>
        <w:t xml:space="preserve"> (pošto ih je potrebno prenijeti u nacionalno zakonodavstvo). “Direktiva EU o zaštiti uzbunjivača” 2019/1937 je jednom izmijenjena 2020, 2022. i 2023. godine, a tri puta u 2024. godini</w:t>
      </w:r>
      <w:r w:rsidR="004618B1" w:rsidRPr="00B83578">
        <w:rPr>
          <w:color w:val="000000" w:themeColor="text1"/>
          <w:vertAlign w:val="superscript"/>
        </w:rPr>
        <w:footnoteReference w:id="219"/>
      </w:r>
      <w:r>
        <w:t>.</w:t>
      </w:r>
    </w:p>
    <w:p w14:paraId="5470933A" w14:textId="510A2842" w:rsidR="005D3178" w:rsidRPr="00B83578" w:rsidRDefault="00017758" w:rsidP="00CE3066">
      <w:pPr>
        <w:pStyle w:val="Heading2"/>
      </w:pPr>
      <w:bookmarkStart w:id="159" w:name="_Toc173736574"/>
      <w:bookmarkStart w:id="160" w:name="_Toc173736624"/>
      <w:bookmarkStart w:id="161" w:name="_Toc173736758"/>
      <w:bookmarkStart w:id="162" w:name="_Toc173736896"/>
      <w:bookmarkStart w:id="163" w:name="_Toc173737114"/>
      <w:bookmarkStart w:id="164" w:name="_Toc180054976"/>
      <w:bookmarkStart w:id="165" w:name="_Toc181860732"/>
      <w:bookmarkStart w:id="166" w:name="_Toc201700413"/>
      <w:bookmarkStart w:id="167" w:name="_Hlk173735436"/>
      <w:r>
        <w:t>Procjena trenutne situacije</w:t>
      </w:r>
      <w:r w:rsidR="005D3178" w:rsidRPr="00B83578">
        <w:rPr>
          <w:vertAlign w:val="superscript"/>
        </w:rPr>
        <w:footnoteReference w:id="220"/>
      </w:r>
      <w:bookmarkEnd w:id="159"/>
      <w:bookmarkEnd w:id="160"/>
      <w:bookmarkEnd w:id="161"/>
      <w:bookmarkEnd w:id="162"/>
      <w:bookmarkEnd w:id="163"/>
      <w:bookmarkEnd w:id="164"/>
      <w:bookmarkEnd w:id="165"/>
      <w:bookmarkEnd w:id="166"/>
    </w:p>
    <w:p w14:paraId="7DCCF8A6" w14:textId="12D11D09" w:rsidR="005D3178" w:rsidRPr="00B83578" w:rsidRDefault="00206BD1" w:rsidP="00CE3066">
      <w:pPr>
        <w:pStyle w:val="Heading3"/>
      </w:pPr>
      <w:bookmarkStart w:id="168" w:name="_Toc201700414"/>
      <w:r>
        <w:t>Finansijska podrška iz Fondova</w:t>
      </w:r>
      <w:bookmarkEnd w:id="167"/>
      <w:bookmarkEnd w:id="168"/>
    </w:p>
    <w:p w14:paraId="3B6BFDAD" w14:textId="290ABE9B" w:rsidR="005D3178" w:rsidRPr="00B83578" w:rsidRDefault="007A1118" w:rsidP="00CE3066">
      <w:pPr>
        <w:pStyle w:val="Heading4"/>
      </w:pPr>
      <w:r>
        <w:t>Iskustvo u odabiru projekata i upravljanju grantovima</w:t>
      </w:r>
      <w:r w:rsidR="005D3178" w:rsidRPr="00B83578">
        <w:t xml:space="preserve"> </w:t>
      </w:r>
    </w:p>
    <w:p w14:paraId="441A9731" w14:textId="0B208AA6" w:rsidR="004618B1" w:rsidRDefault="004618B1" w:rsidP="004618B1">
      <w:r>
        <w:t xml:space="preserve">Crna Gora ima određeno iskustvo u implementaciji grant šema kako pod indirektnim tako i pod zajedničkim upravljanjem.  </w:t>
      </w:r>
    </w:p>
    <w:p w14:paraId="4B270093" w14:textId="5CE61F4C" w:rsidR="004618B1" w:rsidRDefault="004618B1" w:rsidP="004618B1">
      <w:r>
        <w:t>Za indirektno upravljanje IPA programima, dvije ugovorne institucije su aktivne u okviru IPA II i IPA III: CFCU/Ministarstvo finansija i Uprava za kapitalne projekte (</w:t>
      </w:r>
      <w:r w:rsidR="00AF5AA9">
        <w:t>UKP</w:t>
      </w:r>
      <w:r>
        <w:t xml:space="preserve">). U okviru IPA III, pomenute institucije su uspostavljene kao </w:t>
      </w:r>
      <w:r w:rsidR="002F51DA">
        <w:t>Posrednička</w:t>
      </w:r>
      <w:r>
        <w:t xml:space="preserve"> tijela za finansijsko upravljanje (</w:t>
      </w:r>
      <w:r w:rsidR="003D7057">
        <w:t>PTFU</w:t>
      </w:r>
      <w:r>
        <w:t xml:space="preserve">). Takođe, uspostavljena je jedna nova institucija kao </w:t>
      </w:r>
      <w:r w:rsidR="003D7057">
        <w:t>PTFU</w:t>
      </w:r>
      <w:r>
        <w:t xml:space="preserve"> pod IPA III – Agencija za zapošljavanje Crne Gore. I CFCU i </w:t>
      </w:r>
      <w:r w:rsidR="00AF5AA9">
        <w:t>UKP</w:t>
      </w:r>
      <w:r>
        <w:t xml:space="preserve"> imaju iskustvo u upravljanju grantovima kroz godišnje programe.  </w:t>
      </w:r>
    </w:p>
    <w:p w14:paraId="757B6270" w14:textId="2F1DCF9A" w:rsidR="004618B1" w:rsidRDefault="004618B1" w:rsidP="004618B1">
      <w:r>
        <w:t xml:space="preserve">CFCU je odgovoran za administrativnu i finansijsku implementaciju većine grant šema/ugovora. Do sada (jul 2024), CFCU je objavio pozive za dostavljanje prijedloga za 10 grant šema u okviru godišnjih IPA programa (AAP) prema ograničenim procedurama, što je rezultiralo zaključenjem 106 ugovora o grantu, dok su 2 ugovora potpisana kao direktne dodjele sredstava. Pored toga, u okviru </w:t>
      </w:r>
      <w:r w:rsidR="00D858E0">
        <w:t>PGS</w:t>
      </w:r>
      <w:r>
        <w:t xml:space="preserve"> programa između korisnika IPA, CFCU je objavio pozive za dostavljanje prijedloga za 4 grant šeme prema ograničenim procedurama i 2 grant šeme prema otvorenim procedurama, što je dovelo do zaključenja 45 ugovora o grantu – čime je ukupno zaključeno 153 ugovora o grantu.</w:t>
      </w:r>
    </w:p>
    <w:p w14:paraId="4DD9E032" w14:textId="71A835FA" w:rsidR="00C255D2" w:rsidRDefault="00C255D2" w:rsidP="00C255D2">
      <w:r>
        <w:t xml:space="preserve">CFCU upravlja grant šemama na transparentan način pružajući detaljne informacije potencijalnim aplikantima u skladu s PRAG-om, kontinuiranim vođenjem korisnika granta putem obuka i online konsultacija, te osiguravanjem objavljivanja odobrenih grantova i vidljivosti akcija.  </w:t>
      </w:r>
    </w:p>
    <w:p w14:paraId="0F976FA9" w14:textId="1C3EFDFB" w:rsidR="00C255D2" w:rsidRDefault="00C255D2" w:rsidP="00C255D2">
      <w:r>
        <w:t>Odabir projekata se do sada vršio prema proceduri ex-ante kontrole koju je sprovodila Delegacija EU</w:t>
      </w:r>
      <w:r w:rsidRPr="00B83578">
        <w:rPr>
          <w:vertAlign w:val="superscript"/>
        </w:rPr>
        <w:footnoteReference w:id="221"/>
      </w:r>
      <w:r>
        <w:t xml:space="preserve">.  </w:t>
      </w:r>
    </w:p>
    <w:p w14:paraId="60F4F776" w14:textId="0D72575D" w:rsidR="00C255D2" w:rsidRDefault="00C255D2" w:rsidP="00C255D2">
      <w:r>
        <w:lastRenderedPageBreak/>
        <w:t xml:space="preserve">Upravljanje ugovorima o grantovima uključuje planirane administrativne i terenske kontrole (OTSC) u bliskoj saradnji sa odgovarajućim resornim ministarstvima, kako bi se verifikovale aktivnosti koje su sprovedene i rezultati koji su isporučeni u okviru svakog ugovora o grantu. Dodatno, redovne procjene rizika se sprovode kako bi se utvrdilo da li su potrebne dodatne terenske provjere, tokom kojih se verifikuju originalni prateći dokumenti i fizički dokazi o isporuci. </w:t>
      </w:r>
      <w:r w:rsidRPr="00C255D2">
        <w:t>Poštovanje svih primenljivih pravila i uspešno završavanje projekata, uključujući održivost, je očigledno osiguran</w:t>
      </w:r>
      <w:r>
        <w:t xml:space="preserve">o. </w:t>
      </w:r>
    </w:p>
    <w:p w14:paraId="68243347" w14:textId="3F3E140B" w:rsidR="008E62D9" w:rsidRDefault="008E62D9" w:rsidP="008E62D9">
      <w:r>
        <w:t xml:space="preserve">Iako je Uprava za kapitalne projekte prvenstveno usmjerena na projekte javne infrastrukture finansirane kroz IPA, u okviru programa IPA II </w:t>
      </w:r>
      <w:r w:rsidR="00B24B2D">
        <w:t>DAP</w:t>
      </w:r>
      <w:r>
        <w:t xml:space="preserve"> 2016 realizovala je grant šeme koje se sastoje od 10 ugovora koji su uspješno potpisani i implementirani.  </w:t>
      </w:r>
    </w:p>
    <w:p w14:paraId="7F958FBD" w14:textId="77777777" w:rsidR="008E62D9" w:rsidRDefault="008E62D9" w:rsidP="008E62D9">
      <w:r>
        <w:t xml:space="preserve">Što se tiče INTERREG programa, Crna Gora je učestvovala u 3 transnacionalna i 2 trilateralna programa u periodu 2014-2020. Za period 2021-2027, Crna Gora prvi put učestvuje u još dva transnacionalna programa. Pored toga, u okviru Interreg programa, funkcija kontrolora je uspostavljena u CFCU, tako da postoji iskustvo u upravljanju grantovima u smislu verifikacije troškova.  </w:t>
      </w:r>
    </w:p>
    <w:p w14:paraId="267876E7" w14:textId="69DC2FC0" w:rsidR="008E62D9" w:rsidRDefault="008E62D9" w:rsidP="008E62D9">
      <w:r>
        <w:t xml:space="preserve">Na osnovu verifikacije troškova od strane nacionalnih kontrolnih tijela u zemljama učesnicama, CFCU je odgovoran za donošenje konačne odluke i isplatu troškova koje snose korisnici iz Albanije i Kosova u skladu sa programom i nacionalnim propisima. Svi troškovi su do sada sertifikovani u skladu sa pravilima i rokovima, i </w:t>
      </w:r>
      <w:r w:rsidR="00E136F2">
        <w:t>nijesu</w:t>
      </w:r>
      <w:r>
        <w:t xml:space="preserve"> uočena kašnjenja u realizaciji ili kvalitetu radova. U okviru Interreg programa, verifikacija troškova je do sada sprovedena za 100% svih crnogorskih korisnika, kao i kroz 100% terenskih verifikacija, pri čemu se provjerava originalna dokumentacija i vidljivost projekta. Štaviše, dokumenti za upravljanje zasnovani na riziku se razvijaju za sve programe pod vođstvom </w:t>
      </w:r>
      <w:r w:rsidR="00A067C3">
        <w:t>UPT</w:t>
      </w:r>
      <w:r>
        <w:t>.</w:t>
      </w:r>
    </w:p>
    <w:p w14:paraId="781B6F2E" w14:textId="274BC35B" w:rsidR="005D3178" w:rsidRPr="00B83578" w:rsidRDefault="007A1118" w:rsidP="00CE3066">
      <w:pPr>
        <w:pStyle w:val="Heading4"/>
      </w:pPr>
      <w:bookmarkStart w:id="169" w:name="_Hlk168493396"/>
      <w:r>
        <w:t>Iskustvo u implementaciji finansijskih instrumenata EU</w:t>
      </w:r>
    </w:p>
    <w:bookmarkEnd w:id="169"/>
    <w:p w14:paraId="4F851F90" w14:textId="4BE2F7B8" w:rsidR="005D3178" w:rsidRPr="00B83578" w:rsidRDefault="008E62D9" w:rsidP="005D3178">
      <w:r>
        <w:t xml:space="preserve">Do sada nije stečeno iskustvo u upotrebi EU finansijskih instrumenta definisanim članom 2 </w:t>
      </w:r>
      <w:r w:rsidR="00CD0020">
        <w:t>RZO</w:t>
      </w:r>
      <w:r>
        <w:t>-a.</w:t>
      </w:r>
    </w:p>
    <w:p w14:paraId="4118A7DC" w14:textId="757DA191" w:rsidR="005D3178" w:rsidRPr="00B83578" w:rsidRDefault="007A1118" w:rsidP="00CE3066">
      <w:pPr>
        <w:pStyle w:val="Heading4"/>
      </w:pPr>
      <w:r>
        <w:t xml:space="preserve">Održivost </w:t>
      </w:r>
      <w:r w:rsidR="00477A44">
        <w:t>podrške</w:t>
      </w:r>
      <w:r>
        <w:t xml:space="preserve"> EU</w:t>
      </w:r>
      <w:r w:rsidR="005D3178" w:rsidRPr="00B83578">
        <w:t xml:space="preserve"> </w:t>
      </w:r>
    </w:p>
    <w:p w14:paraId="240EF8DE" w14:textId="3B098262" w:rsidR="008E62D9" w:rsidRDefault="008E62D9" w:rsidP="008E62D9">
      <w:r>
        <w:t>Poglavlje IPA Priručnika o procedurama koje se odnosi na monitoring, postavlja proceduru za monitoring održivosti u IPA III, kako je definisano Ugovorom o partnerskom finansijskom okviru, član 3(g)</w:t>
      </w:r>
      <w:r w:rsidRPr="008E62D9">
        <w:rPr>
          <w:color w:val="000000" w:themeColor="text1"/>
          <w:vertAlign w:val="superscript"/>
        </w:rPr>
        <w:t xml:space="preserve"> </w:t>
      </w:r>
      <w:r w:rsidRPr="00B83578">
        <w:rPr>
          <w:color w:val="000000" w:themeColor="text1"/>
          <w:vertAlign w:val="superscript"/>
        </w:rPr>
        <w:footnoteReference w:id="222"/>
      </w:r>
      <w:r>
        <w:t xml:space="preserve">. Održivost IPA </w:t>
      </w:r>
      <w:r w:rsidR="00477A44">
        <w:t>podrške</w:t>
      </w:r>
      <w:r>
        <w:t xml:space="preserve"> se prati pod svim metodama implementacije od strane Nacionalnog IPA koordinatora – Ureda za podršku, kao i od strane Upravljačkih tijela i </w:t>
      </w:r>
      <w:r w:rsidR="003D7057">
        <w:t>PTUP</w:t>
      </w:r>
      <w:r>
        <w:t>-ova pod indirektnim upravljanjem. Odgovornost za osiguranje održivosti akcija finansiranih iz IPA sredstava ostaje sve dok se program pod kojim je ugovor implementiran ne zatvori ili do roka navedenog u samom ugovoru. U slučaju da rezultati više ni</w:t>
      </w:r>
      <w:r w:rsidR="00105295">
        <w:t>je</w:t>
      </w:r>
      <w:r>
        <w:t xml:space="preserve">su prisutni ili se ne koriste za predviđenu svrhu, ili uopšte, mogu se primijeniti korektivne mjere uključujući finansijske korekcije, uključujući i od strane Komisije na osnovu Ugovora o partnerskom finansijskom okviru, član 43(2)(c).  </w:t>
      </w:r>
    </w:p>
    <w:p w14:paraId="2C82AB03" w14:textId="672A9D19" w:rsidR="008E62D9" w:rsidRDefault="008E62D9" w:rsidP="008E62D9">
      <w:r>
        <w:t xml:space="preserve">Rezultati provjera održivosti se komuniciraju IPA Monitoring Komitetu, IPA </w:t>
      </w:r>
      <w:r w:rsidR="00105295">
        <w:t>S</w:t>
      </w:r>
      <w:r>
        <w:t xml:space="preserve">ektorskim </w:t>
      </w:r>
      <w:r w:rsidR="007A1118">
        <w:t xml:space="preserve">odborima za </w:t>
      </w:r>
      <w:r>
        <w:t xml:space="preserve">monitoring, kao i EK, </w:t>
      </w:r>
      <w:r w:rsidR="00243189" w:rsidRPr="00243189">
        <w:t>RT</w:t>
      </w:r>
      <w:r>
        <w:t xml:space="preserve">, NAO, </w:t>
      </w:r>
      <w:r w:rsidR="00A067C3">
        <w:t>UPT</w:t>
      </w:r>
      <w:r>
        <w:t xml:space="preserve">, </w:t>
      </w:r>
      <w:r w:rsidR="003D7057">
        <w:t>PTFU</w:t>
      </w:r>
      <w:r>
        <w:t xml:space="preserve"> i bilo kojem drugom relevantnom </w:t>
      </w:r>
      <w:r w:rsidR="00105295">
        <w:t>tijelu</w:t>
      </w:r>
      <w:r>
        <w:t>.</w:t>
      </w:r>
    </w:p>
    <w:p w14:paraId="243D5039" w14:textId="794EDD9E" w:rsidR="005D3178" w:rsidRPr="00B83578" w:rsidRDefault="007A1118" w:rsidP="00CE3066">
      <w:pPr>
        <w:pStyle w:val="Heading4"/>
      </w:pPr>
      <w:r>
        <w:t>Zanje i iskustvo u implementaciji nacionalnog zakonodavastva u oblasti javnih nabavki</w:t>
      </w:r>
      <w:r w:rsidR="005D3178" w:rsidRPr="00B83578">
        <w:t xml:space="preserve"> </w:t>
      </w:r>
    </w:p>
    <w:p w14:paraId="4089F39C" w14:textId="16C1D41C" w:rsidR="00105295" w:rsidRDefault="00105295" w:rsidP="005D3178">
      <w:r w:rsidRPr="00105295">
        <w:t>Prema nalazima Godišnjeg izvještaja EK za 2024. godinu, pravni okvir u području javnih nabavki je dobro usklađen sa pravnim aktima EU u ovoj oblasti, tj. sa Direktivama 2014/24/EU i 2014/25/EU, kao i Direktivom 2007/66/</w:t>
      </w:r>
      <w:r w:rsidR="00EA1B2F">
        <w:t>EZ</w:t>
      </w:r>
      <w:r w:rsidRPr="00105295">
        <w:t>, koja reguliše pravnu zaštitu u procedurama javnih nabavki. Elektronski sistem javnih nabavki, koji je u funkciji od 1. januara 2021. godine, pokriva 100% procedura javnih nabavki sprovedenih u zemlji i cijeli ciklus nabavke (od dostavljanja ponuda do zaključenja ugovora), što značajno doprinosi poboljšanju transparencije, efikasnosti i isplativosti u procedurama javnih nabavki. Javn</w:t>
      </w:r>
      <w:r w:rsidR="00477A44">
        <w:t>a</w:t>
      </w:r>
      <w:r>
        <w:t xml:space="preserve"> </w:t>
      </w:r>
      <w:r w:rsidR="00477A44">
        <w:t>Ugovorna tijela</w:t>
      </w:r>
      <w:r w:rsidRPr="00105295">
        <w:t xml:space="preserve"> imaju znanje i iskustvo s nacionalnim zakonodavstvom i procedurama javnih nabavki, osim ugovornih tijela unutar sistema indirektnog upravljanja IPA koja koriste PRAG procedure i do sada su imala ograničeno ili</w:t>
      </w:r>
      <w:r>
        <w:t xml:space="preserve"> nijesu imala</w:t>
      </w:r>
      <w:r w:rsidRPr="00105295">
        <w:t xml:space="preserve"> nikakvo iskustvo s nacionalnim javnim nabavkama</w:t>
      </w:r>
      <w:r w:rsidRPr="00B83578">
        <w:rPr>
          <w:rFonts w:cs="Arial"/>
          <w:color w:val="000000" w:themeColor="text1"/>
          <w:sz w:val="22"/>
          <w:vertAlign w:val="superscript"/>
        </w:rPr>
        <w:footnoteReference w:id="223"/>
      </w:r>
      <w:r w:rsidRPr="00105295">
        <w:t>.</w:t>
      </w:r>
    </w:p>
    <w:p w14:paraId="014A31B7" w14:textId="40686434" w:rsidR="005D3178" w:rsidRPr="00B83578" w:rsidRDefault="00206BD1" w:rsidP="00CE3066">
      <w:pPr>
        <w:pStyle w:val="Heading3"/>
      </w:pPr>
      <w:bookmarkStart w:id="170" w:name="_Toc201700415"/>
      <w:r>
        <w:lastRenderedPageBreak/>
        <w:t>Sistem kontrole i upravljanja</w:t>
      </w:r>
      <w:bookmarkEnd w:id="170"/>
    </w:p>
    <w:p w14:paraId="1661F1E8" w14:textId="70519278" w:rsidR="005D3178" w:rsidRPr="00B83578" w:rsidRDefault="007A1118" w:rsidP="00CE3066">
      <w:pPr>
        <w:pStyle w:val="Heading4"/>
      </w:pPr>
      <w:bookmarkStart w:id="171" w:name="_Hlk168493451"/>
      <w:r>
        <w:t>Iskustvo u verifikacijama upravljanja</w:t>
      </w:r>
    </w:p>
    <w:bookmarkEnd w:id="171"/>
    <w:p w14:paraId="7BD6E649" w14:textId="3827E594" w:rsidR="00105295" w:rsidRDefault="00105295" w:rsidP="00105295">
      <w:r>
        <w:t xml:space="preserve">Verifikacije upravljanja u indirektnom upravljanju sprovode oba </w:t>
      </w:r>
      <w:r w:rsidR="003D7057">
        <w:t>PTFU</w:t>
      </w:r>
      <w:r>
        <w:t xml:space="preserve">-a, tokom implementacije projekata/ugovora, kao administrativne i provjere na licu mjests. Administrativne kontrole se vrše na 100% prijavljenih troškova, što znači da su svi rashodi pregledani kako bi se osigurala usklađenost sa propisima i smjernicama.  </w:t>
      </w:r>
    </w:p>
    <w:p w14:paraId="33800976" w14:textId="53DB4235" w:rsidR="00105295" w:rsidRDefault="00105295" w:rsidP="00105295">
      <w:r>
        <w:t xml:space="preserve">Verifikacije na licu mjesta (OTSV) podrazumijevaju fizičke inspekcije i verifikacije na lokaciji projekta. One mogu biti planirane i neplanirane. Njihova učestalost i dinamika zavise od vrste ugovora i nivoa rizika. Na primjer, za ugovore o nabavci, OTSV se poklapa s privremenim prijemom isporuka i uvijek se sprovodi u svrhu izdavanja </w:t>
      </w:r>
      <w:r w:rsidR="00880A57">
        <w:t>s</w:t>
      </w:r>
      <w:r>
        <w:t>ertifikata o privremenom prijemu. Za ugovore o uslugama, OTSV se vrši jednom tokom trajanja ugovora, obično u skladu sa pružanjem usluge u akciji, poput obuka. Za ugovore o grantovima, OTSV se obično vrši prije isplate kako bi se ocijenili rezultati i učinci u odnosu na ciljeve i svrhe projekta.</w:t>
      </w:r>
    </w:p>
    <w:p w14:paraId="4961F683" w14:textId="77777777" w:rsidR="00880A57" w:rsidRDefault="00880A57" w:rsidP="00880A57">
      <w:r>
        <w:t>Projekti/ugovori/troškovi koji će biti uključeni u plan OTSV-a biraju se na osnovu analize procjene rizika sljedećih faktora rizika:</w:t>
      </w:r>
    </w:p>
    <w:p w14:paraId="24D475D8" w14:textId="5A6528F2" w:rsidR="00880A57" w:rsidRDefault="00880A57" w:rsidP="00D15218">
      <w:pPr>
        <w:pStyle w:val="ListParagraph"/>
        <w:numPr>
          <w:ilvl w:val="0"/>
          <w:numId w:val="52"/>
        </w:numPr>
      </w:pPr>
      <w:r>
        <w:t>finansijski faktori: vrijednost ugovora (obično se biraju ugovori s najvećom vrijednošću); tip ugovora (zbog njihove složenosti, ugovori o radovima ili grantovima mogu biti odabrani); dovoljno napretka u implementaciji za sprovođenje provjera na licu mjesta (npr. izvršene isplate i prijavljeni troškovi);</w:t>
      </w:r>
    </w:p>
    <w:p w14:paraId="625D3D2E" w14:textId="3A93DD4E" w:rsidR="00880A57" w:rsidRDefault="00880A57" w:rsidP="00D15218">
      <w:pPr>
        <w:pStyle w:val="ListParagraph"/>
        <w:numPr>
          <w:ilvl w:val="0"/>
          <w:numId w:val="52"/>
        </w:numPr>
      </w:pPr>
      <w:r>
        <w:t xml:space="preserve">spoljni faktori: informacije o bilo kojem potencijalnom riziku u implementaciji ili nepravilnostima; informacije o specifičnim ugovorima, uključujući zaključke bilo kojih revizija; informacije o prethodnim provjerama </w:t>
      </w:r>
      <w:r w:rsidR="00EF6435">
        <w:t xml:space="preserve">na licu mjesta </w:t>
      </w:r>
      <w:r>
        <w:t>koje su sprovedene (obično kako bi se odabrali ugovori za koje OTSV još nije izvršen);</w:t>
      </w:r>
    </w:p>
    <w:p w14:paraId="2F9631C8" w14:textId="5C2967BB" w:rsidR="00880A57" w:rsidRDefault="00880A57" w:rsidP="00D15218">
      <w:pPr>
        <w:pStyle w:val="ListParagraph"/>
        <w:numPr>
          <w:ilvl w:val="0"/>
          <w:numId w:val="52"/>
        </w:numPr>
      </w:pPr>
      <w:r>
        <w:t xml:space="preserve">operativni faktori: broj ugovora kojima upravlja jedan menadžer ugovora u </w:t>
      </w:r>
      <w:r w:rsidR="00477A44">
        <w:t xml:space="preserve">Ugovornom </w:t>
      </w:r>
      <w:proofErr w:type="gramStart"/>
      <w:r w:rsidR="00477A44">
        <w:t>tijelu</w:t>
      </w:r>
      <w:r>
        <w:t>(</w:t>
      </w:r>
      <w:proofErr w:type="gramEnd"/>
      <w:r>
        <w:t>menadžer ugovora s većim brojem ugovora za istog korisnika, jer se povećava rizik od grešaka kod većeg broja ugovora); rokovi realizacije ugovora (obično kada ističe period implementacije).</w:t>
      </w:r>
    </w:p>
    <w:p w14:paraId="0CAE3CBC" w14:textId="77777777" w:rsidR="004F5EA5" w:rsidRPr="00B83578" w:rsidRDefault="004F5EA5" w:rsidP="004F5EA5">
      <w:pPr>
        <w:ind w:left="720"/>
        <w:contextualSpacing/>
      </w:pPr>
    </w:p>
    <w:p w14:paraId="548AC124" w14:textId="1A6145DE" w:rsidR="005D3178" w:rsidRPr="00B83578" w:rsidRDefault="00080A71" w:rsidP="00CE3066">
      <w:pPr>
        <w:pStyle w:val="Heading4"/>
      </w:pPr>
      <w:r w:rsidRPr="00080A71">
        <w:t xml:space="preserve">Uspostavljen sistem za sprječavanje, otkrivanje i ispravljanje nepravilnosti, kao i mjere i procedure za borbu protiv prevara                      </w:t>
      </w:r>
    </w:p>
    <w:p w14:paraId="77F7FA2D" w14:textId="6B289BD7" w:rsidR="00EF6435" w:rsidRDefault="00EF6435" w:rsidP="00EF6435">
      <w:r>
        <w:t>Crna Gora preduzima sve potrebne mjere za zaštitu finansijskih interesa EU. Procedure za upravljanje nepravilnostima sprovode sve vlasti i strukture tokom svih faza upravljanja nepravilnostima: prevencija nepravilnosti, otkrivanje nepravilnosti, postupci praćenja (npr. postupci utvrđivanja nepravilnosti), postupci po utvrđenim nepravilnostima (npr. povra</w:t>
      </w:r>
      <w:r w:rsidR="00080A71">
        <w:t>ćaji</w:t>
      </w:r>
      <w:r>
        <w:t xml:space="preserve">), izvještavanje o nepravilnostima i postupci praćenja po prijavljenim nepravilnostima.  </w:t>
      </w:r>
    </w:p>
    <w:p w14:paraId="549AE4CE" w14:textId="7A631D4C" w:rsidR="00EF6435" w:rsidRDefault="00EF6435" w:rsidP="00EF6435">
      <w:r>
        <w:t xml:space="preserve">Svi </w:t>
      </w:r>
      <w:r w:rsidR="00080A71">
        <w:t>službenici zaduženi</w:t>
      </w:r>
      <w:r>
        <w:t xml:space="preserve"> za nepravilnosti i njihovi zam</w:t>
      </w:r>
      <w:r w:rsidR="00080A71">
        <w:t>j</w:t>
      </w:r>
      <w:r>
        <w:t xml:space="preserve">enici su imenovani u svim </w:t>
      </w:r>
      <w:r w:rsidR="00080A71">
        <w:t>tijelima</w:t>
      </w:r>
      <w:r>
        <w:t xml:space="preserve"> koj</w:t>
      </w:r>
      <w:r w:rsidR="00080A71">
        <w:t>a</w:t>
      </w:r>
      <w:r>
        <w:t xml:space="preserve"> </w:t>
      </w:r>
      <w:r w:rsidR="00080A71">
        <w:t>su zadužena za implementaciju</w:t>
      </w:r>
      <w:r>
        <w:t xml:space="preserve"> sredstva EU kako bi se osigurala usklađena i koherentna institucionalna praksa u vezi sa izv</w:t>
      </w:r>
      <w:r w:rsidR="00080A71">
        <w:t>j</w:t>
      </w:r>
      <w:r>
        <w:t xml:space="preserve">eštavanjem o nepravilnostima. </w:t>
      </w:r>
      <w:r w:rsidR="00080A71">
        <w:t>Samostalno o</w:t>
      </w:r>
      <w:r>
        <w:t>deljenje za</w:t>
      </w:r>
      <w:r w:rsidR="00080A71">
        <w:t xml:space="preserve"> suzbijanje</w:t>
      </w:r>
      <w:r>
        <w:t xml:space="preserve"> nepravilnosti i prevara (AFCOS kancelarija) je osnovan</w:t>
      </w:r>
      <w:r w:rsidR="00080A71">
        <w:t>a</w:t>
      </w:r>
      <w:r>
        <w:t xml:space="preserve"> unutar Ministarstva finansija. Sve utvrđene nepravilnosti b</w:t>
      </w:r>
      <w:r w:rsidR="00080A71">
        <w:t>i</w:t>
      </w:r>
      <w:r>
        <w:t>l</w:t>
      </w:r>
      <w:r w:rsidR="00080A71">
        <w:t>j</w:t>
      </w:r>
      <w:r>
        <w:t>eže ovlašćen</w:t>
      </w:r>
      <w:r w:rsidR="0086543E">
        <w:t xml:space="preserve">a tijela </w:t>
      </w:r>
      <w:r>
        <w:t>u Sistem za upravljanje nepravilnostima (IMS) kojim upravlja Evropsk</w:t>
      </w:r>
      <w:r w:rsidR="00080A71">
        <w:t>a kancelarija</w:t>
      </w:r>
      <w:r>
        <w:t xml:space="preserve"> za borbu protiv prevara (OLAF). Takođe, usvojen je sistem zaštite uzbunjivača.</w:t>
      </w:r>
    </w:p>
    <w:p w14:paraId="3810E011" w14:textId="45AE27C9" w:rsidR="005D3178" w:rsidRPr="00B83578" w:rsidRDefault="00080A71" w:rsidP="00CE3066">
      <w:pPr>
        <w:pStyle w:val="Heading4"/>
      </w:pPr>
      <w:bookmarkStart w:id="172" w:name="_Hlk168493499"/>
      <w:r>
        <w:t xml:space="preserve">Uspostavljena procedura za nadzor </w:t>
      </w:r>
      <w:r w:rsidR="00CA6030">
        <w:t>rada i</w:t>
      </w:r>
      <w:r>
        <w:t xml:space="preserve"> učinka Posredničkih tijela i Godišnjih upravljačkaih deklaracija od strane IPA III upravljačkih tijela</w:t>
      </w:r>
    </w:p>
    <w:p w14:paraId="4C693725" w14:textId="447BB110" w:rsidR="00C86347" w:rsidRDefault="00C86347" w:rsidP="00C86347">
      <w:r>
        <w:t>Prema IPA III i u skladu sa propisanim procedurama, Uprav</w:t>
      </w:r>
      <w:r w:rsidR="00080A71">
        <w:t>ljačko tijelo</w:t>
      </w:r>
      <w:r>
        <w:t xml:space="preserve"> je odgovorn</w:t>
      </w:r>
      <w:r w:rsidR="00080A71">
        <w:t>o</w:t>
      </w:r>
      <w:r>
        <w:t xml:space="preserve"> za sveukupno upravljanje programima i nadzor rada </w:t>
      </w:r>
      <w:r w:rsidR="00080A71">
        <w:t>Posredničkih</w:t>
      </w:r>
      <w:r>
        <w:t xml:space="preserve"> tijela za upravljanje politikom i </w:t>
      </w:r>
      <w:r w:rsidR="00B102CC">
        <w:t>učinak</w:t>
      </w:r>
      <w:r>
        <w:t xml:space="preserve"> </w:t>
      </w:r>
      <w:r w:rsidR="00B102CC">
        <w:t>Posredničkih</w:t>
      </w:r>
      <w:r>
        <w:t xml:space="preserve"> tijela za finansijsko upravljanje. </w:t>
      </w:r>
      <w:r w:rsidR="00A067C3">
        <w:t>UPT</w:t>
      </w:r>
      <w:r>
        <w:t xml:space="preserve"> mora obezbijediti uvjerenje N</w:t>
      </w:r>
      <w:r w:rsidR="00B102CC">
        <w:t>AO-u</w:t>
      </w:r>
      <w:r>
        <w:t xml:space="preserve"> o efikasnom funkcionisanju sistema upravljanja i kontrole na nivou </w:t>
      </w:r>
      <w:r w:rsidR="00A067C3">
        <w:t>UPT</w:t>
      </w:r>
      <w:r>
        <w:t xml:space="preserve">, </w:t>
      </w:r>
      <w:r w:rsidR="003D7057">
        <w:t>PTFU</w:t>
      </w:r>
      <w:r w:rsidR="00B102CC">
        <w:t>-ova</w:t>
      </w:r>
      <w:r>
        <w:t xml:space="preserve"> i </w:t>
      </w:r>
      <w:r w:rsidR="003D7057">
        <w:t>PTUP</w:t>
      </w:r>
      <w:r w:rsidR="00B102CC">
        <w:t>-ova</w:t>
      </w:r>
      <w:r>
        <w:t xml:space="preserve"> izdavanjem godišnje deklaracije o upravljanju. Međutim, do sada je stečeno samo ograničeno iskustvo jer je implementacija IPA III još uvijek u ranoj fazi.</w:t>
      </w:r>
    </w:p>
    <w:p w14:paraId="5252AF1B" w14:textId="3F08953F" w:rsidR="00C86347" w:rsidRDefault="00C86347" w:rsidP="00C86347">
      <w:r>
        <w:t>Godišnju deklaraciju o upravljanju za svaki program provjerava Revizorsk</w:t>
      </w:r>
      <w:r w:rsidR="00B102CC">
        <w:t>o tijelo</w:t>
      </w:r>
      <w:r>
        <w:t xml:space="preserve"> koja treba da uporedi tvrdnje navedene u godišnjoj deklaraciji o upravljanju sa rezultatima svog revizionog rada, kako bi se uvjerila da nema razlika ili nesaglasnosti. Stoga se očekuje da su sve tvrdnje uključene u godišnje </w:t>
      </w:r>
      <w:r>
        <w:lastRenderedPageBreak/>
        <w:t>deklaracije o upravljanju za svaki godišnji ili višegodišnji program koji se sprovodi indirektnim upravljanjem od strane Crne Gore konvergentne i usklađene sa radom Revizorsk</w:t>
      </w:r>
      <w:r w:rsidR="00B102CC">
        <w:t>og tijela</w:t>
      </w:r>
      <w:r>
        <w:t xml:space="preserve">. Godišnja deklaracija o upravljanju treba da pruži dokaze o funkcionisanju sistema upravljanja i kontrole uspostavljenog za programe kojima se upravlja indirektno, čime se obezbjeđuju neophodne garancije u vezi sa legalnošću i regularnošću osnovnih transakcija, korišćenjem sredstava za predviđene namjene, kao i adekvatnošću, potpunošću i tačnošću informacija datih u godišnjim računima i godišnjim finansijskim </w:t>
      </w:r>
      <w:r w:rsidR="00671D09">
        <w:t>izvještaj</w:t>
      </w:r>
      <w:r>
        <w:t>ima ili izjavama.</w:t>
      </w:r>
    </w:p>
    <w:bookmarkEnd w:id="172"/>
    <w:p w14:paraId="2B709878" w14:textId="52181DC4" w:rsidR="005D3178" w:rsidRPr="00B83578" w:rsidRDefault="00B102CC" w:rsidP="00CE3066">
      <w:pPr>
        <w:pStyle w:val="Heading4"/>
      </w:pPr>
      <w:r>
        <w:t>Planiranje budžeta</w:t>
      </w:r>
    </w:p>
    <w:p w14:paraId="1996100F" w14:textId="1578D666" w:rsidR="005D3178" w:rsidRPr="00B83578" w:rsidRDefault="00C86347" w:rsidP="005D3178">
      <w:r w:rsidRPr="00C86347">
        <w:t xml:space="preserve">Budžet planira </w:t>
      </w:r>
      <w:r w:rsidR="00B102CC">
        <w:t>Posredničko</w:t>
      </w:r>
      <w:r w:rsidRPr="00C86347">
        <w:t xml:space="preserve"> tijelo za finansijsko upravljanje pod kontrolom </w:t>
      </w:r>
      <w:r w:rsidR="00B102CC">
        <w:t>Posredničkog tijela</w:t>
      </w:r>
      <w:r w:rsidRPr="00C86347">
        <w:t xml:space="preserve"> za upravljanje politik</w:t>
      </w:r>
      <w:r w:rsidR="00B102CC">
        <w:t>a</w:t>
      </w:r>
      <w:r w:rsidRPr="00C86347">
        <w:t>m</w:t>
      </w:r>
      <w:r w:rsidR="00B102CC">
        <w:t>a</w:t>
      </w:r>
      <w:r w:rsidRPr="00C86347">
        <w:t xml:space="preserve"> i Upra</w:t>
      </w:r>
      <w:r w:rsidR="00B102CC">
        <w:t>ljačkog tijela</w:t>
      </w:r>
      <w:r w:rsidRPr="00C86347">
        <w:t>.</w:t>
      </w:r>
    </w:p>
    <w:p w14:paraId="2CF2C879" w14:textId="5583019F" w:rsidR="005D3178" w:rsidRPr="00B83578" w:rsidRDefault="00B102CC" w:rsidP="00CE3066">
      <w:pPr>
        <w:pStyle w:val="Heading4"/>
      </w:pPr>
      <w:r>
        <w:t>Iskustvo</w:t>
      </w:r>
      <w:r w:rsidR="000270DD">
        <w:t>Tijela za</w:t>
      </w:r>
      <w:r>
        <w:t xml:space="preserve"> </w:t>
      </w:r>
      <w:r w:rsidR="000270DD">
        <w:t>r</w:t>
      </w:r>
      <w:r>
        <w:t>ačunovodstv</w:t>
      </w:r>
      <w:r w:rsidR="000270DD">
        <w:t>o</w:t>
      </w:r>
      <w:r>
        <w:t xml:space="preserve"> </w:t>
      </w:r>
      <w:r w:rsidR="005D3178" w:rsidRPr="00B83578">
        <w:t>(Na</w:t>
      </w:r>
      <w:r>
        <w:t>c</w:t>
      </w:r>
      <w:r w:rsidR="005D3178" w:rsidRPr="00B83578">
        <w:t>ional</w:t>
      </w:r>
      <w:r>
        <w:t>ni</w:t>
      </w:r>
      <w:r w:rsidR="005D3178" w:rsidRPr="00B83578">
        <w:t xml:space="preserve"> </w:t>
      </w:r>
      <w:r>
        <w:t>fo</w:t>
      </w:r>
      <w:r w:rsidR="005D3178" w:rsidRPr="00B83578">
        <w:t xml:space="preserve">nd) </w:t>
      </w:r>
    </w:p>
    <w:p w14:paraId="12AF186F" w14:textId="33A07578" w:rsidR="00C86347" w:rsidRDefault="00C86347" w:rsidP="00C86347">
      <w:r>
        <w:t xml:space="preserve">Nacionalni fond postoji od IPA I. Od decembra 2017. godine, Nacionalni fond je jedna od dvije jedinice unutar </w:t>
      </w:r>
      <w:r w:rsidR="005F0B3C">
        <w:t xml:space="preserve">NAO </w:t>
      </w:r>
      <w:r>
        <w:t>Direk</w:t>
      </w:r>
      <w:r w:rsidR="005F0B3C">
        <w:t>torata</w:t>
      </w:r>
      <w:r>
        <w:t xml:space="preserve"> i odgovoran je za </w:t>
      </w:r>
      <w:r w:rsidR="005F0B3C">
        <w:t xml:space="preserve">dužnosti i obaveze </w:t>
      </w:r>
      <w:r>
        <w:t>finansijsko</w:t>
      </w:r>
      <w:r w:rsidR="005F0B3C">
        <w:t>g</w:t>
      </w:r>
      <w:r>
        <w:t xml:space="preserve"> upravljanj</w:t>
      </w:r>
      <w:r w:rsidR="005F0B3C">
        <w:t xml:space="preserve">a </w:t>
      </w:r>
      <w:r>
        <w:t>u vezi sa Nacionalnim fondom/</w:t>
      </w:r>
      <w:r w:rsidR="000270DD">
        <w:t>Tijelom za r</w:t>
      </w:r>
      <w:r>
        <w:t>ačunovodstv</w:t>
      </w:r>
      <w:r w:rsidR="000270DD">
        <w:t>o</w:t>
      </w:r>
      <w:r>
        <w:t xml:space="preserve">. </w:t>
      </w:r>
      <w:r w:rsidR="00B102CC">
        <w:t>Stoga</w:t>
      </w:r>
      <w:r>
        <w:t>, postoj</w:t>
      </w:r>
      <w:r w:rsidR="00B102CC">
        <w:t>i</w:t>
      </w:r>
      <w:r>
        <w:t xml:space="preserve"> značajno iskustvo, koje će se primijeniti i dalje razvijati pod IPA III kako bi se osiguralo solidno finansijsko upravljanje za sve IPA programe koji se sprovode indirektnim upravljanjem. Trenutno, pod IPA III, U</w:t>
      </w:r>
      <w:r w:rsidR="00B102CC">
        <w:t>pravljačka tijela</w:t>
      </w:r>
      <w:r>
        <w:t xml:space="preserve">, </w:t>
      </w:r>
      <w:r w:rsidR="00F24E34">
        <w:t>Posrednička</w:t>
      </w:r>
      <w:r>
        <w:t xml:space="preserve"> tijela za finansijsko upravljanje i </w:t>
      </w:r>
      <w:r w:rsidR="000270DD">
        <w:t>Tijelo za računovodstvo</w:t>
      </w:r>
      <w:r>
        <w:t xml:space="preserve"> imaju pristup</w:t>
      </w:r>
      <w:r w:rsidR="00B102CC">
        <w:t>,</w:t>
      </w:r>
      <w:r>
        <w:t xml:space="preserve"> sa različitim nivoima dozvola</w:t>
      </w:r>
      <w:r w:rsidR="00B102CC">
        <w:t>,</w:t>
      </w:r>
      <w:r>
        <w:t xml:space="preserve"> finansijski</w:t>
      </w:r>
      <w:r w:rsidR="00B102CC">
        <w:t>m</w:t>
      </w:r>
      <w:r>
        <w:t xml:space="preserve"> informacija</w:t>
      </w:r>
      <w:r w:rsidR="00B102CC">
        <w:t>ma</w:t>
      </w:r>
      <w:r>
        <w:t xml:space="preserve"> koje su </w:t>
      </w:r>
      <w:r w:rsidR="00B102CC">
        <w:t>pohranjene</w:t>
      </w:r>
      <w:r>
        <w:t xml:space="preserve"> u IPA APP.</w:t>
      </w:r>
    </w:p>
    <w:p w14:paraId="6E9D9E2E" w14:textId="60B2A124" w:rsidR="005F0B3C" w:rsidRDefault="00C86347" w:rsidP="00C86347">
      <w:r>
        <w:t>Iskustvo Nacionalnog fonda/</w:t>
      </w:r>
      <w:r w:rsidR="000270DD">
        <w:t>Tijela za r</w:t>
      </w:r>
      <w:r>
        <w:t>ačunovodstv</w:t>
      </w:r>
      <w:r w:rsidR="000270DD">
        <w:t>o</w:t>
      </w:r>
      <w:r>
        <w:t xml:space="preserve"> obuhvata sljedeće oblasti:</w:t>
      </w:r>
    </w:p>
    <w:p w14:paraId="29945900" w14:textId="77777777" w:rsidR="005F0B3C" w:rsidRDefault="00C86347" w:rsidP="00D15218">
      <w:pPr>
        <w:pStyle w:val="ListParagraph"/>
        <w:numPr>
          <w:ilvl w:val="0"/>
          <w:numId w:val="60"/>
        </w:numPr>
      </w:pPr>
      <w:r>
        <w:t>Finansijsko upravljanje IPA programima pod indirektnim upravljanjem;</w:t>
      </w:r>
    </w:p>
    <w:p w14:paraId="6A86E4CD" w14:textId="4EC36363" w:rsidR="005F0B3C" w:rsidRDefault="00C86347" w:rsidP="00D15218">
      <w:pPr>
        <w:pStyle w:val="ListParagraph"/>
        <w:numPr>
          <w:ilvl w:val="0"/>
          <w:numId w:val="60"/>
        </w:numPr>
      </w:pPr>
      <w:r>
        <w:t>Zaht</w:t>
      </w:r>
      <w:r w:rsidR="00B102CC">
        <w:t>j</w:t>
      </w:r>
      <w:r>
        <w:t>ev za sredstva pod Programima podrške budžetu u skladu sa relevantnim Finansijskim ugovorima;</w:t>
      </w:r>
    </w:p>
    <w:p w14:paraId="1EA0707C" w14:textId="77777777" w:rsidR="005F0B3C" w:rsidRDefault="00C86347" w:rsidP="00D15218">
      <w:pPr>
        <w:pStyle w:val="ListParagraph"/>
        <w:numPr>
          <w:ilvl w:val="0"/>
          <w:numId w:val="60"/>
        </w:numPr>
      </w:pPr>
      <w:r>
        <w:t>Održavanje posebnih EUR bankovnih računa za IPA programe (Crna Gora koristi EUR kao svoju nacionalnu valutu);</w:t>
      </w:r>
    </w:p>
    <w:p w14:paraId="3E98DEC3" w14:textId="77777777" w:rsidR="005F0B3C" w:rsidRDefault="00C86347" w:rsidP="00D15218">
      <w:pPr>
        <w:pStyle w:val="ListParagraph"/>
        <w:numPr>
          <w:ilvl w:val="0"/>
          <w:numId w:val="60"/>
        </w:numPr>
      </w:pPr>
      <w:r>
        <w:t>Finansijsko predviđanje;</w:t>
      </w:r>
    </w:p>
    <w:p w14:paraId="1C845D6D" w14:textId="38C8A528" w:rsidR="005F0B3C" w:rsidRDefault="00C86347" w:rsidP="00D15218">
      <w:pPr>
        <w:pStyle w:val="ListParagraph"/>
        <w:numPr>
          <w:ilvl w:val="0"/>
          <w:numId w:val="60"/>
        </w:numPr>
      </w:pPr>
      <w:r>
        <w:t>Priprema i dostavljanje Zaht</w:t>
      </w:r>
      <w:r w:rsidR="00B102CC">
        <w:t>j</w:t>
      </w:r>
      <w:r>
        <w:t>eva za sredstva Komisiji;</w:t>
      </w:r>
    </w:p>
    <w:p w14:paraId="1ADE3CEF" w14:textId="7692099C" w:rsidR="005F0B3C" w:rsidRDefault="00C86347" w:rsidP="00D15218">
      <w:pPr>
        <w:pStyle w:val="ListParagraph"/>
        <w:numPr>
          <w:ilvl w:val="0"/>
          <w:numId w:val="60"/>
        </w:numPr>
      </w:pPr>
      <w:r>
        <w:t>Odobravanje i osiguravanje prenosa sredstava relevantnim IPA tijelima (</w:t>
      </w:r>
      <w:r w:rsidR="003D7057">
        <w:t>PTFU</w:t>
      </w:r>
      <w:r>
        <w:t>) za izvršavanje uplata izvođačima/korisnicima grantova;</w:t>
      </w:r>
    </w:p>
    <w:p w14:paraId="12EE19B5" w14:textId="42F4F2A5" w:rsidR="005F0B3C" w:rsidRDefault="00C86347" w:rsidP="00D15218">
      <w:pPr>
        <w:pStyle w:val="ListParagraph"/>
        <w:numPr>
          <w:ilvl w:val="0"/>
          <w:numId w:val="60"/>
        </w:numPr>
      </w:pPr>
      <w:r>
        <w:t xml:space="preserve">Priprema i dostavljanje relevantnih finansijskih </w:t>
      </w:r>
      <w:r w:rsidR="00671D09">
        <w:t>izvještaj</w:t>
      </w:r>
      <w:r>
        <w:t>a Komisiji;</w:t>
      </w:r>
    </w:p>
    <w:p w14:paraId="4D20F61B" w14:textId="77777777" w:rsidR="005F0B3C" w:rsidRDefault="00C86347" w:rsidP="00D15218">
      <w:pPr>
        <w:pStyle w:val="ListParagraph"/>
        <w:numPr>
          <w:ilvl w:val="0"/>
          <w:numId w:val="60"/>
        </w:numPr>
      </w:pPr>
      <w:r>
        <w:t>Upravljanje povratima od izvođača/korisnika grantova;</w:t>
      </w:r>
    </w:p>
    <w:p w14:paraId="235A6005" w14:textId="3064A74F" w:rsidR="005F0B3C" w:rsidRDefault="00C86347" w:rsidP="00D15218">
      <w:pPr>
        <w:pStyle w:val="ListParagraph"/>
        <w:numPr>
          <w:ilvl w:val="0"/>
          <w:numId w:val="60"/>
        </w:numPr>
      </w:pPr>
      <w:r>
        <w:t>Vraćanje sredstava u budžet Unije nakon naloga za povra</w:t>
      </w:r>
      <w:r w:rsidR="00B102CC">
        <w:t>čaj sredstava</w:t>
      </w:r>
      <w:r>
        <w:t xml:space="preserve"> od strane Komisije;</w:t>
      </w:r>
    </w:p>
    <w:p w14:paraId="1CFCFBEF" w14:textId="77777777" w:rsidR="005F0B3C" w:rsidRDefault="00C86347" w:rsidP="00D15218">
      <w:pPr>
        <w:pStyle w:val="ListParagraph"/>
        <w:numPr>
          <w:ilvl w:val="0"/>
          <w:numId w:val="60"/>
        </w:numPr>
      </w:pPr>
      <w:r>
        <w:t>Planiranje nacionalnog budžeta kako bi se osiguralo nesmetano planiranje nacionalnog sufinansiranja i premošćivanja finansija u slučaju kašnjenja prenosa sredstava od strane Komisije;</w:t>
      </w:r>
    </w:p>
    <w:p w14:paraId="56EBD869" w14:textId="77777777" w:rsidR="005F0B3C" w:rsidRDefault="00C86347" w:rsidP="00D15218">
      <w:pPr>
        <w:pStyle w:val="ListParagraph"/>
        <w:numPr>
          <w:ilvl w:val="0"/>
          <w:numId w:val="60"/>
        </w:numPr>
      </w:pPr>
      <w:r>
        <w:t>Održavanje sistema obračunskog računovodstva kako bi se omogućile tačne, potpune i pouzdane informacije na vrijeme;</w:t>
      </w:r>
    </w:p>
    <w:p w14:paraId="337B57A7" w14:textId="44AA5E2E" w:rsidR="00C86347" w:rsidRDefault="00C86347" w:rsidP="00D15218">
      <w:pPr>
        <w:pStyle w:val="ListParagraph"/>
        <w:numPr>
          <w:ilvl w:val="0"/>
          <w:numId w:val="60"/>
        </w:numPr>
      </w:pPr>
      <w:r>
        <w:t>Zatvaranje programa; itd.</w:t>
      </w:r>
    </w:p>
    <w:p w14:paraId="7FBD8C6C" w14:textId="7799139C" w:rsidR="004F5EA5" w:rsidRPr="00B83578" w:rsidRDefault="004F5EA5" w:rsidP="004F5EA5">
      <w:pPr>
        <w:ind w:left="720"/>
        <w:contextualSpacing/>
      </w:pPr>
    </w:p>
    <w:p w14:paraId="079ABFA3" w14:textId="0B9D6F3C" w:rsidR="005D3178" w:rsidRPr="00B83578" w:rsidRDefault="00B102CC" w:rsidP="00CE3066">
      <w:pPr>
        <w:pStyle w:val="Heading4"/>
      </w:pPr>
      <w:r>
        <w:t>Iskustvo Revizorskog tijela u sprovođenju sistemskih revizija, revizija operacija i revizija računa, kaoi priprema godišnjih revizorskih mišljenja i godišnjih izvještaja revizorske kontrole</w:t>
      </w:r>
    </w:p>
    <w:p w14:paraId="1D73B7EE" w14:textId="64B23175" w:rsidR="00C86347" w:rsidRDefault="00C86347" w:rsidP="00C86347">
      <w:r>
        <w:t>Revizorsk</w:t>
      </w:r>
      <w:r w:rsidR="000106A9">
        <w:t>o</w:t>
      </w:r>
      <w:r>
        <w:t xml:space="preserve"> </w:t>
      </w:r>
      <w:r w:rsidR="000106A9">
        <w:t>tijelo</w:t>
      </w:r>
      <w:r>
        <w:t xml:space="preserve"> (</w:t>
      </w:r>
      <w:r w:rsidR="00243189" w:rsidRPr="00243189">
        <w:t>RT</w:t>
      </w:r>
      <w:r>
        <w:t>) Crne Gore</w:t>
      </w:r>
      <w:r w:rsidR="000106A9" w:rsidRPr="00B83578">
        <w:rPr>
          <w:rFonts w:cs="Arial"/>
          <w:color w:val="000000" w:themeColor="text1"/>
          <w:vertAlign w:val="superscript"/>
        </w:rPr>
        <w:footnoteReference w:id="224"/>
      </w:r>
      <w:r>
        <w:t xml:space="preserve"> funkcionalno je nezavisn</w:t>
      </w:r>
      <w:r w:rsidR="000106A9">
        <w:t>o</w:t>
      </w:r>
      <w:r>
        <w:t xml:space="preserve"> od svih aktera u sistemu upravljanja i kontrole EU fondova i ima opsežno iskustvo u reviziji IPA programa. U okviru IPA I, </w:t>
      </w:r>
      <w:r w:rsidR="00243189" w:rsidRPr="00243189">
        <w:t>RT</w:t>
      </w:r>
      <w:r>
        <w:t xml:space="preserve"> je sprovodila sistemske revizije i revizije operacija pod Komponentama III i IV. Pod IPA II, </w:t>
      </w:r>
      <w:r w:rsidR="00243189" w:rsidRPr="00243189">
        <w:t>RT</w:t>
      </w:r>
      <w:r>
        <w:t xml:space="preserve"> provodi revizije i priprema Godišnje </w:t>
      </w:r>
      <w:r w:rsidR="00671D09">
        <w:t>izvještaj</w:t>
      </w:r>
      <w:r>
        <w:t xml:space="preserve">e o kontroli i Godišnja mišljenja o reviziji za sljedeće IPA II programe: Godišnje nacionalne akcione programe za godine 2014, 2016, 2017, 2018 i 2020; Sektorski operativni program za Crnu Goru za zapošljavanje, obrazovanje i socijalne politike za period 2015-2017; programe prekogranične saradnje sa Albanijom i Kosovom; kao i IPARD II program. Pod IPA III, dosad su potpisani finansijski </w:t>
      </w:r>
      <w:r w:rsidR="00153545">
        <w:t>sporazumi</w:t>
      </w:r>
      <w:r>
        <w:t xml:space="preserve"> za </w:t>
      </w:r>
      <w:r w:rsidR="00264D41">
        <w:t>g</w:t>
      </w:r>
      <w:r>
        <w:t>odišnj</w:t>
      </w:r>
      <w:r w:rsidR="00264D41">
        <w:t>e</w:t>
      </w:r>
      <w:r>
        <w:t xml:space="preserve"> akcion</w:t>
      </w:r>
      <w:r w:rsidR="00264D41">
        <w:t>e</w:t>
      </w:r>
      <w:r>
        <w:t xml:space="preserve"> program</w:t>
      </w:r>
      <w:r w:rsidR="00264D41">
        <w:t>e</w:t>
      </w:r>
      <w:r>
        <w:t xml:space="preserve"> 2021</w:t>
      </w:r>
      <w:r w:rsidR="00264D41">
        <w:t>, 2022, 2023 i</w:t>
      </w:r>
      <w:r>
        <w:t xml:space="preserve"> </w:t>
      </w:r>
      <w:r w:rsidR="00153545">
        <w:t xml:space="preserve">2024, sektorske operativne programme, </w:t>
      </w:r>
      <w:r>
        <w:t xml:space="preserve">programe prekogranične saradnje Crna Gora – Albanija i Crna Gora – Kosovo, kao i za IPARD III program. </w:t>
      </w:r>
      <w:r w:rsidR="00F66D3E">
        <w:t xml:space="preserve">Sistemske </w:t>
      </w:r>
      <w:r w:rsidR="00F66D3E">
        <w:lastRenderedPageBreak/>
        <w:t xml:space="preserve">revizije Revizorskog tijela su sprovedene tokom 2024. godine, te planirane za drugu polovinu 2025. </w:t>
      </w:r>
      <w:r>
        <w:t>Učestalost i obim sistemskih revizija odlučuje se na osnovu procjene rizika Revizorsk</w:t>
      </w:r>
      <w:r w:rsidR="000106A9">
        <w:t>og tijela</w:t>
      </w:r>
      <w:r>
        <w:t>.</w:t>
      </w:r>
    </w:p>
    <w:p w14:paraId="4821962C" w14:textId="6DF5643A" w:rsidR="000106A9" w:rsidRDefault="00C86347" w:rsidP="00C86347">
      <w:r>
        <w:t>Prilikom sprovođenja uzorkovanja u cilju revizije transakcija/operacija, Revizorsk</w:t>
      </w:r>
      <w:r w:rsidR="000106A9">
        <w:t>o tijelo</w:t>
      </w:r>
      <w:r>
        <w:t xml:space="preserve"> primjenjuje sljedeće metodologije uzorkovanja (u skladu sa revizionim priručnikom i smjernicama EK):</w:t>
      </w:r>
    </w:p>
    <w:p w14:paraId="514DF1F3" w14:textId="77777777" w:rsidR="000106A9" w:rsidRDefault="00C86347" w:rsidP="00D15218">
      <w:pPr>
        <w:pStyle w:val="ListParagraph"/>
        <w:numPr>
          <w:ilvl w:val="0"/>
          <w:numId w:val="53"/>
        </w:numPr>
      </w:pPr>
      <w:r>
        <w:t>statističko uzorkovanje - uzorkovanje po monetarnim jedinicama – standardni pristup;</w:t>
      </w:r>
    </w:p>
    <w:p w14:paraId="3DABB203" w14:textId="52B0258F" w:rsidR="00C86347" w:rsidRDefault="00C86347" w:rsidP="00C86347">
      <w:pPr>
        <w:pStyle w:val="ListParagraph"/>
        <w:numPr>
          <w:ilvl w:val="0"/>
          <w:numId w:val="53"/>
        </w:numPr>
      </w:pPr>
      <w:r>
        <w:t>ne-statističko uzorkovanje - male populacije (slučajni izbor, neslu</w:t>
      </w:r>
      <w:r w:rsidR="000106A9">
        <w:t>čajni</w:t>
      </w:r>
      <w:r>
        <w:t xml:space="preserve"> izbor), na osnovu profesionaln</w:t>
      </w:r>
      <w:r w:rsidR="000106A9">
        <w:t>og suda</w:t>
      </w:r>
      <w:r>
        <w:t xml:space="preserve"> Revizorsk</w:t>
      </w:r>
      <w:r w:rsidR="000106A9">
        <w:t>og tijela</w:t>
      </w:r>
      <w:r>
        <w:t>, u skladu sa međunarodno prihvaćenim revizionim standardima i u svim slučajevima kada je broj transakcija za obračunsku godinu mali i stoga nedovoljan za primjenu statističke metode.</w:t>
      </w:r>
    </w:p>
    <w:p w14:paraId="3F3FD023" w14:textId="4719977E" w:rsidR="00C86347" w:rsidRDefault="00C86347" w:rsidP="00C86347">
      <w:r>
        <w:t>Revizije računa sprovele su se za svaku obračunsku godinu. Revizorsk</w:t>
      </w:r>
      <w:r w:rsidR="000106A9">
        <w:t xml:space="preserve">o tijelo </w:t>
      </w:r>
      <w:r>
        <w:t xml:space="preserve">verifikuje potpunost, tačnost i istinitost iznosa deklarisanih u računima, uzimajući u obzir i rad na sistemskim revizijama sprovedenim na Nacionalnom fondu (verifikacija pouzdanosti računovodstvenog sistema Nacionalnog fonda (NF) i, na osnovu uzorka, tačnost troškova povučenih iznosa i iznosa koji su </w:t>
      </w:r>
      <w:r w:rsidR="000106A9">
        <w:t>po</w:t>
      </w:r>
      <w:r>
        <w:t>vraćeni zabilježenih u računovodstvenom sistemu NF kao i revizije operacija.</w:t>
      </w:r>
    </w:p>
    <w:p w14:paraId="5B81A181" w14:textId="61EEF6D2" w:rsidR="005D3178" w:rsidRPr="00B83578" w:rsidRDefault="000323BD" w:rsidP="00CE3066">
      <w:pPr>
        <w:pStyle w:val="Heading4"/>
      </w:pPr>
      <w:r>
        <w:t xml:space="preserve">Organizovanje finansijskog upravljanja i isplata IPA sredstava od strane </w:t>
      </w:r>
      <w:r w:rsidR="000270DD">
        <w:t>TIjela za računovodstvo</w:t>
      </w:r>
      <w:r>
        <w:t xml:space="preserve"> i </w:t>
      </w:r>
      <w:r w:rsidR="00477A44" w:rsidRPr="00477A44">
        <w:t>Ugovornih tijela</w:t>
      </w:r>
      <w:r>
        <w:t>/Posredničkih tijela za finansijsko upravljanje</w:t>
      </w:r>
    </w:p>
    <w:p w14:paraId="1F0D2A32" w14:textId="36C768A7" w:rsidR="00C86347" w:rsidRDefault="00C86347" w:rsidP="005D3178">
      <w:r w:rsidRPr="00C86347">
        <w:t xml:space="preserve">Sistem plaćanja za upravljanje IPA </w:t>
      </w:r>
      <w:r w:rsidR="000323BD">
        <w:t>sredstvima</w:t>
      </w:r>
      <w:r w:rsidRPr="00C86347">
        <w:t xml:space="preserve"> u Crnoj Gori je strukturiran na način da se za svaki program/finansijski </w:t>
      </w:r>
      <w:r w:rsidR="000106A9">
        <w:t>sporazum</w:t>
      </w:r>
      <w:r w:rsidRPr="00C86347">
        <w:t>/budžetsku stavku upravljanu indirektnim upravljanjem otvaraju posebni bankovni računi. IPA računi</w:t>
      </w:r>
      <w:r w:rsidR="000106A9">
        <w:t>ma se</w:t>
      </w:r>
      <w:r w:rsidRPr="00C86347">
        <w:t xml:space="preserve"> upravlja kroz Strukturu upravljanja, </w:t>
      </w:r>
      <w:proofErr w:type="gramStart"/>
      <w:r w:rsidRPr="00C86347">
        <w:t>a</w:t>
      </w:r>
      <w:proofErr w:type="gramEnd"/>
      <w:r w:rsidRPr="00C86347">
        <w:t xml:space="preserve"> EU sredstva su na njima</w:t>
      </w:r>
      <w:r w:rsidR="000106A9">
        <w:t xml:space="preserve"> dostupna</w:t>
      </w:r>
      <w:r w:rsidRPr="00C86347">
        <w:t>. Svi MF-NF IPA računi funkcionišu na principu dvostrukog potpisa – dva potpisa na svakom dokumentu koji se odnosi na transakcije vezane za MF-NF IPA račune.</w:t>
      </w:r>
    </w:p>
    <w:p w14:paraId="74CC769C" w14:textId="709F68C2" w:rsidR="00C86347" w:rsidRDefault="00C86347" w:rsidP="00C86347">
      <w:r>
        <w:t xml:space="preserve">U skladu sa odredbama FWA/FFPA o funkcijama i odgovornostima finansijskog upravljanja i razdvajanju dužnosti između relevantnih IPA jedinica, primarna odgovornost </w:t>
      </w:r>
      <w:r w:rsidR="000106A9">
        <w:t>Posredničkog</w:t>
      </w:r>
      <w:r>
        <w:t xml:space="preserve"> tijela za finansijsko upravljanje (</w:t>
      </w:r>
      <w:r w:rsidR="003D7057">
        <w:t>PTFU</w:t>
      </w:r>
      <w:r>
        <w:t xml:space="preserve">) odnosi se na implementaciju ugovora pod indirektnim upravljanjem, uključujući javne nabavke, ugovaranje, plaćanja i izvršenje, u skladu sa principom dobrog finansijskog upravljanja i osiguranjem legalnosti i regularnosti nastalih troškova. </w:t>
      </w:r>
      <w:r w:rsidR="00202984">
        <w:t>Upravljačka tijela</w:t>
      </w:r>
      <w:r>
        <w:t>/</w:t>
      </w:r>
      <w:r w:rsidR="003D7057">
        <w:t>PTFU</w:t>
      </w:r>
      <w:r>
        <w:t xml:space="preserve"> su odgovorn</w:t>
      </w:r>
      <w:r w:rsidR="00202984">
        <w:t>a</w:t>
      </w:r>
      <w:r>
        <w:t xml:space="preserve"> za plaćanja izvođačima/korisnicima grantova za ukupan iznos, uključujući sufinansiranje EU i nacionalno sufinansiranje.</w:t>
      </w:r>
      <w:r w:rsidR="000106A9">
        <w:t xml:space="preserve"> </w:t>
      </w:r>
      <w:r w:rsidR="00AF5AA9">
        <w:t>UGT</w:t>
      </w:r>
      <w:r>
        <w:t>/</w:t>
      </w:r>
      <w:r w:rsidR="003D7057">
        <w:t>PTFU</w:t>
      </w:r>
      <w:r>
        <w:t xml:space="preserve"> planiraju nacionalno sufinansiranje unutar nacionalnog budžeta i ovaj dio finansiranja je dostupan kroz relevantne programe </w:t>
      </w:r>
      <w:r w:rsidR="003D7057">
        <w:t>PTFU</w:t>
      </w:r>
      <w:r>
        <w:t xml:space="preserve">-a. S druge strane, </w:t>
      </w:r>
      <w:r w:rsidR="000270DD">
        <w:t>Tijelo za računovodstvo</w:t>
      </w:r>
      <w:r>
        <w:t xml:space="preserve"> je odgovor</w:t>
      </w:r>
      <w:r w:rsidR="00202984">
        <w:t>no</w:t>
      </w:r>
      <w:r>
        <w:t xml:space="preserve"> za osiguranje doprinosa EU. U ovom kontekstu, svaki put kada se izvrši plaćanje izvođaču/korisniku granta, EU ud</w:t>
      </w:r>
      <w:r w:rsidR="00202984">
        <w:t>i</w:t>
      </w:r>
      <w:r>
        <w:t xml:space="preserve">o sredstava se prenosi sa odgovarajućeg IPA računa u državni budžet kako bi se omogućila uplata od strane </w:t>
      </w:r>
      <w:r w:rsidR="003D7057">
        <w:t>PTFU</w:t>
      </w:r>
      <w:r>
        <w:t>-a. Detaljne procedure, uključujući korake, rokove i odgovorne strane, od prijema fakture/zaht</w:t>
      </w:r>
      <w:r w:rsidR="00202984">
        <w:t>j</w:t>
      </w:r>
      <w:r>
        <w:t>eva za plaćanje do izvršenja plaćanja, propisane su u Priručniku</w:t>
      </w:r>
      <w:r w:rsidR="00374EDF">
        <w:t xml:space="preserve"> o</w:t>
      </w:r>
      <w:r>
        <w:t xml:space="preserve"> procedura</w:t>
      </w:r>
      <w:r w:rsidR="00374EDF">
        <w:t>ma</w:t>
      </w:r>
      <w:r>
        <w:t xml:space="preserve">, a ovaj proces se prati uz pomoć detaljnih kontrolnih lista za svaku vrstu plaćanja i drugih pratećih dokumenata koje treba da čuva i </w:t>
      </w:r>
      <w:r w:rsidR="003D7057">
        <w:t>PTFU</w:t>
      </w:r>
      <w:r>
        <w:t xml:space="preserve"> i </w:t>
      </w:r>
      <w:r w:rsidR="000270DD">
        <w:t>Tijelo za računovodstvo</w:t>
      </w:r>
      <w:r>
        <w:t>. Na taj način, obezb</w:t>
      </w:r>
      <w:r w:rsidR="00202984">
        <w:t>j</w:t>
      </w:r>
      <w:r>
        <w:t xml:space="preserve">eđuje se detaljan </w:t>
      </w:r>
      <w:r w:rsidR="000323BD">
        <w:t xml:space="preserve">revizorski </w:t>
      </w:r>
      <w:r>
        <w:t>trag finansijskih transakcija.</w:t>
      </w:r>
    </w:p>
    <w:p w14:paraId="2626F8FF" w14:textId="0CF4C580" w:rsidR="005D3178" w:rsidRPr="00B83578" w:rsidRDefault="000323BD" w:rsidP="00CE3066">
      <w:pPr>
        <w:pStyle w:val="Heading4"/>
      </w:pPr>
      <w:bookmarkStart w:id="173" w:name="_Hlk168988872"/>
      <w:r>
        <w:t xml:space="preserve">Nalazi revizora EK o sistemu upravljanja i kontrole pod IPA </w:t>
      </w:r>
      <w:proofErr w:type="gramStart"/>
      <w:r>
        <w:t>III</w:t>
      </w:r>
      <w:r w:rsidR="005D3178" w:rsidRPr="00B83578">
        <w:t>(</w:t>
      </w:r>
      <w:proofErr w:type="gramEnd"/>
      <w:r w:rsidR="005D3178" w:rsidRPr="00B83578">
        <w:t xml:space="preserve">AAP 2021, </w:t>
      </w:r>
      <w:r w:rsidR="00D858E0">
        <w:t>PGS</w:t>
      </w:r>
      <w:r w:rsidR="005D3178" w:rsidRPr="00B83578">
        <w:t xml:space="preserve"> MNE-AL 2021-2027 </w:t>
      </w:r>
      <w:r>
        <w:t>i</w:t>
      </w:r>
      <w:r w:rsidR="005D3178" w:rsidRPr="00B83578">
        <w:t xml:space="preserve"> </w:t>
      </w:r>
      <w:r w:rsidR="00D858E0">
        <w:t>PGS</w:t>
      </w:r>
      <w:r w:rsidR="005D3178" w:rsidRPr="00B83578">
        <w:t xml:space="preserve"> MNE-KOS 2021-2027) </w:t>
      </w:r>
    </w:p>
    <w:bookmarkEnd w:id="173"/>
    <w:p w14:paraId="049664E5" w14:textId="4F2D72A0" w:rsidR="0003774F" w:rsidRDefault="0003774F" w:rsidP="0003774F">
      <w:r>
        <w:t>Prema posl</w:t>
      </w:r>
      <w:r w:rsidR="00202984">
        <w:t>j</w:t>
      </w:r>
      <w:r>
        <w:t>ednjem relevantnom praćenju otvorenih nalaza iz završnog izv</w:t>
      </w:r>
      <w:r w:rsidR="00202984">
        <w:t>j</w:t>
      </w:r>
      <w:r>
        <w:t>eštaja revizije vezanog za pregled zaht</w:t>
      </w:r>
      <w:r w:rsidR="00202984">
        <w:t>j</w:t>
      </w:r>
      <w:r>
        <w:t>eva Crne Gore za pov</w:t>
      </w:r>
      <w:r w:rsidR="00202984">
        <w:t>j</w:t>
      </w:r>
      <w:r>
        <w:t xml:space="preserve">eravanje zadataka implementacije budžeta u okviru operativnih programa IPA III - </w:t>
      </w:r>
      <w:proofErr w:type="gramStart"/>
      <w:r>
        <w:t>Ares(</w:t>
      </w:r>
      <w:proofErr w:type="gramEnd"/>
      <w:r>
        <w:t>2023)7742407 od 14.11.2023. godine – pr</w:t>
      </w:r>
      <w:r w:rsidR="00D6482C">
        <w:t>ovjera</w:t>
      </w:r>
      <w:r>
        <w:t xml:space="preserve"> u maju 2024. godine, koje se odnosi na Godišnji akcioni program za Crnu Goru za 2021, programe prekogranične saradnje Crna Gora-Kosovo 2021-2027 i Crna Gora-Albanija 2021-2027, u vezi sa sistemom upravljanja i kontrole, glavni nalazi obuhvataju pitanja vezana za ljudske resurse i IT </w:t>
      </w:r>
      <w:r w:rsidR="00D6482C">
        <w:t>bezbjednost</w:t>
      </w:r>
      <w:r>
        <w:t xml:space="preserve">, posebno usklađenost nacionalnih IT </w:t>
      </w:r>
      <w:r w:rsidR="00D6482C">
        <w:t>bezbjednosnih</w:t>
      </w:r>
      <w:r>
        <w:t xml:space="preserve"> procedura sa ISO 27002 standardom. Nakon r</w:t>
      </w:r>
      <w:r w:rsidR="00D6482C">
        <w:t>j</w:t>
      </w:r>
      <w:r>
        <w:t xml:space="preserve">ešavanja svih nalaza </w:t>
      </w:r>
      <w:r w:rsidR="00A80895">
        <w:t>implementacijo</w:t>
      </w:r>
      <w:r>
        <w:t xml:space="preserve">m odgovarajućih korektivnih </w:t>
      </w:r>
      <w:r w:rsidR="00671D09">
        <w:t>mjera</w:t>
      </w:r>
      <w:r>
        <w:t>, Komisija je pov</w:t>
      </w:r>
      <w:r w:rsidR="00D6482C">
        <w:t>j</w:t>
      </w:r>
      <w:r>
        <w:t>erila crnogorskim vlastima izvršenje budžetskih zadataka u okviru tri pomenuta programa.</w:t>
      </w:r>
    </w:p>
    <w:p w14:paraId="4E3ED5B9" w14:textId="4EE0E30C" w:rsidR="005D3178" w:rsidRPr="00B83578" w:rsidRDefault="00206BD1" w:rsidP="00CE3066">
      <w:pPr>
        <w:pStyle w:val="Heading3"/>
      </w:pPr>
      <w:bookmarkStart w:id="174" w:name="_Toc201700416"/>
      <w:r>
        <w:lastRenderedPageBreak/>
        <w:t>Finansijsko upravljanje i javna interna finansijska kontrola</w:t>
      </w:r>
      <w:bookmarkEnd w:id="174"/>
    </w:p>
    <w:p w14:paraId="5B99F265" w14:textId="6DC6227A" w:rsidR="005D3178" w:rsidRPr="00B83578" w:rsidRDefault="000323BD" w:rsidP="00CE3066">
      <w:pPr>
        <w:pStyle w:val="Heading4"/>
      </w:pPr>
      <w:r>
        <w:t>Iskustvo u pripremanju Zahtjeva za sredstva Evropskoj komisiji</w:t>
      </w:r>
    </w:p>
    <w:p w14:paraId="34C626E5" w14:textId="062D72D4" w:rsidR="000106A9" w:rsidRDefault="000106A9" w:rsidP="000106A9">
      <w:r>
        <w:t>Prema FWA/FFPA, NAO je odgovoran za pripremu i dostavljanje Zaht</w:t>
      </w:r>
      <w:r w:rsidR="00D6482C">
        <w:t>j</w:t>
      </w:r>
      <w:r>
        <w:t>eva za sredstva (</w:t>
      </w:r>
      <w:r w:rsidR="00C17022">
        <w:t>ZzS</w:t>
      </w:r>
      <w:r>
        <w:t>) Evropskoj komisiji. Tako, NAO/</w:t>
      </w:r>
      <w:r w:rsidR="00D6482C">
        <w:t>Upravjačka struktura</w:t>
      </w:r>
      <w:r>
        <w:t xml:space="preserve"> je odgovorna za pravilno planiranje/prognoziranje i pravovremeno dostavljanje </w:t>
      </w:r>
      <w:r w:rsidR="00C17022">
        <w:t>ZzS</w:t>
      </w:r>
      <w:r>
        <w:t>-a Evropskoj komisiji kako bi se obezb</w:t>
      </w:r>
      <w:r w:rsidR="00D6482C">
        <w:t>ij</w:t>
      </w:r>
      <w:r>
        <w:t>edile neprekidne uplate izvođačima/korisnicima grantova i izb</w:t>
      </w:r>
      <w:r w:rsidR="00D6482C">
        <w:t>j</w:t>
      </w:r>
      <w:r>
        <w:t>eg</w:t>
      </w:r>
      <w:r w:rsidR="00D6482C">
        <w:t>ao</w:t>
      </w:r>
      <w:r>
        <w:t xml:space="preserve"> gubitak sredstava usl</w:t>
      </w:r>
      <w:r w:rsidR="00D6482C">
        <w:t>j</w:t>
      </w:r>
      <w:r>
        <w:t>ed približavanja rokova za plaćanje (u slučaju godišnjih akcionih programa) ili automatskog ukidanja (u slučaju višegodišnjih akcionih programa).</w:t>
      </w:r>
    </w:p>
    <w:p w14:paraId="122C7BBB" w14:textId="0DBB1640" w:rsidR="000106A9" w:rsidRDefault="000106A9" w:rsidP="000106A9">
      <w:r>
        <w:t xml:space="preserve">Dva puta godišnje (u januaru i julu) </w:t>
      </w:r>
      <w:r w:rsidR="00D6482C">
        <w:t>Upravljačka struktura</w:t>
      </w:r>
      <w:r>
        <w:t xml:space="preserve"> priprema finansijske prognoze i projekcije v</w:t>
      </w:r>
      <w:r w:rsidR="00D6482C">
        <w:t>j</w:t>
      </w:r>
      <w:r>
        <w:t>erovatnih zaht</w:t>
      </w:r>
      <w:r w:rsidR="00D6482C">
        <w:t>j</w:t>
      </w:r>
      <w:r>
        <w:t>eva za plaćanje, koje uključuju prognoze dostavljanja Zaht</w:t>
      </w:r>
      <w:r w:rsidR="00D6482C">
        <w:t>j</w:t>
      </w:r>
      <w:r>
        <w:t>eva za sredstva (</w:t>
      </w:r>
      <w:r w:rsidR="00C17022">
        <w:t>ZzS</w:t>
      </w:r>
      <w:r>
        <w:t>) Evropskoj komisiji. Međutim, treba napomenuti da se dostavljanje zaht</w:t>
      </w:r>
      <w:r w:rsidR="00D6482C">
        <w:t>j</w:t>
      </w:r>
      <w:r>
        <w:t>eva za sredstva za sve IPA II programe, osim za IPARD II</w:t>
      </w:r>
      <w:r w:rsidR="00D6482C" w:rsidRPr="00B83578">
        <w:rPr>
          <w:rFonts w:cs="Arial"/>
          <w:color w:val="000000" w:themeColor="text1"/>
          <w:vertAlign w:val="superscript"/>
        </w:rPr>
        <w:footnoteReference w:id="225"/>
      </w:r>
      <w:r>
        <w:t>, između ostalog, podvrgava analizi likvidnosti i finansijskoj prognozi. Kao rezultat toga, od IPA I, stečeno je o</w:t>
      </w:r>
      <w:r w:rsidR="00D6482C">
        <w:t>p</w:t>
      </w:r>
      <w:r>
        <w:t>sežno iskustvo u pripremi i dostavljanju zaht</w:t>
      </w:r>
      <w:r w:rsidR="00D6482C">
        <w:t>j</w:t>
      </w:r>
      <w:r>
        <w:t>eva za plaćanje. Pod IPA II, NAO/</w:t>
      </w:r>
      <w:r w:rsidR="00D6482C">
        <w:t>Upravljačka struktura</w:t>
      </w:r>
      <w:r>
        <w:t xml:space="preserve"> pripremila je i dostavila 98 Zaht</w:t>
      </w:r>
      <w:r w:rsidR="00D6482C">
        <w:t>j</w:t>
      </w:r>
      <w:r>
        <w:t xml:space="preserve">eva za sredstva </w:t>
      </w:r>
      <w:r w:rsidR="00CD0020">
        <w:t>Delegaciji Evropske Unije</w:t>
      </w:r>
      <w:r>
        <w:t>/E</w:t>
      </w:r>
      <w:r w:rsidR="00CD0020">
        <w:t>K</w:t>
      </w:r>
      <w:r>
        <w:t>. Što se tiče IPA II programa koji se upravljaju indirektnim upravljanjem, u pros</w:t>
      </w:r>
      <w:r w:rsidR="00D6482C">
        <w:t>j</w:t>
      </w:r>
      <w:r>
        <w:t xml:space="preserve">eku se dostavlja 12 </w:t>
      </w:r>
      <w:r w:rsidR="00C17022">
        <w:t>ZzS</w:t>
      </w:r>
      <w:r>
        <w:t>-a po kalendarskoj godini.</w:t>
      </w:r>
      <w:r w:rsidR="00D6482C">
        <w:t xml:space="preserve"> </w:t>
      </w:r>
      <w:r>
        <w:t>Treba napomenuti da Crna Gora upravlja</w:t>
      </w:r>
      <w:r w:rsidR="00D6482C">
        <w:t xml:space="preserve"> sa</w:t>
      </w:r>
      <w:r>
        <w:t xml:space="preserve"> 10 IPA programa (7 godišnjih akcionih programa, 1 višegodišnjim operativnim programom, 2 programa prekogranične saradnje - za koje se ugovori potpisuju godišnje - i 1 IPARD program). Pros</w:t>
      </w:r>
      <w:r w:rsidR="00D6482C">
        <w:t>j</w:t>
      </w:r>
      <w:r>
        <w:t xml:space="preserve">ečna stopa suspenzije iznosi oko 20% od ukupnog broja dostavljenih </w:t>
      </w:r>
      <w:r w:rsidR="00C17022">
        <w:t>ZzS</w:t>
      </w:r>
      <w:r>
        <w:t xml:space="preserve">-a, većinom zbog tehničkih problema, kao što su odsustvo potpisanog sporazuma o </w:t>
      </w:r>
      <w:r w:rsidR="00D6482C">
        <w:t>implementaciji</w:t>
      </w:r>
      <w:r>
        <w:t>/operativno</w:t>
      </w:r>
      <w:r w:rsidR="00D6482C">
        <w:t>g</w:t>
      </w:r>
      <w:r>
        <w:t xml:space="preserve"> sporazum</w:t>
      </w:r>
      <w:r w:rsidR="00D6482C">
        <w:t>a</w:t>
      </w:r>
      <w:r>
        <w:t xml:space="preserve">, odsustvo originalnog obrasca za finansijsku identifikaciju i/ili bankovnog mandata, neusaglašenost između podataka dostavljenih u </w:t>
      </w:r>
      <w:r w:rsidR="00C17022">
        <w:t>ZzS</w:t>
      </w:r>
      <w:r>
        <w:t>-u i podataka un</w:t>
      </w:r>
      <w:r w:rsidR="00D6482C">
        <w:t>ij</w:t>
      </w:r>
      <w:r>
        <w:t>etih u IPA APP sistem</w:t>
      </w:r>
      <w:r w:rsidR="00D6482C" w:rsidRPr="00B83578">
        <w:rPr>
          <w:rFonts w:cs="Arial"/>
          <w:color w:val="000000" w:themeColor="text1"/>
          <w:vertAlign w:val="superscript"/>
        </w:rPr>
        <w:footnoteReference w:id="226"/>
      </w:r>
      <w:r>
        <w:t>, itd.</w:t>
      </w:r>
    </w:p>
    <w:p w14:paraId="542D7B5F" w14:textId="489C572E" w:rsidR="005D3178" w:rsidRPr="00B83578" w:rsidRDefault="000323BD" w:rsidP="00CE3066">
      <w:pPr>
        <w:pStyle w:val="Heading4"/>
      </w:pPr>
      <w:r>
        <w:t>Iskustvo sa finansiranjem koje nije povezano sa troškovima</w:t>
      </w:r>
      <w:r w:rsidR="005D3178" w:rsidRPr="00B83578">
        <w:t xml:space="preserve"> </w:t>
      </w:r>
    </w:p>
    <w:p w14:paraId="5FD29EF0" w14:textId="58FECBC4" w:rsidR="00DA0847" w:rsidRDefault="00DA0847" w:rsidP="005D3178">
      <w:r w:rsidRPr="00DA0847">
        <w:t>Crna Gora je stekla iskustvo u upravljanju programima podrške budžetu po sektorima koji su orijentisani na rezultate i gdje su isplate Komisije uslovljene postizanjem određenih ciljeva. U okviru IPA II finansijske perspektive, realizovana su tri programa podrške budžetu po sektorima u sljedećim oblastima: integrisano upravljanje granicama, reforme javne uprave i upravljanje javnim finansijama, kao i podrška u borbi protiv krize izazvane COVID-19. Od dostupnih 75 miliona EUR za podršku budžetu, oko 91% je iskorišćeno, što predstavlja zadovoljavajući nivo rezultata. Na osnovu definisanih rezultata/indikatora, akcione planove sastavljaju relevantna ministarstva, koja se dalje sprovode i prate kako bi se postigli definisani ciljevi i izv</w:t>
      </w:r>
      <w:r>
        <w:t>ij</w:t>
      </w:r>
      <w:r w:rsidRPr="00DA0847">
        <w:t>estilo o ispunjavanju ciljeva.</w:t>
      </w:r>
    </w:p>
    <w:p w14:paraId="6D79F42B" w14:textId="5D0FB09A" w:rsidR="005D3178" w:rsidRPr="00B83578" w:rsidRDefault="000323BD" w:rsidP="00CE3066">
      <w:pPr>
        <w:pStyle w:val="Heading4"/>
      </w:pPr>
      <w:r>
        <w:t xml:space="preserve">Iskustvo u pripremanju metodologija za doprinose Unije zasnovane na troškovnim jedinicama, paušalnim iznosima i fiksnim stopama. </w:t>
      </w:r>
    </w:p>
    <w:p w14:paraId="7A991A04" w14:textId="6D5113DA" w:rsidR="005D3178" w:rsidRPr="00B83578" w:rsidRDefault="00477A44" w:rsidP="005D3178">
      <w:r>
        <w:t>Ugovorna tijela</w:t>
      </w:r>
      <w:r w:rsidR="005D3178" w:rsidRPr="00B83578">
        <w:t>/</w:t>
      </w:r>
      <w:r w:rsidR="003D7057">
        <w:t>PTFU</w:t>
      </w:r>
      <w:r w:rsidR="00EF0274">
        <w:t>-ovi</w:t>
      </w:r>
      <w:r w:rsidR="005D3178" w:rsidRPr="00B83578">
        <w:t xml:space="preserve"> (</w:t>
      </w:r>
      <w:r w:rsidR="00DA0847">
        <w:t>Uprava za kapitalne projekte i</w:t>
      </w:r>
      <w:r w:rsidR="005D3178" w:rsidRPr="00B83578">
        <w:t xml:space="preserve"> CFCU) </w:t>
      </w:r>
      <w:r w:rsidR="00DA0847">
        <w:t xml:space="preserve">nemaju iskustvo u određivanju metodologija za doprinose Unije zasnovane na troškovima, paušalnim iznosima i fiksnim ratama. </w:t>
      </w:r>
    </w:p>
    <w:p w14:paraId="5E880A28" w14:textId="2940F762" w:rsidR="005D3178" w:rsidRPr="00B83578" w:rsidRDefault="000323BD" w:rsidP="00CE3066">
      <w:pPr>
        <w:pStyle w:val="Heading4"/>
      </w:pPr>
      <w:r>
        <w:t>Interna revizija EU sred</w:t>
      </w:r>
      <w:r w:rsidR="00EF0274">
        <w:t>stava u Crnoj Gori</w:t>
      </w:r>
    </w:p>
    <w:p w14:paraId="422BBAEB" w14:textId="613121BA" w:rsidR="00DA0847" w:rsidRDefault="00DA0847" w:rsidP="005D3178">
      <w:r w:rsidRPr="00DA0847">
        <w:t>Interna revizija u javnom sektoru Crne Gore regulisana je Zakonom o upravljanju i internim kontrolama (Službeni g</w:t>
      </w:r>
      <w:r>
        <w:t>list</w:t>
      </w:r>
      <w:r w:rsidRPr="00DA0847">
        <w:t xml:space="preserve"> Crne Gore br. 075/18 od 23.11.2018. godine). Prema Uredbi o uspostavljanju interne revizije u javnom sektoru (Službeni </w:t>
      </w:r>
      <w:r>
        <w:t>list</w:t>
      </w:r>
      <w:r w:rsidRPr="00DA0847">
        <w:t xml:space="preserve"> Crne Gore br. 134/22 od 07.12.2022. godine), Uredbi o detaljnijoj organizaciji indirektnog upravljanja za </w:t>
      </w:r>
      <w:r w:rsidR="00A80895">
        <w:t>implementaciju</w:t>
      </w:r>
      <w:r w:rsidRPr="00DA0847">
        <w:t xml:space="preserve"> finansijske </w:t>
      </w:r>
      <w:r w:rsidR="00477A44">
        <w:t>podrške</w:t>
      </w:r>
      <w:r w:rsidRPr="00DA0847">
        <w:t xml:space="preserve"> Unije u okviru Instrumenta za pretpristupnu </w:t>
      </w:r>
      <w:r w:rsidR="00477A44">
        <w:t>podršku</w:t>
      </w:r>
      <w:r w:rsidRPr="00DA0847">
        <w:t xml:space="preserve"> (IPA III) (Službeni </w:t>
      </w:r>
      <w:r>
        <w:t>list</w:t>
      </w:r>
      <w:r w:rsidRPr="00DA0847">
        <w:t xml:space="preserve"> Crne Gore br. 77/23 od 28.07.2023. godine) i Pravilniku o unutrašnjoj organizaciji i sistematizaciji Ministarstva finansija (najnovija verzija od decembra 2023. godine), interna revizija sredstava EU je centralizovana i sprovodi je Jedinica unutrašnje revizije (</w:t>
      </w:r>
      <w:r>
        <w:t>IAU</w:t>
      </w:r>
      <w:r w:rsidRPr="00DA0847">
        <w:t>) za EU</w:t>
      </w:r>
      <w:r>
        <w:t xml:space="preserve"> fondove</w:t>
      </w:r>
      <w:r w:rsidRPr="00DA0847">
        <w:t xml:space="preserve">, koja je odeljenje unutar Ministarstva finansija. </w:t>
      </w:r>
      <w:r>
        <w:t>IAU</w:t>
      </w:r>
      <w:r w:rsidRPr="00DA0847">
        <w:t xml:space="preserve"> za EU</w:t>
      </w:r>
      <w:r>
        <w:t xml:space="preserve"> fondove</w:t>
      </w:r>
      <w:r w:rsidRPr="00DA0847">
        <w:t xml:space="preserve"> sprovodi revizije programa/projekata koji su u potpunosti ili d</w:t>
      </w:r>
      <w:r>
        <w:t>j</w:t>
      </w:r>
      <w:r w:rsidRPr="00DA0847">
        <w:t xml:space="preserve">elimično finansirani sredstvima EU pretpristupne </w:t>
      </w:r>
      <w:r w:rsidR="00477A44">
        <w:t>podrške</w:t>
      </w:r>
      <w:r w:rsidRPr="00DA0847">
        <w:t xml:space="preserve"> unutar državnih administrativnih </w:t>
      </w:r>
      <w:r w:rsidR="0086543E">
        <w:t>tijela</w:t>
      </w:r>
      <w:r w:rsidRPr="00DA0847">
        <w:t xml:space="preserve"> koji čine strukturu za nezavisno upravljanje pretpristupnim sredstvima (tzv. IPA </w:t>
      </w:r>
      <w:r>
        <w:t>tijela</w:t>
      </w:r>
      <w:r w:rsidRPr="00DA0847">
        <w:t>), sa ciljem pružanja nezavisnog i objektivnog osiguranja o adekvatnosti i efikasnosti upravljačkih sistema, upravljanju rizikom i unutrašnjim kontrolama (izuzev sektora poljoprivrede).</w:t>
      </w:r>
    </w:p>
    <w:p w14:paraId="7F51894B" w14:textId="3395C8A7" w:rsidR="00A36D33" w:rsidRDefault="00A36D33" w:rsidP="005D3178">
      <w:pPr>
        <w:spacing w:before="120"/>
      </w:pPr>
      <w:r w:rsidRPr="00A36D33">
        <w:lastRenderedPageBreak/>
        <w:t>IAU EU fondova ima potrebnu organizaci</w:t>
      </w:r>
      <w:r w:rsidR="00EF0274">
        <w:t>onu</w:t>
      </w:r>
      <w:r w:rsidRPr="00A36D33">
        <w:t xml:space="preserve"> nezavisnost, koja je garantovana Pravilnikom o unutrašnjoj organizaciji i sistematizaciji Ministarstva finansija. Šef odjeljenja direktno izvještava ne samo ministru finansija, već i Nacionalnom službeniku</w:t>
      </w:r>
      <w:r>
        <w:t xml:space="preserve"> za </w:t>
      </w:r>
      <w:r w:rsidRPr="00EF0274">
        <w:t>ovjeravanje (NAO). Vlada Crne Gore usvojila je izmjene Pravilnika o unutrašnjoj organizaciji i sistematizaciji Ministarstva finansija Odlukom br. 10-430/24-7254/2, koja je stupila na snagu 3. januara 2025. Prema revidiranom dokumentu, odjeljenje se sada sastoji od sljedećih pozicija: Šef odjeljenja, dva Vi</w:t>
      </w:r>
      <w:r w:rsidR="00EF0274" w:rsidRPr="00EF0274">
        <w:t>ša</w:t>
      </w:r>
      <w:r w:rsidRPr="00EF0274">
        <w:t xml:space="preserve"> unutrašnja revizora (gdje je pozicija Mlađeg unutrašnjeg revizora ukinuta i zamijenjena </w:t>
      </w:r>
      <w:r w:rsidR="00EF0274" w:rsidRPr="00EF0274">
        <w:t>VIšim</w:t>
      </w:r>
      <w:r w:rsidRPr="00EF0274">
        <w:t xml:space="preserve"> unutrašnjim revizorom) i jednog Vi</w:t>
      </w:r>
      <w:r w:rsidR="00EF0274" w:rsidRPr="00EF0274">
        <w:t>sokog</w:t>
      </w:r>
      <w:r w:rsidRPr="00EF0274">
        <w:t xml:space="preserve"> unutrašnjeg revizora. Popunjavanje ove pozicije je prioritet postavljen u planu zapošljavanja odjeljenja, kao i u planu kadrova Ministarstva</w:t>
      </w:r>
      <w:r w:rsidRPr="00A36D33">
        <w:t xml:space="preserve"> finansija. Svi unutrašnji revizori u odjeljenju su sertifikovani unutrašnji revizori javnog sektora sa opširnim iskustvom kako u reviziji, tako i u IPA. Oni redovno učestvuju u obukama koje organizuje Uprava za ljudske resurse u saradnji sa Ministarstvom finansija </w:t>
      </w:r>
      <w:r>
        <w:t>–</w:t>
      </w:r>
      <w:r w:rsidRPr="00A36D33">
        <w:t xml:space="preserve"> </w:t>
      </w:r>
      <w:r>
        <w:t>Direktorat za centralnu harmonizaciju</w:t>
      </w:r>
      <w:r w:rsidRPr="00A36D33">
        <w:t>, a razvoj unutrašnjih kontrola je dio kontinuiranog profesionalnog usavršavanja unutrašnjih revizora u javnom sektoru, uključujući obuke koje organizuje AFCOS.</w:t>
      </w:r>
    </w:p>
    <w:p w14:paraId="1C1095D5" w14:textId="4F65A7D6" w:rsidR="00A36D33" w:rsidRPr="00A36D33" w:rsidRDefault="00A36D33" w:rsidP="00A36D33">
      <w:pPr>
        <w:rPr>
          <w:rFonts w:cs="Arial"/>
          <w:color w:val="000000" w:themeColor="text1"/>
          <w:szCs w:val="20"/>
        </w:rPr>
      </w:pPr>
      <w:r w:rsidRPr="00A36D33">
        <w:rPr>
          <w:rFonts w:cs="Arial"/>
          <w:color w:val="000000" w:themeColor="text1"/>
          <w:szCs w:val="20"/>
        </w:rPr>
        <w:t xml:space="preserve">Godišnji plan za 2025. predviđa sprovođenje 7 revizija, uz dodatne dane za </w:t>
      </w:r>
      <w:r w:rsidRPr="00A36D33">
        <w:rPr>
          <w:rFonts w:cs="Arial"/>
          <w:i/>
          <w:color w:val="000000" w:themeColor="text1"/>
          <w:szCs w:val="20"/>
        </w:rPr>
        <w:t>ad hoc</w:t>
      </w:r>
      <w:r w:rsidRPr="00A36D33">
        <w:rPr>
          <w:rFonts w:cs="Arial"/>
          <w:color w:val="000000" w:themeColor="text1"/>
          <w:szCs w:val="20"/>
        </w:rPr>
        <w:t xml:space="preserve"> revizije koje mogu nastati tokom godine, kao i učešće u obukama. Tokom faze planiranja, šef unutrašnje revizije je uzeo u obzir strategije koje je pripremil</w:t>
      </w:r>
      <w:r>
        <w:rPr>
          <w:rFonts w:cs="Arial"/>
          <w:color w:val="000000" w:themeColor="text1"/>
          <w:szCs w:val="20"/>
        </w:rPr>
        <w:t>o</w:t>
      </w:r>
      <w:r w:rsidRPr="00A36D33">
        <w:rPr>
          <w:rFonts w:cs="Arial"/>
          <w:color w:val="000000" w:themeColor="text1"/>
          <w:szCs w:val="20"/>
        </w:rPr>
        <w:t xml:space="preserve"> Revizorsk</w:t>
      </w:r>
      <w:r>
        <w:rPr>
          <w:rFonts w:cs="Arial"/>
          <w:color w:val="000000" w:themeColor="text1"/>
          <w:szCs w:val="20"/>
        </w:rPr>
        <w:t>o tijelo</w:t>
      </w:r>
      <w:r w:rsidRPr="00A36D33">
        <w:rPr>
          <w:rFonts w:cs="Arial"/>
          <w:color w:val="000000" w:themeColor="text1"/>
          <w:szCs w:val="20"/>
        </w:rPr>
        <w:t xml:space="preserve"> i plan za kontrolu na licu mjesta koju sprovodi NA</w:t>
      </w:r>
      <w:r>
        <w:rPr>
          <w:rFonts w:cs="Arial"/>
          <w:color w:val="000000" w:themeColor="text1"/>
          <w:szCs w:val="20"/>
        </w:rPr>
        <w:t>O</w:t>
      </w:r>
      <w:r w:rsidRPr="00A36D33">
        <w:rPr>
          <w:rFonts w:cs="Arial"/>
          <w:color w:val="000000" w:themeColor="text1"/>
          <w:szCs w:val="20"/>
        </w:rPr>
        <w:t>SO. U saradnji sa NA</w:t>
      </w:r>
      <w:r>
        <w:rPr>
          <w:rFonts w:cs="Arial"/>
          <w:color w:val="000000" w:themeColor="text1"/>
          <w:szCs w:val="20"/>
        </w:rPr>
        <w:t>O</w:t>
      </w:r>
      <w:r w:rsidRPr="00A36D33">
        <w:rPr>
          <w:rFonts w:cs="Arial"/>
          <w:color w:val="000000" w:themeColor="text1"/>
          <w:szCs w:val="20"/>
        </w:rPr>
        <w:t>-m, određene su revizije koje će sprovesti unutrašnja revizija u 2025. godini kako bi se osiguralo što je moguće veće pokrivanje.</w:t>
      </w:r>
    </w:p>
    <w:p w14:paraId="239E637B" w14:textId="77552AB5" w:rsidR="00A36D33" w:rsidRDefault="00A36D33" w:rsidP="00A36D33">
      <w:pPr>
        <w:rPr>
          <w:rFonts w:cs="Arial"/>
          <w:color w:val="000000" w:themeColor="text1"/>
          <w:szCs w:val="20"/>
        </w:rPr>
      </w:pPr>
      <w:r w:rsidRPr="00A36D33">
        <w:rPr>
          <w:rFonts w:cs="Arial"/>
          <w:color w:val="000000" w:themeColor="text1"/>
          <w:szCs w:val="20"/>
        </w:rPr>
        <w:t xml:space="preserve">Izvještaji i nalazi unutrašnje revizije dostavljaju se Nacionalnom </w:t>
      </w:r>
      <w:r>
        <w:rPr>
          <w:rFonts w:cs="Arial"/>
          <w:color w:val="000000" w:themeColor="text1"/>
          <w:szCs w:val="20"/>
        </w:rPr>
        <w:t>službeniku za ovjeravanje</w:t>
      </w:r>
      <w:r w:rsidRPr="00A36D33">
        <w:rPr>
          <w:rFonts w:cs="Arial"/>
          <w:color w:val="000000" w:themeColor="text1"/>
          <w:szCs w:val="20"/>
        </w:rPr>
        <w:t xml:space="preserve"> (NA</w:t>
      </w:r>
      <w:r>
        <w:rPr>
          <w:rFonts w:cs="Arial"/>
          <w:color w:val="000000" w:themeColor="text1"/>
          <w:szCs w:val="20"/>
        </w:rPr>
        <w:t>O</w:t>
      </w:r>
      <w:r w:rsidRPr="00A36D33">
        <w:rPr>
          <w:rFonts w:cs="Arial"/>
          <w:color w:val="000000" w:themeColor="text1"/>
          <w:szCs w:val="20"/>
        </w:rPr>
        <w:t>), šefu j</w:t>
      </w:r>
      <w:r>
        <w:rPr>
          <w:rFonts w:cs="Arial"/>
          <w:color w:val="000000" w:themeColor="text1"/>
          <w:szCs w:val="20"/>
        </w:rPr>
        <w:t>edinice</w:t>
      </w:r>
      <w:r w:rsidRPr="00A36D33">
        <w:rPr>
          <w:rFonts w:cs="Arial"/>
          <w:color w:val="000000" w:themeColor="text1"/>
          <w:szCs w:val="20"/>
        </w:rPr>
        <w:t xml:space="preserve"> (ministra finansija), kao i šefu državnog upravnog organa koji je bio predmet revizije.</w:t>
      </w:r>
    </w:p>
    <w:p w14:paraId="3CB1BCC7" w14:textId="33221A3D" w:rsidR="005D3178" w:rsidRPr="00B83578" w:rsidRDefault="00206BD1" w:rsidP="00CE3066">
      <w:pPr>
        <w:pStyle w:val="Heading3"/>
      </w:pPr>
      <w:bookmarkStart w:id="175" w:name="_Toc201700417"/>
      <w:r>
        <w:t>Podnošenje i ispitivanje računa i finansijskih korekcija, nacionalno sufinansiranje</w:t>
      </w:r>
      <w:bookmarkEnd w:id="175"/>
    </w:p>
    <w:p w14:paraId="09A3EB79" w14:textId="295B4AE8" w:rsidR="005D3178" w:rsidRPr="00B83578" w:rsidRDefault="00EF0274" w:rsidP="00CE3066">
      <w:pPr>
        <w:pStyle w:val="Heading4"/>
      </w:pPr>
      <w:r>
        <w:t>Iskustvo sa korektivnim mjerama za ozbiljne nedostatke u sistemima upravljanja i kontrole</w:t>
      </w:r>
    </w:p>
    <w:p w14:paraId="45C95AF2" w14:textId="591C911B" w:rsidR="00CC0749" w:rsidRDefault="00CC0749" w:rsidP="005D3178">
      <w:r w:rsidRPr="00CC0749">
        <w:t>Crna Gora do sada nije imala ozbiljnih nedostataka u sistemu upravljanja i kontrole IPA, osim povremenih problema sa kadrovima zbog fluktuacije IPA</w:t>
      </w:r>
      <w:r>
        <w:t xml:space="preserve"> osoblja</w:t>
      </w:r>
      <w:r w:rsidRPr="00CC0749">
        <w:t xml:space="preserve">. Međutim, sistem upravljanja i kontrole koji se odnosi na IPA programe u Crnoj Gori podložan je konstantnim pregledima od strane </w:t>
      </w:r>
      <w:r>
        <w:t>Upravljačke strukture</w:t>
      </w:r>
      <w:r w:rsidRPr="00CC0749">
        <w:t xml:space="preserve"> NA</w:t>
      </w:r>
      <w:r>
        <w:t>O</w:t>
      </w:r>
      <w:r w:rsidRPr="00CC0749">
        <w:t xml:space="preserve">-a, koji uključuju administrativne preglede i kontrole na licu mjesta (OTSC) u skladu sa planom OTSC-a koji se priprema na kraju svake godine za narednu godinu, kao i proces pripreme Godišnje </w:t>
      </w:r>
      <w:r>
        <w:t>upravljačke</w:t>
      </w:r>
      <w:r w:rsidRPr="00CC0749">
        <w:t xml:space="preserve"> deklaracije. Nadzor nad radom i učinkom </w:t>
      </w:r>
      <w:r>
        <w:t>Posredničkih</w:t>
      </w:r>
      <w:r w:rsidRPr="00CC0749">
        <w:t xml:space="preserve"> tijela takođe obavljaju </w:t>
      </w:r>
      <w:r w:rsidR="00A067C3">
        <w:t>UPT</w:t>
      </w:r>
      <w:r w:rsidRPr="00CC0749">
        <w:t xml:space="preserve"> (u okviru IPA III). Dodatni pregledi sistema upravljanja i kontrole vrše se od strane Od</w:t>
      </w:r>
      <w:r>
        <w:t>sjeka</w:t>
      </w:r>
      <w:r w:rsidRPr="00CC0749">
        <w:t xml:space="preserve"> unutrašnje revizije, Revizorsk</w:t>
      </w:r>
      <w:r>
        <w:t>og tijela</w:t>
      </w:r>
      <w:r w:rsidRPr="00CC0749">
        <w:t xml:space="preserve"> i revizora Evropske komisije.</w:t>
      </w:r>
    </w:p>
    <w:p w14:paraId="53048C93" w14:textId="11FC9F0C" w:rsidR="00CC0749" w:rsidRPr="00EF0274" w:rsidRDefault="00CC0749" w:rsidP="005D3178">
      <w:r w:rsidRPr="00CC0749">
        <w:t>Za novoformirane institucije, ex-ante procjena usklađenosti njihovog sistema upravljanja i kontrole je povjerena nezavisnim eksternim revizorima. Uspostavljeni su odgovarajući mehanizmi za procjenu upravljanja rizikom i upravljanja nepravilnostima. Mjere za ublažavanje rizika odobrava i prati NA</w:t>
      </w:r>
      <w:r>
        <w:t>O</w:t>
      </w:r>
      <w:r w:rsidRPr="00CC0749">
        <w:t>/</w:t>
      </w:r>
      <w:r>
        <w:t>Upravljačka struktura</w:t>
      </w:r>
      <w:r w:rsidRPr="00CC0749">
        <w:t xml:space="preserve">, uključujući i u vezi sa zaključcima sistema i preporukama iz relevantnih revizorskih izvještaja. Takođe, osigurana je pravilna i pravovremena evaluacija </w:t>
      </w:r>
      <w:r w:rsidRPr="00EF0274">
        <w:t>postojećih procedura.</w:t>
      </w:r>
    </w:p>
    <w:p w14:paraId="0EE0B200" w14:textId="28DBC184" w:rsidR="005D3178" w:rsidRPr="00EF0274" w:rsidRDefault="00EF0274" w:rsidP="00CE3066">
      <w:pPr>
        <w:pStyle w:val="Heading4"/>
      </w:pPr>
      <w:r w:rsidRPr="00EF0274">
        <w:t xml:space="preserve">Iskustvo u pripremanju zahtjeva za povjeravanjem implementacije budžeta EU </w:t>
      </w:r>
    </w:p>
    <w:p w14:paraId="136F24A6" w14:textId="5FB8C9E7" w:rsidR="00CC0749" w:rsidRDefault="00CC0749" w:rsidP="00CE3066">
      <w:r w:rsidRPr="00EF0274">
        <w:t>Nacionalne IPA strukture u Crnoj Gori imaju značajno iskustvo u pripremi paketa akreditacije/povjer</w:t>
      </w:r>
      <w:r w:rsidR="00EF0274" w:rsidRPr="00EF0274">
        <w:t>ava</w:t>
      </w:r>
      <w:r w:rsidRPr="00EF0274">
        <w:t xml:space="preserve">nja i uvjeravanja o spremnosti sistema za implementaciju IPA programa. Ovi procesi uključuju definisanje pravnog okvira, usvajanje međuinstitucionalnih ugovora, </w:t>
      </w:r>
      <w:r w:rsidRPr="00397FD1">
        <w:t xml:space="preserve">pripremu i usvajanje procedura, kao i davanje određenih garancija kroz ocjenu institucionalnog okvira potrebnog za uspješnu implementaciju IPA programa, u skladu s potpisanim ugovorima između Evropske komisije i Crne Gore. Iskustvo je stečeno kroz IPA I 2007-2013 i IPA II 2014-2020. Pripremljeni su akreditacioni paketi za višegodišnje operativne programe, godišnje akcione programe, </w:t>
      </w:r>
      <w:r w:rsidR="00D858E0">
        <w:t>PGS</w:t>
      </w:r>
      <w:r w:rsidRPr="00397FD1">
        <w:t xml:space="preserve"> programe i IPARD mjere unutar relevantnih IPA perspektiva. Unutar IPA III perspektive, zahtjevi za povjerenje za dva godišnja akciona programa 2021. i 2024. i </w:t>
      </w:r>
      <w:r w:rsidR="00D858E0">
        <w:t>PGS</w:t>
      </w:r>
      <w:r w:rsidRPr="00397FD1">
        <w:t xml:space="preserve"> programe 2021-2027 su dostavljeni EK. Trenutno je u toku priprema zahtjeva za povjer</w:t>
      </w:r>
      <w:r w:rsidR="00EF0274" w:rsidRPr="00397FD1">
        <w:t>ava</w:t>
      </w:r>
      <w:r w:rsidRPr="00397FD1">
        <w:t>nje za dva višegodišnja operativna programa pod IPA III. Priprema akreditacionog paketa za Mjeru 4 programa IPARD III je u završnoj fazi, gdje Upravljačka struktura u Ministarstvu finansija ima koordinirajuću ulogu. Pored toga, Upravljačka struktura ima iskustvo u aktivnostima za akreditovane mjere u okviru programa IPARD II prema programu IPARD III (dio pojednostavljenog paketa garancija za povjer</w:t>
      </w:r>
      <w:r w:rsidR="00397FD1" w:rsidRPr="00397FD1">
        <w:t>ava</w:t>
      </w:r>
      <w:r w:rsidRPr="00397FD1">
        <w:t>nje programa IPARD III).</w:t>
      </w:r>
    </w:p>
    <w:p w14:paraId="31FE592A" w14:textId="2F7E4666" w:rsidR="005D3178" w:rsidRPr="00B83578" w:rsidRDefault="00397FD1" w:rsidP="00CE3066">
      <w:pPr>
        <w:pStyle w:val="Heading4"/>
      </w:pPr>
      <w:r>
        <w:lastRenderedPageBreak/>
        <w:t>ISkustvo sa finansijskim korekcijama sredstava EU</w:t>
      </w:r>
    </w:p>
    <w:p w14:paraId="67DA768E" w14:textId="317F47EF" w:rsidR="00F048EF" w:rsidRDefault="00F048EF" w:rsidP="00F048EF">
      <w:r>
        <w:t xml:space="preserve">Iskustvo </w:t>
      </w:r>
      <w:r w:rsidR="00AF5AA9">
        <w:t>UGT</w:t>
      </w:r>
      <w:r>
        <w:t>/</w:t>
      </w:r>
      <w:r w:rsidR="003D7057">
        <w:t>PTFU</w:t>
      </w:r>
      <w:r>
        <w:t xml:space="preserve">-a sa finansijskim korekcijama uglavnom se odnosi na korekcije koje su napravljene na osnovu neoprihvatljivih troškova. Tokom verifikacije troškova, koja se vrši za 100% nastalih/deklarisanih troškova prema ugovorima/projektima, </w:t>
      </w:r>
      <w:r w:rsidR="00AF5AA9">
        <w:t>UGT</w:t>
      </w:r>
      <w:r>
        <w:t>/</w:t>
      </w:r>
      <w:r w:rsidR="003D7057">
        <w:t>PTFU</w:t>
      </w:r>
      <w:r>
        <w:t>-e prov</w:t>
      </w:r>
      <w:r w:rsidR="00671D09">
        <w:t>j</w:t>
      </w:r>
      <w:r>
        <w:t>eravaju prihvatljivost troškova, a ukoliko se neki troškovi pokažu kao neprihvatljivi, finansijska korekcija se odmah vrši, odnosno troškovi se ne prihvataju i isplata za takve troškove se ne vrši (nepravilnosti se evidentiraju u IMS bazi podataka). Pored toga, sv</w:t>
      </w:r>
      <w:r w:rsidR="00B65C54">
        <w:t>a</w:t>
      </w:r>
      <w:r>
        <w:t xml:space="preserve"> relevantn</w:t>
      </w:r>
      <w:r w:rsidR="00B65C54">
        <w:t>a</w:t>
      </w:r>
      <w:r>
        <w:t xml:space="preserve"> </w:t>
      </w:r>
      <w:r w:rsidR="00B65C54">
        <w:t>tijela</w:t>
      </w:r>
      <w:r>
        <w:t xml:space="preserve"> u sistemu indirektnog upravljanja (uključujući </w:t>
      </w:r>
      <w:r w:rsidR="00243189" w:rsidRPr="00243189">
        <w:t>RT</w:t>
      </w:r>
      <w:r>
        <w:t xml:space="preserve"> i unutrašnju reviziju) obavljaju provjere nad Upravljačkim tijelima/</w:t>
      </w:r>
      <w:r w:rsidR="003D7057">
        <w:t>PTFU</w:t>
      </w:r>
      <w:r>
        <w:t xml:space="preserve">-ima. U slučaju nalaza sa finansijskim posljedicama, finansijske korekcije vrše </w:t>
      </w:r>
      <w:r w:rsidR="00A067C3">
        <w:t>UPT</w:t>
      </w:r>
      <w:r>
        <w:t>/</w:t>
      </w:r>
      <w:r w:rsidR="003D7057">
        <w:t>PTFU</w:t>
      </w:r>
      <w:r>
        <w:t xml:space="preserve"> (ukoliko su nalazi prihvaćeni) na način da se priznati neprihvatljivi troškovi isključuju iz finansiranja tokom trajanja projekta (npr. na narednom izvještavanju vrši se odbitak) ili kroz postupak povrata u slučaju da je projekat završen. </w:t>
      </w:r>
    </w:p>
    <w:p w14:paraId="6659CC8F" w14:textId="4779C297" w:rsidR="00F048EF" w:rsidRDefault="00F048EF" w:rsidP="00F048EF">
      <w:r>
        <w:t>Još nema iskustva sa finansijskim korekcijama po fiksnoj stopi.</w:t>
      </w:r>
    </w:p>
    <w:p w14:paraId="2AA5A558" w14:textId="1BFCDF4F" w:rsidR="005D3178" w:rsidRPr="00B83578" w:rsidRDefault="00397FD1" w:rsidP="00CE3066">
      <w:pPr>
        <w:pStyle w:val="Heading4"/>
      </w:pPr>
      <w:r w:rsidRPr="00397FD1">
        <w:t xml:space="preserve">Relevantni nalazi revizije o podnošenju i ispitivanju računa i finansijskim </w:t>
      </w:r>
      <w:r>
        <w:t>korekcijama</w:t>
      </w:r>
      <w:r w:rsidRPr="00397FD1">
        <w:t xml:space="preserve"> u okviru IPA</w:t>
      </w:r>
      <w:r w:rsidR="005D3178" w:rsidRPr="00B83578">
        <w:t xml:space="preserve"> </w:t>
      </w:r>
    </w:p>
    <w:p w14:paraId="48E023E3" w14:textId="581D204D" w:rsidR="00F048EF" w:rsidRDefault="00F048EF" w:rsidP="00F048EF">
      <w:r>
        <w:t>Godišnji finansijski izv</w:t>
      </w:r>
      <w:r w:rsidR="00F24781">
        <w:t>j</w:t>
      </w:r>
      <w:r>
        <w:t xml:space="preserve">eštaji koje priprema NAO/Upravljačka struktura i koji se dostavljaju Evropskoj komisiji za sve programe kojima se upravlja indirektno podložni su reviziji Revizorskog tijela. </w:t>
      </w:r>
    </w:p>
    <w:p w14:paraId="7E49BF6E" w14:textId="706D1485" w:rsidR="00F048EF" w:rsidRDefault="00F048EF" w:rsidP="00F048EF">
      <w:r>
        <w:t>Što se tiče revizija koje sprovodi Revizorsko tijelo u cilju ocjene godišnjih finansijskih izv</w:t>
      </w:r>
      <w:r w:rsidR="00F24781">
        <w:t>j</w:t>
      </w:r>
      <w:r>
        <w:t>eštaja za IPA II programe - godišnje, višegodišnje i programe prekogranične saradnje, do sada nijesu izvršene finansijske korekcije. Međutim, nalazi Revizorskog tijela uglavnom su se odnosili na način na koji su podaci predstavljeni i na različite interpretacije podataka koji se dostavljaju u finansijskim izvještajima, imajući u vidu da ne postoje detaljna uputstva za finansijske izvještaje, već samo obrazac koji je dio finansijskih ugovora. U tom smislu, svaki put kada postoji razlika u tumačenju ili razumijevanju, traže se pojašnjenja od Evropske komisije kako bi se proces finansijskog izvještavanja poboljšao koliko je god moguće.</w:t>
      </w:r>
    </w:p>
    <w:p w14:paraId="77FE911D" w14:textId="495A5D89" w:rsidR="00F048EF" w:rsidRDefault="00F048EF" w:rsidP="00F048EF">
      <w:r>
        <w:t xml:space="preserve">Što se tiče IPARD programa, finansijske korekcije izvršene su tokom postupka prihvatanja računa od strane Evropske komisije, na osnovu nalaza </w:t>
      </w:r>
      <w:r w:rsidR="00243189" w:rsidRPr="00243189">
        <w:t>RT</w:t>
      </w:r>
      <w:r>
        <w:t xml:space="preserve"> u reviziji računa za navedene godine. Na primjer, finansijski izvještaji za IPARD II program za godine 2018, 2021. i 2022. ocijenjeni su od strane Evropske komisije kao potpuni, tačni i istiniti bez finansijskih korekcija. S druge strane, finansijski izvještaji za IPARD II program za godine 2019. i 2020. sadržavali su finansijske korekcije. Kako je DG AGRI zaključio da dio troškova koje je Crna Gora prijavila za fiskalnu 2020. godinu nije bio u skladu sa sektor</w:t>
      </w:r>
      <w:r w:rsidR="00F24781">
        <w:t>skim</w:t>
      </w:r>
      <w:r>
        <w:t xml:space="preserve"> sporazumom, finansijska korekcija izračunata je na osnovu </w:t>
      </w:r>
      <w:r w:rsidR="00F24781">
        <w:t xml:space="preserve">ekstrapolisanog procenta </w:t>
      </w:r>
      <w:r>
        <w:t xml:space="preserve">greške. Očekuje se ocjena Komisije o godišnjim računima za IPARD II za 2023. godinu.  </w:t>
      </w:r>
    </w:p>
    <w:p w14:paraId="62DBB6C9" w14:textId="3A6C704E" w:rsidR="005D3178" w:rsidRPr="00B83578" w:rsidRDefault="00397FD1" w:rsidP="00CE3066">
      <w:pPr>
        <w:pStyle w:val="Heading4"/>
      </w:pPr>
      <w:r w:rsidRPr="00397FD1">
        <w:t>Iskustvo sa budžetskim obavezama za doprinose nacionalnog sufinansiranja potrebnog na osnovu IPA</w:t>
      </w:r>
    </w:p>
    <w:p w14:paraId="411887AE" w14:textId="113341D4" w:rsidR="00F048EF" w:rsidRDefault="00F048EF" w:rsidP="00F048EF">
      <w:pPr>
        <w:rPr>
          <w:lang w:eastAsia="de-DE"/>
        </w:rPr>
      </w:pPr>
      <w:r>
        <w:rPr>
          <w:lang w:eastAsia="de-DE"/>
        </w:rPr>
        <w:t>U skladu sa Sporazumima o finansiranju, gotovo svaki program koji</w:t>
      </w:r>
      <w:r w:rsidR="00F24781">
        <w:rPr>
          <w:lang w:eastAsia="de-DE"/>
        </w:rPr>
        <w:t>m</w:t>
      </w:r>
      <w:r>
        <w:rPr>
          <w:lang w:eastAsia="de-DE"/>
        </w:rPr>
        <w:t xml:space="preserve"> se upravlja putem indirektnog upravljanja zahtijeva nacionalno </w:t>
      </w:r>
      <w:r w:rsidR="00F54042">
        <w:rPr>
          <w:lang w:eastAsia="de-DE"/>
        </w:rPr>
        <w:t>su</w:t>
      </w:r>
      <w:r>
        <w:rPr>
          <w:lang w:eastAsia="de-DE"/>
        </w:rPr>
        <w:t xml:space="preserve">finansiranje. Stoga se planiranje vrši kao dio procesa pripreme državnog budžeta opisanog u Zakonu o budžetu i fiskalnoj odgovornosti i u posebnim uputstvima (Budžetskim </w:t>
      </w:r>
      <w:r w:rsidR="00F24781">
        <w:rPr>
          <w:lang w:eastAsia="de-DE"/>
        </w:rPr>
        <w:t>uputstvima</w:t>
      </w:r>
      <w:r>
        <w:rPr>
          <w:lang w:eastAsia="de-DE"/>
        </w:rPr>
        <w:t>). Zahtjevi za alokaciju budžeta uključuju, između ostalog, procjene odliva za sljedeću godinu i ocjenu troškova za sljedeće dvije godine (planovi se pripremaju na 3 godine). Nacionalni budžet se planira na godišnjem nivou, a nacionalno sufinansiranje se zasniva na zahtjevima finansijskih sporazuma, napretku potpisanih i planiranih ugovora/plaćanja i planiranim isplatama na osnovu procijenjenih finansijskih potreba na nivou ugovora.</w:t>
      </w:r>
    </w:p>
    <w:p w14:paraId="2F70865B" w14:textId="010FDB9B" w:rsidR="00F048EF" w:rsidRDefault="00F048EF" w:rsidP="00F048EF">
      <w:pPr>
        <w:rPr>
          <w:lang w:eastAsia="de-DE"/>
        </w:rPr>
      </w:pPr>
      <w:r>
        <w:rPr>
          <w:lang w:eastAsia="de-DE"/>
        </w:rPr>
        <w:t xml:space="preserve">Nacionalno </w:t>
      </w:r>
      <w:r w:rsidR="00F54042">
        <w:rPr>
          <w:lang w:eastAsia="de-DE"/>
        </w:rPr>
        <w:t>su</w:t>
      </w:r>
      <w:r>
        <w:rPr>
          <w:lang w:eastAsia="de-DE"/>
        </w:rPr>
        <w:t>finansiranje planiraju Uprav</w:t>
      </w:r>
      <w:r w:rsidR="00F24781">
        <w:rPr>
          <w:lang w:eastAsia="de-DE"/>
        </w:rPr>
        <w:t>ljačka tijela</w:t>
      </w:r>
      <w:r>
        <w:rPr>
          <w:lang w:eastAsia="de-DE"/>
        </w:rPr>
        <w:t>/</w:t>
      </w:r>
      <w:r w:rsidR="003D7057">
        <w:rPr>
          <w:lang w:eastAsia="de-DE"/>
        </w:rPr>
        <w:t>PTFU</w:t>
      </w:r>
      <w:r>
        <w:rPr>
          <w:lang w:eastAsia="de-DE"/>
        </w:rPr>
        <w:t>-ovi u bliskoj saradnji sa subjektima uključenim u sistem indirektnog upravljanja (jedinice za implementaciju projekata/</w:t>
      </w:r>
      <w:r w:rsidR="00F24E34">
        <w:rPr>
          <w:lang w:eastAsia="de-DE"/>
        </w:rPr>
        <w:t>Posrednička</w:t>
      </w:r>
      <w:r>
        <w:rPr>
          <w:lang w:eastAsia="de-DE"/>
        </w:rPr>
        <w:t xml:space="preserve"> tijela za upravljanje politikom i Uprav</w:t>
      </w:r>
      <w:r w:rsidR="00F54042">
        <w:rPr>
          <w:lang w:eastAsia="de-DE"/>
        </w:rPr>
        <w:t>ljačka tijela</w:t>
      </w:r>
      <w:r>
        <w:rPr>
          <w:lang w:eastAsia="de-DE"/>
        </w:rPr>
        <w:t xml:space="preserve">). Nakon planiranja potreba, prijedlog budžeta se razmatra između Ministarstva finansija i </w:t>
      </w:r>
      <w:r w:rsidR="00AF5AA9">
        <w:rPr>
          <w:lang w:eastAsia="de-DE"/>
        </w:rPr>
        <w:t>UGT</w:t>
      </w:r>
      <w:r>
        <w:rPr>
          <w:lang w:eastAsia="de-DE"/>
        </w:rPr>
        <w:t>/</w:t>
      </w:r>
      <w:r w:rsidR="003D7057">
        <w:rPr>
          <w:lang w:eastAsia="de-DE"/>
        </w:rPr>
        <w:t>PTFU</w:t>
      </w:r>
      <w:r>
        <w:rPr>
          <w:lang w:eastAsia="de-DE"/>
        </w:rPr>
        <w:t>-a (takozvani proces pregovaranja) kako bi se osiguralo razumno uvjerenje o potrebama i planiranim sredstvima, te odlučilo o iznosu sredstava koja će biti uključena u godišnji zakon o budžetu. Godišnji zakon o budžetu donosi Vlada i Parlament. NAO/Direktorat za upravljačku strukturu (</w:t>
      </w:r>
      <w:r w:rsidR="00243189">
        <w:rPr>
          <w:lang w:eastAsia="de-DE"/>
        </w:rPr>
        <w:t>DUS</w:t>
      </w:r>
      <w:r>
        <w:rPr>
          <w:lang w:eastAsia="de-DE"/>
        </w:rPr>
        <w:t>) provjeravaju postojanje elemenata sufinansiranja, tj. osiguravaju da su relevantni iznosi planirani u skladu sa nacionalnim pravilima i da će biti uključeni u državni budžet prije nego što se Nacrt zakona podnese Vladi na usvajanje.</w:t>
      </w:r>
    </w:p>
    <w:p w14:paraId="6CD8E818" w14:textId="7F7A42DA" w:rsidR="005D3178" w:rsidRPr="00B83578" w:rsidRDefault="00397FD1" w:rsidP="00CE3066">
      <w:pPr>
        <w:pStyle w:val="Heading4"/>
      </w:pPr>
      <w:r w:rsidRPr="00397FD1">
        <w:lastRenderedPageBreak/>
        <w:t>Nacionalni pravni okvir o višegodišnjem budžetiranju (omogućavanje nacionalnog sufinansiranja) i fleksibilnosti budžeta (prebacivanje budžeta između projekata, programa i godina) na nivou nacionalne i lokalne vlasti</w:t>
      </w:r>
    </w:p>
    <w:p w14:paraId="137824FE" w14:textId="2812B054" w:rsidR="00265715" w:rsidRDefault="00265715" w:rsidP="00265715">
      <w:pPr>
        <w:rPr>
          <w:lang w:eastAsia="de-DE"/>
        </w:rPr>
      </w:pPr>
      <w:r>
        <w:rPr>
          <w:lang w:eastAsia="de-DE"/>
        </w:rPr>
        <w:t xml:space="preserve">Zakon o budžetu i fiskalnoj odgovornosti, posebno član 40, propisuje da su </w:t>
      </w:r>
      <w:r w:rsidR="00397FD1">
        <w:rPr>
          <w:lang w:eastAsia="de-DE"/>
        </w:rPr>
        <w:t>potrošačke jedinice</w:t>
      </w:r>
      <w:r>
        <w:rPr>
          <w:lang w:eastAsia="de-DE"/>
        </w:rPr>
        <w:t xml:space="preserve"> obavezne da koriste sredstva unutar ograničenja utvrđenih Zakonom o državnom budžetu i da se sredstva koriste prema dinamici koju odobri Ministarstvo finansija. </w:t>
      </w:r>
      <w:r w:rsidR="00397FD1">
        <w:rPr>
          <w:lang w:eastAsia="de-DE"/>
        </w:rPr>
        <w:t>Potrošačke jedinice</w:t>
      </w:r>
      <w:r>
        <w:rPr>
          <w:lang w:eastAsia="de-DE"/>
        </w:rPr>
        <w:t xml:space="preserve"> mogu se obratiti Ministarstvu finansija tokom godine kako bi promijenile utvrđenu dinamiku kako bi ispunile svoje obaveze na vrijeme. Fleksibilnost se takođe ogleda u mogućnosti preusmjeravanja sredstava odobrenih godišnjim budžetskim aktom, što je određeno Zakonom o budžetu i fiskalnoj odgovornosti. Godišnji Zakon o državnom budžetu precizira iznos za svaku stavku. Fleksibilnost se postiže putem preusmjeravanja – naime, član 45 Zakona o budžetu i fiskalnoj odgovornosti navodi da jedinice za trošenje mogu preusmjeriti odobrena sredstva po programima, podprogramima, aktivnostima, projektima i pojedinačnim troškovima, do 10% odobrenih sredstava utvrđenih Zakonom o državnom budžetu za programe, podprograme, aktivnosti, projekte i troškove čiji se iznos smanjuje. Član 47 Zakona o budžetu i fiskalnoj odgovornosti propisuje da jedinice za trošenje ne smiju preusmjeravati sredstva određena Zakonom o državnom budžetu iz kapitalnog budžeta u tekući budžet. Nadalje, član 45, stav 4 Zakona o budžetu i fiskalnoj odgovornosti navodi da jedinice za trošenje ne smiju preusmjeravati sredstva iz programa, podprograma, aktivnosti i projekata finansiranih iz donacija EU fondova i drugih donacija. </w:t>
      </w:r>
    </w:p>
    <w:p w14:paraId="032FEBD6" w14:textId="77777777" w:rsidR="00265715" w:rsidRDefault="00265715" w:rsidP="00265715">
      <w:pPr>
        <w:rPr>
          <w:lang w:eastAsia="de-DE"/>
        </w:rPr>
      </w:pPr>
    </w:p>
    <w:p w14:paraId="60770FC3" w14:textId="61F77447" w:rsidR="00265715" w:rsidRDefault="00265715" w:rsidP="00265715">
      <w:pPr>
        <w:rPr>
          <w:lang w:eastAsia="de-DE"/>
        </w:rPr>
      </w:pPr>
      <w:r>
        <w:rPr>
          <w:lang w:eastAsia="de-DE"/>
        </w:rPr>
        <w:t xml:space="preserve">Dodatne informacije o IPA sistemu upravljanja i kontrole i finansijskom upravljanju nalaze se u </w:t>
      </w:r>
      <w:r w:rsidR="00F54042">
        <w:rPr>
          <w:b/>
          <w:lang w:eastAsia="de-DE"/>
        </w:rPr>
        <w:t>Aneksu</w:t>
      </w:r>
      <w:r w:rsidRPr="00F54042">
        <w:rPr>
          <w:b/>
          <w:lang w:eastAsia="de-DE"/>
        </w:rPr>
        <w:t xml:space="preserve"> II</w:t>
      </w:r>
      <w:r>
        <w:rPr>
          <w:lang w:eastAsia="de-DE"/>
        </w:rPr>
        <w:t xml:space="preserve">. </w:t>
      </w:r>
    </w:p>
    <w:p w14:paraId="6121F250" w14:textId="77777777" w:rsidR="00265715" w:rsidRDefault="00265715" w:rsidP="00265715">
      <w:pPr>
        <w:rPr>
          <w:lang w:eastAsia="de-DE"/>
        </w:rPr>
      </w:pPr>
    </w:p>
    <w:p w14:paraId="0307BB10" w14:textId="34EA6AF2" w:rsidR="005D3178" w:rsidRPr="00B83578" w:rsidRDefault="00017758" w:rsidP="00CE3066">
      <w:pPr>
        <w:pStyle w:val="Heading2"/>
      </w:pPr>
      <w:bookmarkStart w:id="176" w:name="_Toc201700418"/>
      <w:r>
        <w:t>Planirane akcije</w:t>
      </w:r>
      <w:bookmarkEnd w:id="176"/>
    </w:p>
    <w:p w14:paraId="5AA005F7" w14:textId="5574B4C9" w:rsidR="005D3178" w:rsidRPr="00B83578" w:rsidRDefault="00F54042" w:rsidP="00CE3066">
      <w:bookmarkStart w:id="177" w:name="_Hlk181787016"/>
      <w:r>
        <w:t>Na osnovu procjene trenutne situacije i u svijetlu relevantnih zahtjeva Kohezione politike, planirane su naredne akcije:</w:t>
      </w:r>
    </w:p>
    <w:p w14:paraId="4811B491" w14:textId="7EF4A5AF" w:rsidR="005D3178" w:rsidRPr="00B83578" w:rsidRDefault="00543023" w:rsidP="00CE3066">
      <w:pPr>
        <w:pStyle w:val="Heading3"/>
      </w:pPr>
      <w:bookmarkStart w:id="178" w:name="_Toc201700419"/>
      <w:r>
        <w:t>Akcija</w:t>
      </w:r>
      <w:r w:rsidR="005D3178" w:rsidRPr="00B83578">
        <w:t xml:space="preserve"> 6.1. </w:t>
      </w:r>
      <w:r w:rsidR="00206BD1">
        <w:t>Redovno podnošenje Godišnjih deklaracija o upravljanju za svaki Program koji se implementira u indirektnom upravljanju od strane Crne Gore</w:t>
      </w:r>
      <w:bookmarkEnd w:id="178"/>
      <w:r w:rsidR="005D3178" w:rsidRPr="00B83578">
        <w:t xml:space="preserve"> </w:t>
      </w:r>
    </w:p>
    <w:p w14:paraId="4758C52C" w14:textId="62233FC4" w:rsidR="00265715" w:rsidRPr="00265715" w:rsidRDefault="00265715" w:rsidP="00265715">
      <w:pPr>
        <w:rPr>
          <w:rFonts w:eastAsia="Calibri" w:cs="Arial"/>
          <w:color w:val="000000" w:themeColor="text1"/>
          <w:kern w:val="0"/>
          <w:szCs w:val="20"/>
        </w:rPr>
      </w:pPr>
      <w:r w:rsidRPr="00265715">
        <w:rPr>
          <w:rFonts w:eastAsia="Calibri" w:cs="Arial"/>
          <w:color w:val="000000" w:themeColor="text1"/>
          <w:kern w:val="0"/>
          <w:szCs w:val="20"/>
        </w:rPr>
        <w:t xml:space="preserve">Ova akcija ima za cilj podnošenje Godišnjih izjava o upravljanju (AMDs) od strane Nacionalnog </w:t>
      </w:r>
      <w:r w:rsidR="00F54042">
        <w:rPr>
          <w:rFonts w:eastAsia="Calibri" w:cs="Arial"/>
          <w:color w:val="000000" w:themeColor="text1"/>
          <w:kern w:val="0"/>
          <w:szCs w:val="20"/>
        </w:rPr>
        <w:t>službenika za ovjeravanja</w:t>
      </w:r>
      <w:r w:rsidRPr="00265715">
        <w:rPr>
          <w:rFonts w:eastAsia="Calibri" w:cs="Arial"/>
          <w:color w:val="000000" w:themeColor="text1"/>
          <w:kern w:val="0"/>
          <w:szCs w:val="20"/>
        </w:rPr>
        <w:t xml:space="preserve"> Komisiji za svaki program koji se implementira putem indirektnog upravljanja u Crnoj Gori, na osnovu AMD-a koje pripremaju sve odgovorne IPA institucije u okviru IPA II i IPA III programa, kao i revizorskih mišljenja Revizorskog tijela.</w:t>
      </w:r>
    </w:p>
    <w:p w14:paraId="3390F989" w14:textId="77777777" w:rsidR="00265715" w:rsidRPr="00265715" w:rsidRDefault="00265715" w:rsidP="00265715">
      <w:pPr>
        <w:rPr>
          <w:rFonts w:eastAsia="Calibri" w:cs="Arial"/>
          <w:color w:val="000000" w:themeColor="text1"/>
          <w:kern w:val="0"/>
          <w:szCs w:val="20"/>
        </w:rPr>
      </w:pPr>
    </w:p>
    <w:p w14:paraId="0BF9F70F" w14:textId="66146190" w:rsidR="005D3178" w:rsidRPr="00B83578" w:rsidRDefault="00543023" w:rsidP="00CE3066">
      <w:pPr>
        <w:pStyle w:val="Heading3"/>
      </w:pPr>
      <w:bookmarkStart w:id="179" w:name="_Toc201700420"/>
      <w:r>
        <w:t>Akcija</w:t>
      </w:r>
      <w:r w:rsidR="005D3178" w:rsidRPr="00B83578">
        <w:t xml:space="preserve"> 6.2. </w:t>
      </w:r>
      <w:r w:rsidR="00206BD1">
        <w:t>Redovni monitoring otpuštenih sredstava iz IPA II finansijskog okvira i planiranje sredstava iz IPA III prijavljenih EK</w:t>
      </w:r>
      <w:bookmarkEnd w:id="179"/>
      <w:r w:rsidR="00206BD1">
        <w:t xml:space="preserve"> </w:t>
      </w:r>
    </w:p>
    <w:p w14:paraId="67BEE2CD" w14:textId="245AFF94" w:rsidR="00265715" w:rsidRDefault="00265715" w:rsidP="005D3178">
      <w:pPr>
        <w:rPr>
          <w:rFonts w:eastAsia="Calibri" w:cs="Arial"/>
          <w:color w:val="000000" w:themeColor="text1"/>
          <w:kern w:val="0"/>
          <w:szCs w:val="20"/>
        </w:rPr>
      </w:pPr>
      <w:r w:rsidRPr="00265715">
        <w:rPr>
          <w:rFonts w:eastAsia="Calibri" w:cs="Arial"/>
          <w:color w:val="000000" w:themeColor="text1"/>
          <w:kern w:val="0"/>
          <w:szCs w:val="20"/>
        </w:rPr>
        <w:t>Redovno praćenje isplata IPA sredstava biće vršeno u okviru ove akcije s ciljem spr</w:t>
      </w:r>
      <w:r w:rsidR="00F54042">
        <w:rPr>
          <w:rFonts w:eastAsia="Calibri" w:cs="Arial"/>
          <w:color w:val="000000" w:themeColor="text1"/>
          <w:kern w:val="0"/>
          <w:szCs w:val="20"/>
        </w:rPr>
        <w:t>j</w:t>
      </w:r>
      <w:r w:rsidRPr="00265715">
        <w:rPr>
          <w:rFonts w:eastAsia="Calibri" w:cs="Arial"/>
          <w:color w:val="000000" w:themeColor="text1"/>
          <w:kern w:val="0"/>
          <w:szCs w:val="20"/>
        </w:rPr>
        <w:t xml:space="preserve">ečavanja rizika od </w:t>
      </w:r>
      <w:r w:rsidR="00F54042">
        <w:rPr>
          <w:rFonts w:eastAsia="Calibri" w:cs="Arial"/>
          <w:color w:val="000000" w:themeColor="text1"/>
          <w:kern w:val="0"/>
          <w:szCs w:val="20"/>
        </w:rPr>
        <w:t>povlačenja sredstava</w:t>
      </w:r>
      <w:r w:rsidRPr="00265715">
        <w:rPr>
          <w:rFonts w:eastAsia="Calibri" w:cs="Arial"/>
          <w:color w:val="000000" w:themeColor="text1"/>
          <w:kern w:val="0"/>
          <w:szCs w:val="20"/>
        </w:rPr>
        <w:t xml:space="preserve"> zbog kašnjenja i/ili nedovoljnih troškova.</w:t>
      </w:r>
    </w:p>
    <w:p w14:paraId="66080DA9" w14:textId="11ECAB8F" w:rsidR="005D3178" w:rsidRPr="00B83578" w:rsidRDefault="00543023" w:rsidP="00CE3066">
      <w:pPr>
        <w:pStyle w:val="Heading3"/>
      </w:pPr>
      <w:bookmarkStart w:id="180" w:name="_Toc201700421"/>
      <w:r>
        <w:t>Akcija</w:t>
      </w:r>
      <w:r w:rsidR="005D3178" w:rsidRPr="00B83578">
        <w:t xml:space="preserve"> 6.3.  </w:t>
      </w:r>
      <w:r w:rsidR="00206BD1">
        <w:t>Redovni monitoring ugovaranja sredstava iz IPA II finansijskog okvira i planiranje sredstava iz IPA III, prijavljenih EK pod godišnjim i višegodišnjim programima</w:t>
      </w:r>
      <w:bookmarkEnd w:id="180"/>
    </w:p>
    <w:p w14:paraId="474F7978" w14:textId="14C624EE" w:rsidR="00265715" w:rsidRDefault="00265715" w:rsidP="00265715">
      <w:pPr>
        <w:shd w:val="clear" w:color="auto" w:fill="FFFFFF" w:themeFill="background1"/>
        <w:spacing w:after="0"/>
        <w:rPr>
          <w:rFonts w:asciiTheme="minorBidi" w:hAnsiTheme="minorBidi"/>
          <w:bCs/>
          <w:color w:val="000000" w:themeColor="text1"/>
        </w:rPr>
      </w:pPr>
      <w:r w:rsidRPr="00265715">
        <w:rPr>
          <w:rFonts w:asciiTheme="minorBidi" w:hAnsiTheme="minorBidi"/>
          <w:bCs/>
          <w:color w:val="000000" w:themeColor="text1"/>
        </w:rPr>
        <w:t xml:space="preserve">Ova akcija ima za cilj redovno </w:t>
      </w:r>
      <w:r w:rsidR="00E26D99" w:rsidRPr="00E26D99">
        <w:rPr>
          <w:rFonts w:asciiTheme="minorBidi" w:hAnsiTheme="minorBidi"/>
          <w:bCs/>
          <w:color w:val="000000" w:themeColor="text1"/>
        </w:rPr>
        <w:t>monitoring</w:t>
      </w:r>
      <w:r w:rsidRPr="00265715">
        <w:rPr>
          <w:rFonts w:asciiTheme="minorBidi" w:hAnsiTheme="minorBidi"/>
          <w:bCs/>
          <w:color w:val="000000" w:themeColor="text1"/>
        </w:rPr>
        <w:t xml:space="preserve"> stopa ugovaranja IPA sredstava koja se implementiraju putem indirektnog upravljanja u okviru godišnjih i višegodišnjih IPA programa, kao i programa prekogranične saradnje (</w:t>
      </w:r>
      <w:r w:rsidR="00D858E0">
        <w:rPr>
          <w:rFonts w:asciiTheme="minorBidi" w:hAnsiTheme="minorBidi"/>
          <w:bCs/>
          <w:color w:val="000000" w:themeColor="text1"/>
        </w:rPr>
        <w:t>PGS</w:t>
      </w:r>
      <w:r w:rsidRPr="00265715">
        <w:rPr>
          <w:rFonts w:asciiTheme="minorBidi" w:hAnsiTheme="minorBidi"/>
          <w:bCs/>
          <w:color w:val="000000" w:themeColor="text1"/>
        </w:rPr>
        <w:t>).</w:t>
      </w:r>
    </w:p>
    <w:p w14:paraId="1F73C3AB" w14:textId="12F80F51" w:rsidR="00265715" w:rsidRDefault="00265715" w:rsidP="00265715">
      <w:pPr>
        <w:shd w:val="clear" w:color="auto" w:fill="FFFFFF" w:themeFill="background1"/>
        <w:spacing w:after="0"/>
        <w:rPr>
          <w:rFonts w:asciiTheme="minorBidi" w:hAnsiTheme="minorBidi"/>
          <w:bCs/>
          <w:color w:val="000000" w:themeColor="text1"/>
        </w:rPr>
      </w:pPr>
      <w:r w:rsidRPr="00265715">
        <w:rPr>
          <w:rFonts w:asciiTheme="minorBidi" w:hAnsiTheme="minorBidi"/>
          <w:bCs/>
          <w:color w:val="000000" w:themeColor="text1"/>
        </w:rPr>
        <w:t xml:space="preserve">Smatra se da visoka stopa apsorpcije IPA sredstava odobrenih za indirektno upravljanje u Crnoj Gori za period 2014-2020. godine (u prosjeku 97% od ukupno gotovo 115 miliona EUR povjerenih u okviru finansijske perspektive) pokazuje kapacitet crnogorskih vlasti i struktura da programski osmišljavaju IPA </w:t>
      </w:r>
      <w:r w:rsidR="00477A44">
        <w:rPr>
          <w:rFonts w:asciiTheme="minorBidi" w:hAnsiTheme="minorBidi"/>
          <w:bCs/>
          <w:color w:val="000000" w:themeColor="text1"/>
        </w:rPr>
        <w:lastRenderedPageBreak/>
        <w:t>podršku</w:t>
      </w:r>
      <w:r w:rsidRPr="00265715">
        <w:rPr>
          <w:rFonts w:asciiTheme="minorBidi" w:hAnsiTheme="minorBidi"/>
          <w:bCs/>
          <w:color w:val="000000" w:themeColor="text1"/>
        </w:rPr>
        <w:t xml:space="preserve">, dizajniraju grant programe i biraju projekte, kao i da nesmetano sprovode </w:t>
      </w:r>
      <w:r w:rsidR="00F54042">
        <w:rPr>
          <w:rFonts w:asciiTheme="minorBidi" w:hAnsiTheme="minorBidi"/>
          <w:bCs/>
          <w:color w:val="000000" w:themeColor="text1"/>
        </w:rPr>
        <w:t>tenderske postupke</w:t>
      </w:r>
      <w:r w:rsidRPr="00265715">
        <w:rPr>
          <w:rFonts w:asciiTheme="minorBidi" w:hAnsiTheme="minorBidi"/>
          <w:bCs/>
          <w:color w:val="000000" w:themeColor="text1"/>
        </w:rPr>
        <w:t xml:space="preserve"> i proces ugovaranja uz potpisivanje relevantnih ugovora i sporazuma.</w:t>
      </w:r>
    </w:p>
    <w:p w14:paraId="06DE947E" w14:textId="77777777" w:rsidR="00265715" w:rsidRDefault="00265715" w:rsidP="00265715">
      <w:pPr>
        <w:shd w:val="clear" w:color="auto" w:fill="FFFFFF" w:themeFill="background1"/>
        <w:spacing w:after="0"/>
        <w:rPr>
          <w:rFonts w:asciiTheme="minorBidi" w:hAnsiTheme="minorBidi"/>
          <w:bCs/>
          <w:color w:val="000000" w:themeColor="text1"/>
        </w:rPr>
      </w:pPr>
    </w:p>
    <w:p w14:paraId="720B06A5" w14:textId="77777777" w:rsidR="005D3178" w:rsidRPr="00B83578" w:rsidRDefault="005D3178" w:rsidP="005D3178">
      <w:pPr>
        <w:spacing w:after="0"/>
        <w:rPr>
          <w:b/>
          <w:bCs/>
          <w:color w:val="000000" w:themeColor="text1"/>
        </w:rPr>
      </w:pPr>
    </w:p>
    <w:p w14:paraId="2C0AED77" w14:textId="51CE5518" w:rsidR="005D3178" w:rsidRPr="00B83578" w:rsidRDefault="00543023" w:rsidP="00CE3066">
      <w:pPr>
        <w:pStyle w:val="Heading3"/>
      </w:pPr>
      <w:bookmarkStart w:id="181" w:name="_Toc201700422"/>
      <w:r>
        <w:t>Akcija</w:t>
      </w:r>
      <w:r w:rsidR="005D3178" w:rsidRPr="00B83578">
        <w:t xml:space="preserve"> 6.4. </w:t>
      </w:r>
      <w:bookmarkEnd w:id="177"/>
      <w:r w:rsidR="00206BD1">
        <w:t>Prevencija i identifikacija duplog finansiranja tokom implementacije EU sredstava na nivou zemlje i krajnjeg korisnika</w:t>
      </w:r>
      <w:bookmarkEnd w:id="181"/>
    </w:p>
    <w:p w14:paraId="7E8DF983" w14:textId="038EB1B6" w:rsidR="00265715" w:rsidRDefault="00265715" w:rsidP="00CE3066">
      <w:r w:rsidRPr="00265715">
        <w:t xml:space="preserve">Ova akcija se bavi potrebom da se spriječi i identifikuje duplo finansiranje u implementaciji EU sredstava na nivou zemlje i finalnih korisnika. To zahtijeva adekvatne smjernice za sve strukture i </w:t>
      </w:r>
      <w:r w:rsidR="00B65C54">
        <w:t>tijela</w:t>
      </w:r>
      <w:r w:rsidRPr="00265715">
        <w:t xml:space="preserve"> koj</w:t>
      </w:r>
      <w:r w:rsidR="00B65C54">
        <w:t>a</w:t>
      </w:r>
      <w:r w:rsidRPr="00265715">
        <w:t xml:space="preserve"> su uključen</w:t>
      </w:r>
      <w:r w:rsidR="00B65C54">
        <w:t>a</w:t>
      </w:r>
      <w:r w:rsidRPr="00265715">
        <w:t>, od programiranja do implementacije, kontrole i revizije.</w:t>
      </w:r>
    </w:p>
    <w:p w14:paraId="79F040E6" w14:textId="31A3426C" w:rsidR="005D3178" w:rsidRPr="00B83578" w:rsidRDefault="00543023" w:rsidP="00CE3066">
      <w:pPr>
        <w:pStyle w:val="Heading3"/>
      </w:pPr>
      <w:bookmarkStart w:id="182" w:name="_Toc201700423"/>
      <w:r>
        <w:t>Akcija</w:t>
      </w:r>
      <w:r w:rsidR="005D3178" w:rsidRPr="00B83578">
        <w:t xml:space="preserve"> 6.5. </w:t>
      </w:r>
      <w:r w:rsidR="00206BD1">
        <w:t xml:space="preserve">Nacionalni okvir Pojednostavljenih </w:t>
      </w:r>
      <w:r w:rsidR="00B24B2D">
        <w:t>opcija troškova</w:t>
      </w:r>
      <w:r w:rsidR="00206BD1">
        <w:t xml:space="preserve"> i finansiranja koje nije povezano sa troškovima</w:t>
      </w:r>
      <w:bookmarkEnd w:id="182"/>
    </w:p>
    <w:p w14:paraId="4A28811B" w14:textId="7E28261E" w:rsidR="00265715" w:rsidRDefault="00265715" w:rsidP="00CE3066">
      <w:r w:rsidRPr="00265715">
        <w:t xml:space="preserve">Ova akcija se fokusira na potrebu da se obezbijedi pravna sigurnost u vezi sa korišćenjem </w:t>
      </w:r>
      <w:r w:rsidR="00E34511" w:rsidRPr="00397FD1">
        <w:t>P</w:t>
      </w:r>
      <w:r w:rsidRPr="00397FD1">
        <w:t>ojednostavljenih opcija troškova i finansiranjem</w:t>
      </w:r>
      <w:r w:rsidRPr="00265715">
        <w:t xml:space="preserve"> koje nije povezano sa troškovima. Razrada relevantnih procedura za implementaciju, kontrolu i reviziju planirana je u Poglavlju 2 (Institucionalni okvir).</w:t>
      </w:r>
    </w:p>
    <w:p w14:paraId="64F71395" w14:textId="1C2C80F7" w:rsidR="005D3178" w:rsidRPr="00B83578" w:rsidRDefault="00543023" w:rsidP="00CE3066">
      <w:pPr>
        <w:pStyle w:val="Heading3"/>
      </w:pPr>
      <w:bookmarkStart w:id="183" w:name="_Toc201700424"/>
      <w:r>
        <w:t>Akcija</w:t>
      </w:r>
      <w:r w:rsidR="005D3178" w:rsidRPr="00B83578">
        <w:t xml:space="preserve"> 6.6. </w:t>
      </w:r>
      <w:r w:rsidR="00206BD1">
        <w:t xml:space="preserve">Pravni okvir za </w:t>
      </w:r>
      <w:r w:rsidR="00A80895">
        <w:t>implementaciju</w:t>
      </w:r>
      <w:r w:rsidR="00206BD1">
        <w:t xml:space="preserve"> proporcionalnih finansijskih korekcija</w:t>
      </w:r>
      <w:bookmarkEnd w:id="183"/>
      <w:r w:rsidR="005D3178" w:rsidRPr="00B83578">
        <w:t xml:space="preserve"> </w:t>
      </w:r>
    </w:p>
    <w:p w14:paraId="6952FD98" w14:textId="16A87B4C" w:rsidR="00265715" w:rsidRDefault="00265715" w:rsidP="00CE3066">
      <w:r w:rsidRPr="00265715">
        <w:t>Ova akcija se bavi potrebom da se obezbijedi pravna sigurnost za primjenu proporcionalnih finan</w:t>
      </w:r>
      <w:r w:rsidR="00E34511">
        <w:t>s</w:t>
      </w:r>
      <w:r w:rsidRPr="00265715">
        <w:t>ijskih korekcija zbog nepravilnosti u korišćenju EU sredstava, uključujući finansijske korekcije zasnovane na fiksnim stopama u odnosu na nepravilnosti u javnoj nabavci.</w:t>
      </w:r>
    </w:p>
    <w:p w14:paraId="0E8EFE88" w14:textId="1D720203" w:rsidR="005D3178" w:rsidRPr="00B83578" w:rsidRDefault="00543023" w:rsidP="00CE3066">
      <w:pPr>
        <w:pStyle w:val="Heading3"/>
      </w:pPr>
      <w:bookmarkStart w:id="184" w:name="_Toc201700425"/>
      <w:r>
        <w:t>Akcija</w:t>
      </w:r>
      <w:r w:rsidR="005D3178" w:rsidRPr="00B83578">
        <w:t xml:space="preserve"> 6.7. </w:t>
      </w:r>
      <w:r w:rsidR="00206BD1">
        <w:t>Poboljšani pristup za Ugovorn</w:t>
      </w:r>
      <w:r w:rsidR="00477A44">
        <w:t>a tijela</w:t>
      </w:r>
      <w:r w:rsidR="00206BD1">
        <w:t xml:space="preserve"> relevantnim informacijama za efektivniju verifikaciju upravljanja</w:t>
      </w:r>
      <w:r w:rsidR="005D3178" w:rsidRPr="00B83578">
        <w:t>.</w:t>
      </w:r>
      <w:bookmarkEnd w:id="184"/>
      <w:r w:rsidR="005D3178" w:rsidRPr="00B83578">
        <w:t xml:space="preserve"> </w:t>
      </w:r>
    </w:p>
    <w:p w14:paraId="106D3921" w14:textId="2BF77913" w:rsidR="00265715" w:rsidRDefault="00265715" w:rsidP="00CE3066">
      <w:r w:rsidRPr="00265715">
        <w:t xml:space="preserve">Ova akcija će obezbijediti pristup relevantnim informacijama od strane </w:t>
      </w:r>
      <w:r w:rsidR="003D7057">
        <w:t>PTFU</w:t>
      </w:r>
      <w:r w:rsidRPr="00265715">
        <w:t xml:space="preserve">-ova za efikasnije upravljačke </w:t>
      </w:r>
      <w:r w:rsidR="00E34511">
        <w:t>verifikacije</w:t>
      </w:r>
      <w:r w:rsidRPr="00265715">
        <w:t xml:space="preserve">. Upravljačke </w:t>
      </w:r>
      <w:r w:rsidR="00E34511">
        <w:t>verifikacije</w:t>
      </w:r>
      <w:r w:rsidRPr="00265715">
        <w:t xml:space="preserve"> mogu biti olakšane pristupom ugovornih </w:t>
      </w:r>
      <w:r w:rsidR="00477A44">
        <w:t>tijela</w:t>
      </w:r>
      <w:r w:rsidRPr="00265715">
        <w:t xml:space="preserve"> specifičnim bazama podataka kao što su Registar privrednih subjekata, poreski registri, registri insolventnosti itd. U tu svrhu, potrebno je pripremiti inventar relevantnih baza podataka i potpisati protokole o međusobnoj interoperabilnosti baza podataka sa relevantnim institucijama.</w:t>
      </w:r>
    </w:p>
    <w:p w14:paraId="6329C86C" w14:textId="5A755507" w:rsidR="005D3178" w:rsidRPr="00B83578" w:rsidRDefault="00543023" w:rsidP="00CE3066">
      <w:pPr>
        <w:pStyle w:val="Heading3"/>
      </w:pPr>
      <w:bookmarkStart w:id="185" w:name="_Toc201700426"/>
      <w:r>
        <w:t>Akcija</w:t>
      </w:r>
      <w:r w:rsidR="005D3178" w:rsidRPr="00B83578">
        <w:t xml:space="preserve"> 6.8. </w:t>
      </w:r>
      <w:r w:rsidR="00206BD1">
        <w:t>Uspostavljanje budžeta i fiskalnih pravila koja omogućavaju usklađivanje sa pravilima za opoziv po relevantnim Regulativama Kohezione politike</w:t>
      </w:r>
      <w:r w:rsidR="005D3178" w:rsidRPr="00B83578">
        <w:t>.</w:t>
      </w:r>
      <w:bookmarkEnd w:id="185"/>
      <w:r w:rsidR="005D3178" w:rsidRPr="00B83578">
        <w:t xml:space="preserve"> </w:t>
      </w:r>
    </w:p>
    <w:p w14:paraId="0F386A2F" w14:textId="37AE1279" w:rsidR="00265715" w:rsidRDefault="00265715" w:rsidP="00CE3066">
      <w:r w:rsidRPr="00265715">
        <w:t>Svaka eventualna izmjena</w:t>
      </w:r>
      <w:r w:rsidR="00E34511">
        <w:t xml:space="preserve"> i dopuna</w:t>
      </w:r>
      <w:r w:rsidRPr="00265715">
        <w:t xml:space="preserve"> koja će biti potrebna Zakonu o budžetu i fiskalnoj odgovornosti u vezi sa pravilima o </w:t>
      </w:r>
      <w:r w:rsidR="00E34511">
        <w:t>povlačenju sredstava</w:t>
      </w:r>
      <w:r w:rsidRPr="00265715">
        <w:t xml:space="preserve"> prema relevantnim propisima Kohezione politike biće pripremljena.</w:t>
      </w:r>
    </w:p>
    <w:p w14:paraId="35C5F9C2" w14:textId="770B38AB" w:rsidR="005D3178" w:rsidRPr="00B83578" w:rsidRDefault="00543023" w:rsidP="00CE3066">
      <w:pPr>
        <w:pStyle w:val="Heading3"/>
      </w:pPr>
      <w:bookmarkStart w:id="186" w:name="_Toc201700427"/>
      <w:r>
        <w:t>Akcija</w:t>
      </w:r>
      <w:r w:rsidR="005D3178" w:rsidRPr="00B83578">
        <w:t xml:space="preserve"> 6.9. </w:t>
      </w:r>
      <w:r w:rsidR="000D52B4">
        <w:t>Podsticanje Jedinstvenog revizorskog pristupa kako bi se izbjegle bespotrebno dupliranje između kontrola i opterećivanje korisnika</w:t>
      </w:r>
      <w:r w:rsidR="005D3178" w:rsidRPr="00B83578">
        <w:t>.</w:t>
      </w:r>
      <w:bookmarkEnd w:id="186"/>
      <w:r w:rsidR="005D3178" w:rsidRPr="00B83578">
        <w:t xml:space="preserve"> </w:t>
      </w:r>
    </w:p>
    <w:p w14:paraId="2E3B5E7E" w14:textId="69BD5B9A" w:rsidR="00265715" w:rsidRDefault="00265715" w:rsidP="00265715">
      <w:r>
        <w:t xml:space="preserve">Uvođenje pristupa jedinstvene revizije u skladu sa odredbama </w:t>
      </w:r>
      <w:r w:rsidR="00CD0020">
        <w:t>RZO</w:t>
      </w:r>
      <w:r>
        <w:t xml:space="preserve"> Čl. 80 kako bi se izbjeglo nepotrebno preklapanje između kontrola i opterećenja na korisnike. Ova akcija predviđa organizaciju radionica radi poboljšanja zajedničkog razumijevanja pristupa jedinstvenoj reviziji i postizanja uniformnije interpretacije ovog modela od strane crnogorskih vlasti u kontekstu očuvanja nezavisnosti revizorske funkcije.</w:t>
      </w:r>
    </w:p>
    <w:p w14:paraId="6A3D0613" w14:textId="07A79E5F" w:rsidR="00265715" w:rsidRDefault="00265715" w:rsidP="00265715">
      <w:r>
        <w:t xml:space="preserve">Akcije predviđene u ovom poglavlju </w:t>
      </w:r>
      <w:r w:rsidR="00343A02">
        <w:t>Plana aktivnosti</w:t>
      </w:r>
      <w:r>
        <w:t xml:space="preserve"> ne uključuju:</w:t>
      </w:r>
    </w:p>
    <w:p w14:paraId="465653E7" w14:textId="77777777" w:rsidR="00E34511" w:rsidRDefault="00265715" w:rsidP="00D15218">
      <w:pPr>
        <w:pStyle w:val="ListParagraph"/>
        <w:numPr>
          <w:ilvl w:val="0"/>
          <w:numId w:val="54"/>
        </w:numPr>
      </w:pPr>
      <w:r>
        <w:t>Razradu procedura za finansijsko upravljanje, kontrolu i reviziju, koje su uključene u Poglavlje 2 (Institucionalni okvir).</w:t>
      </w:r>
    </w:p>
    <w:p w14:paraId="20FF196A" w14:textId="77777777" w:rsidR="00E34511" w:rsidRDefault="00265715" w:rsidP="00D15218">
      <w:pPr>
        <w:pStyle w:val="ListParagraph"/>
        <w:numPr>
          <w:ilvl w:val="0"/>
          <w:numId w:val="54"/>
        </w:numPr>
      </w:pPr>
      <w:r>
        <w:t>Pripremu paketa usklađenosti za povjeravanje upravljačkih i kontrolnih sistema za svaki program, uključene u Poglavlje 2 (Institucionalni okvir).</w:t>
      </w:r>
    </w:p>
    <w:p w14:paraId="100A2A03" w14:textId="70FA6D49" w:rsidR="00E34511" w:rsidRDefault="00265715" w:rsidP="00D15218">
      <w:pPr>
        <w:pStyle w:val="ListParagraph"/>
        <w:numPr>
          <w:ilvl w:val="0"/>
          <w:numId w:val="54"/>
        </w:numPr>
      </w:pPr>
      <w:r>
        <w:lastRenderedPageBreak/>
        <w:t>Unapr</w:t>
      </w:r>
      <w:r w:rsidR="00E34511">
        <w:t>j</w:t>
      </w:r>
      <w:r>
        <w:t>eđenje kapaciteta relevantnih institucija u oblastima finansijskog upravljanja, kontrole i revizije, koje su uključene u Poglavlje 3 (Administrativni kapaciteti).</w:t>
      </w:r>
    </w:p>
    <w:p w14:paraId="7B7CE6CF" w14:textId="23D26943" w:rsidR="00265715" w:rsidRDefault="00265715" w:rsidP="00D15218">
      <w:pPr>
        <w:pStyle w:val="ListParagraph"/>
        <w:numPr>
          <w:ilvl w:val="0"/>
          <w:numId w:val="54"/>
        </w:numPr>
      </w:pPr>
      <w:r>
        <w:t xml:space="preserve">Uspostavljanje </w:t>
      </w:r>
      <w:r w:rsidR="00397FD1">
        <w:t>Informacionog sistema za upravljanje</w:t>
      </w:r>
      <w:r>
        <w:t xml:space="preserve"> (</w:t>
      </w:r>
      <w:r w:rsidR="00A067C3">
        <w:t>ISU</w:t>
      </w:r>
      <w:r>
        <w:t>) i e-Kohe</w:t>
      </w:r>
      <w:r w:rsidR="00E34511">
        <w:t>z</w:t>
      </w:r>
      <w:r>
        <w:t>ije, koji su uključeni u Poglavlje 5 (</w:t>
      </w:r>
      <w:r w:rsidR="00E34511">
        <w:t>Monitoring</w:t>
      </w:r>
      <w:r>
        <w:t xml:space="preserve"> i evaluacija). Detaljan plan za uspostavljanje elektronskog </w:t>
      </w:r>
      <w:r w:rsidR="00A067C3">
        <w:t>ISU</w:t>
      </w:r>
      <w:r>
        <w:t xml:space="preserve">-a jedan je od šest završnih </w:t>
      </w:r>
      <w:r w:rsidR="00E34511">
        <w:t>mjerila</w:t>
      </w:r>
      <w:r>
        <w:t xml:space="preserve"> za Poglavlje 22 ((Završn</w:t>
      </w:r>
      <w:r w:rsidR="00E34511">
        <w:t>o mjerilo</w:t>
      </w:r>
      <w:r>
        <w:t xml:space="preserve">: “Crna Gora dostavlja Komisiji detaljan plan i vremenski raspored u vezi sa uspostavljanjem sistema praćenja i evaluacije, uključujući uspostavljanje elektronskog </w:t>
      </w:r>
      <w:r w:rsidR="00E34511">
        <w:t>S</w:t>
      </w:r>
      <w:r>
        <w:t>istema upravljanja i informacija (</w:t>
      </w:r>
      <w:r w:rsidR="00A067C3">
        <w:t>ISU</w:t>
      </w:r>
      <w:r>
        <w:t>)”.</w:t>
      </w:r>
    </w:p>
    <w:p w14:paraId="3F2C4B1F" w14:textId="70849B2F" w:rsidR="005D3178" w:rsidRPr="00B83578" w:rsidRDefault="001D692B" w:rsidP="003B55E8">
      <w:pPr>
        <w:pStyle w:val="Caption"/>
      </w:pPr>
      <w:bookmarkStart w:id="187" w:name="_Toc193895457"/>
      <w:r>
        <w:t>Tabela</w:t>
      </w:r>
      <w:r w:rsidR="00A673D8" w:rsidRPr="00B83578">
        <w:t xml:space="preserve"> </w:t>
      </w:r>
      <w:fldSimple w:instr=" SEQ Table \* ARABIC ">
        <w:r w:rsidR="003C2962">
          <w:rPr>
            <w:noProof/>
          </w:rPr>
          <w:t>13</w:t>
        </w:r>
      </w:fldSimple>
      <w:r w:rsidR="00A673D8" w:rsidRPr="00B83578">
        <w:t xml:space="preserve">: </w:t>
      </w:r>
      <w:r w:rsidRPr="001D692B">
        <w:t>Planirane akcije u okviru Poglavlja Finansijsko upravljanje i kontrola</w:t>
      </w:r>
      <w:bookmarkEnd w:id="187"/>
    </w:p>
    <w:tbl>
      <w:tblPr>
        <w:tblStyle w:val="GridTable5Dark-Accent11"/>
        <w:tblW w:w="5000" w:type="pct"/>
        <w:tblInd w:w="0" w:type="dxa"/>
        <w:tblLook w:val="04A0" w:firstRow="1" w:lastRow="0" w:firstColumn="1" w:lastColumn="0" w:noHBand="0" w:noVBand="1"/>
      </w:tblPr>
      <w:tblGrid>
        <w:gridCol w:w="606"/>
        <w:gridCol w:w="1408"/>
        <w:gridCol w:w="1200"/>
        <w:gridCol w:w="862"/>
        <w:gridCol w:w="1537"/>
        <w:gridCol w:w="868"/>
        <w:gridCol w:w="755"/>
        <w:gridCol w:w="1393"/>
        <w:gridCol w:w="721"/>
      </w:tblGrid>
      <w:tr w:rsidR="000E52BD" w:rsidRPr="000E52BD" w14:paraId="29BBD3F8" w14:textId="77777777" w:rsidTr="000E52B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3" w:type="pct"/>
            <w:hideMark/>
          </w:tcPr>
          <w:p w14:paraId="70B72141" w14:textId="5230A00A" w:rsidR="000E52BD" w:rsidRPr="000E52BD" w:rsidRDefault="00543023" w:rsidP="000E52BD">
            <w:pPr>
              <w:spacing w:after="0"/>
              <w:jc w:val="left"/>
              <w:rPr>
                <w:rFonts w:eastAsia="Times New Roman"/>
                <w:kern w:val="0"/>
                <w:sz w:val="14"/>
                <w:szCs w:val="14"/>
                <w:lang w:eastAsia="en-GB"/>
                <w14:ligatures w14:val="none"/>
              </w:rPr>
            </w:pPr>
            <w:r>
              <w:rPr>
                <w:rFonts w:eastAsia="Times New Roman"/>
                <w:kern w:val="0"/>
                <w:sz w:val="14"/>
                <w:szCs w:val="14"/>
                <w:lang w:eastAsia="en-GB"/>
                <w14:ligatures w14:val="none"/>
              </w:rPr>
              <w:t>Kod akcije</w:t>
            </w:r>
          </w:p>
        </w:tc>
        <w:tc>
          <w:tcPr>
            <w:tcW w:w="819" w:type="pct"/>
            <w:hideMark/>
          </w:tcPr>
          <w:p w14:paraId="3C83B067" w14:textId="66C4085F" w:rsidR="000E52BD" w:rsidRPr="000E52BD" w:rsidRDefault="00543023" w:rsidP="000E52B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Naziv akcije</w:t>
            </w:r>
          </w:p>
        </w:tc>
        <w:tc>
          <w:tcPr>
            <w:tcW w:w="635" w:type="pct"/>
            <w:hideMark/>
          </w:tcPr>
          <w:p w14:paraId="23132793" w14:textId="223A138A" w:rsidR="000E52BD" w:rsidRPr="000E52BD" w:rsidRDefault="0013334C" w:rsidP="000E52B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Nadležnost</w:t>
            </w:r>
          </w:p>
        </w:tc>
        <w:tc>
          <w:tcPr>
            <w:tcW w:w="395" w:type="pct"/>
            <w:hideMark/>
          </w:tcPr>
          <w:p w14:paraId="30E2092C" w14:textId="7E24DBEB" w:rsidR="000E52BD" w:rsidRPr="000E52BD" w:rsidRDefault="0013334C" w:rsidP="000E52B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Raspored</w:t>
            </w:r>
          </w:p>
        </w:tc>
        <w:tc>
          <w:tcPr>
            <w:tcW w:w="888" w:type="pct"/>
            <w:hideMark/>
          </w:tcPr>
          <w:p w14:paraId="6A869D7F" w14:textId="79A97E51" w:rsidR="000E52BD" w:rsidRPr="000E52BD" w:rsidRDefault="0013334C" w:rsidP="000E52B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Indikator</w:t>
            </w:r>
          </w:p>
        </w:tc>
        <w:tc>
          <w:tcPr>
            <w:tcW w:w="395" w:type="pct"/>
            <w:hideMark/>
          </w:tcPr>
          <w:p w14:paraId="4954FA09" w14:textId="50E802ED" w:rsidR="000E52BD" w:rsidRPr="000E52BD" w:rsidRDefault="00683B6B" w:rsidP="000E52B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Vrsta</w:t>
            </w:r>
          </w:p>
        </w:tc>
        <w:tc>
          <w:tcPr>
            <w:tcW w:w="395" w:type="pct"/>
            <w:hideMark/>
          </w:tcPr>
          <w:p w14:paraId="5C09107F" w14:textId="023DEB71" w:rsidR="000E52BD" w:rsidRPr="000E52BD" w:rsidRDefault="00683B6B" w:rsidP="000E52B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Resurs</w:t>
            </w:r>
          </w:p>
        </w:tc>
        <w:tc>
          <w:tcPr>
            <w:tcW w:w="811" w:type="pct"/>
            <w:hideMark/>
          </w:tcPr>
          <w:p w14:paraId="62CAC12F" w14:textId="3F7D8F97" w:rsidR="000E52BD" w:rsidRPr="000E52BD" w:rsidRDefault="00683B6B" w:rsidP="000E52B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Napomena</w:t>
            </w:r>
          </w:p>
        </w:tc>
        <w:tc>
          <w:tcPr>
            <w:tcW w:w="410" w:type="pct"/>
            <w:hideMark/>
          </w:tcPr>
          <w:p w14:paraId="17621B3E" w14:textId="7FFF51CA" w:rsidR="000E52BD" w:rsidRPr="000E52BD" w:rsidRDefault="00683B6B" w:rsidP="000E52BD">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 xml:space="preserve">Oznaka </w:t>
            </w:r>
            <w:r w:rsidR="00AF5AA9">
              <w:rPr>
                <w:rFonts w:eastAsia="Times New Roman"/>
                <w:kern w:val="0"/>
                <w:sz w:val="14"/>
                <w:szCs w:val="14"/>
                <w:lang w:eastAsia="en-GB"/>
                <w14:ligatures w14:val="none"/>
              </w:rPr>
              <w:t>mjerila</w:t>
            </w:r>
          </w:p>
        </w:tc>
      </w:tr>
      <w:tr w:rsidR="000E52BD" w:rsidRPr="000E52BD" w14:paraId="33E8B569" w14:textId="77777777" w:rsidTr="000E52BD">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253" w:type="pct"/>
            <w:hideMark/>
          </w:tcPr>
          <w:p w14:paraId="25BF9EA5"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6.01.</w:t>
            </w:r>
          </w:p>
        </w:tc>
        <w:tc>
          <w:tcPr>
            <w:tcW w:w="819" w:type="pct"/>
            <w:hideMark/>
          </w:tcPr>
          <w:p w14:paraId="4335F9B5" w14:textId="234F203E"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Redovno podnošenje Izjava o upravljanju od strane Nacionalnog službenika za ovjeravanje za svaki Program koji se sprovodi u indirektnom upravljanju od strane Crne Gore.</w:t>
            </w:r>
          </w:p>
        </w:tc>
        <w:tc>
          <w:tcPr>
            <w:tcW w:w="635" w:type="pct"/>
            <w:hideMark/>
          </w:tcPr>
          <w:p w14:paraId="08B95F76" w14:textId="26FCD0F8"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4A8FE904" w14:textId="1EBD3C61"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1</w:t>
            </w:r>
          </w:p>
        </w:tc>
        <w:tc>
          <w:tcPr>
            <w:tcW w:w="888" w:type="pct"/>
            <w:hideMark/>
          </w:tcPr>
          <w:p w14:paraId="0DEB0C4F" w14:textId="2BC60D81" w:rsidR="000E52BD" w:rsidRPr="000E52BD" w:rsidRDefault="009C7879"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Pismo o predaji.</w:t>
            </w:r>
          </w:p>
        </w:tc>
        <w:tc>
          <w:tcPr>
            <w:tcW w:w="395" w:type="pct"/>
            <w:hideMark/>
          </w:tcPr>
          <w:p w14:paraId="0D43DB9D" w14:textId="57874356" w:rsidR="000E52BD" w:rsidRPr="000E52BD" w:rsidRDefault="0013334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7F4CD040"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811" w:type="pct"/>
            <w:hideMark/>
          </w:tcPr>
          <w:p w14:paraId="40DE2C9F"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10" w:type="pct"/>
            <w:hideMark/>
          </w:tcPr>
          <w:p w14:paraId="2662B5E4" w14:textId="282C2529" w:rsidR="000E52BD" w:rsidRPr="000E52BD" w:rsidRDefault="0032369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0E52BD" w:rsidRPr="000E52BD">
              <w:rPr>
                <w:rFonts w:ascii="Aptos" w:eastAsia="Times New Roman" w:hAnsi="Aptos"/>
                <w:kern w:val="0"/>
                <w:sz w:val="14"/>
                <w:szCs w:val="14"/>
                <w:lang w:eastAsia="en-GB"/>
                <w14:ligatures w14:val="none"/>
              </w:rPr>
              <w:t>.1.01.</w:t>
            </w:r>
          </w:p>
        </w:tc>
      </w:tr>
      <w:tr w:rsidR="000E52BD" w:rsidRPr="000E52BD" w14:paraId="0A262B47" w14:textId="77777777" w:rsidTr="000E52BD">
        <w:trPr>
          <w:trHeight w:val="1470"/>
        </w:trPr>
        <w:tc>
          <w:tcPr>
            <w:cnfStyle w:val="001000000000" w:firstRow="0" w:lastRow="0" w:firstColumn="1" w:lastColumn="0" w:oddVBand="0" w:evenVBand="0" w:oddHBand="0" w:evenHBand="0" w:firstRowFirstColumn="0" w:firstRowLastColumn="0" w:lastRowFirstColumn="0" w:lastRowLastColumn="0"/>
            <w:tcW w:w="253" w:type="pct"/>
            <w:hideMark/>
          </w:tcPr>
          <w:p w14:paraId="01843EDC"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6.01.</w:t>
            </w:r>
          </w:p>
        </w:tc>
        <w:tc>
          <w:tcPr>
            <w:tcW w:w="819" w:type="pct"/>
            <w:hideMark/>
          </w:tcPr>
          <w:p w14:paraId="496C3CDD" w14:textId="3A27D00B"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Redovno podnošenje Izjava o upravljanju od strane Nacionalnog službenika za ovjeravanje za svaki Program koji se sprovodi u indirektnom upravljanju od strane Crne Gore.</w:t>
            </w:r>
          </w:p>
        </w:tc>
        <w:tc>
          <w:tcPr>
            <w:tcW w:w="635" w:type="pct"/>
            <w:hideMark/>
          </w:tcPr>
          <w:p w14:paraId="5867B3F1" w14:textId="594A9B9A"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1D6EF8B3" w14:textId="1EDFF799"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1</w:t>
            </w:r>
          </w:p>
        </w:tc>
        <w:tc>
          <w:tcPr>
            <w:tcW w:w="888" w:type="pct"/>
            <w:hideMark/>
          </w:tcPr>
          <w:p w14:paraId="45479DD4" w14:textId="04756533" w:rsidR="000E52BD" w:rsidRPr="000E52BD" w:rsidRDefault="009C7879"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Pismo o predaji.</w:t>
            </w:r>
          </w:p>
        </w:tc>
        <w:tc>
          <w:tcPr>
            <w:tcW w:w="395" w:type="pct"/>
            <w:hideMark/>
          </w:tcPr>
          <w:p w14:paraId="677EADB2" w14:textId="5A1C248A" w:rsidR="000E52BD" w:rsidRPr="000E52BD" w:rsidRDefault="0013334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01DA8426"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811" w:type="pct"/>
            <w:hideMark/>
          </w:tcPr>
          <w:p w14:paraId="370C4A4C"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10" w:type="pct"/>
            <w:hideMark/>
          </w:tcPr>
          <w:p w14:paraId="6D8B0AB1" w14:textId="7E41E209" w:rsidR="000E52BD" w:rsidRPr="000E52BD" w:rsidRDefault="0032369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0E52BD" w:rsidRPr="000E52BD">
              <w:rPr>
                <w:rFonts w:ascii="Aptos" w:eastAsia="Times New Roman" w:hAnsi="Aptos"/>
                <w:kern w:val="0"/>
                <w:sz w:val="14"/>
                <w:szCs w:val="14"/>
                <w:lang w:eastAsia="en-GB"/>
                <w14:ligatures w14:val="none"/>
              </w:rPr>
              <w:t>.1.01.</w:t>
            </w:r>
          </w:p>
        </w:tc>
      </w:tr>
      <w:tr w:rsidR="000E52BD" w:rsidRPr="000E52BD" w14:paraId="42DF91D2" w14:textId="77777777" w:rsidTr="000E52BD">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755709BF"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6.02.</w:t>
            </w:r>
          </w:p>
        </w:tc>
        <w:tc>
          <w:tcPr>
            <w:tcW w:w="819" w:type="pct"/>
            <w:hideMark/>
          </w:tcPr>
          <w:p w14:paraId="271DE51E" w14:textId="3047AF96"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Redovno praćenje isplate sredstava iz finansijskog okvira IPA II i planiranje sredstava iz IPA III, o čemu se izvještava EK.   </w:t>
            </w:r>
          </w:p>
        </w:tc>
        <w:tc>
          <w:tcPr>
            <w:tcW w:w="635" w:type="pct"/>
            <w:hideMark/>
          </w:tcPr>
          <w:p w14:paraId="40EB65C6" w14:textId="2190FAE2"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21AC2769" w14:textId="22EC282C"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2</w:t>
            </w:r>
          </w:p>
        </w:tc>
        <w:tc>
          <w:tcPr>
            <w:tcW w:w="888" w:type="pct"/>
            <w:hideMark/>
          </w:tcPr>
          <w:p w14:paraId="6470AFC0" w14:textId="462707C2" w:rsidR="000E52BD" w:rsidRPr="000E52BD" w:rsidRDefault="009C7879"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Zadovoljavajuće stope isplate sredstava iz IPA II fondova, kako je prikazano u IPA aplikaciji.</w:t>
            </w:r>
          </w:p>
        </w:tc>
        <w:tc>
          <w:tcPr>
            <w:tcW w:w="395" w:type="pct"/>
            <w:hideMark/>
          </w:tcPr>
          <w:p w14:paraId="521332F6" w14:textId="5394EB70" w:rsidR="000E52BD" w:rsidRPr="000E52BD" w:rsidRDefault="0013334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4596FBE1"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811" w:type="pct"/>
            <w:hideMark/>
          </w:tcPr>
          <w:p w14:paraId="4C49D1E3"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10" w:type="pct"/>
            <w:hideMark/>
          </w:tcPr>
          <w:p w14:paraId="4705C190" w14:textId="7516EF94" w:rsidR="000E52BD" w:rsidRPr="000E52BD" w:rsidRDefault="0032369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0E52BD" w:rsidRPr="000E52BD">
              <w:rPr>
                <w:rFonts w:ascii="Aptos" w:eastAsia="Times New Roman" w:hAnsi="Aptos"/>
                <w:kern w:val="0"/>
                <w:sz w:val="14"/>
                <w:szCs w:val="14"/>
                <w:lang w:eastAsia="en-GB"/>
                <w14:ligatures w14:val="none"/>
              </w:rPr>
              <w:t>.1.02.</w:t>
            </w:r>
          </w:p>
        </w:tc>
      </w:tr>
      <w:tr w:rsidR="000E52BD" w:rsidRPr="000E52BD" w14:paraId="0AB1BE46" w14:textId="77777777" w:rsidTr="000E52BD">
        <w:trPr>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15E9FD55"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6.02.</w:t>
            </w:r>
          </w:p>
        </w:tc>
        <w:tc>
          <w:tcPr>
            <w:tcW w:w="819" w:type="pct"/>
            <w:hideMark/>
          </w:tcPr>
          <w:p w14:paraId="4CA869C3" w14:textId="1A4A2068"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Redovno praćenje isplate sredstava iz finansijskog okvira IPA II i planiranje sredstava iz IPA III, o čemu se izvještava EK.   </w:t>
            </w:r>
          </w:p>
        </w:tc>
        <w:tc>
          <w:tcPr>
            <w:tcW w:w="635" w:type="pct"/>
            <w:hideMark/>
          </w:tcPr>
          <w:p w14:paraId="73EE4D68" w14:textId="50C2D65D"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181C7A62" w14:textId="6E9480BD"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2</w:t>
            </w:r>
          </w:p>
        </w:tc>
        <w:tc>
          <w:tcPr>
            <w:tcW w:w="888" w:type="pct"/>
            <w:hideMark/>
          </w:tcPr>
          <w:p w14:paraId="178FAEC9" w14:textId="51E01C70" w:rsidR="000E52BD" w:rsidRPr="000E52BD" w:rsidRDefault="009C7879"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Zadovoljavajuće stope isplate sredstava iz IPA II fondova, kako je prikazano u IPA aplikaciji.</w:t>
            </w:r>
          </w:p>
        </w:tc>
        <w:tc>
          <w:tcPr>
            <w:tcW w:w="395" w:type="pct"/>
            <w:hideMark/>
          </w:tcPr>
          <w:p w14:paraId="7E311CCC" w14:textId="42DD9863" w:rsidR="000E52BD" w:rsidRPr="000E52BD" w:rsidRDefault="0013334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3D2ABEC3"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811" w:type="pct"/>
            <w:hideMark/>
          </w:tcPr>
          <w:p w14:paraId="2BE51409"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10" w:type="pct"/>
            <w:hideMark/>
          </w:tcPr>
          <w:p w14:paraId="0E3E64E8" w14:textId="5DB7604A" w:rsidR="000E52BD" w:rsidRPr="000E52BD" w:rsidRDefault="0032369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0E52BD" w:rsidRPr="000E52BD">
              <w:rPr>
                <w:rFonts w:ascii="Aptos" w:eastAsia="Times New Roman" w:hAnsi="Aptos"/>
                <w:kern w:val="0"/>
                <w:sz w:val="14"/>
                <w:szCs w:val="14"/>
                <w:lang w:eastAsia="en-GB"/>
                <w14:ligatures w14:val="none"/>
              </w:rPr>
              <w:t>.1.02.</w:t>
            </w:r>
          </w:p>
        </w:tc>
      </w:tr>
      <w:tr w:rsidR="000E52BD" w:rsidRPr="000E52BD" w14:paraId="1D0E6E4E" w14:textId="77777777" w:rsidTr="000E52BD">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5FDD3A6D"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6.03.</w:t>
            </w:r>
          </w:p>
        </w:tc>
        <w:tc>
          <w:tcPr>
            <w:tcW w:w="819" w:type="pct"/>
            <w:hideMark/>
          </w:tcPr>
          <w:p w14:paraId="45174DE0" w14:textId="3E6D6E60"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Redovno praćenje ugovaranja sredstava iz finansijskog okvira IPA II i planiranje sredstava iz IPA III, o čemu se izvještava EK.        </w:t>
            </w:r>
          </w:p>
        </w:tc>
        <w:tc>
          <w:tcPr>
            <w:tcW w:w="635" w:type="pct"/>
            <w:hideMark/>
          </w:tcPr>
          <w:p w14:paraId="2A1361E5" w14:textId="5AAD7FC7"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449F47A9" w14:textId="0F1689D0"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2</w:t>
            </w:r>
          </w:p>
        </w:tc>
        <w:tc>
          <w:tcPr>
            <w:tcW w:w="888" w:type="pct"/>
            <w:hideMark/>
          </w:tcPr>
          <w:p w14:paraId="2D8D0473" w14:textId="00863E6D" w:rsidR="000E52BD" w:rsidRPr="000E52BD" w:rsidRDefault="009C7879"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Zadovoljavajuća ugovorenost sredstava iz IPA fondova, prema izvještajima iz IPA aplikacije.</w:t>
            </w:r>
          </w:p>
        </w:tc>
        <w:tc>
          <w:tcPr>
            <w:tcW w:w="395" w:type="pct"/>
            <w:hideMark/>
          </w:tcPr>
          <w:p w14:paraId="15F07264" w14:textId="0F12B669" w:rsidR="000E52BD" w:rsidRPr="000E52BD" w:rsidRDefault="0013334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44612C29"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811" w:type="pct"/>
            <w:hideMark/>
          </w:tcPr>
          <w:p w14:paraId="5EE805D2"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10" w:type="pct"/>
            <w:hideMark/>
          </w:tcPr>
          <w:p w14:paraId="06343CD5" w14:textId="1BA20959" w:rsidR="000E52BD" w:rsidRPr="000E52BD" w:rsidRDefault="0032369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0E52BD" w:rsidRPr="000E52BD">
              <w:rPr>
                <w:rFonts w:ascii="Aptos" w:eastAsia="Times New Roman" w:hAnsi="Aptos"/>
                <w:kern w:val="0"/>
                <w:sz w:val="14"/>
                <w:szCs w:val="14"/>
                <w:lang w:eastAsia="en-GB"/>
                <w14:ligatures w14:val="none"/>
              </w:rPr>
              <w:t>.1.03.</w:t>
            </w:r>
          </w:p>
        </w:tc>
      </w:tr>
      <w:tr w:rsidR="000E52BD" w:rsidRPr="000E52BD" w14:paraId="013CFDF3" w14:textId="77777777" w:rsidTr="000E52BD">
        <w:trPr>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4DAA5F48"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6.03.</w:t>
            </w:r>
          </w:p>
        </w:tc>
        <w:tc>
          <w:tcPr>
            <w:tcW w:w="819" w:type="pct"/>
            <w:hideMark/>
          </w:tcPr>
          <w:p w14:paraId="1C1628CC" w14:textId="5E0DF40C"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Redovno praćenje ugovaranja sredstava iz finansijskog okvira IPA II i planiranje sredstava iz IPA III, o čemu se izvještava EK.        </w:t>
            </w:r>
          </w:p>
        </w:tc>
        <w:tc>
          <w:tcPr>
            <w:tcW w:w="635" w:type="pct"/>
            <w:hideMark/>
          </w:tcPr>
          <w:p w14:paraId="1927D335" w14:textId="5852A5D1"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27DE5B77" w14:textId="31843312"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2</w:t>
            </w:r>
          </w:p>
        </w:tc>
        <w:tc>
          <w:tcPr>
            <w:tcW w:w="888" w:type="pct"/>
            <w:hideMark/>
          </w:tcPr>
          <w:p w14:paraId="1867BB73" w14:textId="088989B2" w:rsidR="000E52BD" w:rsidRPr="000E52BD" w:rsidRDefault="009C7879"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Zadovoljavajuća ugovorenost sredstava iz IPA fondova, prema izvještajima iz IPA aplikacije.</w:t>
            </w:r>
          </w:p>
        </w:tc>
        <w:tc>
          <w:tcPr>
            <w:tcW w:w="395" w:type="pct"/>
            <w:hideMark/>
          </w:tcPr>
          <w:p w14:paraId="5E8EEEBC" w14:textId="06CA3D7A" w:rsidR="000E52BD" w:rsidRPr="000E52BD" w:rsidRDefault="0013334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395" w:type="pct"/>
            <w:hideMark/>
          </w:tcPr>
          <w:p w14:paraId="2C6998D6"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811" w:type="pct"/>
            <w:hideMark/>
          </w:tcPr>
          <w:p w14:paraId="6A190ADA"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10" w:type="pct"/>
            <w:hideMark/>
          </w:tcPr>
          <w:p w14:paraId="5DC2477A" w14:textId="5FB1D4DF" w:rsidR="000E52BD" w:rsidRPr="000E52BD" w:rsidRDefault="0032369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ZM</w:t>
            </w:r>
            <w:r w:rsidR="000E52BD" w:rsidRPr="000E52BD">
              <w:rPr>
                <w:rFonts w:ascii="Aptos" w:eastAsia="Times New Roman" w:hAnsi="Aptos"/>
                <w:kern w:val="0"/>
                <w:sz w:val="14"/>
                <w:szCs w:val="14"/>
                <w:lang w:eastAsia="en-GB"/>
                <w14:ligatures w14:val="none"/>
              </w:rPr>
              <w:t>.1.03.</w:t>
            </w:r>
          </w:p>
        </w:tc>
      </w:tr>
      <w:tr w:rsidR="000E52BD" w:rsidRPr="000E52BD" w14:paraId="061DAE2F" w14:textId="77777777" w:rsidTr="000E52BD">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1BE6F29A"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6.04.</w:t>
            </w:r>
          </w:p>
        </w:tc>
        <w:tc>
          <w:tcPr>
            <w:tcW w:w="819" w:type="pct"/>
            <w:hideMark/>
          </w:tcPr>
          <w:p w14:paraId="05F5AE94" w14:textId="5B8FE935" w:rsidR="000E52BD" w:rsidRPr="000E52BD" w:rsidRDefault="00206BD1"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Prevencija i identifikacija duplog finansiranja tokom implementacije EU sredstava na nivou zemlje i krajnjeg korisnika</w:t>
            </w:r>
            <w:r w:rsidR="000E52BD" w:rsidRPr="000E52BD">
              <w:rPr>
                <w:rFonts w:ascii="Aptos" w:eastAsia="Times New Roman" w:hAnsi="Aptos"/>
                <w:kern w:val="0"/>
                <w:sz w:val="14"/>
                <w:szCs w:val="14"/>
                <w:lang w:eastAsia="en-GB"/>
                <w14:ligatures w14:val="none"/>
              </w:rPr>
              <w:t>.</w:t>
            </w:r>
          </w:p>
        </w:tc>
        <w:tc>
          <w:tcPr>
            <w:tcW w:w="635" w:type="pct"/>
            <w:hideMark/>
          </w:tcPr>
          <w:p w14:paraId="3D371E53" w14:textId="01FB897B"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06931AFA" w14:textId="45164C42"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2</w:t>
            </w:r>
          </w:p>
        </w:tc>
        <w:tc>
          <w:tcPr>
            <w:tcW w:w="888" w:type="pct"/>
            <w:hideMark/>
          </w:tcPr>
          <w:p w14:paraId="547EA942" w14:textId="287FE698" w:rsidR="000E52BD" w:rsidRPr="000E52BD" w:rsidRDefault="009C7879"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Smjernice za izbjegavanje dvostrukog finansiranja prilikom implementacije fondova EU.</w:t>
            </w:r>
          </w:p>
        </w:tc>
        <w:tc>
          <w:tcPr>
            <w:tcW w:w="395" w:type="pct"/>
            <w:hideMark/>
          </w:tcPr>
          <w:p w14:paraId="1A302AE9" w14:textId="1EEA8873" w:rsidR="000E52BD" w:rsidRPr="000E52BD" w:rsidRDefault="0013334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44EAEFA1" w14:textId="68B801DE" w:rsidR="000E52BD" w:rsidRPr="000E52BD" w:rsidRDefault="00720740"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1" w:type="pct"/>
            <w:hideMark/>
          </w:tcPr>
          <w:p w14:paraId="03F7DC2B" w14:textId="61A58776" w:rsidR="000E52BD" w:rsidRPr="000E52BD" w:rsidRDefault="009C7879"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 Smjernice će biti konsultovane od strane </w:t>
            </w:r>
            <w:r w:rsidR="00CD0020">
              <w:rPr>
                <w:rFonts w:ascii="Aptos" w:eastAsia="Times New Roman" w:hAnsi="Aptos"/>
                <w:kern w:val="0"/>
                <w:sz w:val="14"/>
                <w:szCs w:val="14"/>
                <w:lang w:eastAsia="en-GB"/>
                <w14:ligatures w14:val="none"/>
              </w:rPr>
              <w:t>Delegacije EU</w:t>
            </w:r>
            <w:r>
              <w:rPr>
                <w:rFonts w:ascii="Aptos" w:eastAsia="Times New Roman" w:hAnsi="Aptos"/>
                <w:kern w:val="0"/>
                <w:sz w:val="14"/>
                <w:szCs w:val="14"/>
                <w:lang w:eastAsia="en-GB"/>
                <w14:ligatures w14:val="none"/>
              </w:rPr>
              <w:t>/E</w:t>
            </w:r>
            <w:r w:rsidR="00CD0020">
              <w:rPr>
                <w:rFonts w:ascii="Aptos" w:eastAsia="Times New Roman" w:hAnsi="Aptos"/>
                <w:kern w:val="0"/>
                <w:sz w:val="14"/>
                <w:szCs w:val="14"/>
                <w:lang w:eastAsia="en-GB"/>
                <w14:ligatures w14:val="none"/>
              </w:rPr>
              <w:t>K</w:t>
            </w:r>
            <w:r>
              <w:rPr>
                <w:rFonts w:ascii="Aptos" w:eastAsia="Times New Roman" w:hAnsi="Aptos"/>
                <w:kern w:val="0"/>
                <w:sz w:val="14"/>
                <w:szCs w:val="14"/>
                <w:lang w:eastAsia="en-GB"/>
                <w14:ligatures w14:val="none"/>
              </w:rPr>
              <w:t xml:space="preserve">, odobrene od strane NAO i dostavljene svim implementacionim </w:t>
            </w:r>
            <w:r>
              <w:rPr>
                <w:rFonts w:ascii="Aptos" w:eastAsia="Times New Roman" w:hAnsi="Aptos"/>
                <w:kern w:val="0"/>
                <w:sz w:val="14"/>
                <w:szCs w:val="14"/>
                <w:lang w:eastAsia="en-GB"/>
                <w14:ligatures w14:val="none"/>
              </w:rPr>
              <w:lastRenderedPageBreak/>
              <w:t>tijelima i strukturama.</w:t>
            </w:r>
          </w:p>
        </w:tc>
        <w:tc>
          <w:tcPr>
            <w:tcW w:w="410" w:type="pct"/>
            <w:hideMark/>
          </w:tcPr>
          <w:p w14:paraId="56C60794"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0E52BD" w:rsidRPr="000E52BD" w14:paraId="23C58B36" w14:textId="77777777" w:rsidTr="000E52BD">
        <w:trPr>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3BAFE664"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6.05.</w:t>
            </w:r>
          </w:p>
        </w:tc>
        <w:tc>
          <w:tcPr>
            <w:tcW w:w="819" w:type="pct"/>
            <w:hideMark/>
          </w:tcPr>
          <w:p w14:paraId="66264F56" w14:textId="1D705F14" w:rsidR="000E52BD" w:rsidRPr="000E52BD" w:rsidRDefault="00206BD1"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Nacionalni okvir Pojednostavljenih opcija</w:t>
            </w:r>
            <w:r w:rsidR="00B24B2D">
              <w:rPr>
                <w:rFonts w:ascii="Aptos" w:eastAsia="Times New Roman" w:hAnsi="Aptos"/>
                <w:kern w:val="0"/>
                <w:sz w:val="14"/>
                <w:szCs w:val="14"/>
                <w:lang w:eastAsia="en-GB"/>
                <w14:ligatures w14:val="none"/>
              </w:rPr>
              <w:t xml:space="preserve"> troškova</w:t>
            </w:r>
            <w:r>
              <w:rPr>
                <w:rFonts w:ascii="Aptos" w:eastAsia="Times New Roman" w:hAnsi="Aptos"/>
                <w:kern w:val="0"/>
                <w:sz w:val="14"/>
                <w:szCs w:val="14"/>
                <w:lang w:eastAsia="en-GB"/>
                <w14:ligatures w14:val="none"/>
              </w:rPr>
              <w:t xml:space="preserve"> i finansiranja koje nije povezano sa troškovima</w:t>
            </w:r>
            <w:r w:rsidR="000E52BD" w:rsidRPr="000E52BD">
              <w:rPr>
                <w:rFonts w:ascii="Aptos" w:eastAsia="Times New Roman" w:hAnsi="Aptos"/>
                <w:kern w:val="0"/>
                <w:sz w:val="14"/>
                <w:szCs w:val="14"/>
                <w:lang w:eastAsia="en-GB"/>
                <w14:ligatures w14:val="none"/>
              </w:rPr>
              <w:t>.</w:t>
            </w:r>
          </w:p>
        </w:tc>
        <w:tc>
          <w:tcPr>
            <w:tcW w:w="635" w:type="pct"/>
            <w:hideMark/>
          </w:tcPr>
          <w:p w14:paraId="66BE7B3E" w14:textId="0D59E9D9"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348AF408" w14:textId="38B35446"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1</w:t>
            </w:r>
          </w:p>
        </w:tc>
        <w:tc>
          <w:tcPr>
            <w:tcW w:w="888" w:type="pct"/>
            <w:hideMark/>
          </w:tcPr>
          <w:p w14:paraId="51C0B012" w14:textId="479A85C1" w:rsidR="000E52BD" w:rsidRPr="000E52BD" w:rsidRDefault="009C7879"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Studija o zakonskim i proceduralnim zahtjevima za uvođenje Pojednostavljenih opcija troškova i finansiranja koje nije povezano sa troškovima u okviru fondova EU u Crnoj Gori.</w:t>
            </w:r>
          </w:p>
        </w:tc>
        <w:tc>
          <w:tcPr>
            <w:tcW w:w="395" w:type="pct"/>
            <w:hideMark/>
          </w:tcPr>
          <w:p w14:paraId="682F8238" w14:textId="4F2A7A2D" w:rsidR="000E52BD" w:rsidRPr="000E52BD" w:rsidRDefault="0013334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01A39CD4" w14:textId="24EEAC0C" w:rsidR="000E52BD" w:rsidRPr="000E52BD" w:rsidRDefault="00720740"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1" w:type="pct"/>
            <w:hideMark/>
          </w:tcPr>
          <w:p w14:paraId="7CC41581" w14:textId="31D39B66" w:rsidR="000E52BD" w:rsidRPr="000E52BD" w:rsidRDefault="00CA6030"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CA6030">
              <w:rPr>
                <w:rFonts w:ascii="Aptos" w:eastAsia="Times New Roman" w:hAnsi="Aptos"/>
                <w:kern w:val="0"/>
                <w:sz w:val="14"/>
                <w:szCs w:val="14"/>
                <w:lang w:eastAsia="en-GB"/>
                <w14:ligatures w14:val="none"/>
              </w:rPr>
              <w:t xml:space="preserve">Studija će biti konsultovana sa </w:t>
            </w:r>
            <w:r w:rsidR="00A067C3">
              <w:rPr>
                <w:rFonts w:ascii="Aptos" w:eastAsia="Times New Roman" w:hAnsi="Aptos"/>
                <w:kern w:val="0"/>
                <w:sz w:val="14"/>
                <w:szCs w:val="14"/>
                <w:lang w:eastAsia="en-GB"/>
                <w14:ligatures w14:val="none"/>
              </w:rPr>
              <w:t>UPT</w:t>
            </w:r>
            <w:r w:rsidRPr="00CA6030">
              <w:rPr>
                <w:rFonts w:ascii="Aptos" w:eastAsia="Times New Roman" w:hAnsi="Aptos"/>
                <w:kern w:val="0"/>
                <w:sz w:val="14"/>
                <w:szCs w:val="14"/>
                <w:lang w:eastAsia="en-GB"/>
                <w14:ligatures w14:val="none"/>
              </w:rPr>
              <w:t>-ima, Posredničkim tijelima i Revizorskim tijelom.</w:t>
            </w:r>
          </w:p>
        </w:tc>
        <w:tc>
          <w:tcPr>
            <w:tcW w:w="410" w:type="pct"/>
            <w:hideMark/>
          </w:tcPr>
          <w:p w14:paraId="0979E151"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0E52BD" w:rsidRPr="000E52BD" w14:paraId="0E0491CC" w14:textId="77777777" w:rsidTr="000E52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53" w:type="pct"/>
            <w:hideMark/>
          </w:tcPr>
          <w:p w14:paraId="6C7A6597"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6.06.</w:t>
            </w:r>
          </w:p>
        </w:tc>
        <w:tc>
          <w:tcPr>
            <w:tcW w:w="819" w:type="pct"/>
            <w:hideMark/>
          </w:tcPr>
          <w:p w14:paraId="2E983CEE" w14:textId="5AF4AD6D" w:rsidR="000E52BD" w:rsidRPr="000E52BD" w:rsidRDefault="00206BD1"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Pravni okvir za </w:t>
            </w:r>
            <w:r w:rsidR="00A80895">
              <w:rPr>
                <w:rFonts w:ascii="Aptos" w:eastAsia="Times New Roman" w:hAnsi="Aptos"/>
                <w:kern w:val="0"/>
                <w:sz w:val="14"/>
                <w:szCs w:val="14"/>
                <w:lang w:eastAsia="en-GB"/>
                <w14:ligatures w14:val="none"/>
              </w:rPr>
              <w:t>implementaciju</w:t>
            </w:r>
            <w:r>
              <w:rPr>
                <w:rFonts w:ascii="Aptos" w:eastAsia="Times New Roman" w:hAnsi="Aptos"/>
                <w:kern w:val="0"/>
                <w:sz w:val="14"/>
                <w:szCs w:val="14"/>
                <w:lang w:eastAsia="en-GB"/>
                <w14:ligatures w14:val="none"/>
              </w:rPr>
              <w:t xml:space="preserve"> proporcionalnih finansijskih korekcija</w:t>
            </w:r>
            <w:r w:rsidR="000E52BD" w:rsidRPr="000E52BD">
              <w:rPr>
                <w:rFonts w:ascii="Aptos" w:eastAsia="Times New Roman" w:hAnsi="Aptos"/>
                <w:kern w:val="0"/>
                <w:sz w:val="14"/>
                <w:szCs w:val="14"/>
                <w:lang w:eastAsia="en-GB"/>
                <w14:ligatures w14:val="none"/>
              </w:rPr>
              <w:t xml:space="preserve">. </w:t>
            </w:r>
          </w:p>
        </w:tc>
        <w:tc>
          <w:tcPr>
            <w:tcW w:w="635" w:type="pct"/>
            <w:hideMark/>
          </w:tcPr>
          <w:p w14:paraId="21663FAB" w14:textId="671C32B8"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6AA5485A" w14:textId="7F2A3949"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1</w:t>
            </w:r>
          </w:p>
        </w:tc>
        <w:tc>
          <w:tcPr>
            <w:tcW w:w="888" w:type="pct"/>
            <w:hideMark/>
          </w:tcPr>
          <w:p w14:paraId="61D59E9A" w14:textId="21243D74" w:rsidR="000E52BD" w:rsidRPr="000E52BD" w:rsidRDefault="009C7879"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Relevantni Poslovnik ili Uredba odobreni od strane vlade.</w:t>
            </w:r>
          </w:p>
        </w:tc>
        <w:tc>
          <w:tcPr>
            <w:tcW w:w="395" w:type="pct"/>
            <w:hideMark/>
          </w:tcPr>
          <w:p w14:paraId="5B326817" w14:textId="6456434C" w:rsidR="000E52BD" w:rsidRPr="000E52BD" w:rsidRDefault="0013334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37D014A5" w14:textId="2288E5EE" w:rsidR="000E52BD" w:rsidRPr="000E52BD" w:rsidRDefault="00720740"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1" w:type="pct"/>
            <w:hideMark/>
          </w:tcPr>
          <w:p w14:paraId="44B4D30F"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10" w:type="pct"/>
            <w:hideMark/>
          </w:tcPr>
          <w:p w14:paraId="6811CD79"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0E52BD" w:rsidRPr="000E52BD" w14:paraId="3AC51310" w14:textId="77777777" w:rsidTr="000E52BD">
        <w:trPr>
          <w:trHeight w:val="840"/>
        </w:trPr>
        <w:tc>
          <w:tcPr>
            <w:cnfStyle w:val="001000000000" w:firstRow="0" w:lastRow="0" w:firstColumn="1" w:lastColumn="0" w:oddVBand="0" w:evenVBand="0" w:oddHBand="0" w:evenHBand="0" w:firstRowFirstColumn="0" w:firstRowLastColumn="0" w:lastRowFirstColumn="0" w:lastRowLastColumn="0"/>
            <w:tcW w:w="253" w:type="pct"/>
            <w:hideMark/>
          </w:tcPr>
          <w:p w14:paraId="6059F5BB"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6.07.</w:t>
            </w:r>
          </w:p>
        </w:tc>
        <w:tc>
          <w:tcPr>
            <w:tcW w:w="819" w:type="pct"/>
            <w:hideMark/>
          </w:tcPr>
          <w:p w14:paraId="7634F0BB" w14:textId="52442E73" w:rsidR="000E52BD" w:rsidRPr="000E52BD" w:rsidRDefault="00206BD1"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Poboljšani pristup za Ugovorn</w:t>
            </w:r>
            <w:r w:rsidR="00477A44">
              <w:rPr>
                <w:rFonts w:ascii="Aptos" w:eastAsia="Times New Roman" w:hAnsi="Aptos"/>
                <w:kern w:val="0"/>
                <w:sz w:val="14"/>
                <w:szCs w:val="14"/>
                <w:lang w:eastAsia="en-GB"/>
                <w14:ligatures w14:val="none"/>
              </w:rPr>
              <w:t>a tijela</w:t>
            </w:r>
            <w:r>
              <w:rPr>
                <w:rFonts w:ascii="Aptos" w:eastAsia="Times New Roman" w:hAnsi="Aptos"/>
                <w:kern w:val="0"/>
                <w:sz w:val="14"/>
                <w:szCs w:val="14"/>
                <w:lang w:eastAsia="en-GB"/>
                <w14:ligatures w14:val="none"/>
              </w:rPr>
              <w:t xml:space="preserve"> relevantnim informacijama za efektivniju verifikaciju upravljanja</w:t>
            </w:r>
            <w:r w:rsidR="000E52BD" w:rsidRPr="000E52BD">
              <w:rPr>
                <w:rFonts w:ascii="Aptos" w:eastAsia="Times New Roman" w:hAnsi="Aptos"/>
                <w:kern w:val="0"/>
                <w:sz w:val="14"/>
                <w:szCs w:val="14"/>
                <w:lang w:eastAsia="en-GB"/>
                <w14:ligatures w14:val="none"/>
              </w:rPr>
              <w:t>.</w:t>
            </w:r>
          </w:p>
        </w:tc>
        <w:tc>
          <w:tcPr>
            <w:tcW w:w="635" w:type="pct"/>
            <w:hideMark/>
          </w:tcPr>
          <w:p w14:paraId="6804220E" w14:textId="0FF68634"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019B5120" w14:textId="0D4EA998"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2</w:t>
            </w:r>
          </w:p>
        </w:tc>
        <w:tc>
          <w:tcPr>
            <w:tcW w:w="888" w:type="pct"/>
            <w:hideMark/>
          </w:tcPr>
          <w:p w14:paraId="3E83EA87" w14:textId="67EE2057" w:rsidR="000E52BD" w:rsidRPr="000E52BD" w:rsidRDefault="009C7879"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Potpisani protokoli o sporazumima o interoperabilnosti baza podataka sa relevantnim institucijama.</w:t>
            </w:r>
          </w:p>
        </w:tc>
        <w:tc>
          <w:tcPr>
            <w:tcW w:w="395" w:type="pct"/>
            <w:hideMark/>
          </w:tcPr>
          <w:p w14:paraId="65C915D5" w14:textId="02F4B161" w:rsidR="000E52BD" w:rsidRPr="000E52BD" w:rsidRDefault="0013334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6E577B0C" w14:textId="3356DC46" w:rsidR="000E52BD" w:rsidRPr="000E52BD" w:rsidRDefault="00720740"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1" w:type="pct"/>
            <w:hideMark/>
          </w:tcPr>
          <w:p w14:paraId="2D186011"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10" w:type="pct"/>
            <w:hideMark/>
          </w:tcPr>
          <w:p w14:paraId="1B2A2473"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0E52BD" w:rsidRPr="000E52BD" w14:paraId="3513872A" w14:textId="77777777" w:rsidTr="000E52BD">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253" w:type="pct"/>
            <w:hideMark/>
          </w:tcPr>
          <w:p w14:paraId="35792B00"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6.08.</w:t>
            </w:r>
          </w:p>
        </w:tc>
        <w:tc>
          <w:tcPr>
            <w:tcW w:w="819" w:type="pct"/>
            <w:hideMark/>
          </w:tcPr>
          <w:p w14:paraId="04735ED8" w14:textId="139F4493" w:rsidR="000E52BD" w:rsidRPr="000E52BD" w:rsidRDefault="00206BD1"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budžeta i fiskalnih pravila koja omogućavaju usklađivanje sa pravilima za opoziv po relevantnim Regulativama Kohezione politike</w:t>
            </w:r>
            <w:r w:rsidR="000E52BD" w:rsidRPr="000E52BD">
              <w:rPr>
                <w:rFonts w:ascii="Aptos" w:eastAsia="Times New Roman" w:hAnsi="Aptos"/>
                <w:kern w:val="0"/>
                <w:sz w:val="14"/>
                <w:szCs w:val="14"/>
                <w:lang w:eastAsia="en-GB"/>
                <w14:ligatures w14:val="none"/>
              </w:rPr>
              <w:t xml:space="preserve">. </w:t>
            </w:r>
          </w:p>
        </w:tc>
        <w:tc>
          <w:tcPr>
            <w:tcW w:w="635" w:type="pct"/>
            <w:hideMark/>
          </w:tcPr>
          <w:p w14:paraId="590A2EA7" w14:textId="7F08CBF7" w:rsidR="000E52BD" w:rsidRPr="000E52BD" w:rsidRDefault="006D6E25"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76ACA09F" w14:textId="5732E6E5"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2</w:t>
            </w:r>
          </w:p>
        </w:tc>
        <w:tc>
          <w:tcPr>
            <w:tcW w:w="888" w:type="pct"/>
            <w:hideMark/>
          </w:tcPr>
          <w:p w14:paraId="579AD970" w14:textId="1B78AC50" w:rsidR="000E52BD" w:rsidRPr="000E52BD" w:rsidRDefault="009C7879"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Analiza Zakona o budžetskom sistemu i fiskalnoj odgovornosti radi procjene potrebnih izmjena u vezi sa pravilima o povlačenju sredstava u skladu sa relevantnim propisima Kohezione </w:t>
            </w:r>
            <w:proofErr w:type="gramStart"/>
            <w:r>
              <w:rPr>
                <w:rFonts w:ascii="Aptos" w:eastAsia="Times New Roman" w:hAnsi="Aptos"/>
                <w:kern w:val="0"/>
                <w:sz w:val="14"/>
                <w:szCs w:val="14"/>
                <w:lang w:eastAsia="en-GB"/>
                <w14:ligatures w14:val="none"/>
              </w:rPr>
              <w:t>politike.</w:t>
            </w:r>
            <w:r w:rsidR="000E52BD" w:rsidRPr="000E52BD">
              <w:rPr>
                <w:rFonts w:ascii="Aptos" w:eastAsia="Times New Roman" w:hAnsi="Aptos"/>
                <w:kern w:val="0"/>
                <w:sz w:val="14"/>
                <w:szCs w:val="14"/>
                <w:lang w:eastAsia="en-GB"/>
                <w14:ligatures w14:val="none"/>
              </w:rPr>
              <w:t>.</w:t>
            </w:r>
            <w:proofErr w:type="gramEnd"/>
          </w:p>
        </w:tc>
        <w:tc>
          <w:tcPr>
            <w:tcW w:w="395" w:type="pct"/>
            <w:hideMark/>
          </w:tcPr>
          <w:p w14:paraId="6A948A42" w14:textId="08C0AC23" w:rsidR="000E52BD" w:rsidRPr="000E52BD" w:rsidRDefault="0013334C"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5F88E762" w14:textId="7C348A15" w:rsidR="000E52BD" w:rsidRPr="000E52BD" w:rsidRDefault="00720740"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1" w:type="pct"/>
            <w:hideMark/>
          </w:tcPr>
          <w:p w14:paraId="2221798A"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410" w:type="pct"/>
            <w:hideMark/>
          </w:tcPr>
          <w:p w14:paraId="79405BED" w14:textId="77777777" w:rsidR="000E52BD" w:rsidRPr="000E52BD" w:rsidRDefault="000E52BD" w:rsidP="000E52BD">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0E52BD" w:rsidRPr="000E52BD" w14:paraId="13331D45" w14:textId="77777777" w:rsidTr="000E52BD">
        <w:trPr>
          <w:trHeight w:val="1470"/>
        </w:trPr>
        <w:tc>
          <w:tcPr>
            <w:cnfStyle w:val="001000000000" w:firstRow="0" w:lastRow="0" w:firstColumn="1" w:lastColumn="0" w:oddVBand="0" w:evenVBand="0" w:oddHBand="0" w:evenHBand="0" w:firstRowFirstColumn="0" w:firstRowLastColumn="0" w:lastRowFirstColumn="0" w:lastRowLastColumn="0"/>
            <w:tcW w:w="253" w:type="pct"/>
            <w:hideMark/>
          </w:tcPr>
          <w:p w14:paraId="493517AC" w14:textId="77777777" w:rsidR="000E52BD" w:rsidRPr="000E52BD" w:rsidRDefault="000E52BD" w:rsidP="000E52BD">
            <w:pPr>
              <w:spacing w:after="0"/>
              <w:jc w:val="left"/>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6.09.</w:t>
            </w:r>
          </w:p>
        </w:tc>
        <w:tc>
          <w:tcPr>
            <w:tcW w:w="819" w:type="pct"/>
            <w:hideMark/>
          </w:tcPr>
          <w:p w14:paraId="14D9EAEB" w14:textId="3D24ED2C" w:rsidR="000E52BD" w:rsidRPr="000E52BD" w:rsidRDefault="000D52B4"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Podsticanje Jedinstvenog revizorskog pristupa kako bi se izbjegle bespotrebno dupliranje između kontrola i opterećivanje korisnika</w:t>
            </w:r>
            <w:r w:rsidR="000E52BD" w:rsidRPr="000E52BD">
              <w:rPr>
                <w:rFonts w:ascii="Aptos" w:eastAsia="Times New Roman" w:hAnsi="Aptos"/>
                <w:kern w:val="0"/>
                <w:sz w:val="14"/>
                <w:szCs w:val="14"/>
                <w:lang w:eastAsia="en-GB"/>
                <w14:ligatures w14:val="none"/>
              </w:rPr>
              <w:t>.</w:t>
            </w:r>
          </w:p>
        </w:tc>
        <w:tc>
          <w:tcPr>
            <w:tcW w:w="635" w:type="pct"/>
            <w:hideMark/>
          </w:tcPr>
          <w:p w14:paraId="0715ED26" w14:textId="182FAC9C" w:rsidR="000E52BD" w:rsidRPr="000E52BD" w:rsidRDefault="006D6E25"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Finansija - NAO/Upravljačka struktura     </w:t>
            </w:r>
          </w:p>
        </w:tc>
        <w:tc>
          <w:tcPr>
            <w:tcW w:w="395" w:type="pct"/>
            <w:hideMark/>
          </w:tcPr>
          <w:p w14:paraId="6F3791FC" w14:textId="23D5315C"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0E52BD">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0E52BD">
              <w:rPr>
                <w:rFonts w:ascii="Aptos" w:eastAsia="Times New Roman" w:hAnsi="Aptos"/>
                <w:kern w:val="0"/>
                <w:sz w:val="14"/>
                <w:szCs w:val="14"/>
                <w:lang w:eastAsia="en-GB"/>
                <w14:ligatures w14:val="none"/>
              </w:rPr>
              <w:t>4</w:t>
            </w:r>
          </w:p>
        </w:tc>
        <w:tc>
          <w:tcPr>
            <w:tcW w:w="888" w:type="pct"/>
            <w:hideMark/>
          </w:tcPr>
          <w:p w14:paraId="41E85FD1" w14:textId="6308AD5A" w:rsidR="000E52BD" w:rsidRPr="000E52BD" w:rsidRDefault="009C7879"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Organizovanje radionica radi unaprjeđenja zajedničkog razumijevanja Jedinstvenog revizorskog pristupa i postizanja ujednačenijeg tumačenja ovog modela od strane crnogorskih vlasti.</w:t>
            </w:r>
          </w:p>
        </w:tc>
        <w:tc>
          <w:tcPr>
            <w:tcW w:w="395" w:type="pct"/>
            <w:hideMark/>
          </w:tcPr>
          <w:p w14:paraId="0AB0A4BA" w14:textId="0F76E9F4" w:rsidR="000E52BD" w:rsidRPr="000E52BD" w:rsidRDefault="0013334C"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35AC3835" w14:textId="184363CE" w:rsidR="000E52BD" w:rsidRPr="000E52BD" w:rsidRDefault="00720740"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1" w:type="pct"/>
            <w:hideMark/>
          </w:tcPr>
          <w:p w14:paraId="2AF50B6B"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410" w:type="pct"/>
            <w:hideMark/>
          </w:tcPr>
          <w:p w14:paraId="15C3CA43" w14:textId="77777777" w:rsidR="000E52BD" w:rsidRPr="000E52BD" w:rsidRDefault="000E52BD" w:rsidP="000E52BD">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bl>
    <w:p w14:paraId="1CEE438B" w14:textId="77777777" w:rsidR="005D3178" w:rsidRPr="00B83578" w:rsidRDefault="005D3178" w:rsidP="004D7015">
      <w:pPr>
        <w:rPr>
          <w:rFonts w:eastAsiaTheme="majorEastAsia" w:cs="Arial"/>
          <w:color w:val="0F4761" w:themeColor="accent1" w:themeShade="BF"/>
          <w:szCs w:val="20"/>
        </w:rPr>
      </w:pPr>
    </w:p>
    <w:p w14:paraId="09E3F85B" w14:textId="77777777" w:rsidR="004D7015" w:rsidRPr="00B83578" w:rsidRDefault="004D7015" w:rsidP="004D7015">
      <w:pPr>
        <w:rPr>
          <w:rFonts w:eastAsiaTheme="majorEastAsia" w:cs="Arial"/>
          <w:color w:val="0F4761" w:themeColor="accent1" w:themeShade="BF"/>
          <w:szCs w:val="20"/>
        </w:rPr>
      </w:pPr>
    </w:p>
    <w:p w14:paraId="260E9028" w14:textId="3E9C88E9" w:rsidR="00280BC4" w:rsidRPr="00B83578" w:rsidRDefault="000D52B4" w:rsidP="00CE3066">
      <w:pPr>
        <w:pStyle w:val="Heading1"/>
      </w:pPr>
      <w:bookmarkStart w:id="188" w:name="_Toc201700428"/>
      <w:r>
        <w:t>Vidljivost, transparentnost i komunikacija</w:t>
      </w:r>
      <w:bookmarkEnd w:id="188"/>
    </w:p>
    <w:p w14:paraId="17BD0FA6" w14:textId="0CA354C9" w:rsidR="00280BC4" w:rsidRPr="00B83578" w:rsidRDefault="009E36FF" w:rsidP="00CE3066">
      <w:pPr>
        <w:pStyle w:val="Heading2"/>
      </w:pPr>
      <w:bookmarkStart w:id="189" w:name="_Toc201700429"/>
      <w:r>
        <w:t>Relevantni zahtjevi Kohezione politike</w:t>
      </w:r>
      <w:bookmarkEnd w:id="189"/>
    </w:p>
    <w:p w14:paraId="5E01A2FE" w14:textId="083243CB" w:rsidR="00E34511" w:rsidRDefault="00CD0020" w:rsidP="00E34511">
      <w:r>
        <w:t>RZO</w:t>
      </w:r>
      <w:r w:rsidR="00E34511">
        <w:t xml:space="preserve"> definiše odgovornosti i obaveze u vezi sa vidljivošću, transparentnošću i komunikacijom u </w:t>
      </w:r>
      <w:r w:rsidR="00CA0078">
        <w:t>Naslovu</w:t>
      </w:r>
      <w:r w:rsidR="00E34511">
        <w:t xml:space="preserve"> IV – </w:t>
      </w:r>
      <w:r w:rsidR="00CA0078">
        <w:t>Pog</w:t>
      </w:r>
      <w:r w:rsidR="00E34511">
        <w:t>lav</w:t>
      </w:r>
      <w:r w:rsidR="00CA0078">
        <w:t>lje</w:t>
      </w:r>
      <w:r w:rsidR="00E34511">
        <w:t xml:space="preserve"> III (Članci 46-50). Ovo obuhvata odgovornosti </w:t>
      </w:r>
      <w:r w:rsidR="00CA0078">
        <w:rPr>
          <w:b/>
        </w:rPr>
        <w:t>D</w:t>
      </w:r>
      <w:r w:rsidR="00E34511" w:rsidRPr="00CA0078">
        <w:rPr>
          <w:b/>
        </w:rPr>
        <w:t>ržava članica</w:t>
      </w:r>
      <w:r w:rsidR="00E34511">
        <w:t xml:space="preserve">, </w:t>
      </w:r>
      <w:r w:rsidR="00CA0078" w:rsidRPr="00CA0078">
        <w:rPr>
          <w:b/>
        </w:rPr>
        <w:t>Upravljačkih tijela</w:t>
      </w:r>
      <w:r w:rsidR="00E34511">
        <w:t xml:space="preserve"> i </w:t>
      </w:r>
      <w:r w:rsidR="00E34511" w:rsidRPr="00CA0078">
        <w:rPr>
          <w:b/>
        </w:rPr>
        <w:t xml:space="preserve">korisnika </w:t>
      </w:r>
      <w:r w:rsidR="00E34511">
        <w:t>sredstava.</w:t>
      </w:r>
    </w:p>
    <w:p w14:paraId="7FD6DCD6" w14:textId="4FB99560" w:rsidR="00E34511" w:rsidRDefault="00E34511" w:rsidP="00E34511">
      <w:r>
        <w:t>Član</w:t>
      </w:r>
      <w:r w:rsidR="00CA0078">
        <w:t>ov</w:t>
      </w:r>
      <w:r>
        <w:t>i 46-48 odnose se na vidljivost podrške iz sredstava.</w:t>
      </w:r>
    </w:p>
    <w:p w14:paraId="70E2F387" w14:textId="047B1DF6" w:rsidR="00E34511" w:rsidRDefault="00E34511" w:rsidP="00E34511">
      <w:r>
        <w:t xml:space="preserve">Član 46 zahtijeva od </w:t>
      </w:r>
      <w:r w:rsidRPr="00CA0078">
        <w:rPr>
          <w:b/>
        </w:rPr>
        <w:t>države članice</w:t>
      </w:r>
      <w:r>
        <w:t xml:space="preserve"> da osigura vidljivost podrške u svim aktivnostima povezanih sa operacijama podržanim </w:t>
      </w:r>
      <w:r w:rsidR="00CA0078">
        <w:t>Fondovima</w:t>
      </w:r>
      <w:r>
        <w:t xml:space="preserve">, sa posebnim naglaskom na operacije od strateškog značaja, kao i komunikaciju građanima Unije o ulozi i postignućima </w:t>
      </w:r>
      <w:r w:rsidR="00CA0078">
        <w:t>Fondova</w:t>
      </w:r>
      <w:r>
        <w:t xml:space="preserve"> putem jedinstvenog portala koji omogućava pristup svim programima koji uključuju tu državu članicu.</w:t>
      </w:r>
    </w:p>
    <w:p w14:paraId="1968F6C8" w14:textId="3C92EBC5" w:rsidR="00E34511" w:rsidRDefault="00E34511" w:rsidP="00E34511">
      <w:r>
        <w:lastRenderedPageBreak/>
        <w:t xml:space="preserve">Član 47 definiše obavezu korišćenja emblema Unije kad god </w:t>
      </w:r>
      <w:r w:rsidR="00CA0078">
        <w:rPr>
          <w:b/>
        </w:rPr>
        <w:t>D</w:t>
      </w:r>
      <w:r w:rsidRPr="00CA0078">
        <w:rPr>
          <w:b/>
        </w:rPr>
        <w:t xml:space="preserve">ržava članica, </w:t>
      </w:r>
      <w:r w:rsidR="00CA0078">
        <w:rPr>
          <w:b/>
        </w:rPr>
        <w:t>Upravljačka</w:t>
      </w:r>
      <w:r w:rsidRPr="00CA0078">
        <w:rPr>
          <w:b/>
        </w:rPr>
        <w:t xml:space="preserve"> tijela i korisnici</w:t>
      </w:r>
      <w:r>
        <w:t xml:space="preserve"> sprovode aktivnosti vidljivosti, transparentnosti i komunikacije.</w:t>
      </w:r>
    </w:p>
    <w:p w14:paraId="325DFE1D" w14:textId="0226B7B7" w:rsidR="00D52BE3" w:rsidRDefault="00D52BE3" w:rsidP="00D52BE3">
      <w:r>
        <w:t>Član 48 uspostavlja obavezu za državu članicu da identifi</w:t>
      </w:r>
      <w:r w:rsidR="00CA0078">
        <w:t>kuje</w:t>
      </w:r>
      <w:r>
        <w:t xml:space="preserve"> koordinatora za komunikaciju za aktivnosti vidljivosti, transparentnosti i komunikacije u vezi sa podrškom iz </w:t>
      </w:r>
      <w:r w:rsidR="00BD065D">
        <w:t>Fondova</w:t>
      </w:r>
      <w:r>
        <w:t xml:space="preserve">, uključujući programe pod </w:t>
      </w:r>
      <w:r w:rsidR="00BD065D">
        <w:t>C</w:t>
      </w:r>
      <w:r>
        <w:t xml:space="preserve">iljem evropske teritorijalne saradnje (Interreg) gdje </w:t>
      </w:r>
      <w:r w:rsidR="00BD065D">
        <w:t xml:space="preserve">je </w:t>
      </w:r>
      <w:r>
        <w:t xml:space="preserve">ta država članica domaćin </w:t>
      </w:r>
      <w:r w:rsidR="00BD065D">
        <w:t>Upravljačkom tijelu</w:t>
      </w:r>
      <w:r>
        <w:t xml:space="preserve">. Pored toga, sva </w:t>
      </w:r>
      <w:r w:rsidR="00BD065D">
        <w:t>Upravljačka</w:t>
      </w:r>
      <w:r>
        <w:t xml:space="preserve"> tijela treba da identifi</w:t>
      </w:r>
      <w:r w:rsidR="00BD065D">
        <w:t>kuju</w:t>
      </w:r>
      <w:r>
        <w:t xml:space="preserve"> službenika za komunikaciju za svaki program.</w:t>
      </w:r>
    </w:p>
    <w:p w14:paraId="5AEA6485" w14:textId="42162370" w:rsidR="00D52BE3" w:rsidRDefault="00D52BE3" w:rsidP="00D52BE3">
      <w:r>
        <w:t>Član</w:t>
      </w:r>
      <w:r w:rsidR="00BD065D">
        <w:t>ovi</w:t>
      </w:r>
      <w:r>
        <w:t>i 49 i 50 odnose se na transparentnost u implementaciji sredstava i komunikaciju o programima.</w:t>
      </w:r>
    </w:p>
    <w:p w14:paraId="6D1F25D2" w14:textId="4B127D23" w:rsidR="00D52BE3" w:rsidRDefault="00D52BE3" w:rsidP="00D52BE3">
      <w:r>
        <w:t xml:space="preserve">Član 49 definiše odgovornosti </w:t>
      </w:r>
      <w:r w:rsidR="00BD065D">
        <w:t>Upravljačkog tijela</w:t>
      </w:r>
      <w:r>
        <w:t xml:space="preserve">. Ovo uključuje osiguranje dostupnosti </w:t>
      </w:r>
      <w:r w:rsidR="00BD065D">
        <w:t>v</w:t>
      </w:r>
      <w:r>
        <w:t xml:space="preserve">eb stranice u roku od 6 mjeseci od odluke koja odobrava program, pružanje informacija o ciljevima programa, aktivnostima, dostupnim mogućnostima finansiranja i postignućima, kao i osiguranje objavljivanja na navedenoj </w:t>
      </w:r>
      <w:r w:rsidR="00BD065D">
        <w:t>v</w:t>
      </w:r>
      <w:r>
        <w:t>eb stranici ili jedinstvenom portalu o vremenskom rasporedu planiranih poziva za dostavljanje prijedloga, ažuriranog najmanje tri puta godišnje, sa specifičnim indikativnim podacima koji treba da budu uključeni.</w:t>
      </w:r>
    </w:p>
    <w:p w14:paraId="0437526A" w14:textId="2FC02940" w:rsidR="00D52BE3" w:rsidRDefault="00D52BE3" w:rsidP="00D52BE3">
      <w:r>
        <w:t xml:space="preserve">Član 50 definiše odgovornosti korisnika i tijela koja sprovode finansijske instrumente da potvrde podršku iz </w:t>
      </w:r>
      <w:r w:rsidR="00BD065D">
        <w:t>Fondova</w:t>
      </w:r>
      <w:r>
        <w:t>. Takođe se navodi da, ukoliko korisnik ne ispuni svoje obaveze, i ukoliko remedijalne mjere ni</w:t>
      </w:r>
      <w:r w:rsidR="00BD065D">
        <w:t>je</w:t>
      </w:r>
      <w:r>
        <w:t xml:space="preserve">su preduzete, </w:t>
      </w:r>
      <w:r w:rsidR="00BD065D">
        <w:t>Upravljačko tijelo</w:t>
      </w:r>
      <w:r>
        <w:t xml:space="preserve"> će primijeniti mjere, imajući u vidu princip proporcionalnosti, ukidanjem do 3% podrške iz </w:t>
      </w:r>
      <w:r w:rsidR="00BD065D">
        <w:t>Fondova</w:t>
      </w:r>
      <w:r>
        <w:t xml:space="preserve"> za dotičnu operaciju.</w:t>
      </w:r>
    </w:p>
    <w:p w14:paraId="0610DDDF" w14:textId="46082DA4" w:rsidR="00D52BE3" w:rsidRDefault="00D52BE3" w:rsidP="00D52BE3">
      <w:r>
        <w:t>Pored toga, član 22 zahtijeva od programskih</w:t>
      </w:r>
      <w:r w:rsidR="00BD065D">
        <w:t xml:space="preserve"> tijela</w:t>
      </w:r>
      <w:r>
        <w:t xml:space="preserve"> da definišu svoj pristup komunikaciji u posebnom poglavlju u programima. Ovo naglašava središnju i integralnu ulogu komunikacije u implementaciji programa.</w:t>
      </w:r>
    </w:p>
    <w:p w14:paraId="501C6CE2" w14:textId="66AF0CBE" w:rsidR="00D52BE3" w:rsidRDefault="00D52BE3" w:rsidP="00D52BE3">
      <w:r>
        <w:t xml:space="preserve">Dalje, u skladu sa članom 40.1 </w:t>
      </w:r>
      <w:r w:rsidR="00CD0020">
        <w:t>RZO</w:t>
      </w:r>
      <w:r>
        <w:t>-a,</w:t>
      </w:r>
      <w:r w:rsidR="00BD065D">
        <w:t xml:space="preserve"> </w:t>
      </w:r>
      <w:r w:rsidR="00BD065D" w:rsidRPr="00BD065D">
        <w:rPr>
          <w:b/>
        </w:rPr>
        <w:t>Odbor za monitoring</w:t>
      </w:r>
      <w:r w:rsidR="00BD065D">
        <w:t xml:space="preserve"> </w:t>
      </w:r>
      <w:r>
        <w:t xml:space="preserve">će ispitati </w:t>
      </w:r>
      <w:r w:rsidR="00A80895">
        <w:t>implementaciju</w:t>
      </w:r>
      <w:r>
        <w:t xml:space="preserve"> aktivnosti komunikacije i vidljivosti.</w:t>
      </w:r>
    </w:p>
    <w:p w14:paraId="6D89EEC5" w14:textId="77777777" w:rsidR="00D52BE3" w:rsidRDefault="00D52BE3" w:rsidP="00D52BE3">
      <w:r>
        <w:t>Prilog IX je važan za ispunjavanje pravila o vidljivosti, transparentnosti i komunikaciji.</w:t>
      </w:r>
    </w:p>
    <w:p w14:paraId="38878930" w14:textId="668A4924" w:rsidR="00D52BE3" w:rsidRDefault="00975088" w:rsidP="00D52BE3">
      <w:r>
        <w:t>Regulativa</w:t>
      </w:r>
      <w:r w:rsidR="00D52BE3">
        <w:t xml:space="preserve"> o evropskoj teritorijalnoj saradnji (</w:t>
      </w:r>
      <w:r w:rsidR="003D7057">
        <w:t>ETS</w:t>
      </w:r>
      <w:r w:rsidR="00D52BE3">
        <w:t>) u članu 36 uspostavlja specifične odgovornosti</w:t>
      </w:r>
      <w:r w:rsidR="00BD065D">
        <w:t xml:space="preserve"> </w:t>
      </w:r>
      <w:proofErr w:type="gramStart"/>
      <w:r w:rsidR="00BD065D">
        <w:t xml:space="preserve">upravljačkih </w:t>
      </w:r>
      <w:r w:rsidR="00D52BE3">
        <w:t xml:space="preserve"> tijela</w:t>
      </w:r>
      <w:proofErr w:type="gramEnd"/>
      <w:r w:rsidR="00D52BE3">
        <w:t xml:space="preserve"> i partnera za transparentnost i komunikaciju za Interreg.</w:t>
      </w:r>
    </w:p>
    <w:p w14:paraId="3A665CC5" w14:textId="6D72E050" w:rsidR="00280BC4" w:rsidRPr="00B83578" w:rsidRDefault="00280BC4" w:rsidP="00CE3066">
      <w:pPr>
        <w:pStyle w:val="Heading2"/>
      </w:pPr>
      <w:bookmarkStart w:id="190" w:name="_Toc181860740"/>
      <w:bookmarkStart w:id="191" w:name="_Toc201700430"/>
      <w:r w:rsidRPr="00B83578">
        <w:t>Relevant</w:t>
      </w:r>
      <w:bookmarkEnd w:id="190"/>
      <w:r w:rsidR="00BD065D">
        <w:t>na Završna mjerila</w:t>
      </w:r>
      <w:bookmarkEnd w:id="191"/>
      <w:r w:rsidRPr="00B83578">
        <w:t xml:space="preserve"> </w:t>
      </w:r>
    </w:p>
    <w:p w14:paraId="0401CDA8" w14:textId="17CD9B8D" w:rsidR="00280BC4" w:rsidRPr="00B83578" w:rsidRDefault="00D52BE3" w:rsidP="00CE3066">
      <w:r>
        <w:t>Komisija je odredila šest Zavr</w:t>
      </w:r>
      <w:r w:rsidR="00BD065D">
        <w:t>š</w:t>
      </w:r>
      <w:r>
        <w:t xml:space="preserve">nih mjerila, od kojih nijedno nije relevantno za ovo poglavlje </w:t>
      </w:r>
      <w:r w:rsidR="00343A02">
        <w:rPr>
          <w:rStyle w:val="IntenseEmphasis"/>
          <w:i w:val="0"/>
          <w:iCs w:val="0"/>
          <w:color w:val="auto"/>
        </w:rPr>
        <w:t>Plana aktivnosti</w:t>
      </w:r>
      <w:r>
        <w:t xml:space="preserve">. </w:t>
      </w:r>
    </w:p>
    <w:p w14:paraId="543B6293" w14:textId="32B85DF4" w:rsidR="00280BC4" w:rsidRPr="00B83578" w:rsidRDefault="00BD065D" w:rsidP="00CE3066">
      <w:pPr>
        <w:pStyle w:val="Heading2"/>
        <w:rPr>
          <w:szCs w:val="20"/>
        </w:rPr>
      </w:pPr>
      <w:bookmarkStart w:id="192" w:name="_Toc181860741"/>
      <w:bookmarkStart w:id="193" w:name="_Toc201700431"/>
      <w:r>
        <w:t>Procjena trenutne situacije</w:t>
      </w:r>
      <w:r w:rsidR="00280BC4" w:rsidRPr="00B83578">
        <w:rPr>
          <w:szCs w:val="20"/>
          <w:vertAlign w:val="superscript"/>
        </w:rPr>
        <w:footnoteReference w:id="227"/>
      </w:r>
      <w:bookmarkEnd w:id="192"/>
      <w:bookmarkEnd w:id="193"/>
      <w:r w:rsidR="00280BC4" w:rsidRPr="00B83578">
        <w:rPr>
          <w:szCs w:val="20"/>
        </w:rPr>
        <w:t xml:space="preserve"> </w:t>
      </w:r>
      <w:r w:rsidR="00280BC4" w:rsidRPr="00B83578">
        <w:rPr>
          <w:rFonts w:eastAsia="Times New Roman"/>
          <w:kern w:val="0"/>
          <w:szCs w:val="20"/>
          <w:lang w:eastAsia="en-IE"/>
          <w14:ligatures w14:val="none"/>
        </w:rPr>
        <w:t xml:space="preserve"> </w:t>
      </w:r>
    </w:p>
    <w:p w14:paraId="05417241" w14:textId="7A427ED8" w:rsidR="00280BC4" w:rsidRPr="00B83578" w:rsidRDefault="00280BC4" w:rsidP="00CE3066">
      <w:pPr>
        <w:pStyle w:val="Heading3"/>
      </w:pPr>
      <w:bookmarkStart w:id="194" w:name="_Toc181860742"/>
      <w:bookmarkStart w:id="195" w:name="_Toc201700432"/>
      <w:r w:rsidRPr="00B83578">
        <w:t>Vi</w:t>
      </w:r>
      <w:bookmarkEnd w:id="194"/>
      <w:r w:rsidR="00BD065D">
        <w:t>dljivost podrške iz Fondova</w:t>
      </w:r>
      <w:bookmarkEnd w:id="195"/>
      <w:r w:rsidRPr="00B83578">
        <w:t xml:space="preserve"> </w:t>
      </w:r>
    </w:p>
    <w:p w14:paraId="336675C3" w14:textId="75F9EAD8" w:rsidR="00D52BE3" w:rsidRDefault="00D52BE3" w:rsidP="00D52BE3">
      <w:r>
        <w:t xml:space="preserve">Vlada Crne Gore osigurava vidljivost podrške iz Instrumenta za pretpristupnu </w:t>
      </w:r>
      <w:r w:rsidR="00477A44">
        <w:t>podršku</w:t>
      </w:r>
      <w:r>
        <w:t xml:space="preserve"> (IPA) kroz nacionalni portal dostupan na crnogorskom i engleskom jeziku</w:t>
      </w:r>
      <w:hyperlink r:id="rId11" w:history="1">
        <w:r w:rsidR="00BD065D" w:rsidRPr="00B83578">
          <w:rPr>
            <w:rFonts w:cs="Arial"/>
            <w:color w:val="467886" w:themeColor="hyperlink"/>
            <w:u w:val="single"/>
          </w:rPr>
          <w:t>EUME | EU4ME ME4EU</w:t>
        </w:r>
      </w:hyperlink>
      <w:r>
        <w:t xml:space="preserve">, koji takođe pruža informacije o pregovorima o pristupanju i </w:t>
      </w:r>
      <w:r w:rsidR="00A15818">
        <w:t>Reformskoj agendi</w:t>
      </w:r>
      <w:r>
        <w:t>. Informacije o mogućnostima finansiranja kroz programe koje finansira EU, kao i o ciljevima programa, iznosima finansiranja i postignućima</w:t>
      </w:r>
      <w:r w:rsidR="00A15818">
        <w:t>,</w:t>
      </w:r>
      <w:r w:rsidR="00A15818" w:rsidRPr="00A15818">
        <w:t xml:space="preserve"> </w:t>
      </w:r>
      <w:r w:rsidR="00A15818">
        <w:t>su dostupne na platformi</w:t>
      </w:r>
      <w:r>
        <w:t>. Informacije se pružaju u posebnom odjeljku za svaku IPA finansijsku perspektivu</w:t>
      </w:r>
      <w:r w:rsidR="00A15818" w:rsidRPr="00B83578">
        <w:rPr>
          <w:rFonts w:cs="Arial"/>
          <w:color w:val="000000" w:themeColor="text1"/>
          <w:vertAlign w:val="superscript"/>
        </w:rPr>
        <w:footnoteReference w:id="228"/>
      </w:r>
      <w:r>
        <w:t xml:space="preserve">, ažuriranom sa odobrenim IPA programima. Relevantne informacije vezane za IPA i evropsku teritorijalnu saradnju objavljuju se na društvenim mrežama Ministarstva evropskih poslova - </w:t>
      </w:r>
      <w:r w:rsidR="0086543E" w:rsidRPr="0086543E">
        <w:t>NIPAK</w:t>
      </w:r>
      <w:r>
        <w:t xml:space="preserve"> kancelarije - ME4EU, uključujući Facebook, Instagram i X.</w:t>
      </w:r>
    </w:p>
    <w:p w14:paraId="2CFA41AA" w14:textId="3A273FB5" w:rsidR="00D52BE3" w:rsidRDefault="00D52BE3" w:rsidP="00D52BE3">
      <w:r>
        <w:t>Sve navedeno se sprovodi u okviru Strategije javnih informacija o pristupanju Crne Gore Evropskoj uniji 2023 – 2026</w:t>
      </w:r>
      <w:r w:rsidR="00A15818" w:rsidRPr="00B83578">
        <w:rPr>
          <w:rFonts w:cs="Arial"/>
          <w:color w:val="000000" w:themeColor="text1"/>
          <w:sz w:val="22"/>
          <w:vertAlign w:val="superscript"/>
        </w:rPr>
        <w:footnoteReference w:id="229"/>
      </w:r>
      <w:r>
        <w:t xml:space="preserve">. Jedan od ciljeva Strategije povezan je sa promocijom koristi i rezultata projekata implementiranih kroz EU programe i IPA </w:t>
      </w:r>
      <w:r w:rsidR="00A15818">
        <w:t>fondove</w:t>
      </w:r>
      <w:r>
        <w:t>, uključujući promociju novih mogućnosti finansiranja.</w:t>
      </w:r>
    </w:p>
    <w:p w14:paraId="69CFE493" w14:textId="6F2EBCA0" w:rsidR="00D52BE3" w:rsidRDefault="00D52BE3" w:rsidP="00D52BE3">
      <w:r>
        <w:t xml:space="preserve">Ministarstvo evropskih poslova - </w:t>
      </w:r>
      <w:r w:rsidR="0086543E" w:rsidRPr="0086543E">
        <w:t>NIPAK</w:t>
      </w:r>
      <w:r>
        <w:t xml:space="preserve"> kancelarija kontinuirano sarađuje sa Delegacijom Evropske unije u Crnoj Gori na komunikaciji o sredstvima EU; ovo uključuje organizaciju zajedničkih događaja, kao što su </w:t>
      </w:r>
      <w:r>
        <w:lastRenderedPageBreak/>
        <w:t>Dan Evrope i Dan Interreg saradnje, kao i redovnu razmjenu informacija i proizvodnju zajedničkog sadržaja i međusobno objavljivanje kako bi se dosegli širi auditorijumi.</w:t>
      </w:r>
    </w:p>
    <w:p w14:paraId="6780C13A" w14:textId="77777777" w:rsidR="00D52BE3" w:rsidRDefault="00D52BE3" w:rsidP="00D52BE3">
      <w:r>
        <w:t>Plan komunikacije i vidljivosti IPA III je osmišljen i biće dogovoren sa Delegacijom EU u skladu sa obavezama navedenim u Sporazumu o finansijskom okviru partnerstva između Komisije i Vlade Crne Gore (član 24).</w:t>
      </w:r>
    </w:p>
    <w:p w14:paraId="5181C881" w14:textId="30051032" w:rsidR="00D52BE3" w:rsidRDefault="00D52BE3" w:rsidP="00D52BE3">
      <w:r>
        <w:t xml:space="preserve">Plan komunikacije za </w:t>
      </w:r>
      <w:r w:rsidR="00A15818">
        <w:t>Reformsku agendu</w:t>
      </w:r>
      <w:r>
        <w:t xml:space="preserve"> trenutno se razvija.</w:t>
      </w:r>
    </w:p>
    <w:p w14:paraId="249AD35B" w14:textId="5464E166" w:rsidR="00D52BE3" w:rsidRDefault="00D52BE3" w:rsidP="00D52BE3">
      <w:r>
        <w:t xml:space="preserve">Mreža </w:t>
      </w:r>
      <w:r w:rsidR="00A15818">
        <w:t>S</w:t>
      </w:r>
      <w:r>
        <w:t>lužbenika za javnost i vidljivost IPA je uspostavljena.</w:t>
      </w:r>
    </w:p>
    <w:p w14:paraId="5B041C76" w14:textId="560D8D47" w:rsidR="00280BC4" w:rsidRPr="00B83578" w:rsidRDefault="00280BC4" w:rsidP="00CE3066">
      <w:pPr>
        <w:pStyle w:val="Heading4"/>
      </w:pPr>
      <w:r w:rsidRPr="00B83578">
        <w:t>Transpare</w:t>
      </w:r>
      <w:r w:rsidR="00397FD1">
        <w:t>ntnost</w:t>
      </w:r>
      <w:r w:rsidRPr="00B83578">
        <w:t xml:space="preserve"> implementa</w:t>
      </w:r>
      <w:r w:rsidR="00397FD1">
        <w:t>cije</w:t>
      </w:r>
      <w:r w:rsidRPr="00B83578">
        <w:t xml:space="preserve"> </w:t>
      </w:r>
      <w:r w:rsidR="00397FD1">
        <w:t>fondova</w:t>
      </w:r>
      <w:r w:rsidRPr="00B83578">
        <w:t xml:space="preserve"> </w:t>
      </w:r>
      <w:r w:rsidR="00397FD1">
        <w:t>i komunikacija</w:t>
      </w:r>
      <w:r w:rsidRPr="00B83578">
        <w:t xml:space="preserve"> o program</w:t>
      </w:r>
      <w:r w:rsidR="00397FD1">
        <w:t xml:space="preserve">ima </w:t>
      </w:r>
    </w:p>
    <w:p w14:paraId="45E86512" w14:textId="041C41F6" w:rsidR="00D52BE3" w:rsidRDefault="00D52BE3" w:rsidP="00D52BE3">
      <w:r>
        <w:t xml:space="preserve">Ministarstvo evropskih poslova - </w:t>
      </w:r>
      <w:r w:rsidR="0086543E" w:rsidRPr="0086543E">
        <w:t>NIPAK</w:t>
      </w:r>
      <w:r>
        <w:t xml:space="preserve"> kancelarija i sv</w:t>
      </w:r>
      <w:r w:rsidR="00B65C54">
        <w:t>a tijela</w:t>
      </w:r>
      <w:r>
        <w:t xml:space="preserve"> u IPA sistemu pridržavaju se Priručnika za komunikaciju i vidljivost za spoljne akcije EU (najnovije izdanje objavljeno 2022. godine)</w:t>
      </w:r>
      <w:r w:rsidR="00A15818" w:rsidRPr="00A15818">
        <w:rPr>
          <w:rFonts w:cs="Arial"/>
          <w:vertAlign w:val="superscript"/>
        </w:rPr>
        <w:t xml:space="preserve"> </w:t>
      </w:r>
      <w:r w:rsidR="00A15818" w:rsidRPr="00B83578">
        <w:rPr>
          <w:rFonts w:cs="Arial"/>
          <w:vertAlign w:val="superscript"/>
        </w:rPr>
        <w:footnoteReference w:id="230"/>
      </w:r>
      <w:r>
        <w:t xml:space="preserve">. Ministarstvo osigurava da svi korisnici IPA </w:t>
      </w:r>
      <w:r w:rsidR="00A15818">
        <w:t>fondova</w:t>
      </w:r>
      <w:r>
        <w:t xml:space="preserve"> budu svjesni svoje obaveze da osiguraju vidljivost primljenih sredstava EU. Ovo uključuje isticanje emblema EU i priznavanje finansiranja EU u materijalima projekata, publikacijama, oznakama i drugim komunikacionim kanalima. Smjernice za vidljivost detaljno definišu zahtjeve za isticanje emblema EU i pružanje jasnih i tačnih informacija o finansijskoj podršci EU. U slučaju akcija i programa pod indirektnim upravljanjem, odgovarajuć</w:t>
      </w:r>
      <w:r w:rsidR="00A15818">
        <w:t xml:space="preserve">im </w:t>
      </w:r>
      <w:r>
        <w:t>tijel</w:t>
      </w:r>
      <w:r w:rsidR="00A15818">
        <w:t>ima</w:t>
      </w:r>
      <w:r>
        <w:t xml:space="preserve"> u sistemu</w:t>
      </w:r>
      <w:r w:rsidR="00A15818">
        <w:t xml:space="preserve"> je povjerena</w:t>
      </w:r>
      <w:r>
        <w:t xml:space="preserve"> odgovorn</w:t>
      </w:r>
      <w:r w:rsidR="00A15818">
        <w:t>ost</w:t>
      </w:r>
      <w:r>
        <w:t xml:space="preserve"> za osiguranje da svi zahtjevi za vidljivost budu poštovani od strane korisnika IPA </w:t>
      </w:r>
      <w:r w:rsidR="00A15818">
        <w:t>fondova</w:t>
      </w:r>
      <w:r>
        <w:t>.</w:t>
      </w:r>
    </w:p>
    <w:p w14:paraId="7F7A3488" w14:textId="77777777" w:rsidR="00D52BE3" w:rsidRDefault="00D52BE3" w:rsidP="00D52BE3">
      <w:r>
        <w:t>Sljedeće informacije se odnose na IPA programe pod indirektnim upravljanjem Crne Gore.</w:t>
      </w:r>
    </w:p>
    <w:p w14:paraId="714A3E91" w14:textId="43BA8D96" w:rsidR="00D52BE3" w:rsidRDefault="00D52BE3" w:rsidP="00D52BE3">
      <w:r>
        <w:t xml:space="preserve">Postoje posvećene </w:t>
      </w:r>
      <w:r w:rsidR="00A15818">
        <w:t>v</w:t>
      </w:r>
      <w:r>
        <w:t>eb stranice za programe prekogranične saradnje koje vodi Crna Gora pod indirektnim upravljanjem</w:t>
      </w:r>
      <w:r w:rsidR="00A15818" w:rsidRPr="00B83578">
        <w:rPr>
          <w:rFonts w:cs="Arial"/>
          <w:color w:val="000000" w:themeColor="text1"/>
          <w:vertAlign w:val="superscript"/>
        </w:rPr>
        <w:footnoteReference w:id="231"/>
      </w:r>
      <w:r>
        <w:t xml:space="preserve">. Planovi za pozive pod IPA II su objavljeni i slični planovi su predviđeni za IPA III. Lista korisnika IPA II </w:t>
      </w:r>
      <w:r w:rsidR="00477A44">
        <w:t>podrške</w:t>
      </w:r>
      <w:r>
        <w:t xml:space="preserve"> dostupna je na </w:t>
      </w:r>
      <w:r w:rsidR="00A15818">
        <w:t>v</w:t>
      </w:r>
      <w:r>
        <w:t xml:space="preserve">eb stranicama. Obuka i vodiči o obavezama u vezi sa </w:t>
      </w:r>
      <w:r w:rsidR="00A15818">
        <w:t>komunikacijom</w:t>
      </w:r>
      <w:r>
        <w:t xml:space="preserve"> i vidljivošću su pruženi korisnicima IPA II, a planirani su i za IPA III.</w:t>
      </w:r>
    </w:p>
    <w:p w14:paraId="463C2F40" w14:textId="2E4BFFF0" w:rsidR="00D52BE3" w:rsidRDefault="00D52BE3" w:rsidP="00D52BE3">
      <w:r>
        <w:t xml:space="preserve">Postoji posvećena </w:t>
      </w:r>
      <w:r w:rsidR="00A15818">
        <w:t>v</w:t>
      </w:r>
      <w:r>
        <w:t xml:space="preserve">eb stranica za IPA program za </w:t>
      </w:r>
      <w:r w:rsidR="00A15818">
        <w:t>I</w:t>
      </w:r>
      <w:r>
        <w:t xml:space="preserve">nstrument pretpristupne </w:t>
      </w:r>
      <w:r w:rsidR="00477A44">
        <w:t>podrške</w:t>
      </w:r>
      <w:r>
        <w:t xml:space="preserve"> za ruralni razvoj – IPARD</w:t>
      </w:r>
      <w:r w:rsidR="00A15818" w:rsidRPr="00B83578">
        <w:rPr>
          <w:rFonts w:cs="Arial"/>
          <w:color w:val="000000" w:themeColor="text1"/>
          <w:vertAlign w:val="superscript"/>
        </w:rPr>
        <w:footnoteReference w:id="232"/>
      </w:r>
      <w:r>
        <w:t>, koja takođe pruža detaljne informacije o mogućnostima finansiranja. Raspored se objavljuje godišnje</w:t>
      </w:r>
      <w:r w:rsidR="00A15818" w:rsidRPr="00B83578">
        <w:rPr>
          <w:rFonts w:cs="Arial"/>
          <w:color w:val="000000" w:themeColor="text1"/>
          <w:vertAlign w:val="superscript"/>
        </w:rPr>
        <w:footnoteReference w:id="233"/>
      </w:r>
      <w:r>
        <w:t>. Plan komunikacije i vidljivosti IPARD III odobren je u maju 2023. godine</w:t>
      </w:r>
      <w:r w:rsidR="00A15818" w:rsidRPr="00B83578">
        <w:rPr>
          <w:rFonts w:cs="Arial"/>
          <w:color w:val="000000" w:themeColor="text1"/>
          <w:vertAlign w:val="superscript"/>
        </w:rPr>
        <w:footnoteReference w:id="234"/>
      </w:r>
      <w:r>
        <w:t xml:space="preserve">. Informacije o korisnicima IPARD finansiranja dostupne su na </w:t>
      </w:r>
      <w:r w:rsidR="00A15818">
        <w:t>v</w:t>
      </w:r>
      <w:r>
        <w:t>eb stranici u otvorenom, mašinski čitljivom formatu</w:t>
      </w:r>
      <w:r w:rsidR="00A15818" w:rsidRPr="00B83578">
        <w:rPr>
          <w:rFonts w:cs="Arial"/>
          <w:color w:val="000000" w:themeColor="text1"/>
          <w:vertAlign w:val="superscript"/>
        </w:rPr>
        <w:footnoteReference w:id="235"/>
      </w:r>
      <w:r>
        <w:t>.</w:t>
      </w:r>
    </w:p>
    <w:p w14:paraId="0DED9720" w14:textId="77777777" w:rsidR="00D52BE3" w:rsidRDefault="00D52BE3" w:rsidP="00D52BE3">
      <w:r>
        <w:t>Vodiči i obuka o zahtjevima vidljivosti IPARD-a pružaju se korisnicima IPARD sredstava od strane Agencije IPARD. Postupci su uspostavljeni kako bi se osiguralo da svi zahtjevi za vidljivost budu ispunjeni.</w:t>
      </w:r>
    </w:p>
    <w:p w14:paraId="6ECB572D" w14:textId="5B8B37AC" w:rsidR="00D52BE3" w:rsidRDefault="00D52BE3" w:rsidP="00D52BE3">
      <w:r>
        <w:t xml:space="preserve">Što se tiče </w:t>
      </w:r>
      <w:r w:rsidR="00A15818">
        <w:t>Akcionih programa</w:t>
      </w:r>
      <w:r>
        <w:t xml:space="preserve"> po zemljama/godišnjih </w:t>
      </w:r>
      <w:r w:rsidR="00A15818">
        <w:t>Akcionih programa</w:t>
      </w:r>
      <w:r>
        <w:t xml:space="preserve"> koji</w:t>
      </w:r>
      <w:r w:rsidR="00A15818">
        <w:t>m</w:t>
      </w:r>
      <w:r>
        <w:t xml:space="preserve"> se upravlja pod indirektnim upravljanjem Crne Gore, relevantne informacije i zahtjevi za transparentnost objavljuju se na </w:t>
      </w:r>
      <w:r w:rsidR="00A15818">
        <w:t>v</w:t>
      </w:r>
      <w:r>
        <w:t>eb stranici Uprave za kapitalne projekte</w:t>
      </w:r>
      <w:r w:rsidR="00343F2E" w:rsidRPr="00B83578">
        <w:rPr>
          <w:rFonts w:cs="Arial"/>
          <w:vertAlign w:val="superscript"/>
        </w:rPr>
        <w:footnoteReference w:id="236"/>
      </w:r>
      <w:r>
        <w:t>.</w:t>
      </w:r>
    </w:p>
    <w:p w14:paraId="595AF612" w14:textId="58BA8CC7" w:rsidR="00D52BE3" w:rsidRDefault="00D52BE3" w:rsidP="00D52BE3">
      <w:r>
        <w:t>Što se tiče višegodišnjih Operativnih programa IPA III za period 2024-2027, oni su odobreni Odlukama Komisije o sprovođenju 5. avgusta 2024. godine</w:t>
      </w:r>
      <w:r w:rsidR="00343F2E" w:rsidRPr="00B83578">
        <w:rPr>
          <w:rFonts w:cs="Arial"/>
          <w:vertAlign w:val="superscript"/>
        </w:rPr>
        <w:footnoteReference w:id="237"/>
      </w:r>
      <w:r>
        <w:t xml:space="preserve">. Implementacija programa još nije počela. Programi </w:t>
      </w:r>
      <w:r>
        <w:lastRenderedPageBreak/>
        <w:t xml:space="preserve">uključuju </w:t>
      </w:r>
      <w:r w:rsidR="00477A44">
        <w:t>podršku</w:t>
      </w:r>
      <w:r>
        <w:t xml:space="preserve"> </w:t>
      </w:r>
      <w:r w:rsidR="00343F2E">
        <w:t>Upravljačkim</w:t>
      </w:r>
      <w:r>
        <w:t xml:space="preserve"> tijelima i </w:t>
      </w:r>
      <w:r w:rsidR="00343F2E">
        <w:t>Posredničkim tijelima</w:t>
      </w:r>
      <w:r>
        <w:t xml:space="preserve"> za finansijsko upravljanje u ispunjavanju njihovih obaveza u vezi s transparentnošću, vidljivošću i komunikacijom</w:t>
      </w:r>
      <w:r w:rsidR="00343F2E" w:rsidRPr="00B83578">
        <w:rPr>
          <w:rFonts w:cs="Arial"/>
          <w:vertAlign w:val="superscript"/>
        </w:rPr>
        <w:footnoteReference w:id="238"/>
      </w:r>
      <w:r>
        <w:t>.</w:t>
      </w:r>
    </w:p>
    <w:p w14:paraId="6AC9E152" w14:textId="29487AA5" w:rsidR="00280BC4" w:rsidRPr="00F4279E" w:rsidRDefault="00F4279E" w:rsidP="00CE3066">
      <w:pPr>
        <w:pStyle w:val="Heading4"/>
      </w:pPr>
      <w:bookmarkStart w:id="196" w:name="_Hlk168052616"/>
      <w:r>
        <w:t>Dostavljanje informacija Odborima za monitoring</w:t>
      </w:r>
    </w:p>
    <w:p w14:paraId="3225464E" w14:textId="7F869A83" w:rsidR="00CA0078" w:rsidRDefault="00CA0078" w:rsidP="00CA0078">
      <w:r w:rsidRPr="00F4279E">
        <w:t>Predviđeno je da status implementacije Akcionog plana strateške komunikacije bude d</w:t>
      </w:r>
      <w:r w:rsidR="00343F2E" w:rsidRPr="00F4279E">
        <w:t>i</w:t>
      </w:r>
      <w:r w:rsidRPr="00F4279E">
        <w:t>o Godišnjih i Završnih izv</w:t>
      </w:r>
      <w:r w:rsidR="00343F2E" w:rsidRPr="00F4279E">
        <w:t>j</w:t>
      </w:r>
      <w:r w:rsidRPr="00F4279E">
        <w:t xml:space="preserve">eštaja o implementaciji i da se aktivnosti vidljivosti i komunikacije prijavljuju IPA </w:t>
      </w:r>
      <w:r w:rsidR="00343F2E" w:rsidRPr="00F4279E">
        <w:t>Odboru za m</w:t>
      </w:r>
      <w:r w:rsidRPr="00F4279E">
        <w:t>onitoring i Sek</w:t>
      </w:r>
      <w:r w:rsidR="00343F2E" w:rsidRPr="00F4279E">
        <w:t>torskim odborima za monitoring</w:t>
      </w:r>
      <w:r w:rsidRPr="00F4279E">
        <w:t xml:space="preserve"> (SC).</w:t>
      </w:r>
      <w:r>
        <w:t xml:space="preserve"> Plan komunikacije i vidljivosti IPA III, kada bude dogovoren sa Delegacijom EU, biće diskutovan, a napredak u vidljivosti i komunikaci</w:t>
      </w:r>
      <w:r w:rsidR="00343F2E">
        <w:t>onim</w:t>
      </w:r>
      <w:r>
        <w:t xml:space="preserve"> aktivnostima biće stalna tačka na dnevnim redovima.</w:t>
      </w:r>
    </w:p>
    <w:p w14:paraId="5B06F686" w14:textId="64E34876" w:rsidR="00CA0078" w:rsidRDefault="00CA0078" w:rsidP="00CA0078">
      <w:r>
        <w:t>Godišnji komunikaci</w:t>
      </w:r>
      <w:r w:rsidR="00343F2E">
        <w:t>oni</w:t>
      </w:r>
      <w:r>
        <w:t xml:space="preserve"> planovi odobravaju se od strane odgovarajućih Zajedničkih </w:t>
      </w:r>
      <w:r w:rsidR="00343F2E">
        <w:t xml:space="preserve">odbora za monitoring </w:t>
      </w:r>
      <w:r>
        <w:t xml:space="preserve">IPA programa prekogranične saradnje, </w:t>
      </w:r>
      <w:proofErr w:type="gramStart"/>
      <w:r>
        <w:t>a</w:t>
      </w:r>
      <w:proofErr w:type="gramEnd"/>
      <w:r>
        <w:t xml:space="preserve"> informacije o njihovoj implementaciji predstavljaju se na sastancima Zajedničkih </w:t>
      </w:r>
      <w:r w:rsidR="00343F2E">
        <w:t>odbora za m</w:t>
      </w:r>
      <w:r>
        <w:t>onitoring.</w:t>
      </w:r>
    </w:p>
    <w:p w14:paraId="70C1311C" w14:textId="0443FC8E" w:rsidR="00CA0078" w:rsidRDefault="00CA0078" w:rsidP="00CA0078">
      <w:r>
        <w:t xml:space="preserve">Informacije o aktivnostima komunikacije i vidljivosti koje su sprovedene prijavljuju se IPARD </w:t>
      </w:r>
      <w:r w:rsidR="00343F2E">
        <w:t>Odboru za m</w:t>
      </w:r>
      <w:r>
        <w:t>onitoring</w:t>
      </w:r>
      <w:r w:rsidR="00343F2E" w:rsidRPr="00B83578">
        <w:rPr>
          <w:rFonts w:cs="Arial"/>
          <w:vertAlign w:val="superscript"/>
        </w:rPr>
        <w:footnoteReference w:id="239"/>
      </w:r>
      <w:r>
        <w:t>, a lista aktivnosti sprovedenih u prethodnoj godini se komunicira i formalno usvaja.</w:t>
      </w:r>
    </w:p>
    <w:p w14:paraId="40AB7618" w14:textId="785C63C2" w:rsidR="00280BC4" w:rsidRPr="00B83578" w:rsidRDefault="00017758" w:rsidP="00CE3066">
      <w:pPr>
        <w:pStyle w:val="Heading2"/>
      </w:pPr>
      <w:bookmarkStart w:id="197" w:name="_Toc201700433"/>
      <w:bookmarkEnd w:id="196"/>
      <w:r>
        <w:t>Planirane akcije</w:t>
      </w:r>
      <w:bookmarkEnd w:id="197"/>
      <w:r w:rsidR="00280BC4" w:rsidRPr="00B83578">
        <w:t xml:space="preserve"> </w:t>
      </w:r>
    </w:p>
    <w:p w14:paraId="0CDE54FB" w14:textId="1B49F52C" w:rsidR="00280BC4" w:rsidRPr="00B83578" w:rsidRDefault="00CA0078" w:rsidP="00CE3066">
      <w:r>
        <w:t>Na osnovu procjene trenutne situacije i u svijetlu relevantnih zahtjeva Kohezione politike, sljedeće mjere su planirane:</w:t>
      </w:r>
    </w:p>
    <w:p w14:paraId="486EE7FE" w14:textId="2B3EE24B" w:rsidR="00280BC4" w:rsidRPr="00B83578" w:rsidRDefault="00543023" w:rsidP="00CE3066">
      <w:pPr>
        <w:pStyle w:val="Heading3"/>
      </w:pPr>
      <w:bookmarkStart w:id="198" w:name="_Toc201700434"/>
      <w:r>
        <w:t>Akcija</w:t>
      </w:r>
      <w:r w:rsidR="00280BC4" w:rsidRPr="00B83578">
        <w:t xml:space="preserve"> 7.1. </w:t>
      </w:r>
      <w:r w:rsidR="000D52B4">
        <w:t>Uspostavljanje jedinstvenog veb portala</w:t>
      </w:r>
      <w:r w:rsidR="00280BC4" w:rsidRPr="00B83578">
        <w:t>.</w:t>
      </w:r>
      <w:bookmarkEnd w:id="198"/>
    </w:p>
    <w:p w14:paraId="61C6C7B3" w14:textId="7F169524" w:rsidR="00280BC4" w:rsidRPr="00B83578" w:rsidRDefault="00CA0078" w:rsidP="00280BC4">
      <w:pPr>
        <w:rPr>
          <w:b/>
          <w:bCs/>
        </w:rPr>
      </w:pPr>
      <w:r>
        <w:t>Trenutni veb portal će biti proširen sa posvećenom veb-stranom/sekcijom za fondove Kohezione politike. Ovo će pružiti pristup svim programima koji se tiču Crne Gore.</w:t>
      </w:r>
    </w:p>
    <w:p w14:paraId="21E8025C" w14:textId="3531A96C" w:rsidR="00280BC4" w:rsidRPr="00B83578" w:rsidRDefault="00543023" w:rsidP="00CE3066">
      <w:pPr>
        <w:pStyle w:val="Heading3"/>
      </w:pPr>
      <w:bookmarkStart w:id="199" w:name="_Toc201700435"/>
      <w:r>
        <w:t>Akcija</w:t>
      </w:r>
      <w:r w:rsidR="00280BC4" w:rsidRPr="00B83578">
        <w:t xml:space="preserve"> 7.2. </w:t>
      </w:r>
      <w:r w:rsidR="000D52B4">
        <w:t>Koordinator za komunikaciju i službenici za komunikaciju programa</w:t>
      </w:r>
      <w:r w:rsidR="00280BC4" w:rsidRPr="00B83578">
        <w:t>.</w:t>
      </w:r>
      <w:bookmarkEnd w:id="199"/>
      <w:r w:rsidR="00280BC4" w:rsidRPr="00B83578">
        <w:t xml:space="preserve"> </w:t>
      </w:r>
    </w:p>
    <w:p w14:paraId="778C3516" w14:textId="6C0D95EB" w:rsidR="00CA0078" w:rsidRDefault="00CA0078" w:rsidP="00CA0078">
      <w:r>
        <w:t xml:space="preserve">Crna Gora će nominovati koordinatora za komunikaciju za vidljivost, transparentnost i komunikacione aktivnosti u vezi sa podrškom iz sredstava, uključujući programe pod </w:t>
      </w:r>
      <w:r w:rsidR="00343F2E">
        <w:t>C</w:t>
      </w:r>
      <w:r>
        <w:t xml:space="preserve">iljem evropske teritorijalne saradnje (Interreg) gdje </w:t>
      </w:r>
      <w:r w:rsidR="00343F2E">
        <w:t xml:space="preserve">je </w:t>
      </w:r>
      <w:r>
        <w:t xml:space="preserve">Crna Gora domaćin </w:t>
      </w:r>
      <w:r w:rsidR="00343F2E">
        <w:t>Upravljačkom tijelu</w:t>
      </w:r>
      <w:r>
        <w:t>. Pored toga, svak</w:t>
      </w:r>
      <w:r w:rsidR="00343F2E">
        <w:t>o Upravljačko tijelo</w:t>
      </w:r>
      <w:r>
        <w:t xml:space="preserve"> će identifikovati službenika za komunikaciju za svaki program. U skladu sa odlukom o broju programa, isti službenik za komunikaciju može pokrivati više od jednog programa, u skladu sa članom 48.2 </w:t>
      </w:r>
      <w:r w:rsidR="00CD0020">
        <w:t>RZO</w:t>
      </w:r>
      <w:r>
        <w:t>-a.</w:t>
      </w:r>
    </w:p>
    <w:p w14:paraId="44D31BCE" w14:textId="1067F6A3" w:rsidR="00CA0078" w:rsidRDefault="00CA0078" w:rsidP="00CA0078">
      <w:r>
        <w:t>Uoči pristupanja, Crna Gora će u potpunosti iskoristiti dostupne onl</w:t>
      </w:r>
      <w:r w:rsidR="00343F2E">
        <w:t>ajn</w:t>
      </w:r>
      <w:r>
        <w:t xml:space="preserve"> obuke preko INFORM EU</w:t>
      </w:r>
      <w:r w:rsidR="00343F2E" w:rsidRPr="00B83578">
        <w:rPr>
          <w:rFonts w:cs="Arial"/>
          <w:color w:val="000000" w:themeColor="text1"/>
          <w:vertAlign w:val="superscript"/>
        </w:rPr>
        <w:footnoteReference w:id="240"/>
      </w:r>
      <w:r w:rsidR="00343F2E" w:rsidRPr="00B83578">
        <w:t xml:space="preserve"> </w:t>
      </w:r>
      <w:r>
        <w:t xml:space="preserve"> mreže službenika</w:t>
      </w:r>
      <w:r w:rsidR="00343F2E">
        <w:t xml:space="preserve"> za komunikaciju</w:t>
      </w:r>
      <w:r>
        <w:t>.</w:t>
      </w:r>
    </w:p>
    <w:p w14:paraId="7E25C499" w14:textId="62A2431F" w:rsidR="00280BC4" w:rsidRPr="00B83578" w:rsidRDefault="00543023" w:rsidP="00CE3066">
      <w:pPr>
        <w:pStyle w:val="Heading3"/>
      </w:pPr>
      <w:bookmarkStart w:id="200" w:name="_Toc201700436"/>
      <w:r>
        <w:t>Akcija</w:t>
      </w:r>
      <w:r w:rsidR="00280BC4" w:rsidRPr="00B83578">
        <w:t xml:space="preserve"> 7.3 </w:t>
      </w:r>
      <w:r w:rsidR="000D52B4">
        <w:t>Transparentnost implementacije Fondova, vidljivost obaveza i komunikacija o programima</w:t>
      </w:r>
      <w:r w:rsidR="00280BC4" w:rsidRPr="00B83578">
        <w:t>.</w:t>
      </w:r>
      <w:bookmarkEnd w:id="200"/>
      <w:r w:rsidR="00280BC4" w:rsidRPr="00B83578">
        <w:t xml:space="preserve"> </w:t>
      </w:r>
    </w:p>
    <w:p w14:paraId="13643AB0" w14:textId="7B5CF58F" w:rsidR="003E7BB0" w:rsidRDefault="003E7BB0" w:rsidP="00280BC4">
      <w:r w:rsidRPr="003E7BB0">
        <w:t>Upravljačka tijela svakog programa treba da osiguraju, kako je propisano zakon</w:t>
      </w:r>
      <w:r w:rsidR="005B027C">
        <w:t>om</w:t>
      </w:r>
      <w:r w:rsidRPr="003E7BB0">
        <w:t xml:space="preserve">, da, unutar 6 mjeseci od odluke o odobravanju programa, postoji </w:t>
      </w:r>
      <w:r w:rsidR="005B027C">
        <w:t>v</w:t>
      </w:r>
      <w:r w:rsidRPr="003E7BB0">
        <w:t xml:space="preserve">eb stranica na kojoj su dostupne informacije o programima pod njihovom odgovornošću, uključujući ciljeve programa, aktivnosti, dostupne mogućnosti finansiranja i postignuća. Koncept za dizajn </w:t>
      </w:r>
      <w:r w:rsidR="005B027C">
        <w:t>v</w:t>
      </w:r>
      <w:r w:rsidRPr="003E7BB0">
        <w:t xml:space="preserve">eb stranica programa biće pripremljen tokom pripremnih aktivnosti za upravljanje programima </w:t>
      </w:r>
      <w:r w:rsidR="005B027C">
        <w:t>Kohezione politike</w:t>
      </w:r>
      <w:r w:rsidRPr="003E7BB0">
        <w:t xml:space="preserve"> prije odobravanja programa i slijed</w:t>
      </w:r>
      <w:r w:rsidR="005B027C">
        <w:t>i</w:t>
      </w:r>
      <w:r w:rsidRPr="003E7BB0">
        <w:t>će zajednički pristup, kako je primjenjivo.</w:t>
      </w:r>
    </w:p>
    <w:p w14:paraId="728DB2B2" w14:textId="09E28375" w:rsidR="00280BC4" w:rsidRPr="00B83578" w:rsidRDefault="00543023" w:rsidP="00CE3066">
      <w:pPr>
        <w:pStyle w:val="Heading3"/>
      </w:pPr>
      <w:bookmarkStart w:id="201" w:name="_Toc201700437"/>
      <w:r>
        <w:t>Akcija</w:t>
      </w:r>
      <w:r w:rsidR="00280BC4" w:rsidRPr="00B83578">
        <w:t xml:space="preserve"> 7.4 </w:t>
      </w:r>
      <w:r w:rsidR="000D52B4">
        <w:t>Smjernice za korisnike o obavezama vezane za vidljivost</w:t>
      </w:r>
      <w:r w:rsidR="00280BC4" w:rsidRPr="00B83578">
        <w:t>.</w:t>
      </w:r>
      <w:bookmarkEnd w:id="201"/>
      <w:r w:rsidR="00280BC4" w:rsidRPr="00B83578">
        <w:t xml:space="preserve"> </w:t>
      </w:r>
    </w:p>
    <w:p w14:paraId="46CA0C5C" w14:textId="0C4AEE0A" w:rsidR="003E7BB0" w:rsidRDefault="003E7BB0" w:rsidP="003E7BB0">
      <w:r>
        <w:t xml:space="preserve">Upravljačka tijela će takođe biti odgovorna za osiguranje odgovarajuće obuke za korisnike, koja se može pružiti i putem posredničkih tijela, ako je primjenjivo. U slučaju INTERREG-a, obezbijediće se zajedničke </w:t>
      </w:r>
      <w:r>
        <w:lastRenderedPageBreak/>
        <w:t>smjernice i koordinirana obuka o vidljivosti sa</w:t>
      </w:r>
      <w:r w:rsidR="005B027C">
        <w:t xml:space="preserve"> </w:t>
      </w:r>
      <w:r>
        <w:t>zemljama</w:t>
      </w:r>
      <w:r w:rsidR="005B027C">
        <w:t xml:space="preserve"> učesnicama</w:t>
      </w:r>
      <w:r>
        <w:t xml:space="preserve"> i relevantnim programskim </w:t>
      </w:r>
      <w:r w:rsidR="005B027C">
        <w:t>tijelima</w:t>
      </w:r>
      <w:r>
        <w:t>, uz podršku zajedničkog sekretarijata.</w:t>
      </w:r>
    </w:p>
    <w:p w14:paraId="6DFAD735" w14:textId="0952A2F6" w:rsidR="003E7BB0" w:rsidRDefault="003E7BB0" w:rsidP="003E7BB0">
      <w:r>
        <w:t xml:space="preserve">U slučaju da korisnik ne izvrši svoje obaveze u vezi sa vidljivošću, i ukoliko </w:t>
      </w:r>
      <w:r w:rsidR="00E136F2">
        <w:t>nijesu</w:t>
      </w:r>
      <w:r>
        <w:t xml:space="preserve"> preduzete korektivne mjere, Upravljačka tijela/posrednička tijela, ako je primjenjivo, uspostaviće procedure za primjenu proporcionalnih</w:t>
      </w:r>
      <w:r w:rsidR="005B027C">
        <w:t xml:space="preserve"> </w:t>
      </w:r>
      <w:r>
        <w:t>mjera, kako je predviđeno regulatornim okvirom</w:t>
      </w:r>
      <w:r w:rsidR="005B027C" w:rsidRPr="00B83578">
        <w:rPr>
          <w:rFonts w:cs="Arial"/>
          <w:vertAlign w:val="superscript"/>
        </w:rPr>
        <w:footnoteReference w:id="241"/>
      </w:r>
      <w:r>
        <w:t>. Ovo će biti uključeno unutar procedura za neregularnosti kao finansijska korekcija (vidi Poglavlje 6).</w:t>
      </w:r>
    </w:p>
    <w:p w14:paraId="156A5EC8" w14:textId="28088F07" w:rsidR="00280BC4" w:rsidRPr="00B83578" w:rsidRDefault="00543023" w:rsidP="00CE3066">
      <w:pPr>
        <w:pStyle w:val="Heading3"/>
      </w:pPr>
      <w:bookmarkStart w:id="202" w:name="_Toc201700438"/>
      <w:r>
        <w:t>Akcija</w:t>
      </w:r>
      <w:r w:rsidR="00280BC4" w:rsidRPr="00B83578">
        <w:t xml:space="preserve"> 7.5 </w:t>
      </w:r>
      <w:r w:rsidR="000D52B4">
        <w:t>Akcije za komunikaciju i vidljivost</w:t>
      </w:r>
      <w:r w:rsidR="00280BC4" w:rsidRPr="00B83578">
        <w:t>.</w:t>
      </w:r>
      <w:bookmarkEnd w:id="202"/>
    </w:p>
    <w:p w14:paraId="15F07CF0" w14:textId="0B78C215" w:rsidR="003E7BB0" w:rsidRDefault="003E7BB0" w:rsidP="00280BC4">
      <w:r w:rsidRPr="003E7BB0">
        <w:t xml:space="preserve">Programski dokument treba da definiše predviđeni pristup komunikaciji i vidljivosti za svaki program, kroz određivanje njegovih ciljeva, ciljanih publika, komunikacionih kanala, uključujući korišćenje društvenih mreža, kada je to primjenjivo, planirani budžet i relevantne indikatore za </w:t>
      </w:r>
      <w:r w:rsidR="00E26D99" w:rsidRPr="00E26D99">
        <w:t>monitoring</w:t>
      </w:r>
      <w:r w:rsidRPr="003E7BB0">
        <w:t xml:space="preserve"> i evaluaciju</w:t>
      </w:r>
      <w:r w:rsidR="005B027C" w:rsidRPr="00B83578">
        <w:rPr>
          <w:rFonts w:cs="Arial"/>
          <w:vertAlign w:val="superscript"/>
        </w:rPr>
        <w:footnoteReference w:id="242"/>
      </w:r>
      <w:r w:rsidRPr="003E7BB0">
        <w:t>. Upravljačko tijelo je odgovorno za osiguranje da se ovaj pristup prati kroz aktivnosti komunikacije i vidljivosti na nivou programa. Iako to nije obaveza, predlaže se da upravljačka tijela Crne Gore razviju odgovarajuće godišnje komunikacione planove, u skladu sa usvojenim pristupom programa i vremenskim okvirom planiranih poziva za pr</w:t>
      </w:r>
      <w:r w:rsidR="005B027C">
        <w:t>ij</w:t>
      </w:r>
      <w:r w:rsidRPr="003E7BB0">
        <w:t xml:space="preserve">edloge. Implementacija akcija komunikacije i vidljivosti biće razmatrana u Programskom </w:t>
      </w:r>
      <w:r w:rsidR="005B027C">
        <w:t>odboru za monitoring</w:t>
      </w:r>
      <w:r w:rsidRPr="003E7BB0">
        <w:t>.</w:t>
      </w:r>
    </w:p>
    <w:p w14:paraId="1281BFED" w14:textId="2835C5BB" w:rsidR="003E7BB0" w:rsidRDefault="003E7BB0" w:rsidP="003E7BB0">
      <w:r>
        <w:t xml:space="preserve">U slučaju INTERREG programa, crnogorsko upravljačko tijelo dogovoriće sveobuhvatnu komunikacionu strategiju i godišnje komunikacione planove sa </w:t>
      </w:r>
      <w:r w:rsidR="005B027C">
        <w:t>Odborom za monitoring</w:t>
      </w:r>
      <w:r>
        <w:t>.</w:t>
      </w:r>
    </w:p>
    <w:p w14:paraId="7808DBAE" w14:textId="1D85132B" w:rsidR="003E7BB0" w:rsidRDefault="003E7BB0" w:rsidP="003E7BB0">
      <w:r>
        <w:t xml:space="preserve">Akcije predviđene u ovom poglavlju </w:t>
      </w:r>
      <w:r w:rsidR="00343A02">
        <w:rPr>
          <w:rStyle w:val="IntenseEmphasis"/>
          <w:i w:val="0"/>
          <w:iCs w:val="0"/>
          <w:color w:val="auto"/>
        </w:rPr>
        <w:t>Plana aktivnosti</w:t>
      </w:r>
      <w:r w:rsidR="00343A02" w:rsidRPr="00AE0F6C">
        <w:rPr>
          <w:rStyle w:val="IntenseEmphasis"/>
          <w:i w:val="0"/>
          <w:iCs w:val="0"/>
          <w:color w:val="auto"/>
        </w:rPr>
        <w:t xml:space="preserve"> </w:t>
      </w:r>
      <w:r>
        <w:t>ne uključuju:</w:t>
      </w:r>
    </w:p>
    <w:p w14:paraId="5DC03667" w14:textId="77777777" w:rsidR="005B027C" w:rsidRDefault="003E7BB0" w:rsidP="00D15218">
      <w:pPr>
        <w:pStyle w:val="ListParagraph"/>
        <w:numPr>
          <w:ilvl w:val="0"/>
          <w:numId w:val="55"/>
        </w:numPr>
      </w:pPr>
      <w:r>
        <w:t>Razradu procedura za vidljivost, transparentnost i komunikaciju, koje su uključene u Poglavlje 2 (Institucionalni okvir). Ove procedure će obuhvatiti obaveze na nivou država članica, kao i sve obaveze upravljačkih tijela</w:t>
      </w:r>
      <w:r w:rsidR="005B027C">
        <w:t>.</w:t>
      </w:r>
    </w:p>
    <w:p w14:paraId="0E13C2A0" w14:textId="2CFF6B32" w:rsidR="003E7BB0" w:rsidRDefault="003E7BB0" w:rsidP="00D15218">
      <w:pPr>
        <w:pStyle w:val="ListParagraph"/>
        <w:numPr>
          <w:ilvl w:val="0"/>
          <w:numId w:val="55"/>
        </w:numPr>
      </w:pPr>
      <w:r>
        <w:t>Osnaživanje kapaciteta relevantnih institucija u oblasti vidljivosti, transparentnosti i komunikacije, koje su uključene u Poglavlje 3 (Administrativni kapaciteti).</w:t>
      </w:r>
    </w:p>
    <w:p w14:paraId="0F226E19" w14:textId="77777777" w:rsidR="003E7BB0" w:rsidRDefault="003E7BB0" w:rsidP="003E7BB0">
      <w:r>
        <w:t>Sažetak planiranih akcija prikazan je u tabeli ispod. Napominje se da se neke akcije koje su direktno povezane sa odobravanjem i implementacijom programa za buduću finansijsku perspektivu predviđaju za 2028. godinu.</w:t>
      </w:r>
    </w:p>
    <w:p w14:paraId="25DBCD54" w14:textId="31648149" w:rsidR="00280BC4" w:rsidRPr="00B83578" w:rsidRDefault="001D692B" w:rsidP="003B55E8">
      <w:pPr>
        <w:pStyle w:val="Caption"/>
      </w:pPr>
      <w:bookmarkStart w:id="203" w:name="_Toc181860471"/>
      <w:bookmarkStart w:id="204" w:name="_Toc193895458"/>
      <w:r>
        <w:t>Tabela</w:t>
      </w:r>
      <w:r w:rsidR="00280BC4" w:rsidRPr="00B83578">
        <w:t xml:space="preserve"> </w:t>
      </w:r>
      <w:fldSimple w:instr=" SEQ Table \* ARABIC ">
        <w:r w:rsidR="003C2962">
          <w:rPr>
            <w:noProof/>
          </w:rPr>
          <w:t>14</w:t>
        </w:r>
      </w:fldSimple>
      <w:r w:rsidR="00280BC4" w:rsidRPr="00B83578">
        <w:t xml:space="preserve">: </w:t>
      </w:r>
      <w:r w:rsidRPr="001D692B">
        <w:t>Planirane akcije u okviru Poglavlja Vidljivost, transparentnost i komunikacija</w:t>
      </w:r>
      <w:bookmarkEnd w:id="203"/>
      <w:bookmarkEnd w:id="204"/>
      <w:r w:rsidR="002E04B2" w:rsidRPr="00B83578">
        <w:t xml:space="preserve"> </w:t>
      </w:r>
    </w:p>
    <w:tbl>
      <w:tblPr>
        <w:tblStyle w:val="GridTable5Dark-Accent11"/>
        <w:tblW w:w="5000" w:type="pct"/>
        <w:tblInd w:w="0" w:type="dxa"/>
        <w:tblLook w:val="04A0" w:firstRow="1" w:lastRow="0" w:firstColumn="1" w:lastColumn="0" w:noHBand="0" w:noVBand="1"/>
      </w:tblPr>
      <w:tblGrid>
        <w:gridCol w:w="606"/>
        <w:gridCol w:w="1443"/>
        <w:gridCol w:w="1098"/>
        <w:gridCol w:w="862"/>
        <w:gridCol w:w="1573"/>
        <w:gridCol w:w="868"/>
        <w:gridCol w:w="755"/>
        <w:gridCol w:w="1431"/>
        <w:gridCol w:w="714"/>
      </w:tblGrid>
      <w:tr w:rsidR="002221D3" w:rsidRPr="002221D3" w14:paraId="7ADF535B" w14:textId="77777777" w:rsidTr="002221D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3" w:type="pct"/>
            <w:hideMark/>
          </w:tcPr>
          <w:p w14:paraId="60BA586D" w14:textId="62AFFC66" w:rsidR="002221D3" w:rsidRPr="002221D3" w:rsidRDefault="00543023" w:rsidP="002221D3">
            <w:pPr>
              <w:spacing w:after="0"/>
              <w:jc w:val="left"/>
              <w:rPr>
                <w:rFonts w:eastAsia="Times New Roman"/>
                <w:kern w:val="0"/>
                <w:sz w:val="14"/>
                <w:szCs w:val="14"/>
                <w:lang w:eastAsia="en-GB"/>
                <w14:ligatures w14:val="none"/>
              </w:rPr>
            </w:pPr>
            <w:r>
              <w:rPr>
                <w:rFonts w:eastAsia="Times New Roman"/>
                <w:kern w:val="0"/>
                <w:sz w:val="14"/>
                <w:szCs w:val="14"/>
                <w:lang w:eastAsia="en-GB"/>
                <w14:ligatures w14:val="none"/>
              </w:rPr>
              <w:t>Kod akcije</w:t>
            </w:r>
          </w:p>
        </w:tc>
        <w:tc>
          <w:tcPr>
            <w:tcW w:w="819" w:type="pct"/>
            <w:hideMark/>
          </w:tcPr>
          <w:p w14:paraId="67DF4255" w14:textId="5B525101" w:rsidR="002221D3" w:rsidRPr="002221D3" w:rsidRDefault="00543023" w:rsidP="002221D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Naziv akcije</w:t>
            </w:r>
          </w:p>
        </w:tc>
        <w:tc>
          <w:tcPr>
            <w:tcW w:w="634" w:type="pct"/>
            <w:hideMark/>
          </w:tcPr>
          <w:p w14:paraId="7B00B6EE" w14:textId="58FC66D0" w:rsidR="002221D3" w:rsidRPr="002221D3" w:rsidRDefault="0013334C" w:rsidP="002221D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Nadležnost</w:t>
            </w:r>
          </w:p>
        </w:tc>
        <w:tc>
          <w:tcPr>
            <w:tcW w:w="395" w:type="pct"/>
            <w:hideMark/>
          </w:tcPr>
          <w:p w14:paraId="6576B28F" w14:textId="4A3EBDD6" w:rsidR="002221D3" w:rsidRPr="002221D3" w:rsidRDefault="0013334C" w:rsidP="002221D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Raspored</w:t>
            </w:r>
          </w:p>
        </w:tc>
        <w:tc>
          <w:tcPr>
            <w:tcW w:w="888" w:type="pct"/>
            <w:hideMark/>
          </w:tcPr>
          <w:p w14:paraId="15ACF995" w14:textId="1325E1EA" w:rsidR="002221D3" w:rsidRPr="002221D3" w:rsidRDefault="0013334C" w:rsidP="002221D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Indikator</w:t>
            </w:r>
          </w:p>
        </w:tc>
        <w:tc>
          <w:tcPr>
            <w:tcW w:w="395" w:type="pct"/>
            <w:hideMark/>
          </w:tcPr>
          <w:p w14:paraId="27EF969B" w14:textId="796A6A61" w:rsidR="002221D3" w:rsidRPr="002221D3" w:rsidRDefault="00683B6B" w:rsidP="002221D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Vrsta</w:t>
            </w:r>
          </w:p>
        </w:tc>
        <w:tc>
          <w:tcPr>
            <w:tcW w:w="395" w:type="pct"/>
            <w:hideMark/>
          </w:tcPr>
          <w:p w14:paraId="2D718B1B" w14:textId="2AC535EF" w:rsidR="002221D3" w:rsidRPr="002221D3" w:rsidRDefault="00683B6B" w:rsidP="002221D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Resurs</w:t>
            </w:r>
          </w:p>
        </w:tc>
        <w:tc>
          <w:tcPr>
            <w:tcW w:w="812" w:type="pct"/>
            <w:hideMark/>
          </w:tcPr>
          <w:p w14:paraId="77F259A1" w14:textId="15C14D39" w:rsidR="002221D3" w:rsidRPr="002221D3" w:rsidRDefault="00683B6B" w:rsidP="002221D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Napomena</w:t>
            </w:r>
          </w:p>
        </w:tc>
        <w:tc>
          <w:tcPr>
            <w:tcW w:w="409" w:type="pct"/>
            <w:hideMark/>
          </w:tcPr>
          <w:p w14:paraId="276578FD" w14:textId="52CD3CB4" w:rsidR="002221D3" w:rsidRPr="002221D3" w:rsidRDefault="00683B6B" w:rsidP="002221D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 xml:space="preserve">Oznaka </w:t>
            </w:r>
            <w:r w:rsidR="00AF5AA9">
              <w:rPr>
                <w:rFonts w:eastAsia="Times New Roman"/>
                <w:kern w:val="0"/>
                <w:sz w:val="14"/>
                <w:szCs w:val="14"/>
                <w:lang w:eastAsia="en-GB"/>
                <w14:ligatures w14:val="none"/>
              </w:rPr>
              <w:t>mjerila</w:t>
            </w:r>
          </w:p>
        </w:tc>
      </w:tr>
      <w:tr w:rsidR="002221D3" w:rsidRPr="002221D3" w14:paraId="0A9A077F" w14:textId="77777777" w:rsidTr="002221D3">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253" w:type="pct"/>
            <w:hideMark/>
          </w:tcPr>
          <w:p w14:paraId="648DB4E8"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7.01.</w:t>
            </w:r>
          </w:p>
        </w:tc>
        <w:tc>
          <w:tcPr>
            <w:tcW w:w="819" w:type="pct"/>
            <w:hideMark/>
          </w:tcPr>
          <w:p w14:paraId="2B620305" w14:textId="013B1B4B" w:rsidR="002221D3" w:rsidRPr="002221D3" w:rsidRDefault="000D52B4"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jedinstvenog veb portala</w:t>
            </w:r>
          </w:p>
        </w:tc>
        <w:tc>
          <w:tcPr>
            <w:tcW w:w="634" w:type="pct"/>
            <w:hideMark/>
          </w:tcPr>
          <w:p w14:paraId="6A1AAF61" w14:textId="6B6198A8" w:rsidR="002221D3" w:rsidRPr="002221D3" w:rsidRDefault="006D6E25"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95" w:type="pct"/>
            <w:hideMark/>
          </w:tcPr>
          <w:p w14:paraId="1CC710E7" w14:textId="35352F6F"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88" w:type="pct"/>
            <w:hideMark/>
          </w:tcPr>
          <w:p w14:paraId="1BE040A4" w14:textId="261917F9" w:rsidR="002221D3" w:rsidRPr="002221D3" w:rsidRDefault="005E54B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posebnog odjeljka na EU4ME portalu.</w:t>
            </w:r>
          </w:p>
        </w:tc>
        <w:tc>
          <w:tcPr>
            <w:tcW w:w="395" w:type="pct"/>
            <w:hideMark/>
          </w:tcPr>
          <w:p w14:paraId="051C9B70" w14:textId="7537D801" w:rsidR="002221D3" w:rsidRPr="002221D3" w:rsidRDefault="0013334C"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3583D295" w14:textId="1C816943" w:rsidR="002221D3" w:rsidRPr="002221D3" w:rsidRDefault="00720740"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2" w:type="pct"/>
            <w:hideMark/>
          </w:tcPr>
          <w:p w14:paraId="1D326F21" w14:textId="4C4C5B50" w:rsidR="002221D3" w:rsidRPr="002221D3" w:rsidRDefault="005E54B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5E54B8">
              <w:rPr>
                <w:rFonts w:ascii="Aptos" w:eastAsia="Times New Roman" w:hAnsi="Aptos"/>
                <w:kern w:val="0"/>
                <w:sz w:val="14"/>
                <w:szCs w:val="14"/>
                <w:lang w:eastAsia="en-GB"/>
                <w14:ligatures w14:val="none"/>
              </w:rPr>
              <w:t>Portal će u početku pružati informacije o regulatornom okviru nakon 2027. godine i procesu programiranja u Crnoj Gori za Kohezionu politiku prije pristupanja Evropskoj uniji. Biće stalno ažuriran i prikladno usklađen nakon pristupanja Evropi.</w:t>
            </w:r>
          </w:p>
        </w:tc>
        <w:tc>
          <w:tcPr>
            <w:tcW w:w="409" w:type="pct"/>
            <w:hideMark/>
          </w:tcPr>
          <w:p w14:paraId="32DE0607"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2221D3" w:rsidRPr="002221D3" w14:paraId="4C2B302E" w14:textId="77777777" w:rsidTr="002221D3">
        <w:trPr>
          <w:trHeight w:val="2310"/>
        </w:trPr>
        <w:tc>
          <w:tcPr>
            <w:cnfStyle w:val="001000000000" w:firstRow="0" w:lastRow="0" w:firstColumn="1" w:lastColumn="0" w:oddVBand="0" w:evenVBand="0" w:oddHBand="0" w:evenHBand="0" w:firstRowFirstColumn="0" w:firstRowLastColumn="0" w:lastRowFirstColumn="0" w:lastRowLastColumn="0"/>
            <w:tcW w:w="253" w:type="pct"/>
            <w:hideMark/>
          </w:tcPr>
          <w:p w14:paraId="521E5B84"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lastRenderedPageBreak/>
              <w:t>7.01.</w:t>
            </w:r>
          </w:p>
        </w:tc>
        <w:tc>
          <w:tcPr>
            <w:tcW w:w="819" w:type="pct"/>
            <w:hideMark/>
          </w:tcPr>
          <w:p w14:paraId="71A9C29F" w14:textId="41FF94CB" w:rsidR="002221D3" w:rsidRPr="002221D3" w:rsidRDefault="000D52B4"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jedinstvenog veb portala</w:t>
            </w:r>
          </w:p>
        </w:tc>
        <w:tc>
          <w:tcPr>
            <w:tcW w:w="634" w:type="pct"/>
            <w:hideMark/>
          </w:tcPr>
          <w:p w14:paraId="189C4EA4" w14:textId="66C8488F" w:rsidR="002221D3" w:rsidRPr="002221D3" w:rsidRDefault="006D6E25"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95" w:type="pct"/>
            <w:hideMark/>
          </w:tcPr>
          <w:p w14:paraId="3F81AD3D" w14:textId="7C1C87D0"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2026-</w:t>
            </w:r>
            <w:r w:rsidR="000744D1">
              <w:rPr>
                <w:rFonts w:ascii="Aptos" w:eastAsia="Times New Roman" w:hAnsi="Aptos"/>
                <w:kern w:val="0"/>
                <w:sz w:val="14"/>
                <w:szCs w:val="14"/>
                <w:lang w:eastAsia="en-GB"/>
                <w14:ligatures w14:val="none"/>
              </w:rPr>
              <w:t>Kvartal</w:t>
            </w:r>
            <w:r w:rsidRPr="002221D3">
              <w:rPr>
                <w:rFonts w:ascii="Aptos" w:eastAsia="Times New Roman" w:hAnsi="Aptos"/>
                <w:kern w:val="0"/>
                <w:sz w:val="14"/>
                <w:szCs w:val="14"/>
                <w:lang w:eastAsia="en-GB"/>
                <w14:ligatures w14:val="none"/>
              </w:rPr>
              <w:t>2</w:t>
            </w:r>
          </w:p>
        </w:tc>
        <w:tc>
          <w:tcPr>
            <w:tcW w:w="888" w:type="pct"/>
            <w:hideMark/>
          </w:tcPr>
          <w:p w14:paraId="6CDFD7D2"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Ongoing plans/ updates on the programming process for Cohesion Policy.</w:t>
            </w:r>
          </w:p>
        </w:tc>
        <w:tc>
          <w:tcPr>
            <w:tcW w:w="395" w:type="pct"/>
            <w:hideMark/>
          </w:tcPr>
          <w:p w14:paraId="62678B3F" w14:textId="4C0687A2" w:rsidR="002221D3" w:rsidRPr="002221D3" w:rsidRDefault="0013334C"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3955E8BF" w14:textId="1746AA76" w:rsidR="002221D3" w:rsidRPr="002221D3" w:rsidRDefault="00720740"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2" w:type="pct"/>
            <w:hideMark/>
          </w:tcPr>
          <w:p w14:paraId="2FCEC0B4" w14:textId="7F1DB437" w:rsidR="002221D3" w:rsidRPr="002221D3" w:rsidRDefault="005E54B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Portal će u početku pružati informacije o regulatornom okviru nakon 2027. godine i procesu programiranja u Crnoj Gori za Kohezionu politiku prije pristupanja Evropskoj uniji. Biće stalno ažuriran i prikladno usklađen nakon pristupanja Evropi.</w:t>
            </w:r>
          </w:p>
        </w:tc>
        <w:tc>
          <w:tcPr>
            <w:tcW w:w="409" w:type="pct"/>
            <w:hideMark/>
          </w:tcPr>
          <w:p w14:paraId="29C380A6"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2221D3" w:rsidRPr="002221D3" w14:paraId="2C234EF5" w14:textId="77777777" w:rsidTr="002221D3">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253" w:type="pct"/>
            <w:hideMark/>
          </w:tcPr>
          <w:p w14:paraId="2FE42051"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7.01.</w:t>
            </w:r>
          </w:p>
        </w:tc>
        <w:tc>
          <w:tcPr>
            <w:tcW w:w="819" w:type="pct"/>
            <w:hideMark/>
          </w:tcPr>
          <w:p w14:paraId="5DB88177" w14:textId="50DB15C3" w:rsidR="002221D3" w:rsidRPr="002221D3" w:rsidRDefault="000D52B4"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Uspostavljanje jedinstvenog veb portala</w:t>
            </w:r>
          </w:p>
        </w:tc>
        <w:tc>
          <w:tcPr>
            <w:tcW w:w="634" w:type="pct"/>
            <w:hideMark/>
          </w:tcPr>
          <w:p w14:paraId="0A4B9B5C" w14:textId="5A571317" w:rsidR="002221D3" w:rsidRPr="002221D3" w:rsidRDefault="006D6E25"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p>
        </w:tc>
        <w:tc>
          <w:tcPr>
            <w:tcW w:w="395" w:type="pct"/>
            <w:hideMark/>
          </w:tcPr>
          <w:p w14:paraId="1193C5D5" w14:textId="442469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2221D3">
              <w:rPr>
                <w:rFonts w:ascii="Aptos" w:eastAsia="Times New Roman" w:hAnsi="Aptos"/>
                <w:kern w:val="0"/>
                <w:sz w:val="14"/>
                <w:szCs w:val="14"/>
                <w:lang w:eastAsia="en-GB"/>
                <w14:ligatures w14:val="none"/>
              </w:rPr>
              <w:t>1</w:t>
            </w:r>
          </w:p>
        </w:tc>
        <w:tc>
          <w:tcPr>
            <w:tcW w:w="888" w:type="pct"/>
            <w:hideMark/>
          </w:tcPr>
          <w:p w14:paraId="6D1932B3" w14:textId="2F3B1B5F"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Link</w:t>
            </w:r>
            <w:r w:rsidR="005E54B8">
              <w:rPr>
                <w:rFonts w:ascii="Aptos" w:eastAsia="Times New Roman" w:hAnsi="Aptos"/>
                <w:kern w:val="0"/>
                <w:sz w:val="14"/>
                <w:szCs w:val="14"/>
                <w:lang w:eastAsia="en-GB"/>
                <w14:ligatures w14:val="none"/>
              </w:rPr>
              <w:t>ovi za sajtove svakog Programa.</w:t>
            </w:r>
          </w:p>
        </w:tc>
        <w:tc>
          <w:tcPr>
            <w:tcW w:w="395" w:type="pct"/>
            <w:hideMark/>
          </w:tcPr>
          <w:p w14:paraId="7ABAF150" w14:textId="34F884F1" w:rsidR="002221D3" w:rsidRPr="002221D3" w:rsidRDefault="0013334C"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70C886AA" w14:textId="40314FB1" w:rsidR="002221D3" w:rsidRPr="002221D3" w:rsidRDefault="00720740"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2" w:type="pct"/>
            <w:hideMark/>
          </w:tcPr>
          <w:p w14:paraId="57E32AA8" w14:textId="1FC8A72C" w:rsidR="002221D3" w:rsidRPr="002221D3" w:rsidRDefault="005E54B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Portal će u početku pružati informacije o regulatornom okviru nakon 2027. godine i procesu programiranja u Crnoj Gori za Kohezionu politiku prije pristupanja Evropskoj uniji. Biće stalno ažuriran i prikladno usklađen nakon pristupanja Evropi.</w:t>
            </w:r>
          </w:p>
        </w:tc>
        <w:tc>
          <w:tcPr>
            <w:tcW w:w="409" w:type="pct"/>
            <w:hideMark/>
          </w:tcPr>
          <w:p w14:paraId="40E85575"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2221D3" w:rsidRPr="002221D3" w14:paraId="105D55E3" w14:textId="77777777" w:rsidTr="002221D3">
        <w:trPr>
          <w:trHeight w:val="840"/>
        </w:trPr>
        <w:tc>
          <w:tcPr>
            <w:cnfStyle w:val="001000000000" w:firstRow="0" w:lastRow="0" w:firstColumn="1" w:lastColumn="0" w:oddVBand="0" w:evenVBand="0" w:oddHBand="0" w:evenHBand="0" w:firstRowFirstColumn="0" w:firstRowLastColumn="0" w:lastRowFirstColumn="0" w:lastRowLastColumn="0"/>
            <w:tcW w:w="253" w:type="pct"/>
            <w:hideMark/>
          </w:tcPr>
          <w:p w14:paraId="6198E498"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7.02.</w:t>
            </w:r>
          </w:p>
        </w:tc>
        <w:tc>
          <w:tcPr>
            <w:tcW w:w="819" w:type="pct"/>
            <w:hideMark/>
          </w:tcPr>
          <w:p w14:paraId="41868205" w14:textId="49193C0C" w:rsidR="002221D3" w:rsidRPr="002221D3" w:rsidRDefault="000D52B4"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Koordinator za komunikaciju i službenici za komunikaciju programa</w:t>
            </w:r>
          </w:p>
        </w:tc>
        <w:tc>
          <w:tcPr>
            <w:tcW w:w="634" w:type="pct"/>
            <w:hideMark/>
          </w:tcPr>
          <w:p w14:paraId="6036DBBF" w14:textId="419860B9" w:rsidR="002221D3" w:rsidRPr="002221D3" w:rsidRDefault="006D6E25"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2221D3" w:rsidRPr="002221D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5" w:type="pct"/>
            <w:hideMark/>
          </w:tcPr>
          <w:p w14:paraId="339917BD" w14:textId="3AC399CD"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2024-</w:t>
            </w:r>
            <w:r w:rsidR="000744D1">
              <w:rPr>
                <w:rFonts w:ascii="Aptos" w:eastAsia="Times New Roman" w:hAnsi="Aptos"/>
                <w:kern w:val="0"/>
                <w:sz w:val="14"/>
                <w:szCs w:val="14"/>
                <w:lang w:eastAsia="en-GB"/>
                <w14:ligatures w14:val="none"/>
              </w:rPr>
              <w:t>Kvartal</w:t>
            </w:r>
            <w:r w:rsidRPr="002221D3">
              <w:rPr>
                <w:rFonts w:ascii="Aptos" w:eastAsia="Times New Roman" w:hAnsi="Aptos"/>
                <w:kern w:val="0"/>
                <w:sz w:val="14"/>
                <w:szCs w:val="14"/>
                <w:lang w:eastAsia="en-GB"/>
                <w14:ligatures w14:val="none"/>
              </w:rPr>
              <w:t>4</w:t>
            </w:r>
          </w:p>
        </w:tc>
        <w:tc>
          <w:tcPr>
            <w:tcW w:w="888" w:type="pct"/>
            <w:hideMark/>
          </w:tcPr>
          <w:p w14:paraId="13306FFA" w14:textId="5C099E9D" w:rsidR="002221D3" w:rsidRPr="002221D3" w:rsidRDefault="005E54B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Pratiti aktivnosti INFORM EU i dostupne onlajn obuke</w:t>
            </w:r>
          </w:p>
        </w:tc>
        <w:tc>
          <w:tcPr>
            <w:tcW w:w="395" w:type="pct"/>
            <w:hideMark/>
          </w:tcPr>
          <w:p w14:paraId="444473C8" w14:textId="4AC78828" w:rsidR="002221D3" w:rsidRPr="002221D3" w:rsidRDefault="0013334C"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111A8EB5"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812" w:type="pct"/>
            <w:hideMark/>
          </w:tcPr>
          <w:p w14:paraId="42E1816E"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09" w:type="pct"/>
            <w:hideMark/>
          </w:tcPr>
          <w:p w14:paraId="602F4455"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2221D3" w:rsidRPr="002221D3" w14:paraId="56F66638" w14:textId="77777777" w:rsidTr="002221D3">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53" w:type="pct"/>
            <w:hideMark/>
          </w:tcPr>
          <w:p w14:paraId="67B4933E"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7.02.</w:t>
            </w:r>
          </w:p>
        </w:tc>
        <w:tc>
          <w:tcPr>
            <w:tcW w:w="819" w:type="pct"/>
            <w:hideMark/>
          </w:tcPr>
          <w:p w14:paraId="1581B10E" w14:textId="3C71002B" w:rsidR="002221D3" w:rsidRPr="002221D3" w:rsidRDefault="000D52B4"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Koordinator za komunikaciju i službenici za komunikaciju programa</w:t>
            </w:r>
          </w:p>
        </w:tc>
        <w:tc>
          <w:tcPr>
            <w:tcW w:w="634" w:type="pct"/>
            <w:hideMark/>
          </w:tcPr>
          <w:p w14:paraId="2B721F68" w14:textId="1BF0DE41" w:rsidR="002221D3" w:rsidRPr="002221D3" w:rsidRDefault="006D6E25"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2221D3" w:rsidRPr="002221D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5" w:type="pct"/>
            <w:hideMark/>
          </w:tcPr>
          <w:p w14:paraId="542BB0E5" w14:textId="71D3E259"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88" w:type="pct"/>
            <w:hideMark/>
          </w:tcPr>
          <w:p w14:paraId="2B2E3269" w14:textId="09AE6FEA" w:rsidR="002221D3" w:rsidRPr="002221D3" w:rsidRDefault="005E54B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Imenovanje Koordinatora za komunikaciju.</w:t>
            </w:r>
          </w:p>
        </w:tc>
        <w:tc>
          <w:tcPr>
            <w:tcW w:w="395" w:type="pct"/>
            <w:hideMark/>
          </w:tcPr>
          <w:p w14:paraId="2650AB3B" w14:textId="3E3A29F9" w:rsidR="002221D3" w:rsidRPr="002221D3" w:rsidRDefault="0013334C"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7FC5BC0A"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812" w:type="pct"/>
            <w:hideMark/>
          </w:tcPr>
          <w:p w14:paraId="5FCBC205"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09" w:type="pct"/>
            <w:hideMark/>
          </w:tcPr>
          <w:p w14:paraId="26DF135C"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2221D3" w:rsidRPr="002221D3" w14:paraId="5093C741" w14:textId="77777777" w:rsidTr="002221D3">
        <w:trPr>
          <w:trHeight w:val="840"/>
        </w:trPr>
        <w:tc>
          <w:tcPr>
            <w:cnfStyle w:val="001000000000" w:firstRow="0" w:lastRow="0" w:firstColumn="1" w:lastColumn="0" w:oddVBand="0" w:evenVBand="0" w:oddHBand="0" w:evenHBand="0" w:firstRowFirstColumn="0" w:firstRowLastColumn="0" w:lastRowFirstColumn="0" w:lastRowLastColumn="0"/>
            <w:tcW w:w="253" w:type="pct"/>
            <w:hideMark/>
          </w:tcPr>
          <w:p w14:paraId="45BC5C38"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7.02.</w:t>
            </w:r>
          </w:p>
        </w:tc>
        <w:tc>
          <w:tcPr>
            <w:tcW w:w="819" w:type="pct"/>
            <w:hideMark/>
          </w:tcPr>
          <w:p w14:paraId="662A9D11" w14:textId="2DD9981D" w:rsidR="002221D3" w:rsidRPr="002221D3" w:rsidRDefault="000D52B4"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Koordinator za komunikaciju i službenici za komunikaciju programa</w:t>
            </w:r>
          </w:p>
        </w:tc>
        <w:tc>
          <w:tcPr>
            <w:tcW w:w="634" w:type="pct"/>
            <w:hideMark/>
          </w:tcPr>
          <w:p w14:paraId="0BD89562" w14:textId="2CA2C34C" w:rsidR="002221D3" w:rsidRPr="002221D3" w:rsidRDefault="006D6E25"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Ministarstvo evropskih poslova - </w:t>
            </w:r>
            <w:r w:rsidR="0086543E" w:rsidRPr="0086543E">
              <w:rPr>
                <w:rFonts w:ascii="Aptos" w:eastAsia="Times New Roman" w:hAnsi="Aptos"/>
                <w:kern w:val="0"/>
                <w:sz w:val="14"/>
                <w:szCs w:val="14"/>
                <w:lang w:eastAsia="en-GB"/>
                <w14:ligatures w14:val="none"/>
              </w:rPr>
              <w:t>NIPAK</w:t>
            </w:r>
            <w:r>
              <w:rPr>
                <w:rFonts w:ascii="Aptos" w:eastAsia="Times New Roman" w:hAnsi="Aptos"/>
                <w:kern w:val="0"/>
                <w:sz w:val="14"/>
                <w:szCs w:val="14"/>
                <w:lang w:eastAsia="en-GB"/>
                <w14:ligatures w14:val="none"/>
              </w:rPr>
              <w:t xml:space="preserve"> Kancelarija</w:t>
            </w:r>
            <w:r w:rsidR="002221D3" w:rsidRPr="002221D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Buduće upravljačko tijelo</w:t>
            </w:r>
          </w:p>
        </w:tc>
        <w:tc>
          <w:tcPr>
            <w:tcW w:w="395" w:type="pct"/>
            <w:hideMark/>
          </w:tcPr>
          <w:p w14:paraId="0EE77BEA" w14:textId="4600BCDC"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88" w:type="pct"/>
            <w:hideMark/>
          </w:tcPr>
          <w:p w14:paraId="61897308" w14:textId="468AD56F" w:rsidR="002221D3" w:rsidRPr="002221D3" w:rsidRDefault="005E54B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Imenovanje Službenika za komunikaciju.</w:t>
            </w:r>
          </w:p>
        </w:tc>
        <w:tc>
          <w:tcPr>
            <w:tcW w:w="395" w:type="pct"/>
            <w:hideMark/>
          </w:tcPr>
          <w:p w14:paraId="710EEE7E" w14:textId="50F86E3B" w:rsidR="002221D3" w:rsidRPr="002221D3" w:rsidRDefault="0013334C"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64E049E3"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812" w:type="pct"/>
            <w:hideMark/>
          </w:tcPr>
          <w:p w14:paraId="0B7F7BE2"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09" w:type="pct"/>
            <w:hideMark/>
          </w:tcPr>
          <w:p w14:paraId="34C04E97"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2221D3" w:rsidRPr="002221D3" w14:paraId="18191B18" w14:textId="77777777" w:rsidTr="002221D3">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504FDEA1"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7.03.</w:t>
            </w:r>
          </w:p>
        </w:tc>
        <w:tc>
          <w:tcPr>
            <w:tcW w:w="819" w:type="pct"/>
            <w:hideMark/>
          </w:tcPr>
          <w:p w14:paraId="231CB469" w14:textId="47F77D82" w:rsidR="002221D3" w:rsidRPr="002221D3" w:rsidRDefault="000D52B4"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Transparentnost implementacije Fondova, vidljivost obaveza i komunikacija o programima</w:t>
            </w:r>
          </w:p>
        </w:tc>
        <w:tc>
          <w:tcPr>
            <w:tcW w:w="634" w:type="pct"/>
            <w:hideMark/>
          </w:tcPr>
          <w:p w14:paraId="1F41E588" w14:textId="7E4DF9D4" w:rsidR="002221D3" w:rsidRPr="002221D3" w:rsidRDefault="006D6E25"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p>
        </w:tc>
        <w:tc>
          <w:tcPr>
            <w:tcW w:w="395" w:type="pct"/>
            <w:hideMark/>
          </w:tcPr>
          <w:p w14:paraId="3E0F4D86" w14:textId="0F429BD9"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88" w:type="pct"/>
            <w:hideMark/>
          </w:tcPr>
          <w:p w14:paraId="6C1DF394" w14:textId="143F81B9"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Razvijeno brendiranje i koncept za sajtove Programa.</w:t>
            </w:r>
          </w:p>
        </w:tc>
        <w:tc>
          <w:tcPr>
            <w:tcW w:w="395" w:type="pct"/>
            <w:hideMark/>
          </w:tcPr>
          <w:p w14:paraId="5416762A" w14:textId="381B7EC2" w:rsidR="002221D3" w:rsidRPr="002221D3" w:rsidRDefault="0013334C"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7CC01DC5" w14:textId="0FEF1AA6" w:rsidR="002221D3" w:rsidRPr="002221D3" w:rsidRDefault="00720740"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2" w:type="pct"/>
            <w:hideMark/>
          </w:tcPr>
          <w:p w14:paraId="7142F9B6" w14:textId="75059C57"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slučaju INTERREG programa u diskusiji sa zemljama učesnicama.</w:t>
            </w:r>
          </w:p>
        </w:tc>
        <w:tc>
          <w:tcPr>
            <w:tcW w:w="409" w:type="pct"/>
            <w:hideMark/>
          </w:tcPr>
          <w:p w14:paraId="3172B1BB"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2221D3" w:rsidRPr="002221D3" w14:paraId="20B36C79" w14:textId="77777777" w:rsidTr="002221D3">
        <w:trPr>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16311820"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7.03.</w:t>
            </w:r>
          </w:p>
        </w:tc>
        <w:tc>
          <w:tcPr>
            <w:tcW w:w="819" w:type="pct"/>
            <w:hideMark/>
          </w:tcPr>
          <w:p w14:paraId="74774423" w14:textId="3CDB714C" w:rsidR="002221D3" w:rsidRPr="002221D3" w:rsidRDefault="000D52B4"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Transparentnost implementacije Fondova, vidljivost obaveza i komunikacija o programima</w:t>
            </w:r>
          </w:p>
        </w:tc>
        <w:tc>
          <w:tcPr>
            <w:tcW w:w="634" w:type="pct"/>
            <w:hideMark/>
          </w:tcPr>
          <w:p w14:paraId="1E7DDB9E" w14:textId="227EE9D9" w:rsidR="002221D3" w:rsidRPr="002221D3" w:rsidRDefault="006D6E25"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p>
        </w:tc>
        <w:tc>
          <w:tcPr>
            <w:tcW w:w="395" w:type="pct"/>
            <w:hideMark/>
          </w:tcPr>
          <w:p w14:paraId="5D5EFB43" w14:textId="7F767D83"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88" w:type="pct"/>
            <w:hideMark/>
          </w:tcPr>
          <w:p w14:paraId="1FDA2264" w14:textId="43F6E81B"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75088">
              <w:rPr>
                <w:rFonts w:ascii="Aptos" w:eastAsia="Times New Roman" w:hAnsi="Aptos"/>
                <w:kern w:val="0"/>
                <w:sz w:val="14"/>
                <w:szCs w:val="14"/>
                <w:lang w:eastAsia="en-GB"/>
                <w14:ligatures w14:val="none"/>
              </w:rPr>
              <w:t>Definisani standardi pristupačnosti.</w:t>
            </w:r>
          </w:p>
        </w:tc>
        <w:tc>
          <w:tcPr>
            <w:tcW w:w="395" w:type="pct"/>
            <w:hideMark/>
          </w:tcPr>
          <w:p w14:paraId="0E662322" w14:textId="0D22E8AC" w:rsidR="002221D3" w:rsidRPr="002221D3" w:rsidRDefault="0013334C"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7F5E89CB" w14:textId="7CEC402B" w:rsidR="002221D3" w:rsidRPr="002221D3" w:rsidRDefault="00720740"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2" w:type="pct"/>
            <w:hideMark/>
          </w:tcPr>
          <w:p w14:paraId="68D924A8" w14:textId="5C2467BB"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slučaju INTERREG programa u diskusiji sa zemljama učesnicama.</w:t>
            </w:r>
          </w:p>
        </w:tc>
        <w:tc>
          <w:tcPr>
            <w:tcW w:w="409" w:type="pct"/>
            <w:hideMark/>
          </w:tcPr>
          <w:p w14:paraId="6D60413B"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2221D3" w:rsidRPr="002221D3" w14:paraId="7A978DF8" w14:textId="77777777" w:rsidTr="002221D3">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253" w:type="pct"/>
            <w:hideMark/>
          </w:tcPr>
          <w:p w14:paraId="1E551123"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7.03.</w:t>
            </w:r>
          </w:p>
        </w:tc>
        <w:tc>
          <w:tcPr>
            <w:tcW w:w="819" w:type="pct"/>
            <w:hideMark/>
          </w:tcPr>
          <w:p w14:paraId="407F2183" w14:textId="26A46496" w:rsidR="002221D3" w:rsidRPr="002221D3" w:rsidRDefault="000D52B4"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Transparentnost implementacije Fondova, vidljivost obaveza i komunikacija o programima</w:t>
            </w:r>
          </w:p>
        </w:tc>
        <w:tc>
          <w:tcPr>
            <w:tcW w:w="634" w:type="pct"/>
            <w:hideMark/>
          </w:tcPr>
          <w:p w14:paraId="68358876" w14:textId="53CCDFD7" w:rsidR="002221D3" w:rsidRPr="002221D3" w:rsidRDefault="006D6E25"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p>
        </w:tc>
        <w:tc>
          <w:tcPr>
            <w:tcW w:w="395" w:type="pct"/>
            <w:hideMark/>
          </w:tcPr>
          <w:p w14:paraId="68C109F4" w14:textId="1E488A90"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88" w:type="pct"/>
            <w:hideMark/>
          </w:tcPr>
          <w:p w14:paraId="50A7D5D8" w14:textId="7495F963"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w:t>
            </w:r>
            <w:r w:rsidRPr="00975088">
              <w:rPr>
                <w:rFonts w:ascii="Aptos" w:eastAsia="Times New Roman" w:hAnsi="Aptos"/>
                <w:kern w:val="0"/>
                <w:sz w:val="14"/>
                <w:szCs w:val="14"/>
                <w:lang w:eastAsia="en-GB"/>
                <w14:ligatures w14:val="none"/>
              </w:rPr>
              <w:t>ajtovi programa u potpunosti pristupačni.</w:t>
            </w:r>
          </w:p>
        </w:tc>
        <w:tc>
          <w:tcPr>
            <w:tcW w:w="395" w:type="pct"/>
            <w:hideMark/>
          </w:tcPr>
          <w:p w14:paraId="51C39124" w14:textId="32F7D503" w:rsidR="002221D3" w:rsidRPr="002221D3" w:rsidRDefault="0013334C"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Prekretnica</w:t>
            </w:r>
          </w:p>
        </w:tc>
        <w:tc>
          <w:tcPr>
            <w:tcW w:w="395" w:type="pct"/>
            <w:hideMark/>
          </w:tcPr>
          <w:p w14:paraId="56A3EB77" w14:textId="1179632A" w:rsidR="002221D3" w:rsidRPr="002221D3" w:rsidRDefault="00720740"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2" w:type="pct"/>
            <w:hideMark/>
          </w:tcPr>
          <w:p w14:paraId="698D28D1" w14:textId="1B7862B5"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slučaju INTERREG programa u diskusiji sa zemljama učesnicama.</w:t>
            </w:r>
          </w:p>
        </w:tc>
        <w:tc>
          <w:tcPr>
            <w:tcW w:w="409" w:type="pct"/>
            <w:hideMark/>
          </w:tcPr>
          <w:p w14:paraId="6763CC0A"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2221D3" w:rsidRPr="002221D3" w14:paraId="5312CB24" w14:textId="77777777" w:rsidTr="002221D3">
        <w:trPr>
          <w:trHeight w:val="630"/>
        </w:trPr>
        <w:tc>
          <w:tcPr>
            <w:cnfStyle w:val="001000000000" w:firstRow="0" w:lastRow="0" w:firstColumn="1" w:lastColumn="0" w:oddVBand="0" w:evenVBand="0" w:oddHBand="0" w:evenHBand="0" w:firstRowFirstColumn="0" w:firstRowLastColumn="0" w:lastRowFirstColumn="0" w:lastRowLastColumn="0"/>
            <w:tcW w:w="253" w:type="pct"/>
            <w:hideMark/>
          </w:tcPr>
          <w:p w14:paraId="232E6A57"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7.04.</w:t>
            </w:r>
          </w:p>
        </w:tc>
        <w:tc>
          <w:tcPr>
            <w:tcW w:w="819" w:type="pct"/>
            <w:hideMark/>
          </w:tcPr>
          <w:p w14:paraId="46B26033" w14:textId="730D274E"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Smjernice za korisnike.</w:t>
            </w:r>
          </w:p>
        </w:tc>
        <w:tc>
          <w:tcPr>
            <w:tcW w:w="634" w:type="pct"/>
            <w:hideMark/>
          </w:tcPr>
          <w:p w14:paraId="44216124" w14:textId="31E29840" w:rsidR="002221D3" w:rsidRPr="002221D3" w:rsidRDefault="006D6E25"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2221D3" w:rsidRPr="002221D3">
              <w:rPr>
                <w:rFonts w:ascii="Aptos" w:eastAsia="Times New Roman" w:hAnsi="Aptos"/>
                <w:kern w:val="0"/>
                <w:sz w:val="14"/>
                <w:szCs w:val="14"/>
                <w:lang w:eastAsia="en-GB"/>
                <w14:ligatures w14:val="none"/>
              </w:rPr>
              <w:t xml:space="preserve">; </w:t>
            </w:r>
            <w:r>
              <w:rPr>
                <w:rFonts w:ascii="Aptos" w:eastAsia="Times New Roman" w:hAnsi="Aptos"/>
                <w:kern w:val="0"/>
                <w:sz w:val="14"/>
                <w:szCs w:val="14"/>
                <w:lang w:eastAsia="en-GB"/>
                <w14:ligatures w14:val="none"/>
              </w:rPr>
              <w:t xml:space="preserve">Buduća </w:t>
            </w:r>
            <w:r>
              <w:rPr>
                <w:rFonts w:ascii="Aptos" w:eastAsia="Times New Roman" w:hAnsi="Aptos"/>
                <w:kern w:val="0"/>
                <w:sz w:val="14"/>
                <w:szCs w:val="14"/>
                <w:lang w:eastAsia="en-GB"/>
                <w14:ligatures w14:val="none"/>
              </w:rPr>
              <w:lastRenderedPageBreak/>
              <w:t>posrednička tijela</w:t>
            </w:r>
          </w:p>
        </w:tc>
        <w:tc>
          <w:tcPr>
            <w:tcW w:w="395" w:type="pct"/>
            <w:hideMark/>
          </w:tcPr>
          <w:p w14:paraId="4F986909" w14:textId="21D0D461"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lastRenderedPageBreak/>
              <w:t>2028-</w:t>
            </w:r>
            <w:r w:rsidR="000744D1">
              <w:rPr>
                <w:rFonts w:ascii="Aptos" w:eastAsia="Times New Roman" w:hAnsi="Aptos"/>
                <w:kern w:val="0"/>
                <w:sz w:val="14"/>
                <w:szCs w:val="14"/>
                <w:lang w:eastAsia="en-GB"/>
                <w14:ligatures w14:val="none"/>
              </w:rPr>
              <w:t>Kvartal</w:t>
            </w:r>
            <w:r w:rsidRPr="002221D3">
              <w:rPr>
                <w:rFonts w:ascii="Aptos" w:eastAsia="Times New Roman" w:hAnsi="Aptos"/>
                <w:kern w:val="0"/>
                <w:sz w:val="14"/>
                <w:szCs w:val="14"/>
                <w:lang w:eastAsia="en-GB"/>
                <w14:ligatures w14:val="none"/>
              </w:rPr>
              <w:t>2</w:t>
            </w:r>
          </w:p>
        </w:tc>
        <w:tc>
          <w:tcPr>
            <w:tcW w:w="888" w:type="pct"/>
            <w:hideMark/>
          </w:tcPr>
          <w:p w14:paraId="250258A3" w14:textId="05A91269"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75088">
              <w:rPr>
                <w:rFonts w:ascii="Aptos" w:eastAsia="Times New Roman" w:hAnsi="Aptos"/>
                <w:kern w:val="0"/>
                <w:sz w:val="14"/>
                <w:szCs w:val="14"/>
                <w:lang w:eastAsia="en-GB"/>
                <w14:ligatures w14:val="none"/>
              </w:rPr>
              <w:t>Priprema smjernica za korisnike.</w:t>
            </w:r>
          </w:p>
        </w:tc>
        <w:tc>
          <w:tcPr>
            <w:tcW w:w="395" w:type="pct"/>
            <w:hideMark/>
          </w:tcPr>
          <w:p w14:paraId="660F1AF0" w14:textId="5B75D02D" w:rsidR="002221D3" w:rsidRPr="002221D3" w:rsidRDefault="0013334C"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6C894C17"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812" w:type="pct"/>
            <w:hideMark/>
          </w:tcPr>
          <w:p w14:paraId="6A390590"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c>
          <w:tcPr>
            <w:tcW w:w="409" w:type="pct"/>
            <w:hideMark/>
          </w:tcPr>
          <w:p w14:paraId="28976538"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4"/>
                <w:szCs w:val="14"/>
                <w:lang w:eastAsia="en-GB"/>
                <w14:ligatures w14:val="none"/>
              </w:rPr>
            </w:pPr>
          </w:p>
        </w:tc>
      </w:tr>
      <w:tr w:rsidR="002221D3" w:rsidRPr="002221D3" w14:paraId="5262F469" w14:textId="77777777" w:rsidTr="002221D3">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253" w:type="pct"/>
            <w:hideMark/>
          </w:tcPr>
          <w:p w14:paraId="13080DF4"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7.05.</w:t>
            </w:r>
          </w:p>
        </w:tc>
        <w:tc>
          <w:tcPr>
            <w:tcW w:w="819" w:type="pct"/>
            <w:hideMark/>
          </w:tcPr>
          <w:p w14:paraId="370C165E" w14:textId="07C4DC86"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Akcije za komunikaciju i vidljivost</w:t>
            </w:r>
          </w:p>
        </w:tc>
        <w:tc>
          <w:tcPr>
            <w:tcW w:w="634" w:type="pct"/>
            <w:hideMark/>
          </w:tcPr>
          <w:p w14:paraId="65C2EDFC" w14:textId="6A452652" w:rsidR="002221D3" w:rsidRPr="002221D3" w:rsidRDefault="006D6E25"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2221D3" w:rsidRPr="002221D3">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Budući odbori za monitoring</w:t>
            </w:r>
          </w:p>
        </w:tc>
        <w:tc>
          <w:tcPr>
            <w:tcW w:w="395" w:type="pct"/>
            <w:hideMark/>
          </w:tcPr>
          <w:p w14:paraId="0230D496" w14:textId="651BF664"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2028-</w:t>
            </w:r>
            <w:r w:rsidR="000744D1">
              <w:rPr>
                <w:rFonts w:ascii="Aptos" w:eastAsia="Times New Roman" w:hAnsi="Aptos"/>
                <w:kern w:val="0"/>
                <w:sz w:val="14"/>
                <w:szCs w:val="14"/>
                <w:lang w:eastAsia="en-GB"/>
                <w14:ligatures w14:val="none"/>
              </w:rPr>
              <w:t>Kvartal</w:t>
            </w:r>
            <w:r w:rsidRPr="002221D3">
              <w:rPr>
                <w:rFonts w:ascii="Aptos" w:eastAsia="Times New Roman" w:hAnsi="Aptos"/>
                <w:kern w:val="0"/>
                <w:sz w:val="14"/>
                <w:szCs w:val="14"/>
                <w:lang w:eastAsia="en-GB"/>
                <w14:ligatures w14:val="none"/>
              </w:rPr>
              <w:t>2</w:t>
            </w:r>
          </w:p>
        </w:tc>
        <w:tc>
          <w:tcPr>
            <w:tcW w:w="888" w:type="pct"/>
            <w:hideMark/>
          </w:tcPr>
          <w:p w14:paraId="26583185" w14:textId="2A864CE6"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Priprema strategija/planova za komunikaciju ako je primjenjivo.</w:t>
            </w:r>
          </w:p>
        </w:tc>
        <w:tc>
          <w:tcPr>
            <w:tcW w:w="395" w:type="pct"/>
            <w:hideMark/>
          </w:tcPr>
          <w:p w14:paraId="2070898C" w14:textId="56452EEA" w:rsidR="002221D3" w:rsidRPr="002221D3" w:rsidRDefault="0013334C"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18597C41"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812" w:type="pct"/>
            <w:hideMark/>
          </w:tcPr>
          <w:p w14:paraId="3C008C86" w14:textId="3C897521" w:rsidR="002221D3" w:rsidRPr="002221D3" w:rsidRDefault="00975088"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slučaju INTERREG programa, preporučuje se komunikaciona strategija uz razmatranje godišnjih komunikacionih planova sa zemljama učesnicama; u drugim slučajevima, komunikacioni plan je interni dokument za Upravljačko tijelo.</w:t>
            </w:r>
          </w:p>
        </w:tc>
        <w:tc>
          <w:tcPr>
            <w:tcW w:w="409" w:type="pct"/>
            <w:hideMark/>
          </w:tcPr>
          <w:p w14:paraId="7C1BD262" w14:textId="77777777" w:rsidR="002221D3" w:rsidRPr="002221D3" w:rsidRDefault="002221D3" w:rsidP="002221D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2221D3" w:rsidRPr="002221D3" w14:paraId="472CAE64" w14:textId="77777777" w:rsidTr="002221D3">
        <w:trPr>
          <w:trHeight w:val="2310"/>
        </w:trPr>
        <w:tc>
          <w:tcPr>
            <w:cnfStyle w:val="001000000000" w:firstRow="0" w:lastRow="0" w:firstColumn="1" w:lastColumn="0" w:oddVBand="0" w:evenVBand="0" w:oddHBand="0" w:evenHBand="0" w:firstRowFirstColumn="0" w:firstRowLastColumn="0" w:lastRowFirstColumn="0" w:lastRowLastColumn="0"/>
            <w:tcW w:w="253" w:type="pct"/>
            <w:hideMark/>
          </w:tcPr>
          <w:p w14:paraId="39472EE5" w14:textId="77777777" w:rsidR="002221D3" w:rsidRPr="002221D3" w:rsidRDefault="002221D3" w:rsidP="002221D3">
            <w:pPr>
              <w:spacing w:after="0"/>
              <w:jc w:val="left"/>
              <w:rPr>
                <w:rFonts w:ascii="Aptos" w:eastAsia="Times New Roman" w:hAnsi="Aptos"/>
                <w:kern w:val="0"/>
                <w:sz w:val="14"/>
                <w:szCs w:val="14"/>
                <w:lang w:eastAsia="en-GB"/>
                <w14:ligatures w14:val="none"/>
              </w:rPr>
            </w:pPr>
            <w:r w:rsidRPr="002221D3">
              <w:rPr>
                <w:rFonts w:ascii="Aptos" w:eastAsia="Times New Roman" w:hAnsi="Aptos"/>
                <w:kern w:val="0"/>
                <w:sz w:val="14"/>
                <w:szCs w:val="14"/>
                <w:lang w:eastAsia="en-GB"/>
                <w14:ligatures w14:val="none"/>
              </w:rPr>
              <w:t>7.05.</w:t>
            </w:r>
          </w:p>
        </w:tc>
        <w:tc>
          <w:tcPr>
            <w:tcW w:w="819" w:type="pct"/>
            <w:hideMark/>
          </w:tcPr>
          <w:p w14:paraId="7ADEDD5B" w14:textId="34F62C2E"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Akcije za komunikaciju i vidljivost</w:t>
            </w:r>
          </w:p>
        </w:tc>
        <w:tc>
          <w:tcPr>
            <w:tcW w:w="634" w:type="pct"/>
            <w:hideMark/>
          </w:tcPr>
          <w:p w14:paraId="52DEE7EA" w14:textId="064D199A" w:rsidR="002221D3" w:rsidRPr="002221D3" w:rsidRDefault="006D6E25"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Buduće upravljačko tijelo</w:t>
            </w:r>
            <w:r w:rsidR="002221D3" w:rsidRPr="002221D3">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Budući odbori za monitoring</w:t>
            </w:r>
          </w:p>
        </w:tc>
        <w:tc>
          <w:tcPr>
            <w:tcW w:w="395" w:type="pct"/>
            <w:hideMark/>
          </w:tcPr>
          <w:p w14:paraId="4C73DF96" w14:textId="02DA9923"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Biće određeno.</w:t>
            </w:r>
          </w:p>
        </w:tc>
        <w:tc>
          <w:tcPr>
            <w:tcW w:w="888" w:type="pct"/>
            <w:hideMark/>
          </w:tcPr>
          <w:p w14:paraId="145566B2" w14:textId="1B50AF51"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975088">
              <w:rPr>
                <w:rFonts w:ascii="Aptos" w:eastAsia="Times New Roman" w:hAnsi="Aptos"/>
                <w:kern w:val="0"/>
                <w:sz w:val="14"/>
                <w:szCs w:val="14"/>
                <w:lang w:eastAsia="en-GB"/>
                <w14:ligatures w14:val="none"/>
              </w:rPr>
              <w:t>Diskusija o implementaciji akcija komunikacije i vidljivosti kao stalna tačka dnevnog reda na sastancima Odbora za monitoring.</w:t>
            </w:r>
          </w:p>
        </w:tc>
        <w:tc>
          <w:tcPr>
            <w:tcW w:w="395" w:type="pct"/>
            <w:hideMark/>
          </w:tcPr>
          <w:p w14:paraId="2B516F0A" w14:textId="3CDFD0BE" w:rsidR="002221D3" w:rsidRPr="002221D3" w:rsidRDefault="0013334C"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6E1DAB32"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c>
          <w:tcPr>
            <w:tcW w:w="812" w:type="pct"/>
            <w:hideMark/>
          </w:tcPr>
          <w:p w14:paraId="033D91D5" w14:textId="63E7E91E" w:rsidR="002221D3" w:rsidRPr="002221D3" w:rsidRDefault="00975088"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U slučaju INTERREG programa, preporučuje se komunikaciona strategija uz razmatranje godišnjih komunikacionih planova sa zemljama učesnicama; u drugim slučajevima, komunikacioni plan je interni dokument za Upravljačko tijelo.</w:t>
            </w:r>
          </w:p>
        </w:tc>
        <w:tc>
          <w:tcPr>
            <w:tcW w:w="409" w:type="pct"/>
            <w:hideMark/>
          </w:tcPr>
          <w:p w14:paraId="6C1044CF" w14:textId="77777777" w:rsidR="002221D3" w:rsidRPr="002221D3" w:rsidRDefault="002221D3" w:rsidP="002221D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bl>
    <w:p w14:paraId="08B90B89" w14:textId="77777777" w:rsidR="00280BC4" w:rsidRPr="00B83578" w:rsidRDefault="00280BC4" w:rsidP="00280BC4">
      <w:pPr>
        <w:autoSpaceDE w:val="0"/>
        <w:autoSpaceDN w:val="0"/>
        <w:adjustRightInd w:val="0"/>
        <w:spacing w:after="49"/>
        <w:rPr>
          <w:rFonts w:cs="Arial"/>
        </w:rPr>
      </w:pPr>
    </w:p>
    <w:p w14:paraId="52A3369A" w14:textId="5DE5AE2A" w:rsidR="00073CD6" w:rsidRPr="00B83578" w:rsidRDefault="000D52B4" w:rsidP="00CE3066">
      <w:pPr>
        <w:pStyle w:val="Heading1"/>
      </w:pPr>
      <w:bookmarkStart w:id="205" w:name="_Toc201700439"/>
      <w:r>
        <w:t>Statistika</w:t>
      </w:r>
      <w:bookmarkEnd w:id="205"/>
      <w:r w:rsidR="00073CD6" w:rsidRPr="00B83578">
        <w:t xml:space="preserve"> </w:t>
      </w:r>
    </w:p>
    <w:p w14:paraId="29EBBAE3" w14:textId="5130E13E" w:rsidR="003E7BB0" w:rsidRDefault="003E7BB0" w:rsidP="00073CD6">
      <w:r w:rsidRPr="003E7BB0">
        <w:t>Pravila EU zahtijevaju od država članica da proizvode statistiku zasnovanu na profesionalnoj nezavisnosti, nepristrasnosti, pouzdanosti, transparentnosti i pov</w:t>
      </w:r>
      <w:r w:rsidR="00367C5F">
        <w:t>j</w:t>
      </w:r>
      <w:r w:rsidRPr="003E7BB0">
        <w:t xml:space="preserve">erljivosti. Postoje zajednička pravila za metodologiju, proizvodnju i diseminaciju statističkih informacija. Poglavlje 18 </w:t>
      </w:r>
      <w:r w:rsidRPr="00367C5F">
        <w:rPr>
          <w:i/>
        </w:rPr>
        <w:t>acquis-a</w:t>
      </w:r>
      <w:r w:rsidRPr="003E7BB0">
        <w:t xml:space="preserve"> o </w:t>
      </w:r>
      <w:r w:rsidR="00367C5F">
        <w:t>Statistici</w:t>
      </w:r>
      <w:r w:rsidRPr="003E7BB0">
        <w:t xml:space="preserve"> dio je Klastera 1. </w:t>
      </w:r>
      <w:r w:rsidR="000E26F5">
        <w:t>Plan aktivnosti</w:t>
      </w:r>
      <w:r w:rsidRPr="003E7BB0">
        <w:t xml:space="preserve"> je usklađen sa obavezama prema Poglavlju 18.</w:t>
      </w:r>
    </w:p>
    <w:p w14:paraId="788602E3" w14:textId="00E1C5E9" w:rsidR="00073CD6" w:rsidRDefault="009E36FF" w:rsidP="00CE3066">
      <w:pPr>
        <w:pStyle w:val="Heading2"/>
      </w:pPr>
      <w:bookmarkStart w:id="206" w:name="_Toc201700440"/>
      <w:r>
        <w:t>Relevantni zahtjevi Kohezione politike</w:t>
      </w:r>
      <w:bookmarkEnd w:id="206"/>
    </w:p>
    <w:p w14:paraId="33912C9B" w14:textId="521E30DE" w:rsidR="00367C5F" w:rsidRDefault="003E7BB0" w:rsidP="00D15218">
      <w:pPr>
        <w:pStyle w:val="ListParagraph"/>
        <w:numPr>
          <w:ilvl w:val="0"/>
          <w:numId w:val="56"/>
        </w:numPr>
      </w:pPr>
      <w:r>
        <w:t>Član</w:t>
      </w:r>
      <w:r w:rsidR="00367C5F">
        <w:t>ov</w:t>
      </w:r>
      <w:r>
        <w:t>i 174-175 Ugovora o funkcionisanju Evropske unije (TFEU)</w:t>
      </w:r>
      <w:r w:rsidR="00367C5F" w:rsidRPr="00367C5F">
        <w:rPr>
          <w:rFonts w:eastAsia="Times New Roman" w:cs="Arial"/>
          <w:vertAlign w:val="superscript"/>
        </w:rPr>
        <w:t xml:space="preserve"> </w:t>
      </w:r>
      <w:r w:rsidR="00367C5F" w:rsidRPr="00B83578">
        <w:rPr>
          <w:rFonts w:eastAsia="Times New Roman" w:cs="Arial"/>
          <w:vertAlign w:val="superscript"/>
        </w:rPr>
        <w:footnoteReference w:id="243"/>
      </w:r>
      <w:r>
        <w:t xml:space="preserve"> o ekonomskoj, socijalnoj i teritorijalnoj koheziji.</w:t>
      </w:r>
    </w:p>
    <w:p w14:paraId="4D528D9E" w14:textId="2A932723" w:rsidR="00367C5F" w:rsidRDefault="00CD0020" w:rsidP="00D15218">
      <w:pPr>
        <w:pStyle w:val="ListParagraph"/>
        <w:numPr>
          <w:ilvl w:val="0"/>
          <w:numId w:val="56"/>
        </w:numPr>
      </w:pPr>
      <w:r>
        <w:t>RZO</w:t>
      </w:r>
      <w:r w:rsidR="003E7BB0">
        <w:t xml:space="preserve"> član 22 </w:t>
      </w:r>
      <w:r w:rsidR="00663FE0">
        <w:t>S</w:t>
      </w:r>
      <w:r w:rsidR="003E7BB0">
        <w:t>adržaj programa, koji zaht</w:t>
      </w:r>
      <w:r w:rsidR="00367C5F">
        <w:t>ij</w:t>
      </w:r>
      <w:r w:rsidR="003E7BB0">
        <w:t>eva</w:t>
      </w:r>
      <w:r w:rsidR="00367C5F">
        <w:t xml:space="preserve">, </w:t>
      </w:r>
      <w:r w:rsidR="00367C5F">
        <w:rPr>
          <w:i/>
        </w:rPr>
        <w:t>između ostalog</w:t>
      </w:r>
      <w:r w:rsidR="00367C5F">
        <w:t>,</w:t>
      </w:r>
      <w:r w:rsidR="003E7BB0">
        <w:t xml:space="preserve"> da svaki program izloži sažetak glavnih izazova uzimajući u obzir ekonomske, socijalne i teritorijalne razlike, kao i nejednakosti.</w:t>
      </w:r>
    </w:p>
    <w:p w14:paraId="49004EBD" w14:textId="4754F5E4" w:rsidR="003E7BB0" w:rsidRDefault="00CD0020" w:rsidP="00D15218">
      <w:pPr>
        <w:pStyle w:val="ListParagraph"/>
        <w:numPr>
          <w:ilvl w:val="0"/>
          <w:numId w:val="56"/>
        </w:numPr>
      </w:pPr>
      <w:r>
        <w:t>RZO</w:t>
      </w:r>
      <w:r w:rsidR="003E7BB0">
        <w:t xml:space="preserve"> čla</w:t>
      </w:r>
      <w:r w:rsidR="00367C5F">
        <w:t>nov</w:t>
      </w:r>
      <w:r w:rsidR="003E7BB0">
        <w:t xml:space="preserve">i 108(2) i 109(2) i </w:t>
      </w:r>
      <w:r w:rsidR="00663FE0">
        <w:t>Aneks</w:t>
      </w:r>
      <w:r w:rsidR="003E7BB0">
        <w:t xml:space="preserve"> XXVI metodologija o alokaciji globalnih resursa po državama članicama, koji zaht</w:t>
      </w:r>
      <w:r w:rsidR="00367C5F">
        <w:t>ij</w:t>
      </w:r>
      <w:r w:rsidR="003E7BB0">
        <w:t>evaju specifičn</w:t>
      </w:r>
      <w:r w:rsidR="00663FE0">
        <w:t>u</w:t>
      </w:r>
      <w:r w:rsidR="003E7BB0">
        <w:t xml:space="preserve"> makroekonomsk</w:t>
      </w:r>
      <w:r w:rsidR="00367C5F">
        <w:t>u</w:t>
      </w:r>
      <w:r w:rsidR="003E7BB0">
        <w:t xml:space="preserve"> statistik</w:t>
      </w:r>
      <w:r w:rsidR="00367C5F">
        <w:t>u</w:t>
      </w:r>
      <w:r w:rsidR="003E7BB0">
        <w:t>, socijaln</w:t>
      </w:r>
      <w:r w:rsidR="00367C5F">
        <w:t>u</w:t>
      </w:r>
      <w:r w:rsidR="003E7BB0">
        <w:t xml:space="preserve"> statistik</w:t>
      </w:r>
      <w:r w:rsidR="00367C5F">
        <w:t>u</w:t>
      </w:r>
      <w:r w:rsidR="003E7BB0">
        <w:t xml:space="preserve"> i statistik</w:t>
      </w:r>
      <w:r w:rsidR="00367C5F">
        <w:t>u</w:t>
      </w:r>
      <w:r w:rsidR="003E7BB0">
        <w:t xml:space="preserve"> o životnoj sredini.</w:t>
      </w:r>
    </w:p>
    <w:p w14:paraId="652E53F4" w14:textId="77777777" w:rsidR="003E7BB0" w:rsidRPr="003E7BB0" w:rsidRDefault="003E7BB0" w:rsidP="003E7BB0"/>
    <w:p w14:paraId="0618369B" w14:textId="2A8A29A9" w:rsidR="003E7BB0" w:rsidRDefault="003E7BB0" w:rsidP="003E7BB0">
      <w:r>
        <w:t xml:space="preserve">U svom najstrožem pravnom smislu, </w:t>
      </w:r>
      <w:r w:rsidR="00367C5F">
        <w:t>Koheziona politika</w:t>
      </w:r>
      <w:r>
        <w:t xml:space="preserve"> je zadužena za smanjenje razlika u razvoju unutar EU. Evropske regije (</w:t>
      </w:r>
      <w:r w:rsidR="00420726">
        <w:t>TJZS</w:t>
      </w:r>
      <w:r>
        <w:t xml:space="preserve"> II nivo) su klasifikovane kao više, manje razvijene ili regije u tranziciji na osnovu podataka o populaciji i BDP-u po glavi stanovnika</w:t>
      </w:r>
      <w:r w:rsidR="00367C5F" w:rsidRPr="00B83578">
        <w:rPr>
          <w:rFonts w:cs="Arial"/>
          <w:sz w:val="22"/>
          <w:vertAlign w:val="superscript"/>
        </w:rPr>
        <w:footnoteReference w:id="244"/>
      </w:r>
      <w:r>
        <w:t xml:space="preserve">, a različite kategorije regija podložne su različitim formulama za alokaciju sredstava. Komisija je objavila listu regija po kategorijama prema </w:t>
      </w:r>
      <w:r w:rsidR="00367C5F">
        <w:t>Implementacionim odlukama Komisije</w:t>
      </w:r>
      <w:r w:rsidR="00367C5F" w:rsidRPr="00B83578">
        <w:rPr>
          <w:rFonts w:cs="Arial"/>
          <w:sz w:val="22"/>
          <w:vertAlign w:val="superscript"/>
        </w:rPr>
        <w:footnoteReference w:id="245"/>
      </w:r>
      <w:r>
        <w:t xml:space="preserve">. Imajući u vidu da Crna Gora predstavlja jedan nivo na sva tri </w:t>
      </w:r>
      <w:r w:rsidR="00420726">
        <w:t>TJZS</w:t>
      </w:r>
      <w:r>
        <w:t xml:space="preserve"> nivoa, svi podaci </w:t>
      </w:r>
      <w:r>
        <w:lastRenderedPageBreak/>
        <w:t>se dostavljaju na nacionalnom nivou</w:t>
      </w:r>
      <w:r w:rsidR="00367C5F" w:rsidRPr="00B83578">
        <w:rPr>
          <w:rFonts w:cs="Arial"/>
          <w:sz w:val="22"/>
          <w:vertAlign w:val="superscript"/>
        </w:rPr>
        <w:footnoteReference w:id="246"/>
      </w:r>
      <w:r w:rsidR="00367C5F" w:rsidRPr="00B83578">
        <w:t>.</w:t>
      </w:r>
      <w:r>
        <w:t xml:space="preserve"> Na osnovu podataka o BDP-u po glavi stanovnika za 2023. godinu, Crna Gora bi bila klasifikovana kao manje razvijena regija prema finansiranju </w:t>
      </w:r>
      <w:r w:rsidR="00367C5F">
        <w:t>Kohezione politike</w:t>
      </w:r>
      <w:r>
        <w:t>.</w:t>
      </w:r>
    </w:p>
    <w:p w14:paraId="1652029A" w14:textId="00D73CC6" w:rsidR="003E7BB0" w:rsidRDefault="003E7BB0" w:rsidP="003E7BB0">
      <w:r>
        <w:t xml:space="preserve">Odredbe </w:t>
      </w:r>
      <w:r w:rsidR="00975088">
        <w:t>Regulative</w:t>
      </w:r>
      <w:r>
        <w:t xml:space="preserve"> o zajedničkim odredbama (</w:t>
      </w:r>
      <w:r w:rsidR="00975088">
        <w:t>Regulativa</w:t>
      </w:r>
      <w:r>
        <w:t xml:space="preserve"> 2021/1060) – </w:t>
      </w:r>
      <w:r w:rsidR="000B7217">
        <w:t>Aneks</w:t>
      </w:r>
      <w:r>
        <w:t xml:space="preserve"> XXVI u vezi sa metodologijom o alokaciji globalnih resursa po državama članicama su od izuzetnog značaja jer određuju alokaciju kohezionih sredstava državama članicama pod ciljem Investicija za poslove i rast, kao i za cilj Evropske teritorijalne saradnje (Interreg).</w:t>
      </w:r>
    </w:p>
    <w:p w14:paraId="648AAE62" w14:textId="77777777" w:rsidR="003E7BB0" w:rsidRDefault="003E7BB0" w:rsidP="003E7BB0">
      <w:r>
        <w:t>Pokazatelji koji se uzimaju u obzir prema metodologiji su:</w:t>
      </w:r>
    </w:p>
    <w:p w14:paraId="0A90AF4E" w14:textId="77777777" w:rsidR="00367C5F" w:rsidRDefault="003E7BB0" w:rsidP="00D15218">
      <w:pPr>
        <w:pStyle w:val="ListParagraph"/>
        <w:numPr>
          <w:ilvl w:val="0"/>
          <w:numId w:val="57"/>
        </w:numPr>
      </w:pPr>
      <w:r>
        <w:t>Ukupna populacija</w:t>
      </w:r>
    </w:p>
    <w:p w14:paraId="1405CB0A" w14:textId="77777777" w:rsidR="00367C5F" w:rsidRDefault="003E7BB0" w:rsidP="00D15218">
      <w:pPr>
        <w:pStyle w:val="ListParagraph"/>
        <w:numPr>
          <w:ilvl w:val="0"/>
          <w:numId w:val="57"/>
        </w:numPr>
      </w:pPr>
      <w:r>
        <w:t>Populacija koja živi unutar 25 kilometara od svake granice</w:t>
      </w:r>
    </w:p>
    <w:p w14:paraId="3AD94144" w14:textId="73E9CD54" w:rsidR="00367C5F" w:rsidRDefault="003E7BB0" w:rsidP="00D15218">
      <w:pPr>
        <w:pStyle w:val="ListParagraph"/>
        <w:numPr>
          <w:ilvl w:val="0"/>
          <w:numId w:val="57"/>
        </w:numPr>
      </w:pPr>
      <w:r>
        <w:t>BDP po glavi stanovnika, m</w:t>
      </w:r>
      <w:r w:rsidR="001E4D9B">
        <w:t>j</w:t>
      </w:r>
      <w:r>
        <w:t xml:space="preserve">eren u </w:t>
      </w:r>
      <w:r w:rsidR="00D858E0">
        <w:t>PGS</w:t>
      </w:r>
    </w:p>
    <w:p w14:paraId="4662B2AB" w14:textId="488684A9" w:rsidR="00367C5F" w:rsidRDefault="003E7BB0" w:rsidP="00D15218">
      <w:pPr>
        <w:pStyle w:val="ListParagraph"/>
        <w:numPr>
          <w:ilvl w:val="0"/>
          <w:numId w:val="57"/>
        </w:numPr>
      </w:pPr>
      <w:r>
        <w:t xml:space="preserve">Nivo </w:t>
      </w:r>
      <w:r w:rsidR="001E4D9B">
        <w:t>GNI</w:t>
      </w:r>
      <w:r>
        <w:t xml:space="preserve"> po glavi stanovnika</w:t>
      </w:r>
    </w:p>
    <w:p w14:paraId="7C60934F" w14:textId="77777777" w:rsidR="00367C5F" w:rsidRDefault="003E7BB0" w:rsidP="00D15218">
      <w:pPr>
        <w:pStyle w:val="ListParagraph"/>
        <w:numPr>
          <w:ilvl w:val="0"/>
          <w:numId w:val="57"/>
        </w:numPr>
      </w:pPr>
      <w:r>
        <w:t>Broj nezaposlenih osoba</w:t>
      </w:r>
    </w:p>
    <w:p w14:paraId="3417278B" w14:textId="77777777" w:rsidR="00367C5F" w:rsidRDefault="003E7BB0" w:rsidP="00D15218">
      <w:pPr>
        <w:pStyle w:val="ListParagraph"/>
        <w:numPr>
          <w:ilvl w:val="0"/>
          <w:numId w:val="57"/>
        </w:numPr>
      </w:pPr>
      <w:r>
        <w:t>Broj mladih nezaposlenih osoba (starosna grupa 15-24)</w:t>
      </w:r>
    </w:p>
    <w:p w14:paraId="6DCB8354" w14:textId="6B9C3370" w:rsidR="00367C5F" w:rsidRDefault="003E7BB0" w:rsidP="00D15218">
      <w:pPr>
        <w:pStyle w:val="ListParagraph"/>
        <w:numPr>
          <w:ilvl w:val="0"/>
          <w:numId w:val="57"/>
        </w:numPr>
      </w:pPr>
      <w:r>
        <w:t>Pros</w:t>
      </w:r>
      <w:r w:rsidR="001E4D9B">
        <w:t>j</w:t>
      </w:r>
      <w:r>
        <w:t>ečan nivo stope niskog obrazovanja (manje od osnovnog, osnovno i niže srednje obrazovanje (starosna grupa 25-64)</w:t>
      </w:r>
    </w:p>
    <w:p w14:paraId="113EA3D6" w14:textId="7C7FC106" w:rsidR="001E4D9B" w:rsidRDefault="003E7BB0" w:rsidP="00D15218">
      <w:pPr>
        <w:pStyle w:val="ListParagraph"/>
        <w:numPr>
          <w:ilvl w:val="0"/>
          <w:numId w:val="57"/>
        </w:numPr>
      </w:pPr>
      <w:r>
        <w:t>Ton</w:t>
      </w:r>
      <w:r w:rsidR="000B7217">
        <w:t>a</w:t>
      </w:r>
      <w:r>
        <w:t xml:space="preserve"> CO</w:t>
      </w:r>
      <w:r w:rsidR="00367C5F">
        <w:t>2</w:t>
      </w:r>
      <w:r w:rsidR="003523CD">
        <w:t xml:space="preserve"> ekvivalentna</w:t>
      </w:r>
      <w:r w:rsidR="00367C5F">
        <w:t xml:space="preserve"> godi</w:t>
      </w:r>
      <w:r w:rsidR="001E4D9B">
        <w:t>šnje</w:t>
      </w:r>
    </w:p>
    <w:p w14:paraId="13B20E21" w14:textId="44652C2F" w:rsidR="003E7BB0" w:rsidRDefault="001E4D9B" w:rsidP="00D15218">
      <w:pPr>
        <w:pStyle w:val="ListParagraph"/>
        <w:numPr>
          <w:ilvl w:val="0"/>
          <w:numId w:val="57"/>
        </w:numPr>
      </w:pPr>
      <w:r>
        <w:t>Udi</w:t>
      </w:r>
      <w:r w:rsidR="003E7BB0">
        <w:t>o populacije</w:t>
      </w:r>
      <w:r>
        <w:t xml:space="preserve"> u</w:t>
      </w:r>
      <w:r w:rsidR="003E7BB0">
        <w:t xml:space="preserve"> neto migracije izvan Unije u državu članicu od 1. januara 2014. godine.</w:t>
      </w:r>
    </w:p>
    <w:p w14:paraId="30D4B88B" w14:textId="77777777" w:rsidR="003E7BB0" w:rsidRDefault="003E7BB0" w:rsidP="003E7BB0"/>
    <w:p w14:paraId="133EA52B" w14:textId="57E12C03" w:rsidR="003E7BB0" w:rsidRDefault="003E7BB0" w:rsidP="003E7BB0">
      <w:r>
        <w:t>Stoga, relevantn</w:t>
      </w:r>
      <w:r w:rsidR="001E4D9B">
        <w:t>a</w:t>
      </w:r>
      <w:r>
        <w:t xml:space="preserve"> makroekonomsk</w:t>
      </w:r>
      <w:r w:rsidR="001E4D9B">
        <w:t>a</w:t>
      </w:r>
      <w:r>
        <w:t xml:space="preserve"> statistik</w:t>
      </w:r>
      <w:r w:rsidR="001E4D9B">
        <w:t>a</w:t>
      </w:r>
      <w:r>
        <w:t>, socijaln</w:t>
      </w:r>
      <w:r w:rsidR="001E4D9B">
        <w:t>a</w:t>
      </w:r>
      <w:r>
        <w:t xml:space="preserve"> statistik</w:t>
      </w:r>
      <w:r w:rsidR="001E4D9B">
        <w:t>a</w:t>
      </w:r>
      <w:r>
        <w:t xml:space="preserve"> i statistik</w:t>
      </w:r>
      <w:r w:rsidR="001E4D9B">
        <w:t>a</w:t>
      </w:r>
      <w:r>
        <w:t xml:space="preserve"> o životnoj sredini moraju biti dostupne i potpuno usklađene.</w:t>
      </w:r>
    </w:p>
    <w:p w14:paraId="32F32613" w14:textId="29284170" w:rsidR="00073CD6" w:rsidRPr="00B83578" w:rsidRDefault="000D52B4" w:rsidP="00CE3066">
      <w:pPr>
        <w:pStyle w:val="Heading3"/>
      </w:pPr>
      <w:bookmarkStart w:id="207" w:name="_Toc201700441"/>
      <w:r w:rsidRPr="000D52B4">
        <w:t xml:space="preserve">Informacioni sistem za </w:t>
      </w:r>
      <w:r w:rsidR="00420726">
        <w:t>k</w:t>
      </w:r>
      <w:r w:rsidRPr="000D52B4">
        <w:t xml:space="preserve">ategorizaciju i drugi primjenjivi </w:t>
      </w:r>
      <w:r w:rsidRPr="00420726">
        <w:rPr>
          <w:i/>
        </w:rPr>
        <w:t>acquis</w:t>
      </w:r>
      <w:r w:rsidRPr="000D52B4">
        <w:t xml:space="preserve"> o Teritorijalnim jedinicama za statistiku (</w:t>
      </w:r>
      <w:r w:rsidR="00420726">
        <w:t>TJZS</w:t>
      </w:r>
      <w:r w:rsidRPr="000D52B4">
        <w:t>) i regionalne i geoprostorne statističke informacije</w:t>
      </w:r>
      <w:bookmarkEnd w:id="207"/>
    </w:p>
    <w:p w14:paraId="2F96B90B" w14:textId="6201D5CB" w:rsidR="003E7BB0" w:rsidRDefault="00975088" w:rsidP="003E7BB0">
      <w:r>
        <w:t>Regulativa</w:t>
      </w:r>
      <w:r w:rsidR="003E7BB0">
        <w:t xml:space="preserve"> (</w:t>
      </w:r>
      <w:r w:rsidR="00EA1B2F">
        <w:t>EZ</w:t>
      </w:r>
      <w:r w:rsidR="003E7BB0">
        <w:t>) br. 1059/2003 Evropskog parlamenta i Sav</w:t>
      </w:r>
      <w:r w:rsidR="001E4D9B">
        <w:t>j</w:t>
      </w:r>
      <w:r w:rsidR="003E7BB0">
        <w:t xml:space="preserve">eta od 26. maja 2003. godine o uspostavljanju zajedničke klasifikacije teritorijalnih jedinica za statistiku </w:t>
      </w:r>
      <w:r w:rsidR="003E7BB0" w:rsidRPr="001E4D9B">
        <w:rPr>
          <w:b/>
        </w:rPr>
        <w:t>(</w:t>
      </w:r>
      <w:r w:rsidR="00420726">
        <w:rPr>
          <w:b/>
        </w:rPr>
        <w:t>TJZS</w:t>
      </w:r>
      <w:r w:rsidR="003E7BB0" w:rsidRPr="001E4D9B">
        <w:rPr>
          <w:b/>
        </w:rPr>
        <w:t>)</w:t>
      </w:r>
      <w:r w:rsidR="001E4D9B" w:rsidRPr="001E4D9B">
        <w:rPr>
          <w:rFonts w:cs="Arial"/>
          <w:b/>
          <w:bCs/>
          <w:color w:val="000000"/>
          <w:sz w:val="22"/>
          <w:vertAlign w:val="superscript"/>
        </w:rPr>
        <w:t xml:space="preserve"> </w:t>
      </w:r>
      <w:r w:rsidR="001E4D9B" w:rsidRPr="00B83578">
        <w:rPr>
          <w:rFonts w:cs="Arial"/>
          <w:b/>
          <w:bCs/>
          <w:color w:val="000000"/>
          <w:sz w:val="22"/>
          <w:vertAlign w:val="superscript"/>
        </w:rPr>
        <w:footnoteReference w:id="247"/>
      </w:r>
      <w:r w:rsidR="003E7BB0" w:rsidRPr="001E4D9B">
        <w:rPr>
          <w:b/>
        </w:rPr>
        <w:t>.</w:t>
      </w:r>
    </w:p>
    <w:p w14:paraId="4445B21A" w14:textId="281DA9E0" w:rsidR="003E7BB0" w:rsidRDefault="00975088" w:rsidP="003E7BB0">
      <w:r>
        <w:t>Regulativa</w:t>
      </w:r>
      <w:r w:rsidR="003E7BB0">
        <w:t xml:space="preserve"> (EU) 2023/734 Evropskog parlamenta i Sav</w:t>
      </w:r>
      <w:r w:rsidR="001E4D9B">
        <w:t>j</w:t>
      </w:r>
      <w:r w:rsidR="003E7BB0">
        <w:t>eta od 15. marta 2023. godine, koja m</w:t>
      </w:r>
      <w:r w:rsidR="001E4D9B">
        <w:t>ij</w:t>
      </w:r>
      <w:r w:rsidR="003E7BB0">
        <w:t xml:space="preserve">enja </w:t>
      </w:r>
      <w:r w:rsidR="00420726">
        <w:t>Regulativu</w:t>
      </w:r>
      <w:r w:rsidR="003E7BB0">
        <w:t xml:space="preserve"> (EU) br. 549/2013 o evropskom sistemu nacionalnih i regionalnih računa u Evropskoj uniji i ukida 11 pravnih akata u oblasti nacionalnih računa</w:t>
      </w:r>
      <w:r w:rsidR="001E4D9B" w:rsidRPr="00B83578">
        <w:rPr>
          <w:rFonts w:cs="Arial"/>
          <w:sz w:val="22"/>
          <w:vertAlign w:val="superscript"/>
        </w:rPr>
        <w:footnoteReference w:id="248"/>
      </w:r>
      <w:r w:rsidR="003E7BB0">
        <w:t>.</w:t>
      </w:r>
    </w:p>
    <w:p w14:paraId="40CE5C22" w14:textId="0E31AC93" w:rsidR="003E7BB0" w:rsidRDefault="00CD0020" w:rsidP="003E7BB0">
      <w:r>
        <w:t>RZO</w:t>
      </w:r>
      <w:r w:rsidR="003E7BB0">
        <w:t xml:space="preserve"> </w:t>
      </w:r>
      <w:r w:rsidR="001E4D9B">
        <w:t>ANEKS</w:t>
      </w:r>
      <w:r w:rsidR="003E7BB0">
        <w:t xml:space="preserve"> I. Dimenzije i kodovi za vrste intervencija za </w:t>
      </w:r>
      <w:r w:rsidR="003D7057">
        <w:t>EFRR</w:t>
      </w:r>
      <w:r w:rsidR="003E7BB0">
        <w:t xml:space="preserve">, ESF+, Kohezioni fond i </w:t>
      </w:r>
      <w:r w:rsidR="00A067C3">
        <w:t>FPT</w:t>
      </w:r>
      <w:r w:rsidR="003E7BB0">
        <w:t xml:space="preserve"> član 22(5)</w:t>
      </w:r>
      <w:r w:rsidR="001E4D9B" w:rsidRPr="001E4D9B">
        <w:rPr>
          <w:rFonts w:cs="Arial"/>
          <w:color w:val="000000"/>
          <w:sz w:val="22"/>
          <w:vertAlign w:val="superscript"/>
        </w:rPr>
        <w:t xml:space="preserve"> </w:t>
      </w:r>
      <w:r w:rsidR="001E4D9B" w:rsidRPr="00B83578">
        <w:rPr>
          <w:rFonts w:cs="Arial"/>
          <w:color w:val="000000"/>
          <w:sz w:val="22"/>
          <w:vertAlign w:val="superscript"/>
        </w:rPr>
        <w:footnoteReference w:id="249"/>
      </w:r>
      <w:r w:rsidR="003E7BB0">
        <w:t>.</w:t>
      </w:r>
    </w:p>
    <w:p w14:paraId="55AD217E" w14:textId="1DD8A76A" w:rsidR="003E7BB0" w:rsidRDefault="003E7BB0" w:rsidP="003E7BB0">
      <w:r>
        <w:t>Mehanizam teritorijalne isporuke i teritorijalni fokus: 33 koda koji identifikuju teritorijalni kontekst (urbano naselje, planinsko područje, ...) operacije i prim</w:t>
      </w:r>
      <w:r w:rsidR="001E4D9B">
        <w:t>ij</w:t>
      </w:r>
      <w:r>
        <w:t>enjeni teritorijalni alat.</w:t>
      </w:r>
    </w:p>
    <w:p w14:paraId="433A519D" w14:textId="1B71BA3E" w:rsidR="003E7BB0" w:rsidRDefault="003E7BB0" w:rsidP="003E7BB0">
      <w:r>
        <w:t>INSPIRE Direktiva - Direktiva 2007/2/</w:t>
      </w:r>
      <w:r w:rsidR="00EA1B2F">
        <w:t>EZ</w:t>
      </w:r>
      <w:r>
        <w:t xml:space="preserve"> Evropskog parlamenta i Sav</w:t>
      </w:r>
      <w:r w:rsidR="009048F4">
        <w:t>j</w:t>
      </w:r>
      <w:r>
        <w:t>eta od 14. marta 2007. godine, kojom se uspostavlja infrastruktura za prostorne informacije u Evropskoj zajednici (INSPIRE)</w:t>
      </w:r>
      <w:r w:rsidR="009048F4" w:rsidRPr="009048F4">
        <w:rPr>
          <w:rFonts w:cs="Arial"/>
          <w:vertAlign w:val="superscript"/>
        </w:rPr>
        <w:t xml:space="preserve"> </w:t>
      </w:r>
      <w:r w:rsidR="009048F4" w:rsidRPr="00B83578">
        <w:rPr>
          <w:rFonts w:cs="Arial"/>
          <w:vertAlign w:val="superscript"/>
        </w:rPr>
        <w:footnoteReference w:id="250"/>
      </w:r>
      <w:r>
        <w:t>.</w:t>
      </w:r>
    </w:p>
    <w:p w14:paraId="20A999AA" w14:textId="7EB8B2BC" w:rsidR="003E7BB0" w:rsidRDefault="009048F4" w:rsidP="003E7BB0">
      <w:r>
        <w:lastRenderedPageBreak/>
        <w:t xml:space="preserve">Implementaciona </w:t>
      </w:r>
      <w:r w:rsidR="00765DC1">
        <w:t>Regulativa</w:t>
      </w:r>
      <w:r w:rsidR="003E7BB0">
        <w:t xml:space="preserve"> Komisije (EU) 2019/1130 od 2. jula 2019. godine o jedinstvenim uslovima za usklađenu prim</w:t>
      </w:r>
      <w:r>
        <w:t>j</w:t>
      </w:r>
      <w:r w:rsidR="003E7BB0">
        <w:t xml:space="preserve">enu </w:t>
      </w:r>
      <w:r w:rsidR="003E7BB0" w:rsidRPr="009048F4">
        <w:rPr>
          <w:b/>
        </w:rPr>
        <w:t>teritorijalnih tipologija</w:t>
      </w:r>
      <w:r w:rsidR="003E7BB0">
        <w:t xml:space="preserve"> u skladu sa Regulativom (</w:t>
      </w:r>
      <w:r w:rsidR="00EA1B2F">
        <w:t>EZ</w:t>
      </w:r>
      <w:r w:rsidR="003E7BB0">
        <w:t>) br. 1059/2003 Evropskog parlamenta i Sav</w:t>
      </w:r>
      <w:r>
        <w:t>j</w:t>
      </w:r>
      <w:r w:rsidR="003E7BB0">
        <w:t>eta</w:t>
      </w:r>
      <w:r w:rsidRPr="00B83578">
        <w:rPr>
          <w:rFonts w:cs="Arial"/>
          <w:shd w:val="clear" w:color="auto" w:fill="FFFFFF"/>
          <w:vertAlign w:val="superscript"/>
        </w:rPr>
        <w:footnoteReference w:id="251"/>
      </w:r>
      <w:r w:rsidR="003E7BB0">
        <w:t>.</w:t>
      </w:r>
    </w:p>
    <w:p w14:paraId="2821828B" w14:textId="12536783" w:rsidR="003E7BB0" w:rsidRDefault="00975088" w:rsidP="003E7BB0">
      <w:r>
        <w:t>Regulativa</w:t>
      </w:r>
      <w:r w:rsidR="003E7BB0">
        <w:t xml:space="preserve"> (EU) 2017/2391 Evropskog parlamenta i Sav</w:t>
      </w:r>
      <w:r w:rsidR="009048F4">
        <w:t>j</w:t>
      </w:r>
      <w:r w:rsidR="003E7BB0">
        <w:t>eta od 12. decembra 2017. godine, kojom se m</w:t>
      </w:r>
      <w:r w:rsidR="009048F4">
        <w:t>ij</w:t>
      </w:r>
      <w:r w:rsidR="003E7BB0">
        <w:t xml:space="preserve">enja </w:t>
      </w:r>
      <w:r>
        <w:t>Regulativa</w:t>
      </w:r>
      <w:r w:rsidR="003E7BB0">
        <w:t xml:space="preserve"> (</w:t>
      </w:r>
      <w:r w:rsidR="00EA1B2F">
        <w:t>EZ</w:t>
      </w:r>
      <w:r w:rsidR="003E7BB0">
        <w:t xml:space="preserve">) br. 1059/2003 u vezi sa </w:t>
      </w:r>
      <w:r w:rsidR="003E7BB0" w:rsidRPr="009048F4">
        <w:rPr>
          <w:b/>
        </w:rPr>
        <w:t>teritorijalnim tipologijama</w:t>
      </w:r>
      <w:r w:rsidR="003E7BB0">
        <w:t xml:space="preserve"> (Tercet)</w:t>
      </w:r>
      <w:r w:rsidR="009048F4" w:rsidRPr="009048F4">
        <w:rPr>
          <w:rFonts w:cs="Arial"/>
          <w:shd w:val="clear" w:color="auto" w:fill="FFFFFF"/>
          <w:vertAlign w:val="superscript"/>
        </w:rPr>
        <w:t xml:space="preserve"> </w:t>
      </w:r>
      <w:r w:rsidR="009048F4" w:rsidRPr="00B83578">
        <w:rPr>
          <w:rFonts w:cs="Arial"/>
          <w:shd w:val="clear" w:color="auto" w:fill="FFFFFF"/>
          <w:vertAlign w:val="superscript"/>
        </w:rPr>
        <w:footnoteReference w:id="252"/>
      </w:r>
      <w:r w:rsidR="003E7BB0">
        <w:t>.</w:t>
      </w:r>
    </w:p>
    <w:p w14:paraId="1DD08165" w14:textId="627D0DF7" w:rsidR="003E7BB0" w:rsidRDefault="009048F4" w:rsidP="003E7BB0">
      <w:r>
        <w:t xml:space="preserve">Implementaciona </w:t>
      </w:r>
      <w:r w:rsidR="00765DC1">
        <w:t>Regulativa</w:t>
      </w:r>
      <w:r w:rsidR="003E7BB0">
        <w:t xml:space="preserve"> Komisije (EU) 2018/1799 od 21. novembra 2018. godine o uspostavljanju privremene direktne statističke akcije za diseminaciju odabranih tema popisa </w:t>
      </w:r>
      <w:r w:rsidR="003E7BB0" w:rsidRPr="009048F4">
        <w:rPr>
          <w:b/>
        </w:rPr>
        <w:t>stanovništva i stanovanja iz 2021. godine, geokodiranih na mrežu od 1 km²</w:t>
      </w:r>
      <w:r w:rsidRPr="009048F4">
        <w:rPr>
          <w:rFonts w:cs="Arial"/>
          <w:b/>
          <w:shd w:val="clear" w:color="auto" w:fill="FFFFFF"/>
          <w:vertAlign w:val="superscript"/>
        </w:rPr>
        <w:footnoteReference w:id="253"/>
      </w:r>
      <w:r w:rsidR="003E7BB0" w:rsidRPr="009048F4">
        <w:rPr>
          <w:b/>
        </w:rPr>
        <w:t>.</w:t>
      </w:r>
    </w:p>
    <w:p w14:paraId="717FF381" w14:textId="6E1CCB5F" w:rsidR="00073CD6" w:rsidRPr="00B83578" w:rsidRDefault="009048F4" w:rsidP="00CE3066">
      <w:pPr>
        <w:pStyle w:val="Heading2"/>
      </w:pPr>
      <w:bookmarkStart w:id="208" w:name="_Toc181860748"/>
      <w:bookmarkStart w:id="209" w:name="_Toc201700442"/>
      <w:r>
        <w:t>Procjena trenutne situacije</w:t>
      </w:r>
      <w:r w:rsidR="00073CD6" w:rsidRPr="00B83578">
        <w:rPr>
          <w:sz w:val="18"/>
          <w:szCs w:val="18"/>
          <w:vertAlign w:val="superscript"/>
        </w:rPr>
        <w:footnoteReference w:id="254"/>
      </w:r>
      <w:bookmarkEnd w:id="208"/>
      <w:bookmarkEnd w:id="209"/>
    </w:p>
    <w:p w14:paraId="54AD8416" w14:textId="4A53E613" w:rsidR="00073CD6" w:rsidRPr="00B83578" w:rsidRDefault="00C30F51" w:rsidP="00CE3066">
      <w:pPr>
        <w:pStyle w:val="Heading3"/>
      </w:pPr>
      <w:bookmarkStart w:id="210" w:name="_Toc201700443"/>
      <w:r w:rsidRPr="00C30F51">
        <w:t>Statistika povezana sa ekonomskim, socijalnim i teritorijalnim razlikama</w:t>
      </w:r>
      <w:bookmarkEnd w:id="210"/>
      <w:r w:rsidR="00073CD6" w:rsidRPr="00B83578">
        <w:t xml:space="preserve"> </w:t>
      </w:r>
    </w:p>
    <w:p w14:paraId="29A26C50" w14:textId="49F7FF07" w:rsidR="003E7BB0" w:rsidRDefault="003E7BB0" w:rsidP="003E7BB0">
      <w:r>
        <w:t>Prema važećem Zakonu o teritorijalnoj organizaciji, Crna Gora je pod</w:t>
      </w:r>
      <w:r w:rsidR="009048F4">
        <w:t>ij</w:t>
      </w:r>
      <w:r>
        <w:t>eljena na 25 lokalnih administrativnih jedinica, koje odgovaraju nivou lokalnih administrativnih jedinica (</w:t>
      </w:r>
      <w:r w:rsidR="00420726">
        <w:t>LAJ</w:t>
      </w:r>
      <w:r>
        <w:t xml:space="preserve">). Crna Gora nema dovoljan broj stanovnika, kako je definisano </w:t>
      </w:r>
      <w:r w:rsidR="00420726">
        <w:t>Regulativom</w:t>
      </w:r>
      <w:r>
        <w:t xml:space="preserve"> 1059/2003, za formiranje statističkih regija</w:t>
      </w:r>
      <w:r w:rsidR="009048F4" w:rsidRPr="00B83578">
        <w:rPr>
          <w:rFonts w:cs="Arial"/>
          <w:color w:val="000000" w:themeColor="text1"/>
          <w:sz w:val="22"/>
          <w:vertAlign w:val="superscript"/>
        </w:rPr>
        <w:footnoteReference w:id="255"/>
      </w:r>
      <w:r>
        <w:t>.</w:t>
      </w:r>
    </w:p>
    <w:p w14:paraId="0F2779A7" w14:textId="396446A0" w:rsidR="003E7BB0" w:rsidRDefault="003E7BB0" w:rsidP="003E7BB0">
      <w:r>
        <w:t>S</w:t>
      </w:r>
      <w:r w:rsidR="009048F4">
        <w:t>j</w:t>
      </w:r>
      <w:r>
        <w:t>ever Crne Gore obuhvata 12 opština: Andrijevicu, Berane, Bijelo Polje, Kolašin, Mojkovac, Plav, Plužine, Petnjicu, Pljevlja, Rožaje, Šavnik i Žabljak. On čini najveću ne</w:t>
      </w:r>
      <w:r w:rsidR="00C55447">
        <w:t>-statističku</w:t>
      </w:r>
      <w:r>
        <w:t xml:space="preserve"> regiju u Crnoj Gori po površini i drugu najveću po broju </w:t>
      </w:r>
      <w:r w:rsidR="00CA6030">
        <w:t>stanovnika. U</w:t>
      </w:r>
      <w:r w:rsidR="00C55447">
        <w:t xml:space="preserve"> njoj se nalaze</w:t>
      </w:r>
      <w:r>
        <w:t xml:space="preserve"> značaj</w:t>
      </w:r>
      <w:r w:rsidR="00C55447">
        <w:t>na</w:t>
      </w:r>
      <w:r>
        <w:t xml:space="preserve"> populacij</w:t>
      </w:r>
      <w:r w:rsidR="00C55447">
        <w:t>a</w:t>
      </w:r>
      <w:r>
        <w:t xml:space="preserve"> etničkih manjina. Međutim, dok pokriva 56% ukupne teritorije Crne Gore i ima 45% ukupne populacije, postoje područja sa malom gustinom naseljenosti, uglavnom u planinskim pred</w:t>
      </w:r>
      <w:r w:rsidR="00C55447">
        <w:t>j</w:t>
      </w:r>
      <w:r>
        <w:t>elima, što predstavlja izazove za fizičku infrastrukturu; kao što su putevi (i njihovo održavanje) i povezanost vezana za pristup širokopojasnom internetu.</w:t>
      </w:r>
      <w:r w:rsidR="00C55447">
        <w:t xml:space="preserve"> </w:t>
      </w:r>
      <w:r>
        <w:t>Nedavn</w:t>
      </w:r>
      <w:r w:rsidR="00C55447">
        <w:t>i</w:t>
      </w:r>
      <w:r>
        <w:t xml:space="preserve"> izv</w:t>
      </w:r>
      <w:r w:rsidR="00C55447">
        <w:t>j</w:t>
      </w:r>
      <w:r>
        <w:t>eštaj Ujedinjenih nacija o Crnoj Gori navodi da se "subnacionalna pod</w:t>
      </w:r>
      <w:r w:rsidR="00C55447">
        <w:t>j</w:t>
      </w:r>
      <w:r>
        <w:t>ela jasno pojavljuje između S</w:t>
      </w:r>
      <w:r w:rsidR="00C55447">
        <w:t>j</w:t>
      </w:r>
      <w:r>
        <w:t>everne regije i drugih regija". Ova pod</w:t>
      </w:r>
      <w:r w:rsidR="00C55447">
        <w:t>j</w:t>
      </w:r>
      <w:r>
        <w:t xml:space="preserve">ela je višeslojna i vođena je međusobno povezanim faktorima, što rezultira rastućim </w:t>
      </w:r>
      <w:r w:rsidR="00C30F51" w:rsidRPr="00C30F51">
        <w:t>razlika</w:t>
      </w:r>
      <w:r>
        <w:t>ma koji su prisutni između S</w:t>
      </w:r>
      <w:r w:rsidR="00C55447">
        <w:t>j</w:t>
      </w:r>
      <w:r>
        <w:t xml:space="preserve">everne regije i drugih regija u zemlji. Izveštaj zaključuje da su potrebni podaci </w:t>
      </w:r>
      <w:r w:rsidR="00C55447">
        <w:t xml:space="preserve">razvrstani po </w:t>
      </w:r>
      <w:r>
        <w:t>opština</w:t>
      </w:r>
      <w:r w:rsidR="00C55447">
        <w:t>ma</w:t>
      </w:r>
      <w:r>
        <w:t xml:space="preserve"> kako bi se omogućile odgovarajuće i informisane odluke i politike na teritorijalnom nivou koje se tiču razlika</w:t>
      </w:r>
      <w:r w:rsidR="00C55447" w:rsidRPr="00B83578">
        <w:rPr>
          <w:rFonts w:cs="Arial"/>
          <w:vertAlign w:val="superscript"/>
        </w:rPr>
        <w:footnoteReference w:id="256"/>
      </w:r>
      <w:r>
        <w:t>.</w:t>
      </w:r>
    </w:p>
    <w:p w14:paraId="0406A437" w14:textId="7733C63C" w:rsidR="00010A63" w:rsidRDefault="00010A63" w:rsidP="00010A63">
      <w:r>
        <w:t>MONSTAT razvija zvaničn</w:t>
      </w:r>
      <w:r w:rsidR="00C55447">
        <w:t>u</w:t>
      </w:r>
      <w:r>
        <w:t xml:space="preserve"> statistik</w:t>
      </w:r>
      <w:r w:rsidR="00C55447">
        <w:t>u</w:t>
      </w:r>
      <w:r>
        <w:t xml:space="preserve"> u skladu sa</w:t>
      </w:r>
      <w:r w:rsidR="00C55447">
        <w:t xml:space="preserve"> regulativom</w:t>
      </w:r>
      <w:r>
        <w:t xml:space="preserve"> EU, kao i osnovnim principima Kodeksa prakse zvanične statistike. Razvoj statistike se ogleda u </w:t>
      </w:r>
      <w:r w:rsidR="00C55447">
        <w:t>implementaciji</w:t>
      </w:r>
      <w:r>
        <w:t xml:space="preserve"> svih anketa, s jedne strane, koje zaht</w:t>
      </w:r>
      <w:r w:rsidR="00C55447">
        <w:t>ij</w:t>
      </w:r>
      <w:r>
        <w:t xml:space="preserve">eva </w:t>
      </w:r>
      <w:r w:rsidR="00C55447">
        <w:t xml:space="preserve">Zbirka statističkih </w:t>
      </w:r>
      <w:r w:rsidR="007A33B7">
        <w:t>istraživanja</w:t>
      </w:r>
      <w:r w:rsidR="00C55447">
        <w:t xml:space="preserve"> EU</w:t>
      </w:r>
      <w:r w:rsidR="00C55447" w:rsidRPr="00B83578">
        <w:rPr>
          <w:rFonts w:cs="Arial"/>
          <w:color w:val="000000" w:themeColor="text1"/>
          <w:vertAlign w:val="superscript"/>
        </w:rPr>
        <w:footnoteReference w:id="257"/>
      </w:r>
      <w:r>
        <w:t>, a s druge strane, prim</w:t>
      </w:r>
      <w:r w:rsidR="00C55447">
        <w:t>j</w:t>
      </w:r>
      <w:r>
        <w:t>enom istih u programu i planu zvanične statistike. U tom smislu, konačna usklađenost zvanične statistike smatra se završetkom procesa proizvodnje svih podataka zaht</w:t>
      </w:r>
      <w:r w:rsidR="00C55447">
        <w:t>ij</w:t>
      </w:r>
      <w:r>
        <w:t>evanih navedenim dokumentima.</w:t>
      </w:r>
    </w:p>
    <w:p w14:paraId="0404F3BD" w14:textId="1F0137B6" w:rsidR="00010A63" w:rsidRDefault="00010A63" w:rsidP="00010A63">
      <w:r>
        <w:lastRenderedPageBreak/>
        <w:t>Proizvodnja evropskih statistika karakteriše se jedinstvenom metodologijom uz prim</w:t>
      </w:r>
      <w:r w:rsidR="00C55447">
        <w:t>j</w:t>
      </w:r>
      <w:r>
        <w:t>enu principa zvanične statistike u nj</w:t>
      </w:r>
      <w:r w:rsidR="00C55447">
        <w:t>enoj</w:t>
      </w:r>
      <w:r>
        <w:t xml:space="preserve"> proizvodnji. Pomenut</w:t>
      </w:r>
      <w:r w:rsidR="00C55447">
        <w:t>a</w:t>
      </w:r>
      <w:r>
        <w:t xml:space="preserve"> dokument</w:t>
      </w:r>
      <w:r w:rsidR="00C55447">
        <w:t>a</w:t>
      </w:r>
      <w:r>
        <w:t xml:space="preserve">, pored zajedničkih pravila proizvodnje, definišu i potrebne teritorijalne nivoe otkrivanja podataka. Imajući u vidu da Crna Gora predstavlja jedan nivo na sva tri </w:t>
      </w:r>
      <w:r w:rsidR="00420726">
        <w:t>TJZS</w:t>
      </w:r>
      <w:r>
        <w:t xml:space="preserve"> nivoa, svi podaci se dostavljaju EUROSTAT-u na nacionalnom nivou. Jedin</w:t>
      </w:r>
      <w:r w:rsidR="00C55447">
        <w:t>i izuzetak</w:t>
      </w:r>
      <w:r>
        <w:t xml:space="preserve"> je popis stanovništva, koji zaht</w:t>
      </w:r>
      <w:r w:rsidR="00C55447">
        <w:t>ij</w:t>
      </w:r>
      <w:r>
        <w:t xml:space="preserve">eva podatke na nižem teritorijalnom nivou, tj. opštine ili jedinice </w:t>
      </w:r>
      <w:r w:rsidR="00420726">
        <w:t>LAJ</w:t>
      </w:r>
      <w:r>
        <w:t xml:space="preserve"> 1 i naselja kao </w:t>
      </w:r>
      <w:r w:rsidR="00420726">
        <w:t>LAJ</w:t>
      </w:r>
      <w:r>
        <w:t xml:space="preserve"> 2 nivo. </w:t>
      </w:r>
      <w:r w:rsidRPr="00C55447">
        <w:rPr>
          <w:b/>
        </w:rPr>
        <w:t>Posl</w:t>
      </w:r>
      <w:r w:rsidR="00C55447" w:rsidRPr="00C55447">
        <w:rPr>
          <w:b/>
        </w:rPr>
        <w:t>j</w:t>
      </w:r>
      <w:r w:rsidRPr="00C55447">
        <w:rPr>
          <w:b/>
        </w:rPr>
        <w:t>edično, ne proizvode se "regionalne" statistike</w:t>
      </w:r>
      <w:r>
        <w:t>.</w:t>
      </w:r>
    </w:p>
    <w:p w14:paraId="2C1001EC" w14:textId="2DE38041" w:rsidR="00073CD6" w:rsidRPr="00B83578" w:rsidRDefault="00073CD6" w:rsidP="00073CD6">
      <w:pPr>
        <w:spacing w:before="200" w:after="0"/>
        <w:rPr>
          <w:rFonts w:cs="Arial"/>
          <w:i/>
          <w:iCs/>
          <w:color w:val="0E2841" w:themeColor="text2"/>
          <w:sz w:val="18"/>
          <w:szCs w:val="18"/>
        </w:rPr>
      </w:pPr>
      <w:bookmarkStart w:id="211" w:name="_Toc181860472"/>
      <w:bookmarkStart w:id="212" w:name="_Toc193895459"/>
      <w:r w:rsidRPr="00B83578">
        <w:rPr>
          <w:rFonts w:cs="Arial"/>
          <w:i/>
          <w:iCs/>
          <w:color w:val="0E2841" w:themeColor="text2"/>
          <w:sz w:val="18"/>
          <w:szCs w:val="18"/>
        </w:rPr>
        <w:t>Tab</w:t>
      </w:r>
      <w:r w:rsidR="00C55447">
        <w:rPr>
          <w:rFonts w:cs="Arial"/>
          <w:i/>
          <w:iCs/>
          <w:color w:val="0E2841" w:themeColor="text2"/>
          <w:sz w:val="18"/>
          <w:szCs w:val="18"/>
        </w:rPr>
        <w:t>ela</w:t>
      </w:r>
      <w:r w:rsidRPr="00B83578">
        <w:rPr>
          <w:rFonts w:cs="Arial"/>
          <w:i/>
          <w:iCs/>
          <w:color w:val="0E2841" w:themeColor="text2"/>
          <w:sz w:val="18"/>
          <w:szCs w:val="18"/>
        </w:rPr>
        <w:t xml:space="preserve"> </w:t>
      </w:r>
      <w:r w:rsidRPr="00B83578">
        <w:rPr>
          <w:rFonts w:cs="Arial"/>
          <w:i/>
          <w:iCs/>
          <w:color w:val="0E2841" w:themeColor="text2"/>
          <w:sz w:val="18"/>
          <w:szCs w:val="18"/>
        </w:rPr>
        <w:fldChar w:fldCharType="begin"/>
      </w:r>
      <w:r w:rsidRPr="00B83578">
        <w:rPr>
          <w:rFonts w:cs="Arial"/>
          <w:i/>
          <w:iCs/>
          <w:color w:val="0E2841" w:themeColor="text2"/>
          <w:sz w:val="18"/>
          <w:szCs w:val="18"/>
        </w:rPr>
        <w:instrText xml:space="preserve"> SEQ Table \* ARABIC </w:instrText>
      </w:r>
      <w:r w:rsidRPr="00B83578">
        <w:rPr>
          <w:rFonts w:cs="Arial"/>
          <w:i/>
          <w:iCs/>
          <w:color w:val="0E2841" w:themeColor="text2"/>
          <w:sz w:val="18"/>
          <w:szCs w:val="18"/>
        </w:rPr>
        <w:fldChar w:fldCharType="separate"/>
      </w:r>
      <w:r w:rsidR="003C2962">
        <w:rPr>
          <w:rFonts w:cs="Arial"/>
          <w:i/>
          <w:iCs/>
          <w:noProof/>
          <w:color w:val="0E2841" w:themeColor="text2"/>
          <w:sz w:val="18"/>
          <w:szCs w:val="18"/>
        </w:rPr>
        <w:t>15</w:t>
      </w:r>
      <w:r w:rsidRPr="00B83578">
        <w:rPr>
          <w:rFonts w:cs="Arial"/>
          <w:i/>
          <w:iCs/>
          <w:color w:val="0E2841" w:themeColor="text2"/>
          <w:sz w:val="18"/>
          <w:szCs w:val="18"/>
        </w:rPr>
        <w:fldChar w:fldCharType="end"/>
      </w:r>
      <w:r w:rsidRPr="00B83578">
        <w:rPr>
          <w:rFonts w:cs="Arial"/>
          <w:i/>
          <w:iCs/>
          <w:color w:val="0E2841" w:themeColor="text2"/>
          <w:sz w:val="18"/>
          <w:szCs w:val="18"/>
        </w:rPr>
        <w:t xml:space="preserve">: </w:t>
      </w:r>
      <w:r w:rsidR="00420726">
        <w:rPr>
          <w:rFonts w:cs="Arial"/>
          <w:i/>
          <w:iCs/>
          <w:color w:val="0E2841" w:themeColor="text2"/>
          <w:sz w:val="18"/>
          <w:szCs w:val="18"/>
        </w:rPr>
        <w:t>TJZS</w:t>
      </w:r>
      <w:r w:rsidRPr="00B83578">
        <w:rPr>
          <w:rFonts w:cs="Arial"/>
          <w:i/>
          <w:iCs/>
          <w:color w:val="0E2841" w:themeColor="text2"/>
          <w:sz w:val="18"/>
          <w:szCs w:val="18"/>
        </w:rPr>
        <w:t xml:space="preserve"> </w:t>
      </w:r>
      <w:r w:rsidR="00C55447">
        <w:rPr>
          <w:rFonts w:cs="Arial"/>
          <w:i/>
          <w:iCs/>
          <w:color w:val="0E2841" w:themeColor="text2"/>
          <w:sz w:val="18"/>
          <w:szCs w:val="18"/>
        </w:rPr>
        <w:t>i</w:t>
      </w:r>
      <w:r w:rsidRPr="00B83578">
        <w:rPr>
          <w:rFonts w:cs="Arial"/>
          <w:i/>
          <w:iCs/>
          <w:color w:val="0E2841" w:themeColor="text2"/>
          <w:sz w:val="18"/>
          <w:szCs w:val="18"/>
        </w:rPr>
        <w:t xml:space="preserve"> </w:t>
      </w:r>
      <w:r w:rsidR="00420726">
        <w:rPr>
          <w:rFonts w:cs="Arial"/>
          <w:i/>
          <w:iCs/>
          <w:color w:val="0E2841" w:themeColor="text2"/>
          <w:sz w:val="18"/>
          <w:szCs w:val="18"/>
        </w:rPr>
        <w:t>LAJ</w:t>
      </w:r>
      <w:r w:rsidRPr="00B83578">
        <w:rPr>
          <w:rFonts w:cs="Arial"/>
          <w:i/>
          <w:iCs/>
          <w:color w:val="0E2841" w:themeColor="text2"/>
          <w:sz w:val="18"/>
          <w:szCs w:val="18"/>
        </w:rPr>
        <w:t xml:space="preserve"> </w:t>
      </w:r>
      <w:bookmarkEnd w:id="211"/>
      <w:bookmarkEnd w:id="212"/>
      <w:r w:rsidR="00C55447">
        <w:rPr>
          <w:rFonts w:cs="Arial"/>
          <w:i/>
          <w:iCs/>
          <w:color w:val="0E2841" w:themeColor="text2"/>
          <w:sz w:val="18"/>
          <w:szCs w:val="18"/>
        </w:rPr>
        <w:t>klasifikacija za Crnu Goru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205"/>
        <w:gridCol w:w="5135"/>
      </w:tblGrid>
      <w:tr w:rsidR="00073CD6" w:rsidRPr="00B83578" w14:paraId="59628840" w14:textId="77777777" w:rsidTr="00E6468C">
        <w:trPr>
          <w:trHeight w:val="191"/>
        </w:trPr>
        <w:tc>
          <w:tcPr>
            <w:tcW w:w="2251" w:type="pct"/>
            <w:shd w:val="clear" w:color="auto" w:fill="4F82BD"/>
          </w:tcPr>
          <w:p w14:paraId="7D269146" w14:textId="489A9D4C" w:rsidR="00073CD6" w:rsidRPr="00B83578" w:rsidRDefault="00420726" w:rsidP="00073CD6">
            <w:pPr>
              <w:widowControl w:val="0"/>
              <w:autoSpaceDE w:val="0"/>
              <w:autoSpaceDN w:val="0"/>
              <w:spacing w:after="0"/>
              <w:ind w:left="1633" w:right="1617"/>
              <w:jc w:val="center"/>
              <w:rPr>
                <w:rFonts w:cs="Arial"/>
                <w:color w:val="000000" w:themeColor="text1"/>
                <w:kern w:val="0"/>
              </w:rPr>
            </w:pPr>
            <w:r>
              <w:rPr>
                <w:rFonts w:cs="Arial"/>
                <w:color w:val="000000" w:themeColor="text1"/>
                <w:kern w:val="0"/>
              </w:rPr>
              <w:t>TJZS</w:t>
            </w:r>
            <w:r w:rsidR="00073CD6" w:rsidRPr="00B83578">
              <w:rPr>
                <w:rFonts w:cs="Arial"/>
                <w:color w:val="000000" w:themeColor="text1"/>
                <w:kern w:val="0"/>
              </w:rPr>
              <w:t xml:space="preserve"> 1</w:t>
            </w:r>
          </w:p>
        </w:tc>
        <w:tc>
          <w:tcPr>
            <w:tcW w:w="2749" w:type="pct"/>
            <w:shd w:val="clear" w:color="auto" w:fill="4F82BD"/>
          </w:tcPr>
          <w:p w14:paraId="4BA022C4" w14:textId="64B9762F" w:rsidR="00073CD6" w:rsidRPr="00B83578" w:rsidRDefault="003523CD" w:rsidP="00073CD6">
            <w:pPr>
              <w:widowControl w:val="0"/>
              <w:autoSpaceDE w:val="0"/>
              <w:autoSpaceDN w:val="0"/>
              <w:spacing w:after="0"/>
              <w:ind w:left="1636" w:right="1617"/>
              <w:jc w:val="center"/>
              <w:rPr>
                <w:rFonts w:cs="Arial"/>
                <w:color w:val="000000" w:themeColor="text1"/>
                <w:kern w:val="0"/>
              </w:rPr>
            </w:pPr>
            <w:r>
              <w:rPr>
                <w:rFonts w:cs="Arial"/>
                <w:color w:val="000000" w:themeColor="text1"/>
                <w:kern w:val="0"/>
              </w:rPr>
              <w:t>CRNA GORA</w:t>
            </w:r>
          </w:p>
        </w:tc>
      </w:tr>
      <w:tr w:rsidR="00073CD6" w:rsidRPr="00B83578" w14:paraId="731E959D" w14:textId="77777777" w:rsidTr="00E6468C">
        <w:trPr>
          <w:trHeight w:val="44"/>
        </w:trPr>
        <w:tc>
          <w:tcPr>
            <w:tcW w:w="2251" w:type="pct"/>
          </w:tcPr>
          <w:p w14:paraId="3411F14B" w14:textId="56653A28" w:rsidR="00073CD6" w:rsidRPr="00B83578" w:rsidRDefault="00420726" w:rsidP="00073CD6">
            <w:pPr>
              <w:widowControl w:val="0"/>
              <w:autoSpaceDE w:val="0"/>
              <w:autoSpaceDN w:val="0"/>
              <w:spacing w:after="0"/>
              <w:ind w:left="1633" w:right="1617"/>
              <w:jc w:val="center"/>
              <w:rPr>
                <w:rFonts w:cs="Arial"/>
                <w:color w:val="000000" w:themeColor="text1"/>
                <w:kern w:val="0"/>
              </w:rPr>
            </w:pPr>
            <w:r>
              <w:rPr>
                <w:rFonts w:cs="Arial"/>
                <w:color w:val="000000" w:themeColor="text1"/>
                <w:kern w:val="0"/>
              </w:rPr>
              <w:t>TJZS</w:t>
            </w:r>
            <w:r w:rsidR="00073CD6" w:rsidRPr="00B83578">
              <w:rPr>
                <w:rFonts w:cs="Arial"/>
                <w:color w:val="000000" w:themeColor="text1"/>
                <w:kern w:val="0"/>
              </w:rPr>
              <w:t xml:space="preserve"> 2</w:t>
            </w:r>
          </w:p>
        </w:tc>
        <w:tc>
          <w:tcPr>
            <w:tcW w:w="2749" w:type="pct"/>
          </w:tcPr>
          <w:p w14:paraId="2F628F42" w14:textId="03561C8D" w:rsidR="00073CD6" w:rsidRPr="00B83578" w:rsidRDefault="003523CD" w:rsidP="00073CD6">
            <w:pPr>
              <w:widowControl w:val="0"/>
              <w:autoSpaceDE w:val="0"/>
              <w:autoSpaceDN w:val="0"/>
              <w:spacing w:after="0"/>
              <w:ind w:left="1636" w:right="1617"/>
              <w:jc w:val="center"/>
              <w:rPr>
                <w:rFonts w:cs="Arial"/>
                <w:color w:val="000000" w:themeColor="text1"/>
                <w:kern w:val="0"/>
              </w:rPr>
            </w:pPr>
            <w:r>
              <w:rPr>
                <w:rFonts w:cs="Arial"/>
                <w:color w:val="000000" w:themeColor="text1"/>
                <w:kern w:val="0"/>
              </w:rPr>
              <w:t>CRNA GORA</w:t>
            </w:r>
          </w:p>
        </w:tc>
      </w:tr>
      <w:tr w:rsidR="00073CD6" w:rsidRPr="00B83578" w14:paraId="6AFA1E05" w14:textId="77777777" w:rsidTr="00E6468C">
        <w:trPr>
          <w:trHeight w:val="321"/>
        </w:trPr>
        <w:tc>
          <w:tcPr>
            <w:tcW w:w="2251" w:type="pct"/>
          </w:tcPr>
          <w:p w14:paraId="775EA28A" w14:textId="13D195E0" w:rsidR="00073CD6" w:rsidRPr="00B83578" w:rsidRDefault="00420726" w:rsidP="00073CD6">
            <w:pPr>
              <w:widowControl w:val="0"/>
              <w:autoSpaceDE w:val="0"/>
              <w:autoSpaceDN w:val="0"/>
              <w:spacing w:after="0"/>
              <w:ind w:left="1633" w:right="1617"/>
              <w:jc w:val="center"/>
              <w:rPr>
                <w:rFonts w:cs="Arial"/>
                <w:color w:val="000000" w:themeColor="text1"/>
                <w:kern w:val="0"/>
              </w:rPr>
            </w:pPr>
            <w:r>
              <w:rPr>
                <w:rFonts w:cs="Arial"/>
                <w:color w:val="000000" w:themeColor="text1"/>
                <w:kern w:val="0"/>
              </w:rPr>
              <w:t>TJZS</w:t>
            </w:r>
            <w:r w:rsidR="00073CD6" w:rsidRPr="00B83578">
              <w:rPr>
                <w:rFonts w:cs="Arial"/>
                <w:color w:val="000000" w:themeColor="text1"/>
                <w:kern w:val="0"/>
              </w:rPr>
              <w:t xml:space="preserve"> 3</w:t>
            </w:r>
          </w:p>
        </w:tc>
        <w:tc>
          <w:tcPr>
            <w:tcW w:w="2749" w:type="pct"/>
          </w:tcPr>
          <w:p w14:paraId="048E87BD" w14:textId="36A0059F" w:rsidR="00073CD6" w:rsidRPr="00B83578" w:rsidRDefault="003523CD" w:rsidP="00073CD6">
            <w:pPr>
              <w:widowControl w:val="0"/>
              <w:autoSpaceDE w:val="0"/>
              <w:autoSpaceDN w:val="0"/>
              <w:spacing w:after="0"/>
              <w:ind w:left="1636" w:right="1617"/>
              <w:jc w:val="center"/>
              <w:rPr>
                <w:rFonts w:cs="Arial"/>
                <w:color w:val="000000" w:themeColor="text1"/>
                <w:kern w:val="0"/>
              </w:rPr>
            </w:pPr>
            <w:r>
              <w:rPr>
                <w:rFonts w:cs="Arial"/>
                <w:color w:val="000000" w:themeColor="text1"/>
                <w:kern w:val="0"/>
              </w:rPr>
              <w:t>CRNA GORA</w:t>
            </w:r>
          </w:p>
        </w:tc>
      </w:tr>
      <w:tr w:rsidR="00073CD6" w:rsidRPr="00B83578" w14:paraId="45978BE7" w14:textId="77777777" w:rsidTr="00E6468C">
        <w:trPr>
          <w:trHeight w:val="315"/>
        </w:trPr>
        <w:tc>
          <w:tcPr>
            <w:tcW w:w="2251" w:type="pct"/>
          </w:tcPr>
          <w:p w14:paraId="185EA725" w14:textId="06FD9039" w:rsidR="00073CD6" w:rsidRPr="00B83578" w:rsidRDefault="00420726" w:rsidP="00073CD6">
            <w:pPr>
              <w:widowControl w:val="0"/>
              <w:autoSpaceDE w:val="0"/>
              <w:autoSpaceDN w:val="0"/>
              <w:spacing w:after="0"/>
              <w:ind w:left="1634" w:right="1617"/>
              <w:jc w:val="center"/>
              <w:rPr>
                <w:rFonts w:cs="Arial"/>
                <w:color w:val="000000" w:themeColor="text1"/>
                <w:kern w:val="0"/>
              </w:rPr>
            </w:pPr>
            <w:r>
              <w:rPr>
                <w:rFonts w:cs="Arial"/>
                <w:color w:val="000000" w:themeColor="text1"/>
                <w:kern w:val="0"/>
              </w:rPr>
              <w:t>LAJ</w:t>
            </w:r>
            <w:r w:rsidR="00073CD6" w:rsidRPr="00B83578">
              <w:rPr>
                <w:rFonts w:cs="Arial"/>
                <w:color w:val="000000" w:themeColor="text1"/>
                <w:kern w:val="0"/>
              </w:rPr>
              <w:t xml:space="preserve"> 1</w:t>
            </w:r>
          </w:p>
        </w:tc>
        <w:tc>
          <w:tcPr>
            <w:tcW w:w="2749" w:type="pct"/>
          </w:tcPr>
          <w:p w14:paraId="023EFDB4" w14:textId="4F40D39F" w:rsidR="00073CD6" w:rsidRPr="00B83578" w:rsidRDefault="00C55447" w:rsidP="00073CD6">
            <w:pPr>
              <w:widowControl w:val="0"/>
              <w:autoSpaceDE w:val="0"/>
              <w:autoSpaceDN w:val="0"/>
              <w:spacing w:after="0"/>
              <w:ind w:left="1636" w:right="1616"/>
              <w:jc w:val="center"/>
              <w:rPr>
                <w:rFonts w:cs="Arial"/>
                <w:color w:val="000000" w:themeColor="text1"/>
                <w:kern w:val="0"/>
              </w:rPr>
            </w:pPr>
            <w:r>
              <w:rPr>
                <w:rFonts w:cs="Arial"/>
                <w:color w:val="000000" w:themeColor="text1"/>
                <w:kern w:val="0"/>
              </w:rPr>
              <w:t>OPŠTINE</w:t>
            </w:r>
          </w:p>
        </w:tc>
      </w:tr>
      <w:tr w:rsidR="00073CD6" w:rsidRPr="00B83578" w14:paraId="59FF6644" w14:textId="77777777" w:rsidTr="00E6468C">
        <w:trPr>
          <w:trHeight w:val="309"/>
        </w:trPr>
        <w:tc>
          <w:tcPr>
            <w:tcW w:w="2251" w:type="pct"/>
          </w:tcPr>
          <w:p w14:paraId="61DEE885" w14:textId="37ADA689" w:rsidR="00073CD6" w:rsidRPr="00B83578" w:rsidRDefault="00420726" w:rsidP="00073CD6">
            <w:pPr>
              <w:widowControl w:val="0"/>
              <w:autoSpaceDE w:val="0"/>
              <w:autoSpaceDN w:val="0"/>
              <w:spacing w:after="0"/>
              <w:ind w:left="1634" w:right="1617"/>
              <w:jc w:val="center"/>
              <w:rPr>
                <w:rFonts w:cs="Arial"/>
                <w:color w:val="000000" w:themeColor="text1"/>
                <w:kern w:val="0"/>
              </w:rPr>
            </w:pPr>
            <w:r>
              <w:rPr>
                <w:rFonts w:cs="Arial"/>
                <w:color w:val="000000" w:themeColor="text1"/>
                <w:kern w:val="0"/>
              </w:rPr>
              <w:t>LAJ</w:t>
            </w:r>
            <w:r w:rsidR="00073CD6" w:rsidRPr="00B83578">
              <w:rPr>
                <w:rFonts w:cs="Arial"/>
                <w:color w:val="000000" w:themeColor="text1"/>
                <w:kern w:val="0"/>
              </w:rPr>
              <w:t xml:space="preserve"> 2</w:t>
            </w:r>
          </w:p>
        </w:tc>
        <w:tc>
          <w:tcPr>
            <w:tcW w:w="2749" w:type="pct"/>
          </w:tcPr>
          <w:p w14:paraId="3F8B31B9" w14:textId="58EBCB0D" w:rsidR="00073CD6" w:rsidRPr="00B83578" w:rsidRDefault="00C55447" w:rsidP="00073CD6">
            <w:pPr>
              <w:widowControl w:val="0"/>
              <w:autoSpaceDE w:val="0"/>
              <w:autoSpaceDN w:val="0"/>
              <w:spacing w:after="0"/>
              <w:ind w:left="1634" w:right="1617"/>
              <w:jc w:val="center"/>
              <w:rPr>
                <w:rFonts w:cs="Arial"/>
                <w:color w:val="000000" w:themeColor="text1"/>
                <w:kern w:val="0"/>
              </w:rPr>
            </w:pPr>
            <w:r>
              <w:rPr>
                <w:rFonts w:cs="Arial"/>
                <w:color w:val="000000" w:themeColor="text1"/>
                <w:kern w:val="0"/>
              </w:rPr>
              <w:t>NASELJA</w:t>
            </w:r>
          </w:p>
        </w:tc>
      </w:tr>
    </w:tbl>
    <w:p w14:paraId="3603134C" w14:textId="77777777" w:rsidR="00073CD6" w:rsidRPr="00B83578" w:rsidRDefault="00073CD6" w:rsidP="00073CD6">
      <w:pPr>
        <w:autoSpaceDE w:val="0"/>
        <w:autoSpaceDN w:val="0"/>
        <w:adjustRightInd w:val="0"/>
        <w:spacing w:after="0"/>
        <w:rPr>
          <w:rFonts w:cs="Arial"/>
          <w:color w:val="000000" w:themeColor="text1"/>
          <w:kern w:val="0"/>
          <w:sz w:val="22"/>
        </w:rPr>
      </w:pPr>
    </w:p>
    <w:p w14:paraId="05737AEF" w14:textId="37C3CC95" w:rsidR="00010A63" w:rsidRDefault="00010A63" w:rsidP="00073CD6">
      <w:r w:rsidRPr="00010A63">
        <w:t xml:space="preserve">Osim gore pomenutih zahtjeva EU, koji su definisani </w:t>
      </w:r>
      <w:r w:rsidR="003523CD">
        <w:t xml:space="preserve">Zbirkom statističkih </w:t>
      </w:r>
      <w:r w:rsidR="007A33B7">
        <w:t>istraživanja</w:t>
      </w:r>
      <w:r w:rsidR="003523CD">
        <w:t xml:space="preserve"> EU</w:t>
      </w:r>
      <w:r w:rsidRPr="00010A63">
        <w:t xml:space="preserve">, unutar Programa i Plana statističkih </w:t>
      </w:r>
      <w:r w:rsidR="007A33B7">
        <w:t>istraživanja</w:t>
      </w:r>
      <w:r w:rsidRPr="00010A63">
        <w:t xml:space="preserve"> sprovodi se određeni broj anketa prema nacionalnim zahtjevima. To znači da se određeni podaci proizvode prema nacionalnim metodologijama, a podaci tako proizvedeni ni</w:t>
      </w:r>
      <w:r w:rsidR="003523CD">
        <w:t>je</w:t>
      </w:r>
      <w:r w:rsidRPr="00010A63">
        <w:t>su uporedivi sa zvaničnim statistikama Evropske unije. Teritorijalni nivo objavljivanja podataka u takvim anketama takođe</w:t>
      </w:r>
      <w:r w:rsidR="003523CD">
        <w:t xml:space="preserve"> </w:t>
      </w:r>
      <w:r w:rsidRPr="00010A63">
        <w:t>se definiše prema nacionalnom zahtjevu. Ove informacije su dostupne unutar programa i plana zvanične statistike.</w:t>
      </w:r>
    </w:p>
    <w:p w14:paraId="7194F131" w14:textId="45426153" w:rsidR="00010A63" w:rsidRDefault="00010A63" w:rsidP="00010A63">
      <w:r>
        <w:t xml:space="preserve">Na nivou </w:t>
      </w:r>
      <w:r w:rsidRPr="003523CD">
        <w:rPr>
          <w:b/>
        </w:rPr>
        <w:t>lokalnih administrativnih jedinica</w:t>
      </w:r>
      <w:r>
        <w:t xml:space="preserve">, podaci se proizvode putem anketa. Na osnovu nacionalnog zahtjeva, </w:t>
      </w:r>
      <w:r w:rsidR="003523CD">
        <w:t>Monstat</w:t>
      </w:r>
      <w:r>
        <w:t xml:space="preserve"> je sproveo 21 anketu, uz 5 anketa koje je sproveo Institut za javno zdravlje kao zvanični producent zdravstvenih statistika, tako da su podaci navedeni u nastavku dostupni unutar Statističkog programa za 2024-2028:</w:t>
      </w:r>
    </w:p>
    <w:p w14:paraId="79F5E826" w14:textId="77777777" w:rsidR="00010A63" w:rsidRDefault="00010A63" w:rsidP="00010A63"/>
    <w:p w14:paraId="4C032403" w14:textId="77777777" w:rsidR="003523CD" w:rsidRDefault="00010A63" w:rsidP="00D15218">
      <w:pPr>
        <w:pStyle w:val="ListParagraph"/>
        <w:numPr>
          <w:ilvl w:val="0"/>
          <w:numId w:val="58"/>
        </w:numPr>
      </w:pPr>
      <w:r>
        <w:t>Dolasci i noćenja turista u kolektivnom smještaju</w:t>
      </w:r>
    </w:p>
    <w:p w14:paraId="349BE115" w14:textId="77777777" w:rsidR="003523CD" w:rsidRDefault="00010A63" w:rsidP="00D15218">
      <w:pPr>
        <w:pStyle w:val="ListParagraph"/>
        <w:numPr>
          <w:ilvl w:val="0"/>
          <w:numId w:val="58"/>
        </w:numPr>
      </w:pPr>
      <w:r>
        <w:t>Dolasci i noćenja turista, ukupno</w:t>
      </w:r>
    </w:p>
    <w:p w14:paraId="7FE6FE53" w14:textId="77777777" w:rsidR="003523CD" w:rsidRDefault="00010A63" w:rsidP="00D15218">
      <w:pPr>
        <w:pStyle w:val="ListParagraph"/>
        <w:numPr>
          <w:ilvl w:val="0"/>
          <w:numId w:val="58"/>
        </w:numPr>
      </w:pPr>
      <w:r>
        <w:t>Rodne statistike</w:t>
      </w:r>
    </w:p>
    <w:p w14:paraId="27A82405" w14:textId="72086CD7" w:rsidR="003523CD" w:rsidRDefault="00010A63" w:rsidP="00D15218">
      <w:pPr>
        <w:pStyle w:val="ListParagraph"/>
        <w:numPr>
          <w:ilvl w:val="0"/>
          <w:numId w:val="58"/>
        </w:numPr>
      </w:pPr>
      <w:r>
        <w:t>Korisnici socijaln</w:t>
      </w:r>
      <w:r w:rsidR="003523CD">
        <w:t>e</w:t>
      </w:r>
      <w:r>
        <w:t xml:space="preserve"> i dječij</w:t>
      </w:r>
      <w:r w:rsidR="003523CD">
        <w:t>e</w:t>
      </w:r>
      <w:r>
        <w:t xml:space="preserve"> </w:t>
      </w:r>
      <w:r w:rsidR="003523CD">
        <w:t>zaštite</w:t>
      </w:r>
    </w:p>
    <w:p w14:paraId="70C3218A" w14:textId="77777777" w:rsidR="003523CD" w:rsidRDefault="00010A63" w:rsidP="00D15218">
      <w:pPr>
        <w:pStyle w:val="ListParagraph"/>
        <w:numPr>
          <w:ilvl w:val="0"/>
          <w:numId w:val="58"/>
        </w:numPr>
      </w:pPr>
      <w:r>
        <w:t>Korisnici usluga smještaja u institucijama socijalne i dječije zaštite</w:t>
      </w:r>
    </w:p>
    <w:p w14:paraId="6AB4BABD" w14:textId="77777777" w:rsidR="003523CD" w:rsidRDefault="00010A63" w:rsidP="00D15218">
      <w:pPr>
        <w:pStyle w:val="ListParagraph"/>
        <w:numPr>
          <w:ilvl w:val="0"/>
          <w:numId w:val="58"/>
        </w:numPr>
      </w:pPr>
      <w:r>
        <w:t>Osnovni demografski indikatori</w:t>
      </w:r>
    </w:p>
    <w:p w14:paraId="5367319B" w14:textId="030E4383" w:rsidR="003523CD" w:rsidRDefault="003523CD" w:rsidP="00D15218">
      <w:pPr>
        <w:pStyle w:val="ListParagraph"/>
        <w:numPr>
          <w:ilvl w:val="0"/>
          <w:numId w:val="58"/>
        </w:numPr>
      </w:pPr>
      <w:r>
        <w:t>Procjena</w:t>
      </w:r>
      <w:r w:rsidR="00010A63">
        <w:t xml:space="preserve"> populacije</w:t>
      </w:r>
    </w:p>
    <w:p w14:paraId="3DEDBE4B" w14:textId="77777777" w:rsidR="003523CD" w:rsidRDefault="00010A63" w:rsidP="00D15218">
      <w:pPr>
        <w:pStyle w:val="ListParagraph"/>
        <w:numPr>
          <w:ilvl w:val="0"/>
          <w:numId w:val="58"/>
        </w:numPr>
      </w:pPr>
      <w:r>
        <w:t>Registrovana putnička motorna vozila i prikolice</w:t>
      </w:r>
    </w:p>
    <w:p w14:paraId="5B8EF7BC" w14:textId="77777777" w:rsidR="003523CD" w:rsidRDefault="00010A63" w:rsidP="00D15218">
      <w:pPr>
        <w:pStyle w:val="ListParagraph"/>
        <w:numPr>
          <w:ilvl w:val="0"/>
          <w:numId w:val="58"/>
        </w:numPr>
      </w:pPr>
      <w:r>
        <w:t>Saobraćajne nesreće</w:t>
      </w:r>
    </w:p>
    <w:p w14:paraId="6D672A47" w14:textId="77777777" w:rsidR="003523CD" w:rsidRDefault="00010A63" w:rsidP="00D15218">
      <w:pPr>
        <w:pStyle w:val="ListParagraph"/>
        <w:numPr>
          <w:ilvl w:val="0"/>
          <w:numId w:val="58"/>
        </w:numPr>
      </w:pPr>
      <w:r>
        <w:t>Statističko istraživanje o osiguranicima - zaposlenima po djelatnostima i opštinama</w:t>
      </w:r>
    </w:p>
    <w:p w14:paraId="28F3C115" w14:textId="77777777" w:rsidR="003523CD" w:rsidRDefault="00010A63" w:rsidP="00D15218">
      <w:pPr>
        <w:pStyle w:val="ListParagraph"/>
        <w:numPr>
          <w:ilvl w:val="0"/>
          <w:numId w:val="58"/>
        </w:numPr>
      </w:pPr>
      <w:r>
        <w:t>Statističko istraživanje o prosječnim platama zaposlenih</w:t>
      </w:r>
    </w:p>
    <w:p w14:paraId="0A732AA0" w14:textId="77777777" w:rsidR="003523CD" w:rsidRDefault="00010A63" w:rsidP="00D15218">
      <w:pPr>
        <w:pStyle w:val="ListParagraph"/>
        <w:numPr>
          <w:ilvl w:val="0"/>
          <w:numId w:val="58"/>
        </w:numPr>
      </w:pPr>
      <w:r>
        <w:t>Statističko istraživanje za predškolski odgoj i obrazovanje</w:t>
      </w:r>
    </w:p>
    <w:p w14:paraId="74456865" w14:textId="77777777" w:rsidR="003523CD" w:rsidRDefault="00010A63" w:rsidP="00D15218">
      <w:pPr>
        <w:pStyle w:val="ListParagraph"/>
        <w:numPr>
          <w:ilvl w:val="0"/>
          <w:numId w:val="58"/>
        </w:numPr>
      </w:pPr>
      <w:r>
        <w:t>Statistička anketa za upis studenata (osnovne studije)</w:t>
      </w:r>
    </w:p>
    <w:p w14:paraId="55382D58" w14:textId="77777777" w:rsidR="003523CD" w:rsidRDefault="00010A63" w:rsidP="00D15218">
      <w:pPr>
        <w:pStyle w:val="ListParagraph"/>
        <w:numPr>
          <w:ilvl w:val="0"/>
          <w:numId w:val="58"/>
        </w:numPr>
      </w:pPr>
      <w:r>
        <w:t>Statistika osnovnog obrazovanja</w:t>
      </w:r>
    </w:p>
    <w:p w14:paraId="6FE61027" w14:textId="77777777" w:rsidR="003523CD" w:rsidRDefault="00010A63" w:rsidP="00D15218">
      <w:pPr>
        <w:pStyle w:val="ListParagraph"/>
        <w:numPr>
          <w:ilvl w:val="0"/>
          <w:numId w:val="58"/>
        </w:numPr>
      </w:pPr>
      <w:r>
        <w:t>Statistika razvoda brakova</w:t>
      </w:r>
    </w:p>
    <w:p w14:paraId="19E0CDE3" w14:textId="77777777" w:rsidR="003523CD" w:rsidRDefault="00010A63" w:rsidP="00D15218">
      <w:pPr>
        <w:pStyle w:val="ListParagraph"/>
        <w:numPr>
          <w:ilvl w:val="0"/>
          <w:numId w:val="58"/>
        </w:numPr>
      </w:pPr>
      <w:r>
        <w:t>Statistika zaključenih brakova</w:t>
      </w:r>
    </w:p>
    <w:p w14:paraId="43D31C14" w14:textId="77777777" w:rsidR="003523CD" w:rsidRDefault="00010A63" w:rsidP="00D15218">
      <w:pPr>
        <w:pStyle w:val="ListParagraph"/>
        <w:numPr>
          <w:ilvl w:val="0"/>
          <w:numId w:val="58"/>
        </w:numPr>
      </w:pPr>
      <w:r>
        <w:t>Statistika srednjeg obrazovanja</w:t>
      </w:r>
    </w:p>
    <w:p w14:paraId="7C7C815C" w14:textId="77777777" w:rsidR="003523CD" w:rsidRDefault="00010A63" w:rsidP="00D15218">
      <w:pPr>
        <w:pStyle w:val="ListParagraph"/>
        <w:numPr>
          <w:ilvl w:val="0"/>
          <w:numId w:val="58"/>
        </w:numPr>
      </w:pPr>
      <w:r>
        <w:t>Statistika smrtnosti</w:t>
      </w:r>
    </w:p>
    <w:p w14:paraId="1F631C9B" w14:textId="77777777" w:rsidR="003523CD" w:rsidRDefault="00010A63" w:rsidP="00D15218">
      <w:pPr>
        <w:pStyle w:val="ListParagraph"/>
        <w:numPr>
          <w:ilvl w:val="0"/>
          <w:numId w:val="58"/>
        </w:numPr>
      </w:pPr>
      <w:r>
        <w:t>Statistika unutrašnje migracije</w:t>
      </w:r>
    </w:p>
    <w:p w14:paraId="7C1C4149" w14:textId="77777777" w:rsidR="003523CD" w:rsidRDefault="00010A63" w:rsidP="00D15218">
      <w:pPr>
        <w:pStyle w:val="ListParagraph"/>
        <w:numPr>
          <w:ilvl w:val="0"/>
          <w:numId w:val="58"/>
        </w:numPr>
      </w:pPr>
      <w:r>
        <w:t>Istraživanje o povredama na radu</w:t>
      </w:r>
    </w:p>
    <w:p w14:paraId="32033245" w14:textId="77777777" w:rsidR="003523CD" w:rsidRDefault="00010A63" w:rsidP="00D15218">
      <w:pPr>
        <w:pStyle w:val="ListParagraph"/>
        <w:numPr>
          <w:ilvl w:val="0"/>
          <w:numId w:val="58"/>
        </w:numPr>
      </w:pPr>
      <w:r>
        <w:t>Istraživanje o uzrocima smrti</w:t>
      </w:r>
    </w:p>
    <w:p w14:paraId="09ECA8AF" w14:textId="77777777" w:rsidR="003523CD" w:rsidRDefault="00010A63" w:rsidP="00D15218">
      <w:pPr>
        <w:pStyle w:val="ListParagraph"/>
        <w:numPr>
          <w:ilvl w:val="0"/>
          <w:numId w:val="58"/>
        </w:numPr>
      </w:pPr>
      <w:r>
        <w:t>Izvještaj o obaveznim vakcinacijama protiv infektivnih bolesti</w:t>
      </w:r>
    </w:p>
    <w:p w14:paraId="778E0124" w14:textId="77777777" w:rsidR="003523CD" w:rsidRDefault="00010A63" w:rsidP="00D15218">
      <w:pPr>
        <w:pStyle w:val="ListParagraph"/>
        <w:numPr>
          <w:ilvl w:val="0"/>
          <w:numId w:val="58"/>
        </w:numPr>
      </w:pPr>
      <w:r>
        <w:t>Izvještaj o kadrovima u zdravstvu</w:t>
      </w:r>
    </w:p>
    <w:p w14:paraId="53F4143B" w14:textId="77777777" w:rsidR="003523CD" w:rsidRDefault="00010A63" w:rsidP="00D15218">
      <w:pPr>
        <w:pStyle w:val="ListParagraph"/>
        <w:numPr>
          <w:ilvl w:val="0"/>
          <w:numId w:val="58"/>
        </w:numPr>
      </w:pPr>
      <w:r>
        <w:t>Izvještaj o korisnicima prava iz penzijskog i invalidskog osiguranja (godišnji)</w:t>
      </w:r>
    </w:p>
    <w:p w14:paraId="7A1BDE27" w14:textId="664EE33B" w:rsidR="003523CD" w:rsidRDefault="00010A63" w:rsidP="00D15218">
      <w:pPr>
        <w:pStyle w:val="ListParagraph"/>
        <w:numPr>
          <w:ilvl w:val="0"/>
          <w:numId w:val="58"/>
        </w:numPr>
      </w:pPr>
      <w:r>
        <w:t>Izvještaj o pacijentima</w:t>
      </w:r>
      <w:r w:rsidR="003523CD">
        <w:t xml:space="preserve"> koji se liječe</w:t>
      </w:r>
      <w:r>
        <w:t xml:space="preserve"> u bolničkim zdravstvenim ustanovama</w:t>
      </w:r>
    </w:p>
    <w:p w14:paraId="4CC2922E" w14:textId="48C64A44" w:rsidR="00010A63" w:rsidRDefault="00010A63" w:rsidP="00D15218">
      <w:pPr>
        <w:pStyle w:val="ListParagraph"/>
        <w:numPr>
          <w:ilvl w:val="0"/>
          <w:numId w:val="58"/>
        </w:numPr>
      </w:pPr>
      <w:r>
        <w:t>Izvještaj o organizaciji i radu bolnica.</w:t>
      </w:r>
    </w:p>
    <w:p w14:paraId="747289AB" w14:textId="77777777" w:rsidR="002377FF" w:rsidRDefault="00010A63" w:rsidP="00010A63">
      <w:r>
        <w:lastRenderedPageBreak/>
        <w:t>Osim toga, kako je objašnjeno u Odjeljku 4.1.6, podaci se prikupljaju na nivou opština za izračunavanje Indeksa regionalnog razvoja i Indeksa konkurentnosti jedinica lokalne samouprave.</w:t>
      </w:r>
    </w:p>
    <w:p w14:paraId="307A9BD9" w14:textId="77777777" w:rsidR="004F5EA5" w:rsidRPr="00B83578" w:rsidRDefault="004F5EA5" w:rsidP="00073CD6">
      <w:pPr>
        <w:rPr>
          <w:color w:val="000000" w:themeColor="text1"/>
        </w:rPr>
      </w:pPr>
    </w:p>
    <w:p w14:paraId="0BA62D99" w14:textId="7B3987BB" w:rsidR="00073CD6" w:rsidRPr="00B83578" w:rsidRDefault="000D52B4" w:rsidP="00CE3066">
      <w:pPr>
        <w:pStyle w:val="Heading3"/>
      </w:pPr>
      <w:bookmarkStart w:id="213" w:name="_Toc201700444"/>
      <w:r w:rsidRPr="000D52B4">
        <w:t>Statistika povezana sa indikatorima Metodologije o alokaciji gobalnih resursa po Državi članici</w:t>
      </w:r>
      <w:bookmarkStart w:id="214" w:name="_Hlk178485331"/>
      <w:bookmarkEnd w:id="213"/>
      <w:r w:rsidR="00073CD6" w:rsidRPr="00B83578">
        <w:t xml:space="preserve"> </w:t>
      </w:r>
    </w:p>
    <w:bookmarkEnd w:id="214"/>
    <w:p w14:paraId="246C8C46" w14:textId="18EE0C07" w:rsidR="002377FF" w:rsidRDefault="002377FF" w:rsidP="002377FF">
      <w:r>
        <w:t>Sljedeća lista koju je dostavio MONSTAT prikazuje dostupnost podataka u svrhu izračunavanja alokacije globalnih resursa Kohez</w:t>
      </w:r>
      <w:r w:rsidR="003523CD">
        <w:t>ione politike</w:t>
      </w:r>
      <w:r>
        <w:t xml:space="preserve"> kada Crna Gora postane država članica:</w:t>
      </w:r>
    </w:p>
    <w:p w14:paraId="555FAA42" w14:textId="2C3FCB7F" w:rsidR="003523CD" w:rsidRDefault="002377FF" w:rsidP="00D15218">
      <w:pPr>
        <w:pStyle w:val="ListParagraph"/>
        <w:numPr>
          <w:ilvl w:val="0"/>
          <w:numId w:val="59"/>
        </w:numPr>
      </w:pPr>
      <w:r>
        <w:t>Ukupna populacija - dostupna (</w:t>
      </w:r>
      <w:r w:rsidR="003523CD">
        <w:t>Monstat</w:t>
      </w:r>
      <w:r>
        <w:t xml:space="preserve">, dostupna na </w:t>
      </w:r>
      <w:r w:rsidR="00420726">
        <w:t>LAJ</w:t>
      </w:r>
      <w:r>
        <w:t xml:space="preserve"> 2 nivou i svim ostalim)</w:t>
      </w:r>
    </w:p>
    <w:p w14:paraId="62F377EF" w14:textId="77777777" w:rsidR="003523CD" w:rsidRDefault="002377FF" w:rsidP="00D15218">
      <w:pPr>
        <w:pStyle w:val="ListParagraph"/>
        <w:numPr>
          <w:ilvl w:val="0"/>
          <w:numId w:val="59"/>
        </w:numPr>
      </w:pPr>
      <w:r>
        <w:t>Populacija koja živi unutar 25 kilometara od svake granice - nije dostupna</w:t>
      </w:r>
    </w:p>
    <w:p w14:paraId="7054ACBA" w14:textId="520A52EF" w:rsidR="003523CD" w:rsidRDefault="00FA239E" w:rsidP="00D15218">
      <w:pPr>
        <w:pStyle w:val="ListParagraph"/>
        <w:numPr>
          <w:ilvl w:val="0"/>
          <w:numId w:val="59"/>
        </w:numPr>
      </w:pPr>
      <w:r w:rsidRPr="00FA239E">
        <w:rPr>
          <w:b/>
        </w:rPr>
        <w:t>G</w:t>
      </w:r>
      <w:r w:rsidR="002377FF" w:rsidRPr="00FA239E">
        <w:rPr>
          <w:b/>
        </w:rPr>
        <w:t xml:space="preserve">DP po glavi stanovnika u </w:t>
      </w:r>
      <w:r w:rsidR="00D858E0">
        <w:rPr>
          <w:b/>
        </w:rPr>
        <w:t>PGS</w:t>
      </w:r>
      <w:r w:rsidR="002377FF" w:rsidRPr="00FA239E">
        <w:rPr>
          <w:b/>
        </w:rPr>
        <w:t>-u</w:t>
      </w:r>
      <w:r w:rsidR="002377FF">
        <w:t xml:space="preserve"> - dostupan (</w:t>
      </w:r>
      <w:r>
        <w:t>Monstat</w:t>
      </w:r>
      <w:r w:rsidR="002377FF">
        <w:t xml:space="preserve"> - na nacionalnom nivou)</w:t>
      </w:r>
    </w:p>
    <w:p w14:paraId="1C4552FA" w14:textId="6D74DB41" w:rsidR="003523CD" w:rsidRDefault="002377FF" w:rsidP="00D15218">
      <w:pPr>
        <w:pStyle w:val="ListParagraph"/>
        <w:numPr>
          <w:ilvl w:val="0"/>
          <w:numId w:val="59"/>
        </w:numPr>
      </w:pPr>
      <w:r w:rsidRPr="00FA239E">
        <w:rPr>
          <w:b/>
        </w:rPr>
        <w:t xml:space="preserve">GNI po glavi stanovnika u </w:t>
      </w:r>
      <w:r w:rsidR="00D858E0">
        <w:rPr>
          <w:b/>
        </w:rPr>
        <w:t>PGS</w:t>
      </w:r>
      <w:r w:rsidRPr="00FA239E">
        <w:rPr>
          <w:b/>
        </w:rPr>
        <w:t>-u</w:t>
      </w:r>
      <w:r>
        <w:t xml:space="preserve"> - dostupan (</w:t>
      </w:r>
      <w:r w:rsidR="00FA239E">
        <w:t>Monstat</w:t>
      </w:r>
      <w:r>
        <w:t xml:space="preserve"> - na nacionalnom nivou)</w:t>
      </w:r>
    </w:p>
    <w:p w14:paraId="7BB985BC" w14:textId="5A7E8074" w:rsidR="003523CD" w:rsidRDefault="002377FF" w:rsidP="00D15218">
      <w:pPr>
        <w:pStyle w:val="ListParagraph"/>
        <w:numPr>
          <w:ilvl w:val="0"/>
          <w:numId w:val="59"/>
        </w:numPr>
      </w:pPr>
      <w:r>
        <w:t>Broj nezaposlenih osoba - dostupan (</w:t>
      </w:r>
      <w:r w:rsidR="00FA239E">
        <w:t>Monstat</w:t>
      </w:r>
      <w:r>
        <w:t xml:space="preserve"> - nacionalni nivo LFS)</w:t>
      </w:r>
    </w:p>
    <w:p w14:paraId="2D6209BD" w14:textId="45B8076F" w:rsidR="003523CD" w:rsidRDefault="002377FF" w:rsidP="00D15218">
      <w:pPr>
        <w:pStyle w:val="ListParagraph"/>
        <w:numPr>
          <w:ilvl w:val="0"/>
          <w:numId w:val="59"/>
        </w:numPr>
      </w:pPr>
      <w:r>
        <w:t>Broj mladih nezaposlenih osoba (starosna grupa 15-24) - dostupan (</w:t>
      </w:r>
      <w:r w:rsidR="00FA239E">
        <w:t>Monstat</w:t>
      </w:r>
      <w:r>
        <w:t xml:space="preserve"> - nacionalni nivo LFS)</w:t>
      </w:r>
    </w:p>
    <w:p w14:paraId="3533C511" w14:textId="49AB939D" w:rsidR="003523CD" w:rsidRDefault="002377FF" w:rsidP="00D15218">
      <w:pPr>
        <w:pStyle w:val="ListParagraph"/>
        <w:numPr>
          <w:ilvl w:val="0"/>
          <w:numId w:val="59"/>
        </w:numPr>
      </w:pPr>
      <w:r>
        <w:t xml:space="preserve">Prosječan nivo niske obrazovanosti (manje od osnovnog, osnovno i </w:t>
      </w:r>
      <w:r w:rsidR="00FA239E">
        <w:t>niže</w:t>
      </w:r>
      <w:r>
        <w:t xml:space="preserve"> srednje obrazovanje, starosna grupa 25-64) - dostupan (</w:t>
      </w:r>
      <w:r w:rsidR="00FA239E">
        <w:t>Monstat</w:t>
      </w:r>
      <w:r>
        <w:t xml:space="preserve"> - nacionalni nivo)</w:t>
      </w:r>
    </w:p>
    <w:p w14:paraId="3EA4810A" w14:textId="77777777" w:rsidR="003523CD" w:rsidRDefault="002377FF" w:rsidP="00D15218">
      <w:pPr>
        <w:pStyle w:val="ListParagraph"/>
        <w:numPr>
          <w:ilvl w:val="0"/>
          <w:numId w:val="59"/>
        </w:numPr>
      </w:pPr>
      <w:r>
        <w:t>Tona CO2 ekvivalenta godišnje - nije dostupna</w:t>
      </w:r>
    </w:p>
    <w:p w14:paraId="59589F3F" w14:textId="62ACB9A9" w:rsidR="003523CD" w:rsidRDefault="002377FF" w:rsidP="00D15218">
      <w:pPr>
        <w:pStyle w:val="ListParagraph"/>
        <w:numPr>
          <w:ilvl w:val="0"/>
          <w:numId w:val="59"/>
        </w:numPr>
      </w:pPr>
      <w:r>
        <w:t>Udio populacije neto migracije izvan Unije u državu članicu od 1. januara 2014. - nije dostupan (</w:t>
      </w:r>
      <w:r w:rsidR="00FA239E">
        <w:t>Monstat</w:t>
      </w:r>
      <w:r>
        <w:t>).</w:t>
      </w:r>
    </w:p>
    <w:p w14:paraId="30C1780C" w14:textId="6984F25E" w:rsidR="002377FF" w:rsidRDefault="002377FF" w:rsidP="00FA239E">
      <w:pPr>
        <w:ind w:left="360"/>
      </w:pPr>
      <w:r>
        <w:t>Maksimalni nivo transfera (</w:t>
      </w:r>
      <w:r w:rsidRPr="00FA239E">
        <w:rPr>
          <w:i/>
        </w:rPr>
        <w:t>capping</w:t>
      </w:r>
      <w:r>
        <w:t xml:space="preserve">) iz Kohezionih fondova za svaku pojedinačnu državu članicu određuje se na osnovu BDP-a i GNI-a po glavi stanovnika u </w:t>
      </w:r>
      <w:r w:rsidR="00D858E0">
        <w:t>PGS</w:t>
      </w:r>
      <w:r>
        <w:t>-u</w:t>
      </w:r>
      <w:r w:rsidR="00FA239E" w:rsidRPr="00B83578">
        <w:rPr>
          <w:rFonts w:cs="Arial"/>
          <w:b/>
          <w:bCs/>
          <w:color w:val="000000" w:themeColor="text1"/>
          <w:kern w:val="0"/>
          <w:vertAlign w:val="superscript"/>
        </w:rPr>
        <w:footnoteReference w:id="258"/>
      </w:r>
      <w:r>
        <w:t>.</w:t>
      </w:r>
    </w:p>
    <w:p w14:paraId="13C0814E" w14:textId="6808B7F8" w:rsidR="002377FF" w:rsidRDefault="002377FF" w:rsidP="002377FF">
      <w:r>
        <w:t>U maju 2024. godine, ECOFIN Izvještaj o progresu o ekonomskoj, monetarnoj i finansijskoj statistici za Zapadni Balkan</w:t>
      </w:r>
      <w:r w:rsidR="00FA239E" w:rsidRPr="00B83578">
        <w:rPr>
          <w:rFonts w:cs="Arial"/>
          <w:color w:val="000000" w:themeColor="text1"/>
          <w:vertAlign w:val="superscript"/>
        </w:rPr>
        <w:footnoteReference w:id="259"/>
      </w:r>
      <w:r w:rsidR="00FA239E" w:rsidRPr="00B83578">
        <w:t xml:space="preserve"> </w:t>
      </w:r>
      <w:r>
        <w:t xml:space="preserve"> procijenio je usklađenost Crne Gore sa zakonodavnim zahtjevima za pružanje ekonomske, monetarne i finansijske statistike i označio neke od statistika kao neobjavljive. Progres u ovom sektoru biće izvještavan u Poglavlju 18.</w:t>
      </w:r>
    </w:p>
    <w:p w14:paraId="752CF9ED" w14:textId="61F32962" w:rsidR="002377FF" w:rsidRDefault="002377FF" w:rsidP="002377FF">
      <w:r>
        <w:t xml:space="preserve">Takođe se primjećuje da, imajući u vidu činjenicu da EUROSTAT nije razvio IT infrastrukturu za dostavljanje podataka popisa, </w:t>
      </w:r>
      <w:r w:rsidR="00FA239E">
        <w:t>Monstat</w:t>
      </w:r>
      <w:r>
        <w:t xml:space="preserve"> nije razvio mrežnu statistiku koja je potrebna prema Uredbi EU 2018/1799.</w:t>
      </w:r>
    </w:p>
    <w:p w14:paraId="240BC870" w14:textId="183878F8" w:rsidR="00073CD6" w:rsidRPr="00B83578" w:rsidRDefault="002377FF" w:rsidP="00073CD6">
      <w:r>
        <w:t>Prostorni podaci koji su potrebni prema INSPIRE</w:t>
      </w:r>
      <w:r w:rsidR="00FA239E">
        <w:t xml:space="preserve"> direktivi</w:t>
      </w:r>
      <w:r>
        <w:t xml:space="preserve"> pod jurisdikcijom su </w:t>
      </w:r>
      <w:r w:rsidRPr="007A33B7">
        <w:t>Uprave za katastar</w:t>
      </w:r>
      <w:r w:rsidR="007A33B7">
        <w:t xml:space="preserve"> i državnu imovinu</w:t>
      </w:r>
      <w:r w:rsidRPr="007A33B7">
        <w:t>.</w:t>
      </w:r>
      <w:r>
        <w:t xml:space="preserve"> Zakon o popisu stanovništva definiše obaveze kreiranja prostorne komponente u svrhu popisa.</w:t>
      </w:r>
    </w:p>
    <w:p w14:paraId="7315347F" w14:textId="502610B3" w:rsidR="00073CD6" w:rsidRPr="00B83578" w:rsidRDefault="00073CD6" w:rsidP="00CE3066">
      <w:pPr>
        <w:pStyle w:val="Heading2"/>
      </w:pPr>
      <w:bookmarkStart w:id="215" w:name="_Toc181860751"/>
      <w:bookmarkStart w:id="216" w:name="_Toc201700445"/>
      <w:r w:rsidRPr="00B83578">
        <w:t>Plan</w:t>
      </w:r>
      <w:bookmarkEnd w:id="215"/>
      <w:r w:rsidR="00FA239E">
        <w:t>irane akcije</w:t>
      </w:r>
      <w:bookmarkEnd w:id="216"/>
      <w:r w:rsidRPr="00B83578">
        <w:t xml:space="preserve"> </w:t>
      </w:r>
    </w:p>
    <w:p w14:paraId="0F8BD4BD" w14:textId="527F67C7" w:rsidR="00073CD6" w:rsidRPr="00B83578" w:rsidRDefault="00FA239E" w:rsidP="00073CD6">
      <w:r>
        <w:t>Na osnovu procjene trenutne situacije i u svijetlu</w:t>
      </w:r>
      <w:r w:rsidR="00F720F7">
        <w:t xml:space="preserve"> relevantnih zahtjeva Kohezione politike, sljedeće akcije su planirane: </w:t>
      </w:r>
    </w:p>
    <w:p w14:paraId="026D2005" w14:textId="3B6E3DB3" w:rsidR="00073CD6" w:rsidRPr="00B83578" w:rsidRDefault="00543023" w:rsidP="00CE3066">
      <w:pPr>
        <w:pStyle w:val="Heading3"/>
      </w:pPr>
      <w:bookmarkStart w:id="217" w:name="_Toc201700446"/>
      <w:r>
        <w:lastRenderedPageBreak/>
        <w:t>Akcija</w:t>
      </w:r>
      <w:r w:rsidR="00073CD6" w:rsidRPr="00B83578">
        <w:t xml:space="preserve"> 8.1 </w:t>
      </w:r>
      <w:r w:rsidR="000D52B4" w:rsidRPr="000D52B4">
        <w:t xml:space="preserve">Priprema metodologija za predstavljanje glavnih razvojnih izazova Crne Gore, uzimajući u obzir ekonomski, socijalni i </w:t>
      </w:r>
      <w:r w:rsidR="00C30F51" w:rsidRPr="00C30F51">
        <w:t>teritorijalne razlike</w:t>
      </w:r>
      <w:r w:rsidR="000D52B4" w:rsidRPr="000D52B4">
        <w:t>, kao i nejednakosti</w:t>
      </w:r>
      <w:r w:rsidR="00073CD6" w:rsidRPr="00B83578">
        <w:t>.</w:t>
      </w:r>
      <w:bookmarkEnd w:id="217"/>
      <w:r w:rsidR="00073CD6" w:rsidRPr="00B83578">
        <w:t xml:space="preserve"> </w:t>
      </w:r>
    </w:p>
    <w:p w14:paraId="74B0FB38" w14:textId="2479B9B1" w:rsidR="002377FF" w:rsidRDefault="002377FF" w:rsidP="00073CD6">
      <w:pPr>
        <w:rPr>
          <w:lang w:eastAsia="en-GB"/>
        </w:rPr>
      </w:pPr>
      <w:r w:rsidRPr="002377FF">
        <w:rPr>
          <w:lang w:eastAsia="en-GB"/>
        </w:rPr>
        <w:t>U okviru ove akcije, relevantna</w:t>
      </w:r>
      <w:r w:rsidR="00F720F7">
        <w:rPr>
          <w:lang w:eastAsia="en-GB"/>
        </w:rPr>
        <w:t xml:space="preserve"> resorna</w:t>
      </w:r>
      <w:r w:rsidRPr="002377FF">
        <w:rPr>
          <w:lang w:eastAsia="en-GB"/>
        </w:rPr>
        <w:t xml:space="preserve"> ministarstva sa politikama koje se odnose na smanjenje ekonomskih, socijalnih i teritorijalnih razlika, kao i nejednakosti, zajednički će definisati izv</w:t>
      </w:r>
      <w:r w:rsidR="00F720F7">
        <w:rPr>
          <w:lang w:eastAsia="en-GB"/>
        </w:rPr>
        <w:t>odljivu</w:t>
      </w:r>
      <w:r w:rsidRPr="002377FF">
        <w:rPr>
          <w:lang w:eastAsia="en-GB"/>
        </w:rPr>
        <w:t xml:space="preserve"> metodologiju za prikupljanje dokaza i predstavljanje, u okviru programa Kohezi</w:t>
      </w:r>
      <w:r w:rsidR="00F720F7">
        <w:rPr>
          <w:lang w:eastAsia="en-GB"/>
        </w:rPr>
        <w:t>one</w:t>
      </w:r>
      <w:r w:rsidRPr="002377FF">
        <w:rPr>
          <w:lang w:eastAsia="en-GB"/>
        </w:rPr>
        <w:t xml:space="preserve"> politike, kao što je zahtijevano članom 22.3 </w:t>
      </w:r>
      <w:r w:rsidR="00CD0020">
        <w:rPr>
          <w:lang w:eastAsia="en-GB"/>
        </w:rPr>
        <w:t>RZO</w:t>
      </w:r>
      <w:r w:rsidRPr="002377FF">
        <w:rPr>
          <w:lang w:eastAsia="en-GB"/>
        </w:rPr>
        <w:t>, glavni</w:t>
      </w:r>
      <w:r w:rsidR="00F720F7">
        <w:rPr>
          <w:lang w:eastAsia="en-GB"/>
        </w:rPr>
        <w:t>h</w:t>
      </w:r>
      <w:r w:rsidRPr="002377FF">
        <w:rPr>
          <w:lang w:eastAsia="en-GB"/>
        </w:rPr>
        <w:t xml:space="preserve"> razvojnih izazova Crne Gore, uzimajući u obzir ekonomske, socijalne i teritorijalne razlike, kao i nejednakosti.</w:t>
      </w:r>
    </w:p>
    <w:p w14:paraId="455B216E" w14:textId="6D4F32F2" w:rsidR="00073CD6" w:rsidRPr="00B83578" w:rsidRDefault="00543023" w:rsidP="00CE3066">
      <w:pPr>
        <w:pStyle w:val="Heading3"/>
      </w:pPr>
      <w:bookmarkStart w:id="218" w:name="_Toc201700447"/>
      <w:r>
        <w:t>Akcija</w:t>
      </w:r>
      <w:r w:rsidR="00073CD6" w:rsidRPr="00B83578">
        <w:t xml:space="preserve"> 8.2. </w:t>
      </w:r>
      <w:r w:rsidR="00C30F51" w:rsidRPr="00C30F51">
        <w:t>Statistički podaci neophodni prema Metodologiji o alokaciji globalni Kohezionih resursa po Državi članici se redovno proizvode</w:t>
      </w:r>
      <w:r w:rsidR="00073CD6" w:rsidRPr="00B83578">
        <w:t>.</w:t>
      </w:r>
      <w:bookmarkEnd w:id="218"/>
      <w:r w:rsidR="00073CD6" w:rsidRPr="00B83578">
        <w:t xml:space="preserve">  </w:t>
      </w:r>
    </w:p>
    <w:p w14:paraId="541E587E" w14:textId="58A1F96E" w:rsidR="00073CD6" w:rsidRPr="00B83578" w:rsidRDefault="00F720F7" w:rsidP="00073CD6">
      <w:r>
        <w:t xml:space="preserve">Ova akcija će se sprovesti kada </w:t>
      </w:r>
      <w:r w:rsidR="00CD0020">
        <w:t>RZO</w:t>
      </w:r>
      <w:r>
        <w:t xml:space="preserve"> za period 2028 – 2032 bude objavljen, makar u formi nacrta.</w:t>
      </w:r>
      <w:r w:rsidR="00073CD6" w:rsidRPr="00B83578">
        <w:t xml:space="preserve"> </w:t>
      </w:r>
    </w:p>
    <w:p w14:paraId="2B35CA51" w14:textId="180DEDCA" w:rsidR="00073CD6" w:rsidRPr="00B83578" w:rsidRDefault="00073CD6" w:rsidP="001B5123">
      <w:pPr>
        <w:spacing w:before="200" w:after="0"/>
        <w:rPr>
          <w:rFonts w:cs="Arial"/>
          <w:i/>
          <w:iCs/>
          <w:color w:val="0E2841" w:themeColor="text2"/>
          <w:sz w:val="18"/>
          <w:szCs w:val="18"/>
        </w:rPr>
      </w:pPr>
      <w:bookmarkStart w:id="219" w:name="_Toc181860473"/>
      <w:bookmarkStart w:id="220" w:name="_Toc193895460"/>
      <w:r w:rsidRPr="00B83578">
        <w:rPr>
          <w:rFonts w:cs="Arial"/>
          <w:i/>
          <w:iCs/>
          <w:color w:val="0E2841" w:themeColor="text2"/>
          <w:sz w:val="18"/>
          <w:szCs w:val="18"/>
        </w:rPr>
        <w:t>Tab</w:t>
      </w:r>
      <w:r w:rsidR="00F720F7">
        <w:rPr>
          <w:rFonts w:cs="Arial"/>
          <w:i/>
          <w:iCs/>
          <w:color w:val="0E2841" w:themeColor="text2"/>
          <w:sz w:val="18"/>
          <w:szCs w:val="18"/>
        </w:rPr>
        <w:t>ela</w:t>
      </w:r>
      <w:r w:rsidRPr="00B83578">
        <w:rPr>
          <w:rFonts w:cs="Arial"/>
          <w:i/>
          <w:iCs/>
          <w:color w:val="0E2841" w:themeColor="text2"/>
          <w:sz w:val="18"/>
          <w:szCs w:val="18"/>
        </w:rPr>
        <w:t xml:space="preserve"> </w:t>
      </w:r>
      <w:r w:rsidRPr="00B83578">
        <w:rPr>
          <w:rFonts w:cs="Arial"/>
          <w:i/>
          <w:iCs/>
          <w:color w:val="0E2841" w:themeColor="text2"/>
          <w:sz w:val="18"/>
          <w:szCs w:val="18"/>
        </w:rPr>
        <w:fldChar w:fldCharType="begin"/>
      </w:r>
      <w:r w:rsidRPr="00B83578">
        <w:rPr>
          <w:rFonts w:cs="Arial"/>
          <w:i/>
          <w:iCs/>
          <w:color w:val="0E2841" w:themeColor="text2"/>
          <w:sz w:val="18"/>
          <w:szCs w:val="18"/>
        </w:rPr>
        <w:instrText xml:space="preserve"> SEQ Table \* ARABIC </w:instrText>
      </w:r>
      <w:r w:rsidRPr="00B83578">
        <w:rPr>
          <w:rFonts w:cs="Arial"/>
          <w:i/>
          <w:iCs/>
          <w:color w:val="0E2841" w:themeColor="text2"/>
          <w:sz w:val="18"/>
          <w:szCs w:val="18"/>
        </w:rPr>
        <w:fldChar w:fldCharType="separate"/>
      </w:r>
      <w:r w:rsidR="003C2962">
        <w:rPr>
          <w:rFonts w:cs="Arial"/>
          <w:i/>
          <w:iCs/>
          <w:noProof/>
          <w:color w:val="0E2841" w:themeColor="text2"/>
          <w:sz w:val="18"/>
          <w:szCs w:val="18"/>
        </w:rPr>
        <w:t>16</w:t>
      </w:r>
      <w:r w:rsidRPr="00B83578">
        <w:rPr>
          <w:rFonts w:cs="Arial"/>
          <w:i/>
          <w:iCs/>
          <w:color w:val="0E2841" w:themeColor="text2"/>
          <w:sz w:val="18"/>
          <w:szCs w:val="18"/>
        </w:rPr>
        <w:fldChar w:fldCharType="end"/>
      </w:r>
      <w:r w:rsidRPr="00B83578">
        <w:rPr>
          <w:rFonts w:cs="Arial"/>
          <w:i/>
          <w:iCs/>
          <w:color w:val="0E2841" w:themeColor="text2"/>
          <w:sz w:val="18"/>
          <w:szCs w:val="18"/>
        </w:rPr>
        <w:t>: Plan</w:t>
      </w:r>
      <w:r w:rsidR="00F720F7">
        <w:rPr>
          <w:rFonts w:cs="Arial"/>
          <w:i/>
          <w:iCs/>
          <w:color w:val="0E2841" w:themeColor="text2"/>
          <w:sz w:val="18"/>
          <w:szCs w:val="18"/>
        </w:rPr>
        <w:t>irane akcije u okviru poglavlja Statistika</w:t>
      </w:r>
      <w:bookmarkEnd w:id="219"/>
      <w:bookmarkEnd w:id="220"/>
    </w:p>
    <w:tbl>
      <w:tblPr>
        <w:tblStyle w:val="GridTable5Dark-Accent11"/>
        <w:tblW w:w="5000" w:type="pct"/>
        <w:tblInd w:w="0" w:type="dxa"/>
        <w:tblLook w:val="04A0" w:firstRow="1" w:lastRow="0" w:firstColumn="1" w:lastColumn="0" w:noHBand="0" w:noVBand="1"/>
      </w:tblPr>
      <w:tblGrid>
        <w:gridCol w:w="606"/>
        <w:gridCol w:w="1486"/>
        <w:gridCol w:w="1140"/>
        <w:gridCol w:w="862"/>
        <w:gridCol w:w="1615"/>
        <w:gridCol w:w="731"/>
        <w:gridCol w:w="755"/>
        <w:gridCol w:w="1433"/>
        <w:gridCol w:w="722"/>
      </w:tblGrid>
      <w:tr w:rsidR="00DB0B63" w:rsidRPr="00DB0B63" w14:paraId="68656AD1" w14:textId="77777777" w:rsidTr="00DB0B6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3" w:type="pct"/>
            <w:hideMark/>
          </w:tcPr>
          <w:p w14:paraId="3642E5EB" w14:textId="101C4850" w:rsidR="00DB0B63" w:rsidRPr="00DB0B63" w:rsidRDefault="00543023" w:rsidP="00DB0B63">
            <w:pPr>
              <w:spacing w:after="0"/>
              <w:jc w:val="left"/>
              <w:rPr>
                <w:rFonts w:eastAsia="Times New Roman"/>
                <w:kern w:val="0"/>
                <w:sz w:val="14"/>
                <w:szCs w:val="14"/>
                <w:lang w:eastAsia="en-GB"/>
                <w14:ligatures w14:val="none"/>
              </w:rPr>
            </w:pPr>
            <w:r>
              <w:rPr>
                <w:rFonts w:eastAsia="Times New Roman"/>
                <w:kern w:val="0"/>
                <w:sz w:val="14"/>
                <w:szCs w:val="14"/>
                <w:lang w:eastAsia="en-GB"/>
                <w14:ligatures w14:val="none"/>
              </w:rPr>
              <w:t>Kod akcije</w:t>
            </w:r>
          </w:p>
        </w:tc>
        <w:tc>
          <w:tcPr>
            <w:tcW w:w="819" w:type="pct"/>
            <w:hideMark/>
          </w:tcPr>
          <w:p w14:paraId="3F7B292F" w14:textId="465BA8A1" w:rsidR="00DB0B63" w:rsidRPr="00DB0B63" w:rsidRDefault="00543023" w:rsidP="00DB0B6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Pr>
                <w:rFonts w:eastAsia="Times New Roman"/>
                <w:kern w:val="0"/>
                <w:sz w:val="14"/>
                <w:szCs w:val="14"/>
                <w:lang w:eastAsia="en-GB"/>
                <w14:ligatures w14:val="none"/>
              </w:rPr>
              <w:t>Naziv akcije</w:t>
            </w:r>
          </w:p>
        </w:tc>
        <w:tc>
          <w:tcPr>
            <w:tcW w:w="634" w:type="pct"/>
            <w:hideMark/>
          </w:tcPr>
          <w:p w14:paraId="72E7CE7B" w14:textId="56BBD544" w:rsidR="00DB0B63" w:rsidRPr="00DB0B63" w:rsidRDefault="0013334C" w:rsidP="00DB0B6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Nadležnost</w:t>
            </w:r>
          </w:p>
        </w:tc>
        <w:tc>
          <w:tcPr>
            <w:tcW w:w="395" w:type="pct"/>
            <w:hideMark/>
          </w:tcPr>
          <w:p w14:paraId="41E93FCA" w14:textId="47A2ECF6" w:rsidR="00DB0B63" w:rsidRPr="00DB0B63" w:rsidRDefault="0013334C" w:rsidP="00DB0B6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Raspored</w:t>
            </w:r>
          </w:p>
        </w:tc>
        <w:tc>
          <w:tcPr>
            <w:tcW w:w="888" w:type="pct"/>
            <w:hideMark/>
          </w:tcPr>
          <w:p w14:paraId="2C411302" w14:textId="5179630C" w:rsidR="00DB0B63" w:rsidRPr="00DB0B63" w:rsidRDefault="0013334C" w:rsidP="00DB0B6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13334C">
              <w:rPr>
                <w:rFonts w:eastAsia="Times New Roman"/>
                <w:kern w:val="0"/>
                <w:sz w:val="14"/>
                <w:szCs w:val="14"/>
                <w:lang w:eastAsia="en-GB"/>
                <w14:ligatures w14:val="none"/>
              </w:rPr>
              <w:t>Indikator</w:t>
            </w:r>
          </w:p>
        </w:tc>
        <w:tc>
          <w:tcPr>
            <w:tcW w:w="395" w:type="pct"/>
            <w:hideMark/>
          </w:tcPr>
          <w:p w14:paraId="5782F969" w14:textId="0446CB2F" w:rsidR="00DB0B63" w:rsidRPr="00DB0B63" w:rsidRDefault="00683B6B" w:rsidP="00DB0B6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Vrsta</w:t>
            </w:r>
          </w:p>
        </w:tc>
        <w:tc>
          <w:tcPr>
            <w:tcW w:w="395" w:type="pct"/>
            <w:hideMark/>
          </w:tcPr>
          <w:p w14:paraId="56A70823" w14:textId="6828228E" w:rsidR="00DB0B63" w:rsidRPr="00DB0B63" w:rsidRDefault="00683B6B" w:rsidP="00DB0B6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Resurs</w:t>
            </w:r>
          </w:p>
        </w:tc>
        <w:tc>
          <w:tcPr>
            <w:tcW w:w="811" w:type="pct"/>
            <w:hideMark/>
          </w:tcPr>
          <w:p w14:paraId="60EFFC22" w14:textId="579ACC5D" w:rsidR="00DB0B63" w:rsidRPr="00DB0B63" w:rsidRDefault="00683B6B" w:rsidP="00DB0B6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Napomena</w:t>
            </w:r>
          </w:p>
        </w:tc>
        <w:tc>
          <w:tcPr>
            <w:tcW w:w="410" w:type="pct"/>
            <w:hideMark/>
          </w:tcPr>
          <w:p w14:paraId="71A880E3" w14:textId="316BB3BF" w:rsidR="00DB0B63" w:rsidRPr="00DB0B63" w:rsidRDefault="00683B6B" w:rsidP="00DB0B63">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kern w:val="0"/>
                <w:sz w:val="14"/>
                <w:szCs w:val="14"/>
                <w:lang w:eastAsia="en-GB"/>
                <w14:ligatures w14:val="none"/>
              </w:rPr>
            </w:pPr>
            <w:r w:rsidRPr="00683B6B">
              <w:rPr>
                <w:rFonts w:eastAsia="Times New Roman"/>
                <w:kern w:val="0"/>
                <w:sz w:val="14"/>
                <w:szCs w:val="14"/>
                <w:lang w:eastAsia="en-GB"/>
                <w14:ligatures w14:val="none"/>
              </w:rPr>
              <w:t xml:space="preserve">Oznaka </w:t>
            </w:r>
            <w:r w:rsidR="00AF5AA9">
              <w:rPr>
                <w:rFonts w:eastAsia="Times New Roman"/>
                <w:kern w:val="0"/>
                <w:sz w:val="14"/>
                <w:szCs w:val="14"/>
                <w:lang w:eastAsia="en-GB"/>
                <w14:ligatures w14:val="none"/>
              </w:rPr>
              <w:t>mjerila</w:t>
            </w:r>
          </w:p>
        </w:tc>
      </w:tr>
      <w:tr w:rsidR="00DB0B63" w:rsidRPr="00DB0B63" w14:paraId="44BCAEDE" w14:textId="77777777" w:rsidTr="00DB0B63">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253" w:type="pct"/>
            <w:hideMark/>
          </w:tcPr>
          <w:p w14:paraId="15BFB290" w14:textId="77777777" w:rsidR="00DB0B63" w:rsidRPr="00DB0B63" w:rsidRDefault="00DB0B63" w:rsidP="00DB0B63">
            <w:pPr>
              <w:spacing w:after="0"/>
              <w:jc w:val="left"/>
              <w:rPr>
                <w:rFonts w:ascii="Aptos" w:eastAsia="Times New Roman" w:hAnsi="Aptos"/>
                <w:kern w:val="0"/>
                <w:sz w:val="14"/>
                <w:szCs w:val="14"/>
                <w:lang w:eastAsia="en-GB"/>
                <w14:ligatures w14:val="none"/>
              </w:rPr>
            </w:pPr>
            <w:r w:rsidRPr="00DB0B63">
              <w:rPr>
                <w:rFonts w:ascii="Aptos" w:eastAsia="Times New Roman" w:hAnsi="Aptos"/>
                <w:kern w:val="0"/>
                <w:sz w:val="14"/>
                <w:szCs w:val="14"/>
                <w:lang w:eastAsia="en-GB"/>
                <w14:ligatures w14:val="none"/>
              </w:rPr>
              <w:t>8.01.</w:t>
            </w:r>
          </w:p>
        </w:tc>
        <w:tc>
          <w:tcPr>
            <w:tcW w:w="819" w:type="pct"/>
            <w:hideMark/>
          </w:tcPr>
          <w:p w14:paraId="76320198" w14:textId="6D65A3EB" w:rsidR="00DB0B63" w:rsidRPr="00DB0B63" w:rsidRDefault="000D52B4"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0D52B4">
              <w:rPr>
                <w:rFonts w:ascii="Aptos" w:eastAsia="Times New Roman" w:hAnsi="Aptos"/>
                <w:kern w:val="0"/>
                <w:sz w:val="14"/>
                <w:szCs w:val="14"/>
                <w:lang w:eastAsia="en-GB"/>
                <w14:ligatures w14:val="none"/>
              </w:rPr>
              <w:t xml:space="preserve">Priprema metodologija za predstavljanje glavnih razvojnih izazova Crne Gore, uzimajući u obzir ekonomski, socijalni i </w:t>
            </w:r>
            <w:r w:rsidR="00C30F51" w:rsidRPr="00C30F51">
              <w:rPr>
                <w:rFonts w:ascii="Aptos" w:eastAsia="Times New Roman" w:hAnsi="Aptos"/>
                <w:kern w:val="0"/>
                <w:sz w:val="14"/>
                <w:szCs w:val="14"/>
                <w:lang w:eastAsia="en-GB"/>
                <w14:ligatures w14:val="none"/>
              </w:rPr>
              <w:t>teritorijalne razlike</w:t>
            </w:r>
            <w:r w:rsidRPr="000D52B4">
              <w:rPr>
                <w:rFonts w:ascii="Aptos" w:eastAsia="Times New Roman" w:hAnsi="Aptos"/>
                <w:kern w:val="0"/>
                <w:sz w:val="14"/>
                <w:szCs w:val="14"/>
                <w:lang w:eastAsia="en-GB"/>
                <w14:ligatures w14:val="none"/>
              </w:rPr>
              <w:t>, kao i nejednakosti</w:t>
            </w:r>
            <w:r w:rsidR="00DB0B63" w:rsidRPr="00DB0B63">
              <w:rPr>
                <w:rFonts w:ascii="Aptos" w:eastAsia="Times New Roman" w:hAnsi="Aptos"/>
                <w:kern w:val="0"/>
                <w:sz w:val="14"/>
                <w:szCs w:val="14"/>
                <w:lang w:eastAsia="en-GB"/>
                <w14:ligatures w14:val="none"/>
              </w:rPr>
              <w:t>.</w:t>
            </w:r>
          </w:p>
        </w:tc>
        <w:tc>
          <w:tcPr>
            <w:tcW w:w="634" w:type="pct"/>
            <w:hideMark/>
          </w:tcPr>
          <w:p w14:paraId="777428C4" w14:textId="18EE48F1" w:rsidR="00DB0B63" w:rsidRPr="00DB0B63" w:rsidRDefault="00DB0B63"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roofErr w:type="gramStart"/>
            <w:r w:rsidRPr="00C21BC9">
              <w:rPr>
                <w:rFonts w:ascii="Aptos" w:eastAsia="Times New Roman" w:hAnsi="Aptos"/>
                <w:kern w:val="0"/>
                <w:sz w:val="14"/>
                <w:szCs w:val="14"/>
                <w:lang w:eastAsia="en-GB"/>
                <w14:ligatures w14:val="none"/>
              </w:rPr>
              <w:t>M</w:t>
            </w:r>
            <w:r w:rsidR="00767E2D" w:rsidRPr="00C21BC9">
              <w:rPr>
                <w:rFonts w:ascii="Aptos" w:eastAsia="Times New Roman" w:hAnsi="Aptos"/>
                <w:kern w:val="0"/>
                <w:sz w:val="14"/>
                <w:szCs w:val="14"/>
                <w:lang w:eastAsia="en-GB"/>
                <w14:ligatures w14:val="none"/>
              </w:rPr>
              <w:t>ONSTAT</w:t>
            </w:r>
            <w:r w:rsidR="00767E2D">
              <w:rPr>
                <w:rFonts w:ascii="Aptos" w:eastAsia="Times New Roman" w:hAnsi="Aptos"/>
                <w:color w:val="FF0000"/>
                <w:kern w:val="0"/>
                <w:sz w:val="14"/>
                <w:szCs w:val="14"/>
                <w:lang w:eastAsia="en-GB"/>
                <w14:ligatures w14:val="none"/>
              </w:rPr>
              <w:t xml:space="preserve"> </w:t>
            </w:r>
            <w:r w:rsidRPr="00DB0B63">
              <w:rPr>
                <w:rFonts w:ascii="Aptos" w:eastAsia="Times New Roman" w:hAnsi="Aptos"/>
                <w:kern w:val="0"/>
                <w:sz w:val="14"/>
                <w:szCs w:val="14"/>
                <w:lang w:eastAsia="en-GB"/>
                <w14:ligatures w14:val="none"/>
              </w:rPr>
              <w:t>;</w:t>
            </w:r>
            <w:proofErr w:type="gramEnd"/>
            <w:r w:rsidRPr="00DB0B63">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p>
        </w:tc>
        <w:tc>
          <w:tcPr>
            <w:tcW w:w="395" w:type="pct"/>
            <w:hideMark/>
          </w:tcPr>
          <w:p w14:paraId="3E4CCD7B" w14:textId="2AA54358" w:rsidR="00DB0B63" w:rsidRPr="00DB0B63" w:rsidRDefault="00DB0B63"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DB0B63">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DB0B63">
              <w:rPr>
                <w:rFonts w:ascii="Aptos" w:eastAsia="Times New Roman" w:hAnsi="Aptos"/>
                <w:kern w:val="0"/>
                <w:sz w:val="14"/>
                <w:szCs w:val="14"/>
                <w:lang w:eastAsia="en-GB"/>
                <w14:ligatures w14:val="none"/>
              </w:rPr>
              <w:t>4</w:t>
            </w:r>
          </w:p>
        </w:tc>
        <w:tc>
          <w:tcPr>
            <w:tcW w:w="888" w:type="pct"/>
            <w:hideMark/>
          </w:tcPr>
          <w:p w14:paraId="2373BF47" w14:textId="44CBB89B" w:rsidR="00DB0B63" w:rsidRPr="00DB0B63" w:rsidRDefault="00CA6030"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O Metodologiji raspravljano u sklopu Radne grupe za Poglavlje 22.</w:t>
            </w:r>
          </w:p>
        </w:tc>
        <w:tc>
          <w:tcPr>
            <w:tcW w:w="395" w:type="pct"/>
            <w:hideMark/>
          </w:tcPr>
          <w:p w14:paraId="2A7DC73C" w14:textId="0E738A95" w:rsidR="00DB0B63" w:rsidRPr="00DB0B63" w:rsidRDefault="0013334C"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3651045E" w14:textId="793F7B67" w:rsidR="00DB0B63" w:rsidRPr="00DB0B63" w:rsidRDefault="00720740"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1" w:type="pct"/>
            <w:hideMark/>
          </w:tcPr>
          <w:p w14:paraId="5D214D22" w14:textId="63B3E894" w:rsidR="00DB0B63" w:rsidRPr="00DB0B63" w:rsidRDefault="00CA6030"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Prezentacija glavnih razvojnih izazova Crne Gore, uzimajući u obzir ekonomske, socijalne i teritorijalne razlike, kao i nejednakosti, zasnovana na usvojenoj metodologiji, biće pripremljena u kontekstu pripreme programa.</w:t>
            </w:r>
          </w:p>
        </w:tc>
        <w:tc>
          <w:tcPr>
            <w:tcW w:w="410" w:type="pct"/>
            <w:hideMark/>
          </w:tcPr>
          <w:p w14:paraId="6198FA06" w14:textId="77777777" w:rsidR="00DB0B63" w:rsidRPr="00DB0B63" w:rsidRDefault="00DB0B63"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r w:rsidR="00DB0B63" w:rsidRPr="00DB0B63" w14:paraId="46C6C940" w14:textId="77777777" w:rsidTr="00DB0B63">
        <w:trPr>
          <w:trHeight w:val="2310"/>
        </w:trPr>
        <w:tc>
          <w:tcPr>
            <w:cnfStyle w:val="001000000000" w:firstRow="0" w:lastRow="0" w:firstColumn="1" w:lastColumn="0" w:oddVBand="0" w:evenVBand="0" w:oddHBand="0" w:evenHBand="0" w:firstRowFirstColumn="0" w:firstRowLastColumn="0" w:lastRowFirstColumn="0" w:lastRowLastColumn="0"/>
            <w:tcW w:w="253" w:type="pct"/>
            <w:hideMark/>
          </w:tcPr>
          <w:p w14:paraId="158D49B3" w14:textId="77777777" w:rsidR="00DB0B63" w:rsidRPr="00DB0B63" w:rsidRDefault="00DB0B63" w:rsidP="00DB0B63">
            <w:pPr>
              <w:spacing w:after="0"/>
              <w:jc w:val="left"/>
              <w:rPr>
                <w:rFonts w:ascii="Aptos" w:eastAsia="Times New Roman" w:hAnsi="Aptos"/>
                <w:kern w:val="0"/>
                <w:sz w:val="14"/>
                <w:szCs w:val="14"/>
                <w:lang w:eastAsia="en-GB"/>
                <w14:ligatures w14:val="none"/>
              </w:rPr>
            </w:pPr>
            <w:r w:rsidRPr="00DB0B63">
              <w:rPr>
                <w:rFonts w:ascii="Aptos" w:eastAsia="Times New Roman" w:hAnsi="Aptos"/>
                <w:kern w:val="0"/>
                <w:sz w:val="14"/>
                <w:szCs w:val="14"/>
                <w:lang w:eastAsia="en-GB"/>
                <w14:ligatures w14:val="none"/>
              </w:rPr>
              <w:t>8.01.</w:t>
            </w:r>
          </w:p>
        </w:tc>
        <w:tc>
          <w:tcPr>
            <w:tcW w:w="819" w:type="pct"/>
            <w:hideMark/>
          </w:tcPr>
          <w:p w14:paraId="685123B4" w14:textId="2E3CD76D" w:rsidR="00DB0B63" w:rsidRPr="00DB0B63" w:rsidRDefault="000D52B4" w:rsidP="00DB0B6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0D52B4">
              <w:rPr>
                <w:rFonts w:ascii="Aptos" w:eastAsia="Times New Roman" w:hAnsi="Aptos"/>
                <w:kern w:val="0"/>
                <w:sz w:val="14"/>
                <w:szCs w:val="14"/>
                <w:lang w:eastAsia="en-GB"/>
                <w14:ligatures w14:val="none"/>
              </w:rPr>
              <w:t xml:space="preserve">Priprema metodologija za predstavljanje glavnih razvojnih izazova Crne Gore, uzimajući u obzir ekonomski, socijalni i </w:t>
            </w:r>
            <w:r w:rsidR="00C30F51" w:rsidRPr="00C30F51">
              <w:rPr>
                <w:rFonts w:ascii="Aptos" w:eastAsia="Times New Roman" w:hAnsi="Aptos"/>
                <w:kern w:val="0"/>
                <w:sz w:val="14"/>
                <w:szCs w:val="14"/>
                <w:lang w:eastAsia="en-GB"/>
                <w14:ligatures w14:val="none"/>
              </w:rPr>
              <w:t>teritorijalne razlike</w:t>
            </w:r>
            <w:r w:rsidRPr="000D52B4">
              <w:rPr>
                <w:rFonts w:ascii="Aptos" w:eastAsia="Times New Roman" w:hAnsi="Aptos"/>
                <w:kern w:val="0"/>
                <w:sz w:val="14"/>
                <w:szCs w:val="14"/>
                <w:lang w:eastAsia="en-GB"/>
                <w14:ligatures w14:val="none"/>
              </w:rPr>
              <w:t>, kao i nejednakosti</w:t>
            </w:r>
            <w:r w:rsidR="00DB0B63" w:rsidRPr="00DB0B63">
              <w:rPr>
                <w:rFonts w:ascii="Aptos" w:eastAsia="Times New Roman" w:hAnsi="Aptos"/>
                <w:kern w:val="0"/>
                <w:sz w:val="14"/>
                <w:szCs w:val="14"/>
                <w:lang w:eastAsia="en-GB"/>
                <w14:ligatures w14:val="none"/>
              </w:rPr>
              <w:t>.</w:t>
            </w:r>
          </w:p>
        </w:tc>
        <w:tc>
          <w:tcPr>
            <w:tcW w:w="634" w:type="pct"/>
            <w:hideMark/>
          </w:tcPr>
          <w:p w14:paraId="0BD39BC4" w14:textId="72F9DD19" w:rsidR="00DB0B63" w:rsidRPr="00DB0B63" w:rsidRDefault="00482ECF" w:rsidP="00DB0B6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roofErr w:type="gramStart"/>
            <w:r w:rsidRPr="00C21BC9">
              <w:rPr>
                <w:rFonts w:ascii="Aptos" w:eastAsia="Times New Roman" w:hAnsi="Aptos"/>
                <w:kern w:val="0"/>
                <w:sz w:val="14"/>
                <w:szCs w:val="14"/>
                <w:lang w:eastAsia="en-GB"/>
                <w14:ligatures w14:val="none"/>
              </w:rPr>
              <w:t>MONSTAT</w:t>
            </w:r>
            <w:r>
              <w:rPr>
                <w:rFonts w:ascii="Aptos" w:eastAsia="Times New Roman" w:hAnsi="Aptos"/>
                <w:color w:val="FF0000"/>
                <w:kern w:val="0"/>
                <w:sz w:val="14"/>
                <w:szCs w:val="14"/>
                <w:lang w:eastAsia="en-GB"/>
                <w14:ligatures w14:val="none"/>
              </w:rPr>
              <w:t xml:space="preserve"> </w:t>
            </w:r>
            <w:r w:rsidRPr="00DB0B63">
              <w:rPr>
                <w:rFonts w:ascii="Aptos" w:eastAsia="Times New Roman" w:hAnsi="Aptos"/>
                <w:kern w:val="0"/>
                <w:sz w:val="14"/>
                <w:szCs w:val="14"/>
                <w:lang w:eastAsia="en-GB"/>
                <w14:ligatures w14:val="none"/>
              </w:rPr>
              <w:t>;</w:t>
            </w:r>
            <w:proofErr w:type="gramEnd"/>
            <w:r w:rsidRPr="00DB0B63">
              <w:rPr>
                <w:rFonts w:ascii="Aptos" w:eastAsia="Times New Roman" w:hAnsi="Aptos"/>
                <w:kern w:val="0"/>
                <w:sz w:val="14"/>
                <w:szCs w:val="14"/>
                <w:lang w:eastAsia="en-GB"/>
                <w14:ligatures w14:val="none"/>
              </w:rPr>
              <w:t xml:space="preserve"> </w:t>
            </w:r>
            <w:r w:rsidR="00720740">
              <w:rPr>
                <w:rFonts w:ascii="Aptos" w:eastAsia="Times New Roman" w:hAnsi="Aptos"/>
                <w:kern w:val="0"/>
                <w:sz w:val="14"/>
                <w:szCs w:val="14"/>
                <w:lang w:eastAsia="en-GB"/>
                <w14:ligatures w14:val="none"/>
              </w:rPr>
              <w:t>Relevantna resorna ministarstva</w:t>
            </w:r>
          </w:p>
        </w:tc>
        <w:tc>
          <w:tcPr>
            <w:tcW w:w="395" w:type="pct"/>
            <w:hideMark/>
          </w:tcPr>
          <w:p w14:paraId="500B6CD8" w14:textId="4727F0CF" w:rsidR="00DB0B63" w:rsidRPr="00DB0B63" w:rsidRDefault="00DB0B63" w:rsidP="00DB0B6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DB0B63">
              <w:rPr>
                <w:rFonts w:ascii="Aptos" w:eastAsia="Times New Roman" w:hAnsi="Aptos"/>
                <w:kern w:val="0"/>
                <w:sz w:val="14"/>
                <w:szCs w:val="14"/>
                <w:lang w:eastAsia="en-GB"/>
                <w14:ligatures w14:val="none"/>
              </w:rPr>
              <w:t>2025-</w:t>
            </w:r>
            <w:r w:rsidR="000744D1">
              <w:rPr>
                <w:rFonts w:ascii="Aptos" w:eastAsia="Times New Roman" w:hAnsi="Aptos"/>
                <w:kern w:val="0"/>
                <w:sz w:val="14"/>
                <w:szCs w:val="14"/>
                <w:lang w:eastAsia="en-GB"/>
                <w14:ligatures w14:val="none"/>
              </w:rPr>
              <w:t>Kvartal</w:t>
            </w:r>
            <w:r w:rsidRPr="00DB0B63">
              <w:rPr>
                <w:rFonts w:ascii="Aptos" w:eastAsia="Times New Roman" w:hAnsi="Aptos"/>
                <w:kern w:val="0"/>
                <w:sz w:val="14"/>
                <w:szCs w:val="14"/>
                <w:lang w:eastAsia="en-GB"/>
                <w14:ligatures w14:val="none"/>
              </w:rPr>
              <w:t>4</w:t>
            </w:r>
          </w:p>
        </w:tc>
        <w:tc>
          <w:tcPr>
            <w:tcW w:w="888" w:type="pct"/>
            <w:hideMark/>
          </w:tcPr>
          <w:p w14:paraId="615B6E9D" w14:textId="67DF74F3" w:rsidR="00DB0B63" w:rsidRPr="00DB0B63" w:rsidRDefault="00CA6030" w:rsidP="00DB0B6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Metodologija usvojena od strane ministarstva nadležnog za razvoj Sjevernog regiona.</w:t>
            </w:r>
          </w:p>
        </w:tc>
        <w:tc>
          <w:tcPr>
            <w:tcW w:w="395" w:type="pct"/>
            <w:hideMark/>
          </w:tcPr>
          <w:p w14:paraId="0BAF5634" w14:textId="480A93C1" w:rsidR="00DB0B63" w:rsidRPr="00DB0B63" w:rsidRDefault="0013334C" w:rsidP="00DB0B6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608AC236" w14:textId="7F6EEFFA" w:rsidR="00DB0B63" w:rsidRPr="00DB0B63" w:rsidRDefault="00720740" w:rsidP="00DB0B6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Podržano od strane </w:t>
            </w:r>
            <w:r w:rsidR="0032369C">
              <w:rPr>
                <w:rFonts w:ascii="Aptos" w:eastAsia="Times New Roman" w:hAnsi="Aptos"/>
                <w:kern w:val="0"/>
                <w:sz w:val="14"/>
                <w:szCs w:val="14"/>
                <w:lang w:eastAsia="en-GB"/>
                <w14:ligatures w14:val="none"/>
              </w:rPr>
              <w:t>TP</w:t>
            </w:r>
          </w:p>
        </w:tc>
        <w:tc>
          <w:tcPr>
            <w:tcW w:w="811" w:type="pct"/>
            <w:hideMark/>
          </w:tcPr>
          <w:p w14:paraId="464969BC" w14:textId="5D201717" w:rsidR="00DB0B63" w:rsidRPr="00DB0B63" w:rsidRDefault="00CA6030" w:rsidP="00DB0B6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Prezentacija glavnih razvojnih izazova Crne Gore, uzimajući u obzir ekonomske, socijalne i teritorijalne razlike, kao i nejednakosti, zasnovana na usvojenoj metodologiji, biće pripremljena u kontekstu pripreme programa.</w:t>
            </w:r>
          </w:p>
        </w:tc>
        <w:tc>
          <w:tcPr>
            <w:tcW w:w="410" w:type="pct"/>
            <w:hideMark/>
          </w:tcPr>
          <w:p w14:paraId="096A1C27" w14:textId="77777777" w:rsidR="00DB0B63" w:rsidRPr="00DB0B63" w:rsidRDefault="00DB0B63" w:rsidP="00DB0B63">
            <w:pPr>
              <w:spacing w:after="0"/>
              <w:jc w:val="left"/>
              <w:cnfStyle w:val="000000000000" w:firstRow="0" w:lastRow="0" w:firstColumn="0" w:lastColumn="0" w:oddVBand="0" w:evenVBand="0" w:oddHBand="0" w:evenHBand="0" w:firstRowFirstColumn="0" w:firstRowLastColumn="0" w:lastRowFirstColumn="0" w:lastRowLastColumn="0"/>
              <w:rPr>
                <w:rFonts w:ascii="Aptos" w:eastAsia="Times New Roman" w:hAnsi="Aptos"/>
                <w:kern w:val="0"/>
                <w:sz w:val="14"/>
                <w:szCs w:val="14"/>
                <w:lang w:eastAsia="en-GB"/>
                <w14:ligatures w14:val="none"/>
              </w:rPr>
            </w:pPr>
          </w:p>
        </w:tc>
      </w:tr>
      <w:tr w:rsidR="00DB0B63" w:rsidRPr="00DB0B63" w14:paraId="6BD75AD8" w14:textId="77777777" w:rsidTr="00DB0B63">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253" w:type="pct"/>
            <w:hideMark/>
          </w:tcPr>
          <w:p w14:paraId="53238839" w14:textId="77777777" w:rsidR="00DB0B63" w:rsidRPr="00DB0B63" w:rsidRDefault="00DB0B63" w:rsidP="00DB0B63">
            <w:pPr>
              <w:spacing w:after="0"/>
              <w:jc w:val="left"/>
              <w:rPr>
                <w:rFonts w:ascii="Aptos" w:eastAsia="Times New Roman" w:hAnsi="Aptos"/>
                <w:kern w:val="0"/>
                <w:sz w:val="14"/>
                <w:szCs w:val="14"/>
                <w:lang w:eastAsia="en-GB"/>
                <w14:ligatures w14:val="none"/>
              </w:rPr>
            </w:pPr>
            <w:r w:rsidRPr="00DB0B63">
              <w:rPr>
                <w:rFonts w:ascii="Aptos" w:eastAsia="Times New Roman" w:hAnsi="Aptos"/>
                <w:kern w:val="0"/>
                <w:sz w:val="14"/>
                <w:szCs w:val="14"/>
                <w:lang w:eastAsia="en-GB"/>
                <w14:ligatures w14:val="none"/>
              </w:rPr>
              <w:t>8.02.</w:t>
            </w:r>
          </w:p>
        </w:tc>
        <w:tc>
          <w:tcPr>
            <w:tcW w:w="819" w:type="pct"/>
            <w:hideMark/>
          </w:tcPr>
          <w:p w14:paraId="152DC2BC" w14:textId="639D7870" w:rsidR="00DB0B63" w:rsidRPr="00DB0B63" w:rsidRDefault="00C30F51"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C30F51">
              <w:rPr>
                <w:rFonts w:ascii="Aptos" w:eastAsia="Times New Roman" w:hAnsi="Aptos"/>
                <w:kern w:val="0"/>
                <w:sz w:val="14"/>
                <w:szCs w:val="14"/>
                <w:lang w:eastAsia="en-GB"/>
                <w14:ligatures w14:val="none"/>
              </w:rPr>
              <w:t>Statistički podaci neophodni prema Metodologiji o alokaciji globalni Kohezionih resursa po Državi članici se redovno proizvode</w:t>
            </w:r>
            <w:r w:rsidR="00DB0B63" w:rsidRPr="00DB0B63">
              <w:rPr>
                <w:rFonts w:ascii="Aptos" w:eastAsia="Times New Roman" w:hAnsi="Aptos"/>
                <w:kern w:val="0"/>
                <w:sz w:val="14"/>
                <w:szCs w:val="14"/>
                <w:lang w:eastAsia="en-GB"/>
                <w14:ligatures w14:val="none"/>
              </w:rPr>
              <w:t>.</w:t>
            </w:r>
          </w:p>
        </w:tc>
        <w:tc>
          <w:tcPr>
            <w:tcW w:w="634" w:type="pct"/>
            <w:hideMark/>
          </w:tcPr>
          <w:p w14:paraId="1794597A" w14:textId="1DAE803E" w:rsidR="00DB0B63" w:rsidRPr="00DB0B63" w:rsidRDefault="00482ECF"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C21BC9">
              <w:rPr>
                <w:rFonts w:ascii="Aptos" w:eastAsia="Times New Roman" w:hAnsi="Aptos"/>
                <w:kern w:val="0"/>
                <w:sz w:val="14"/>
                <w:szCs w:val="14"/>
                <w:lang w:eastAsia="en-GB"/>
                <w14:ligatures w14:val="none"/>
              </w:rPr>
              <w:t>MONSTAT</w:t>
            </w:r>
            <w:r>
              <w:rPr>
                <w:rFonts w:ascii="Aptos" w:eastAsia="Times New Roman" w:hAnsi="Aptos"/>
                <w:color w:val="FF0000"/>
                <w:kern w:val="0"/>
                <w:sz w:val="14"/>
                <w:szCs w:val="14"/>
                <w:lang w:eastAsia="en-GB"/>
                <w14:ligatures w14:val="none"/>
              </w:rPr>
              <w:t xml:space="preserve"> </w:t>
            </w:r>
          </w:p>
        </w:tc>
        <w:tc>
          <w:tcPr>
            <w:tcW w:w="395" w:type="pct"/>
            <w:hideMark/>
          </w:tcPr>
          <w:p w14:paraId="3139531F" w14:textId="684A7CCD" w:rsidR="00DB0B63" w:rsidRPr="00DB0B63" w:rsidRDefault="00DB0B63"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DB0B63">
              <w:rPr>
                <w:rFonts w:ascii="Aptos" w:eastAsia="Times New Roman" w:hAnsi="Aptos"/>
                <w:kern w:val="0"/>
                <w:sz w:val="14"/>
                <w:szCs w:val="14"/>
                <w:lang w:eastAsia="en-GB"/>
                <w14:ligatures w14:val="none"/>
              </w:rPr>
              <w:t>2027-</w:t>
            </w:r>
            <w:r w:rsidR="000744D1">
              <w:rPr>
                <w:rFonts w:ascii="Aptos" w:eastAsia="Times New Roman" w:hAnsi="Aptos"/>
                <w:kern w:val="0"/>
                <w:sz w:val="14"/>
                <w:szCs w:val="14"/>
                <w:lang w:eastAsia="en-GB"/>
                <w14:ligatures w14:val="none"/>
              </w:rPr>
              <w:t>Kvartal</w:t>
            </w:r>
            <w:r w:rsidRPr="00DB0B63">
              <w:rPr>
                <w:rFonts w:ascii="Aptos" w:eastAsia="Times New Roman" w:hAnsi="Aptos"/>
                <w:kern w:val="0"/>
                <w:sz w:val="14"/>
                <w:szCs w:val="14"/>
                <w:lang w:eastAsia="en-GB"/>
                <w14:ligatures w14:val="none"/>
              </w:rPr>
              <w:t>1</w:t>
            </w:r>
          </w:p>
        </w:tc>
        <w:tc>
          <w:tcPr>
            <w:tcW w:w="888" w:type="pct"/>
            <w:hideMark/>
          </w:tcPr>
          <w:p w14:paraId="7F368FC5" w14:textId="73F24C24" w:rsidR="00DB0B63" w:rsidRPr="00DB0B63" w:rsidRDefault="00CA6030"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Svi statistički podaci potrebni prema Metodologiji o raspodjeli globalnih sredstava Kohezione politike po državama članicama redovno su dostupni.</w:t>
            </w:r>
          </w:p>
        </w:tc>
        <w:tc>
          <w:tcPr>
            <w:tcW w:w="395" w:type="pct"/>
            <w:hideMark/>
          </w:tcPr>
          <w:p w14:paraId="6B366BA7" w14:textId="36C6FCEB" w:rsidR="00DB0B63" w:rsidRPr="00DB0B63" w:rsidRDefault="0013334C"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sidRPr="0013334C">
              <w:rPr>
                <w:rFonts w:ascii="Aptos" w:eastAsia="Times New Roman" w:hAnsi="Aptos"/>
                <w:kern w:val="0"/>
                <w:sz w:val="14"/>
                <w:szCs w:val="14"/>
                <w:lang w:eastAsia="en-GB"/>
                <w14:ligatures w14:val="none"/>
              </w:rPr>
              <w:t>Indikator</w:t>
            </w:r>
          </w:p>
        </w:tc>
        <w:tc>
          <w:tcPr>
            <w:tcW w:w="395" w:type="pct"/>
            <w:hideMark/>
          </w:tcPr>
          <w:p w14:paraId="21CCE5DF" w14:textId="77777777" w:rsidR="00DB0B63" w:rsidRPr="00DB0B63" w:rsidRDefault="00DB0B63"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c>
          <w:tcPr>
            <w:tcW w:w="811" w:type="pct"/>
            <w:hideMark/>
          </w:tcPr>
          <w:p w14:paraId="4C9B6DC2" w14:textId="44AC128A" w:rsidR="00DB0B63" w:rsidRPr="00DB0B63" w:rsidRDefault="00CA6030"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r>
              <w:rPr>
                <w:rFonts w:ascii="Aptos" w:eastAsia="Times New Roman" w:hAnsi="Aptos"/>
                <w:kern w:val="0"/>
                <w:sz w:val="14"/>
                <w:szCs w:val="14"/>
                <w:lang w:eastAsia="en-GB"/>
                <w14:ligatures w14:val="none"/>
              </w:rPr>
              <w:t xml:space="preserve">Očekuje se da će nacrt </w:t>
            </w:r>
            <w:r w:rsidR="00CD0020">
              <w:rPr>
                <w:rFonts w:ascii="Aptos" w:eastAsia="Times New Roman" w:hAnsi="Aptos"/>
                <w:kern w:val="0"/>
                <w:sz w:val="14"/>
                <w:szCs w:val="14"/>
                <w:lang w:eastAsia="en-GB"/>
                <w14:ligatures w14:val="none"/>
              </w:rPr>
              <w:t>RZO</w:t>
            </w:r>
            <w:r>
              <w:rPr>
                <w:rFonts w:ascii="Aptos" w:eastAsia="Times New Roman" w:hAnsi="Aptos"/>
                <w:kern w:val="0"/>
                <w:sz w:val="14"/>
                <w:szCs w:val="14"/>
                <w:lang w:eastAsia="en-GB"/>
                <w14:ligatures w14:val="none"/>
              </w:rPr>
              <w:t xml:space="preserve"> 2028-2034 biti objavljen 2025. godine.</w:t>
            </w:r>
          </w:p>
        </w:tc>
        <w:tc>
          <w:tcPr>
            <w:tcW w:w="410" w:type="pct"/>
            <w:hideMark/>
          </w:tcPr>
          <w:p w14:paraId="01CE8BD7" w14:textId="77777777" w:rsidR="00DB0B63" w:rsidRPr="00DB0B63" w:rsidRDefault="00DB0B63" w:rsidP="00DB0B63">
            <w:pPr>
              <w:spacing w:after="0"/>
              <w:jc w:val="left"/>
              <w:cnfStyle w:val="000000100000" w:firstRow="0" w:lastRow="0" w:firstColumn="0" w:lastColumn="0" w:oddVBand="0" w:evenVBand="0" w:oddHBand="1" w:evenHBand="0" w:firstRowFirstColumn="0" w:firstRowLastColumn="0" w:lastRowFirstColumn="0" w:lastRowLastColumn="0"/>
              <w:rPr>
                <w:rFonts w:ascii="Aptos" w:eastAsia="Times New Roman" w:hAnsi="Aptos"/>
                <w:kern w:val="0"/>
                <w:sz w:val="14"/>
                <w:szCs w:val="14"/>
                <w:lang w:eastAsia="en-GB"/>
                <w14:ligatures w14:val="none"/>
              </w:rPr>
            </w:pPr>
          </w:p>
        </w:tc>
      </w:tr>
    </w:tbl>
    <w:p w14:paraId="6789E146" w14:textId="77777777" w:rsidR="00073CD6" w:rsidRPr="00B83578" w:rsidRDefault="00073CD6" w:rsidP="00DB0B63"/>
    <w:p w14:paraId="03273F88" w14:textId="2D371430" w:rsidR="00CE3066" w:rsidRDefault="00CE3066">
      <w:pPr>
        <w:spacing w:after="160" w:line="278" w:lineRule="auto"/>
        <w:jc w:val="left"/>
        <w:rPr>
          <w:rFonts w:eastAsiaTheme="majorEastAsia" w:cs="Arial"/>
          <w:color w:val="0F4761" w:themeColor="accent1" w:themeShade="BF"/>
          <w:szCs w:val="20"/>
        </w:rPr>
      </w:pPr>
      <w:r>
        <w:rPr>
          <w:rFonts w:eastAsiaTheme="majorEastAsia" w:cs="Arial"/>
          <w:color w:val="0F4761" w:themeColor="accent1" w:themeShade="BF"/>
          <w:szCs w:val="20"/>
        </w:rPr>
        <w:br w:type="page"/>
      </w:r>
    </w:p>
    <w:p w14:paraId="5EE77245" w14:textId="63C46DDC" w:rsidR="000F2FAD" w:rsidRDefault="00C30F51" w:rsidP="000F2FAD">
      <w:pPr>
        <w:pStyle w:val="Heading1"/>
      </w:pPr>
      <w:bookmarkStart w:id="221" w:name="_Toc201700448"/>
      <w:r w:rsidRPr="00C30F51">
        <w:lastRenderedPageBreak/>
        <w:t>Aneksi</w:t>
      </w:r>
      <w:bookmarkEnd w:id="221"/>
    </w:p>
    <w:p w14:paraId="773307F0" w14:textId="18DEA594" w:rsidR="004D7015" w:rsidRDefault="00C30F51" w:rsidP="000F2FAD">
      <w:pPr>
        <w:pStyle w:val="Heading2"/>
      </w:pPr>
      <w:bookmarkStart w:id="222" w:name="_Toc201700449"/>
      <w:r w:rsidRPr="00C30F51">
        <w:t>Ganttovi grafikoni</w:t>
      </w:r>
      <w:bookmarkEnd w:id="222"/>
      <w:r w:rsidRPr="00C30F51">
        <w:t xml:space="preserve"> </w:t>
      </w:r>
    </w:p>
    <w:p w14:paraId="2BFA42B8" w14:textId="448BC053" w:rsidR="000F2FAD" w:rsidRDefault="00C30F51" w:rsidP="000528EC">
      <w:pPr>
        <w:pStyle w:val="Heading3"/>
      </w:pPr>
      <w:bookmarkStart w:id="223" w:name="_Toc201700450"/>
      <w:r w:rsidRPr="00C30F51">
        <w:t>Aneks</w:t>
      </w:r>
      <w:r w:rsidR="000F2FAD">
        <w:t xml:space="preserve"> 1.1. – </w:t>
      </w:r>
      <w:r w:rsidRPr="00C30F51">
        <w:t>Ganttov grafikon za Završno mjerilo</w:t>
      </w:r>
      <w:bookmarkEnd w:id="223"/>
    </w:p>
    <w:p w14:paraId="48281FE2" w14:textId="5375BDE7" w:rsidR="000528EC" w:rsidRPr="000528EC" w:rsidRDefault="00C30F51" w:rsidP="000528EC">
      <w:pPr>
        <w:pStyle w:val="Heading3"/>
      </w:pPr>
      <w:bookmarkStart w:id="224" w:name="_Toc201700451"/>
      <w:r w:rsidRPr="00C30F51">
        <w:t>Aneks</w:t>
      </w:r>
      <w:r w:rsidR="000528EC">
        <w:t xml:space="preserve"> 1.2. – </w:t>
      </w:r>
      <w:r w:rsidRPr="00C30F51">
        <w:t>Ganttov grafikon za Dugoročni plan</w:t>
      </w:r>
      <w:bookmarkEnd w:id="224"/>
      <w:r w:rsidR="000E26F5">
        <w:t xml:space="preserve"> aktivnosti</w:t>
      </w:r>
    </w:p>
    <w:p w14:paraId="5757BF0F" w14:textId="5C30EDBB" w:rsidR="0003655A" w:rsidRPr="00B83578" w:rsidRDefault="00C30F51" w:rsidP="000528EC">
      <w:pPr>
        <w:pStyle w:val="Heading2"/>
        <w:rPr>
          <w:szCs w:val="20"/>
        </w:rPr>
      </w:pPr>
      <w:bookmarkStart w:id="225" w:name="_Toc201700452"/>
      <w:r w:rsidRPr="00C30F51">
        <w:t>Aneks</w:t>
      </w:r>
      <w:r w:rsidR="0003655A" w:rsidRPr="00B83578">
        <w:t xml:space="preserve"> II: </w:t>
      </w:r>
      <w:r w:rsidRPr="00C30F51">
        <w:t>IPA SIstem kontrole i upravljanja i finansijskog upravljanja u Crnoj Gori</w:t>
      </w:r>
      <w:bookmarkEnd w:id="225"/>
    </w:p>
    <w:p w14:paraId="52DC30AC" w14:textId="7ADCE2A7" w:rsidR="0003655A" w:rsidRPr="00B83578" w:rsidRDefault="00C30F51" w:rsidP="000528EC">
      <w:pPr>
        <w:pStyle w:val="Heading2"/>
        <w:rPr>
          <w:szCs w:val="20"/>
        </w:rPr>
      </w:pPr>
      <w:bookmarkStart w:id="226" w:name="_Toc201700453"/>
      <w:r w:rsidRPr="00C30F51">
        <w:t>Aneks</w:t>
      </w:r>
      <w:r w:rsidR="0003655A" w:rsidRPr="00B83578">
        <w:t xml:space="preserve"> III: </w:t>
      </w:r>
      <w:r w:rsidRPr="00C30F51">
        <w:t>Programi jačanja kapaciteta</w:t>
      </w:r>
      <w:bookmarkEnd w:id="226"/>
    </w:p>
    <w:p w14:paraId="79633416" w14:textId="3BAFE498" w:rsidR="0003655A" w:rsidRPr="00B83578" w:rsidRDefault="0003655A" w:rsidP="0003655A">
      <w:pPr>
        <w:keepNext/>
        <w:keepLines/>
        <w:spacing w:before="360" w:after="80"/>
        <w:outlineLvl w:val="0"/>
        <w:rPr>
          <w:rFonts w:eastAsiaTheme="majorEastAsia" w:cs="Arial"/>
          <w:color w:val="0F4761" w:themeColor="accent1" w:themeShade="BF"/>
          <w:szCs w:val="20"/>
        </w:rPr>
      </w:pPr>
    </w:p>
    <w:p w14:paraId="1B9634AA" w14:textId="75275069" w:rsidR="0003655A" w:rsidRDefault="0003655A" w:rsidP="0003655A">
      <w:pPr>
        <w:keepNext/>
        <w:keepLines/>
        <w:spacing w:before="360" w:after="80"/>
        <w:outlineLvl w:val="0"/>
        <w:rPr>
          <w:rFonts w:eastAsiaTheme="majorEastAsia" w:cs="Arial"/>
          <w:color w:val="0F4761" w:themeColor="accent1" w:themeShade="BF"/>
          <w:szCs w:val="20"/>
        </w:rPr>
      </w:pPr>
    </w:p>
    <w:p w14:paraId="0044B666" w14:textId="67160A0B" w:rsidR="00902DBD" w:rsidRDefault="00902DBD" w:rsidP="0003655A">
      <w:pPr>
        <w:keepNext/>
        <w:keepLines/>
        <w:spacing w:before="360" w:after="80"/>
        <w:outlineLvl w:val="0"/>
        <w:rPr>
          <w:rFonts w:eastAsiaTheme="majorEastAsia" w:cs="Arial"/>
          <w:color w:val="0F4761" w:themeColor="accent1" w:themeShade="BF"/>
          <w:szCs w:val="20"/>
        </w:rPr>
      </w:pPr>
    </w:p>
    <w:p w14:paraId="538C4188" w14:textId="46BAD818" w:rsidR="00902DBD" w:rsidRDefault="00902DBD" w:rsidP="0003655A">
      <w:pPr>
        <w:keepNext/>
        <w:keepLines/>
        <w:spacing w:before="360" w:after="80"/>
        <w:outlineLvl w:val="0"/>
        <w:rPr>
          <w:rFonts w:eastAsiaTheme="majorEastAsia" w:cs="Arial"/>
          <w:color w:val="0F4761" w:themeColor="accent1" w:themeShade="BF"/>
          <w:szCs w:val="20"/>
        </w:rPr>
      </w:pPr>
    </w:p>
    <w:p w14:paraId="0900FAD2" w14:textId="05A30590" w:rsidR="00902DBD" w:rsidRDefault="00902DBD" w:rsidP="0003655A">
      <w:pPr>
        <w:keepNext/>
        <w:keepLines/>
        <w:spacing w:before="360" w:after="80"/>
        <w:outlineLvl w:val="0"/>
        <w:rPr>
          <w:rFonts w:eastAsiaTheme="majorEastAsia" w:cs="Arial"/>
          <w:color w:val="0F4761" w:themeColor="accent1" w:themeShade="BF"/>
          <w:szCs w:val="20"/>
        </w:rPr>
      </w:pPr>
    </w:p>
    <w:p w14:paraId="5A190C6C" w14:textId="0DFE8466" w:rsidR="00902DBD" w:rsidRDefault="00902DBD" w:rsidP="0003655A">
      <w:pPr>
        <w:keepNext/>
        <w:keepLines/>
        <w:spacing w:before="360" w:after="80"/>
        <w:outlineLvl w:val="0"/>
        <w:rPr>
          <w:rFonts w:eastAsiaTheme="majorEastAsia" w:cs="Arial"/>
          <w:color w:val="0F4761" w:themeColor="accent1" w:themeShade="BF"/>
          <w:szCs w:val="20"/>
        </w:rPr>
      </w:pPr>
    </w:p>
    <w:p w14:paraId="7829E583" w14:textId="7A56D616" w:rsidR="00902DBD" w:rsidRDefault="00902DBD" w:rsidP="0003655A">
      <w:pPr>
        <w:keepNext/>
        <w:keepLines/>
        <w:spacing w:before="360" w:after="80"/>
        <w:outlineLvl w:val="0"/>
        <w:rPr>
          <w:rFonts w:eastAsiaTheme="majorEastAsia" w:cs="Arial"/>
          <w:color w:val="0F4761" w:themeColor="accent1" w:themeShade="BF"/>
          <w:szCs w:val="20"/>
        </w:rPr>
      </w:pPr>
    </w:p>
    <w:p w14:paraId="706001CD" w14:textId="2E320066" w:rsidR="00902DBD" w:rsidRDefault="00902DBD" w:rsidP="0003655A">
      <w:pPr>
        <w:keepNext/>
        <w:keepLines/>
        <w:spacing w:before="360" w:after="80"/>
        <w:outlineLvl w:val="0"/>
        <w:rPr>
          <w:rFonts w:eastAsiaTheme="majorEastAsia" w:cs="Arial"/>
          <w:color w:val="0F4761" w:themeColor="accent1" w:themeShade="BF"/>
          <w:szCs w:val="20"/>
        </w:rPr>
      </w:pPr>
    </w:p>
    <w:p w14:paraId="4F460453" w14:textId="4C20B1A1" w:rsidR="00902DBD" w:rsidRDefault="00902DBD" w:rsidP="0003655A">
      <w:pPr>
        <w:keepNext/>
        <w:keepLines/>
        <w:spacing w:before="360" w:after="80"/>
        <w:outlineLvl w:val="0"/>
        <w:rPr>
          <w:rFonts w:eastAsiaTheme="majorEastAsia" w:cs="Arial"/>
          <w:color w:val="0F4761" w:themeColor="accent1" w:themeShade="BF"/>
          <w:szCs w:val="20"/>
        </w:rPr>
      </w:pPr>
    </w:p>
    <w:p w14:paraId="1D4B4049" w14:textId="6AEDFF58" w:rsidR="00902DBD" w:rsidRDefault="00902DBD" w:rsidP="0003655A">
      <w:pPr>
        <w:keepNext/>
        <w:keepLines/>
        <w:spacing w:before="360" w:after="80"/>
        <w:outlineLvl w:val="0"/>
        <w:rPr>
          <w:rFonts w:eastAsiaTheme="majorEastAsia" w:cs="Arial"/>
          <w:color w:val="0F4761" w:themeColor="accent1" w:themeShade="BF"/>
          <w:szCs w:val="20"/>
        </w:rPr>
      </w:pPr>
    </w:p>
    <w:p w14:paraId="4769B01B" w14:textId="3C95CD42" w:rsidR="00902DBD" w:rsidRDefault="00902DBD" w:rsidP="0003655A">
      <w:pPr>
        <w:keepNext/>
        <w:keepLines/>
        <w:spacing w:before="360" w:after="80"/>
        <w:outlineLvl w:val="0"/>
        <w:rPr>
          <w:rFonts w:eastAsiaTheme="majorEastAsia" w:cs="Arial"/>
          <w:color w:val="0F4761" w:themeColor="accent1" w:themeShade="BF"/>
          <w:szCs w:val="20"/>
        </w:rPr>
      </w:pPr>
    </w:p>
    <w:p w14:paraId="59F02176" w14:textId="6C408674" w:rsidR="00902DBD" w:rsidRDefault="00902DBD" w:rsidP="0003655A">
      <w:pPr>
        <w:keepNext/>
        <w:keepLines/>
        <w:spacing w:before="360" w:after="80"/>
        <w:outlineLvl w:val="0"/>
        <w:rPr>
          <w:rFonts w:eastAsiaTheme="majorEastAsia" w:cs="Arial"/>
          <w:color w:val="0F4761" w:themeColor="accent1" w:themeShade="BF"/>
          <w:szCs w:val="20"/>
        </w:rPr>
      </w:pPr>
    </w:p>
    <w:p w14:paraId="02730123" w14:textId="10FF4BE6" w:rsidR="00902DBD" w:rsidRDefault="00902DBD" w:rsidP="0003655A">
      <w:pPr>
        <w:keepNext/>
        <w:keepLines/>
        <w:spacing w:before="360" w:after="80"/>
        <w:outlineLvl w:val="0"/>
        <w:rPr>
          <w:rFonts w:eastAsiaTheme="majorEastAsia" w:cs="Arial"/>
          <w:color w:val="0F4761" w:themeColor="accent1" w:themeShade="BF"/>
          <w:szCs w:val="20"/>
        </w:rPr>
      </w:pPr>
    </w:p>
    <w:p w14:paraId="2D0F622B" w14:textId="4235CB29" w:rsidR="00902DBD" w:rsidRDefault="00902DBD" w:rsidP="0003655A">
      <w:pPr>
        <w:keepNext/>
        <w:keepLines/>
        <w:spacing w:before="360" w:after="80"/>
        <w:outlineLvl w:val="0"/>
        <w:rPr>
          <w:rFonts w:eastAsiaTheme="majorEastAsia" w:cs="Arial"/>
          <w:color w:val="0F4761" w:themeColor="accent1" w:themeShade="BF"/>
          <w:szCs w:val="20"/>
        </w:rPr>
      </w:pPr>
    </w:p>
    <w:p w14:paraId="24BFBEEF" w14:textId="6B0CA4E6" w:rsidR="00902DBD" w:rsidRDefault="00902DBD" w:rsidP="0003655A">
      <w:pPr>
        <w:keepNext/>
        <w:keepLines/>
        <w:spacing w:before="360" w:after="80"/>
        <w:outlineLvl w:val="0"/>
        <w:rPr>
          <w:rFonts w:eastAsiaTheme="majorEastAsia" w:cs="Arial"/>
          <w:color w:val="0F4761" w:themeColor="accent1" w:themeShade="BF"/>
          <w:szCs w:val="20"/>
        </w:rPr>
      </w:pPr>
    </w:p>
    <w:p w14:paraId="5F1EEFBB" w14:textId="40DFD397" w:rsidR="00902DBD" w:rsidRDefault="00902DBD" w:rsidP="0003655A">
      <w:pPr>
        <w:keepNext/>
        <w:keepLines/>
        <w:spacing w:before="360" w:after="80"/>
        <w:outlineLvl w:val="0"/>
        <w:rPr>
          <w:rFonts w:eastAsiaTheme="majorEastAsia" w:cs="Arial"/>
          <w:color w:val="0F4761" w:themeColor="accent1" w:themeShade="BF"/>
          <w:szCs w:val="20"/>
        </w:rPr>
      </w:pPr>
    </w:p>
    <w:p w14:paraId="65C52EF4" w14:textId="58A74472" w:rsidR="00902DBD" w:rsidRDefault="00902DBD" w:rsidP="0003655A">
      <w:pPr>
        <w:keepNext/>
        <w:keepLines/>
        <w:spacing w:before="360" w:after="80"/>
        <w:outlineLvl w:val="0"/>
        <w:rPr>
          <w:rFonts w:eastAsiaTheme="majorEastAsia" w:cs="Arial"/>
          <w:color w:val="0F4761" w:themeColor="accent1" w:themeShade="BF"/>
          <w:szCs w:val="20"/>
        </w:rPr>
      </w:pPr>
    </w:p>
    <w:p w14:paraId="592C8A46" w14:textId="059E36E0" w:rsidR="00091B36" w:rsidRPr="00FC0E29" w:rsidRDefault="00091B36" w:rsidP="00091B36">
      <w:pPr>
        <w:pStyle w:val="Heading1"/>
        <w:numPr>
          <w:ilvl w:val="0"/>
          <w:numId w:val="0"/>
        </w:numPr>
        <w:ind w:left="432" w:hanging="432"/>
        <w:rPr>
          <w:rFonts w:ascii="Arial" w:hAnsi="Arial" w:cs="Arial"/>
          <w:lang w:eastAsia="de-DE"/>
        </w:rPr>
      </w:pPr>
      <w:r w:rsidRPr="00FC0E29">
        <w:rPr>
          <w:rFonts w:ascii="Arial" w:hAnsi="Arial" w:cs="Arial"/>
        </w:rPr>
        <w:t>An</w:t>
      </w:r>
      <w:r>
        <w:rPr>
          <w:rFonts w:ascii="Arial" w:hAnsi="Arial" w:cs="Arial"/>
        </w:rPr>
        <w:t>eks</w:t>
      </w:r>
      <w:r w:rsidRPr="00FC0E29">
        <w:rPr>
          <w:rFonts w:ascii="Arial" w:hAnsi="Arial" w:cs="Arial"/>
        </w:rPr>
        <w:t xml:space="preserve"> II </w:t>
      </w:r>
      <w:r w:rsidRPr="00FC0E29">
        <w:rPr>
          <w:rFonts w:ascii="Arial" w:hAnsi="Arial" w:cs="Arial"/>
          <w:lang w:eastAsia="de-DE"/>
        </w:rPr>
        <w:t xml:space="preserve">IPA </w:t>
      </w:r>
      <w:r>
        <w:rPr>
          <w:rFonts w:ascii="Arial" w:hAnsi="Arial" w:cs="Arial"/>
          <w:lang w:eastAsia="de-DE"/>
        </w:rPr>
        <w:t xml:space="preserve">Sistem za upravljanje i kontrolu </w:t>
      </w:r>
      <w:r w:rsidR="002A5433">
        <w:rPr>
          <w:rFonts w:ascii="Arial" w:hAnsi="Arial" w:cs="Arial"/>
          <w:lang w:eastAsia="de-DE"/>
        </w:rPr>
        <w:t>i</w:t>
      </w:r>
      <w:r>
        <w:rPr>
          <w:rFonts w:ascii="Arial" w:hAnsi="Arial" w:cs="Arial"/>
          <w:lang w:eastAsia="de-DE"/>
        </w:rPr>
        <w:t xml:space="preserve"> Finansijsko upravljanje u Crnoj Gori</w:t>
      </w:r>
    </w:p>
    <w:p w14:paraId="1CC1961E" w14:textId="77777777" w:rsidR="00091B36" w:rsidRPr="00FC0E29" w:rsidRDefault="00091B36" w:rsidP="00091B36">
      <w:pPr>
        <w:rPr>
          <w:lang w:eastAsia="de-DE"/>
        </w:rPr>
      </w:pPr>
    </w:p>
    <w:p w14:paraId="49A8CBF3" w14:textId="77777777" w:rsidR="00091B36" w:rsidRPr="00FC0E29" w:rsidRDefault="00091B36" w:rsidP="00091B36">
      <w:pPr>
        <w:pStyle w:val="Heading1"/>
        <w:numPr>
          <w:ilvl w:val="0"/>
          <w:numId w:val="0"/>
        </w:numPr>
        <w:ind w:left="432" w:hanging="432"/>
        <w:rPr>
          <w:lang w:eastAsia="de-DE"/>
        </w:rPr>
      </w:pPr>
      <w:r w:rsidRPr="00FC0E29">
        <w:rPr>
          <w:lang w:eastAsia="de-DE"/>
        </w:rPr>
        <w:t xml:space="preserve">I. </w:t>
      </w:r>
      <w:r>
        <w:rPr>
          <w:lang w:eastAsia="de-DE"/>
        </w:rPr>
        <w:t>Sistem za upravljanje i kontrolu</w:t>
      </w:r>
    </w:p>
    <w:p w14:paraId="6BA4F4F4" w14:textId="77777777" w:rsidR="00091B36" w:rsidRPr="00FC0E29" w:rsidRDefault="00091B36" w:rsidP="00091B36">
      <w:pPr>
        <w:pStyle w:val="Heading2"/>
        <w:numPr>
          <w:ilvl w:val="0"/>
          <w:numId w:val="0"/>
        </w:numPr>
        <w:ind w:left="576" w:hanging="576"/>
      </w:pPr>
      <w:r w:rsidRPr="00FC0E29">
        <w:t xml:space="preserve">I.1. </w:t>
      </w:r>
      <w:r>
        <w:t xml:space="preserve">Nacionalni pravni okvir kojim se reguliše IPA pod indirektnim upravljanjem </w:t>
      </w:r>
      <w:r w:rsidRPr="00FC0E29">
        <w:t>(</w:t>
      </w:r>
      <w:r>
        <w:t>godišnji i višegodišnji programi, PGS programi)</w:t>
      </w:r>
    </w:p>
    <w:p w14:paraId="32562004" w14:textId="77777777" w:rsidR="00091B36" w:rsidRDefault="00091B36" w:rsidP="00091B36">
      <w:pPr>
        <w:pStyle w:val="Heading3"/>
        <w:numPr>
          <w:ilvl w:val="0"/>
          <w:numId w:val="0"/>
        </w:numPr>
        <w:ind w:left="720" w:hanging="720"/>
      </w:pPr>
      <w:r w:rsidRPr="00FC0E29">
        <w:t>IPA I</w:t>
      </w:r>
    </w:p>
    <w:p w14:paraId="2D16F82B" w14:textId="77777777" w:rsidR="00091B36" w:rsidRPr="009B5562" w:rsidRDefault="00091B36" w:rsidP="00D15218">
      <w:pPr>
        <w:pStyle w:val="ListParagraph"/>
        <w:numPr>
          <w:ilvl w:val="0"/>
          <w:numId w:val="65"/>
        </w:numPr>
        <w:spacing w:before="120"/>
        <w:rPr>
          <w:rFonts w:cs="Arial"/>
          <w:szCs w:val="20"/>
        </w:rPr>
      </w:pPr>
      <w:r w:rsidRPr="009B5562">
        <w:rPr>
          <w:rFonts w:cs="Arial"/>
          <w:szCs w:val="20"/>
        </w:rPr>
        <w:t>UREDBA o organizaciji decentralizovanog upravljanja Instrumentom za pr</w:t>
      </w:r>
      <w:r>
        <w:rPr>
          <w:rFonts w:cs="Arial"/>
          <w:szCs w:val="20"/>
        </w:rPr>
        <w:t>etpristupnu</w:t>
      </w:r>
      <w:r w:rsidRPr="009B5562">
        <w:rPr>
          <w:rFonts w:cs="Arial"/>
          <w:szCs w:val="20"/>
        </w:rPr>
        <w:t xml:space="preserve"> </w:t>
      </w:r>
      <w:r>
        <w:rPr>
          <w:rFonts w:cs="Arial"/>
          <w:szCs w:val="20"/>
        </w:rPr>
        <w:t>podršku</w:t>
      </w:r>
      <w:r w:rsidRPr="009B5562">
        <w:rPr>
          <w:rFonts w:cs="Arial"/>
          <w:szCs w:val="20"/>
        </w:rPr>
        <w:t xml:space="preserve"> EU (IPA) (Službeni </w:t>
      </w:r>
      <w:r>
        <w:rPr>
          <w:rFonts w:cs="Arial"/>
          <w:szCs w:val="20"/>
        </w:rPr>
        <w:t>list</w:t>
      </w:r>
      <w:r w:rsidRPr="009B5562">
        <w:rPr>
          <w:rFonts w:cs="Arial"/>
          <w:szCs w:val="20"/>
        </w:rPr>
        <w:t xml:space="preserve"> Crne Gore, br. 33/11 od 08/07/2011, 5/2014 od 29/01/2014 i 33/18 od 14/05/2018)</w:t>
      </w:r>
    </w:p>
    <w:p w14:paraId="653B64BB" w14:textId="77777777" w:rsidR="00091B36" w:rsidRPr="009B5562" w:rsidRDefault="00091B36" w:rsidP="00D15218">
      <w:pPr>
        <w:pStyle w:val="ListParagraph"/>
        <w:numPr>
          <w:ilvl w:val="0"/>
          <w:numId w:val="65"/>
        </w:numPr>
        <w:spacing w:before="120"/>
        <w:rPr>
          <w:rFonts w:cs="Arial"/>
          <w:szCs w:val="20"/>
        </w:rPr>
      </w:pPr>
      <w:r w:rsidRPr="009B5562">
        <w:rPr>
          <w:rFonts w:cs="Arial"/>
          <w:szCs w:val="20"/>
        </w:rPr>
        <w:t xml:space="preserve">ODLUKA o </w:t>
      </w:r>
      <w:r>
        <w:rPr>
          <w:rFonts w:cs="Arial"/>
          <w:szCs w:val="20"/>
        </w:rPr>
        <w:t>imenovanju</w:t>
      </w:r>
      <w:r w:rsidRPr="009B5562">
        <w:rPr>
          <w:rFonts w:cs="Arial"/>
          <w:szCs w:val="20"/>
        </w:rPr>
        <w:t xml:space="preserve"> lica odgovor</w:t>
      </w:r>
      <w:r>
        <w:rPr>
          <w:rFonts w:cs="Arial"/>
          <w:szCs w:val="20"/>
        </w:rPr>
        <w:t>nih</w:t>
      </w:r>
      <w:r w:rsidRPr="009B5562">
        <w:rPr>
          <w:rFonts w:cs="Arial"/>
          <w:szCs w:val="20"/>
        </w:rPr>
        <w:t xml:space="preserve"> za </w:t>
      </w:r>
      <w:r>
        <w:rPr>
          <w:rFonts w:cs="Arial"/>
          <w:szCs w:val="20"/>
        </w:rPr>
        <w:t>vršenje</w:t>
      </w:r>
      <w:r w:rsidRPr="009B5562">
        <w:rPr>
          <w:rFonts w:cs="Arial"/>
          <w:szCs w:val="20"/>
        </w:rPr>
        <w:t xml:space="preserve"> decentralizovanog upravljanja pre</w:t>
      </w:r>
      <w:r>
        <w:rPr>
          <w:rFonts w:cs="Arial"/>
          <w:szCs w:val="20"/>
        </w:rPr>
        <w:t>tpristupnim</w:t>
      </w:r>
      <w:r w:rsidRPr="009B5562">
        <w:rPr>
          <w:rFonts w:cs="Arial"/>
          <w:szCs w:val="20"/>
        </w:rPr>
        <w:t xml:space="preserve"> </w:t>
      </w:r>
      <w:r>
        <w:rPr>
          <w:rFonts w:cs="Arial"/>
          <w:szCs w:val="20"/>
        </w:rPr>
        <w:t>fondovima</w:t>
      </w:r>
      <w:r w:rsidRPr="009B5562">
        <w:rPr>
          <w:rFonts w:cs="Arial"/>
          <w:szCs w:val="20"/>
        </w:rPr>
        <w:t xml:space="preserve"> Evropske unije (Službeni </w:t>
      </w:r>
      <w:r>
        <w:rPr>
          <w:rFonts w:cs="Arial"/>
          <w:szCs w:val="20"/>
        </w:rPr>
        <w:t>list</w:t>
      </w:r>
      <w:r w:rsidRPr="009B5562">
        <w:rPr>
          <w:rFonts w:cs="Arial"/>
          <w:szCs w:val="20"/>
        </w:rPr>
        <w:t xml:space="preserve"> Crne Gore, br. 50/11 od 21/10/2011, 27/12 od 31/05/2012, 57/12 od 16/11/2012 i 25/13 od 04/06/2013)</w:t>
      </w:r>
    </w:p>
    <w:p w14:paraId="32945557" w14:textId="77777777" w:rsidR="00091B36" w:rsidRPr="009B5562" w:rsidRDefault="00091B36" w:rsidP="00D15218">
      <w:pPr>
        <w:pStyle w:val="ListParagraph"/>
        <w:numPr>
          <w:ilvl w:val="0"/>
          <w:numId w:val="65"/>
        </w:numPr>
        <w:spacing w:before="120"/>
        <w:rPr>
          <w:rFonts w:cs="Arial"/>
          <w:szCs w:val="20"/>
        </w:rPr>
      </w:pPr>
      <w:r w:rsidRPr="009B5562">
        <w:rPr>
          <w:rFonts w:cs="Arial"/>
          <w:szCs w:val="20"/>
        </w:rPr>
        <w:t xml:space="preserve">Zakon o reviziji sredstava </w:t>
      </w:r>
      <w:r>
        <w:rPr>
          <w:rFonts w:cs="Arial"/>
          <w:szCs w:val="20"/>
        </w:rPr>
        <w:t xml:space="preserve">iz fondova </w:t>
      </w:r>
      <w:r w:rsidRPr="009B5562">
        <w:rPr>
          <w:rFonts w:cs="Arial"/>
          <w:szCs w:val="20"/>
        </w:rPr>
        <w:t>E</w:t>
      </w:r>
      <w:r>
        <w:rPr>
          <w:rFonts w:cs="Arial"/>
          <w:szCs w:val="20"/>
        </w:rPr>
        <w:t>vropske Unije</w:t>
      </w:r>
      <w:r w:rsidRPr="009B5562">
        <w:rPr>
          <w:rFonts w:cs="Arial"/>
          <w:szCs w:val="20"/>
        </w:rPr>
        <w:t xml:space="preserve"> (Službeni </w:t>
      </w:r>
      <w:r>
        <w:rPr>
          <w:rFonts w:cs="Arial"/>
          <w:szCs w:val="20"/>
        </w:rPr>
        <w:t>list</w:t>
      </w:r>
      <w:r w:rsidRPr="009B5562">
        <w:rPr>
          <w:rFonts w:cs="Arial"/>
          <w:szCs w:val="20"/>
        </w:rPr>
        <w:t xml:space="preserve"> Crne Gore, br. 14/12 od 07/03/2012, 54/16 od 15/08/2016, 37/17 od 14/06/2017 i 70/17 od 27/10/2017)</w:t>
      </w:r>
    </w:p>
    <w:p w14:paraId="7F9ACAA9" w14:textId="77777777" w:rsidR="00091B36" w:rsidRDefault="00091B36" w:rsidP="00091B36">
      <w:pPr>
        <w:pStyle w:val="Heading3"/>
        <w:numPr>
          <w:ilvl w:val="0"/>
          <w:numId w:val="0"/>
        </w:numPr>
        <w:ind w:left="720" w:hanging="720"/>
      </w:pPr>
      <w:r w:rsidRPr="00FC0E29">
        <w:t>IPA II</w:t>
      </w:r>
    </w:p>
    <w:p w14:paraId="705DB059" w14:textId="77777777" w:rsidR="00091B36" w:rsidRDefault="00091B36" w:rsidP="00D15218">
      <w:pPr>
        <w:pStyle w:val="ListParagraph"/>
        <w:numPr>
          <w:ilvl w:val="0"/>
          <w:numId w:val="66"/>
        </w:numPr>
        <w:spacing w:before="120"/>
        <w:rPr>
          <w:rFonts w:cs="Arial"/>
          <w:szCs w:val="20"/>
        </w:rPr>
      </w:pPr>
      <w:r w:rsidRPr="00CA3781">
        <w:rPr>
          <w:rFonts w:cs="Arial"/>
          <w:szCs w:val="20"/>
        </w:rPr>
        <w:t>UREDBA o organizaciji indirektnog upravljanja sprovođenj</w:t>
      </w:r>
      <w:r>
        <w:rPr>
          <w:rFonts w:cs="Arial"/>
          <w:szCs w:val="20"/>
        </w:rPr>
        <w:t>a</w:t>
      </w:r>
      <w:r w:rsidRPr="00CA3781">
        <w:rPr>
          <w:rFonts w:cs="Arial"/>
          <w:szCs w:val="20"/>
        </w:rPr>
        <w:t xml:space="preserve"> finansijske </w:t>
      </w:r>
      <w:r>
        <w:rPr>
          <w:rFonts w:cs="Arial"/>
          <w:szCs w:val="20"/>
        </w:rPr>
        <w:t>podrške u okviru</w:t>
      </w:r>
      <w:r w:rsidRPr="00CA3781">
        <w:rPr>
          <w:rFonts w:cs="Arial"/>
          <w:szCs w:val="20"/>
        </w:rPr>
        <w:t xml:space="preserve"> Instrument</w:t>
      </w:r>
      <w:r>
        <w:rPr>
          <w:rFonts w:cs="Arial"/>
          <w:szCs w:val="20"/>
        </w:rPr>
        <w:t xml:space="preserve">a </w:t>
      </w:r>
      <w:r w:rsidRPr="00CA3781">
        <w:rPr>
          <w:rFonts w:cs="Arial"/>
          <w:szCs w:val="20"/>
        </w:rPr>
        <w:t>p</w:t>
      </w:r>
      <w:r>
        <w:rPr>
          <w:rFonts w:cs="Arial"/>
          <w:szCs w:val="20"/>
        </w:rPr>
        <w:t>retpristupne podrške Evropske Unije</w:t>
      </w:r>
      <w:r w:rsidRPr="00CA3781">
        <w:rPr>
          <w:rFonts w:cs="Arial"/>
          <w:szCs w:val="20"/>
        </w:rPr>
        <w:t xml:space="preserve"> (IPA II) (Službeni </w:t>
      </w:r>
      <w:r>
        <w:rPr>
          <w:rFonts w:cs="Arial"/>
          <w:szCs w:val="20"/>
        </w:rPr>
        <w:t>list</w:t>
      </w:r>
      <w:r w:rsidRPr="00CA3781">
        <w:rPr>
          <w:rFonts w:cs="Arial"/>
          <w:szCs w:val="20"/>
        </w:rPr>
        <w:t xml:space="preserve"> Crne Gore, br. 050/15 od 08/09/2015, 039/16 od 29/06/2016 i 033/18 od 14/05/2018)</w:t>
      </w:r>
    </w:p>
    <w:p w14:paraId="55434961" w14:textId="77777777" w:rsidR="00091B36" w:rsidRDefault="00091B36" w:rsidP="00D15218">
      <w:pPr>
        <w:pStyle w:val="ListParagraph"/>
        <w:numPr>
          <w:ilvl w:val="0"/>
          <w:numId w:val="66"/>
        </w:numPr>
        <w:spacing w:before="120"/>
        <w:rPr>
          <w:rFonts w:cs="Arial"/>
          <w:szCs w:val="20"/>
        </w:rPr>
      </w:pPr>
      <w:r w:rsidRPr="00CA3781">
        <w:rPr>
          <w:rFonts w:cs="Arial"/>
          <w:szCs w:val="20"/>
        </w:rPr>
        <w:t xml:space="preserve">ODLUKA o </w:t>
      </w:r>
      <w:r>
        <w:rPr>
          <w:rFonts w:cs="Arial"/>
          <w:szCs w:val="20"/>
        </w:rPr>
        <w:t>imenovanju</w:t>
      </w:r>
      <w:r w:rsidRPr="00CA3781">
        <w:rPr>
          <w:rFonts w:cs="Arial"/>
          <w:szCs w:val="20"/>
        </w:rPr>
        <w:t xml:space="preserve"> lica u</w:t>
      </w:r>
      <w:r>
        <w:rPr>
          <w:rFonts w:cs="Arial"/>
          <w:szCs w:val="20"/>
        </w:rPr>
        <w:t xml:space="preserve"> okviru </w:t>
      </w:r>
      <w:r w:rsidRPr="00CA3781">
        <w:rPr>
          <w:rFonts w:cs="Arial"/>
          <w:szCs w:val="20"/>
        </w:rPr>
        <w:t>akreditovanih IPA struktura odgovorn</w:t>
      </w:r>
      <w:r>
        <w:rPr>
          <w:rFonts w:cs="Arial"/>
          <w:szCs w:val="20"/>
        </w:rPr>
        <w:t>ih</w:t>
      </w:r>
      <w:r w:rsidRPr="00CA3781">
        <w:rPr>
          <w:rFonts w:cs="Arial"/>
          <w:szCs w:val="20"/>
        </w:rPr>
        <w:t xml:space="preserve"> za </w:t>
      </w:r>
      <w:r>
        <w:rPr>
          <w:rFonts w:cs="Arial"/>
          <w:szCs w:val="20"/>
        </w:rPr>
        <w:t xml:space="preserve">vršenje indirektnog </w:t>
      </w:r>
      <w:r w:rsidRPr="00CA3781">
        <w:rPr>
          <w:rFonts w:cs="Arial"/>
          <w:szCs w:val="20"/>
        </w:rPr>
        <w:t>upravljanja pre</w:t>
      </w:r>
      <w:r>
        <w:rPr>
          <w:rFonts w:cs="Arial"/>
          <w:szCs w:val="20"/>
        </w:rPr>
        <w:t>tpristupnim</w:t>
      </w:r>
      <w:r w:rsidRPr="00CA3781">
        <w:rPr>
          <w:rFonts w:cs="Arial"/>
          <w:szCs w:val="20"/>
        </w:rPr>
        <w:t xml:space="preserve"> </w:t>
      </w:r>
      <w:r>
        <w:rPr>
          <w:rFonts w:cs="Arial"/>
          <w:szCs w:val="20"/>
        </w:rPr>
        <w:t>fondovima</w:t>
      </w:r>
      <w:r w:rsidRPr="00CA3781">
        <w:rPr>
          <w:rFonts w:cs="Arial"/>
          <w:szCs w:val="20"/>
        </w:rPr>
        <w:t xml:space="preserve"> Evropske unije (usvojena na sjednici Vlade 04/04/2024, </w:t>
      </w:r>
      <w:r>
        <w:rPr>
          <w:rFonts w:cs="Arial"/>
          <w:szCs w:val="20"/>
        </w:rPr>
        <w:t>Zključci vlade</w:t>
      </w:r>
      <w:r w:rsidRPr="00CA3781">
        <w:rPr>
          <w:rFonts w:cs="Arial"/>
          <w:szCs w:val="20"/>
        </w:rPr>
        <w:t xml:space="preserve"> od 16/04/2024)</w:t>
      </w:r>
    </w:p>
    <w:p w14:paraId="1163029B" w14:textId="77777777" w:rsidR="00091B36" w:rsidRDefault="00091B36" w:rsidP="00D15218">
      <w:pPr>
        <w:pStyle w:val="ListParagraph"/>
        <w:numPr>
          <w:ilvl w:val="0"/>
          <w:numId w:val="66"/>
        </w:numPr>
        <w:spacing w:before="120"/>
        <w:rPr>
          <w:rFonts w:cs="Arial"/>
          <w:szCs w:val="20"/>
        </w:rPr>
      </w:pPr>
      <w:r w:rsidRPr="00CA3781">
        <w:rPr>
          <w:rFonts w:cs="Arial"/>
          <w:szCs w:val="20"/>
        </w:rPr>
        <w:t>Zakon o reviziji sredstava</w:t>
      </w:r>
      <w:r>
        <w:rPr>
          <w:rFonts w:cs="Arial"/>
          <w:szCs w:val="20"/>
        </w:rPr>
        <w:t xml:space="preserve"> iz fondova</w:t>
      </w:r>
      <w:r w:rsidRPr="00CA3781">
        <w:rPr>
          <w:rFonts w:cs="Arial"/>
          <w:szCs w:val="20"/>
        </w:rPr>
        <w:t xml:space="preserve"> E</w:t>
      </w:r>
      <w:r>
        <w:rPr>
          <w:rFonts w:cs="Arial"/>
          <w:szCs w:val="20"/>
        </w:rPr>
        <w:t xml:space="preserve">vropske </w:t>
      </w:r>
      <w:r w:rsidRPr="00CA3781">
        <w:rPr>
          <w:rFonts w:cs="Arial"/>
          <w:szCs w:val="20"/>
        </w:rPr>
        <w:t>U</w:t>
      </w:r>
      <w:r>
        <w:rPr>
          <w:rFonts w:cs="Arial"/>
          <w:szCs w:val="20"/>
        </w:rPr>
        <w:t>nije</w:t>
      </w:r>
      <w:r w:rsidRPr="00CA3781">
        <w:rPr>
          <w:rFonts w:cs="Arial"/>
          <w:szCs w:val="20"/>
        </w:rPr>
        <w:t xml:space="preserve"> (Službeni </w:t>
      </w:r>
      <w:r>
        <w:rPr>
          <w:rFonts w:cs="Arial"/>
          <w:szCs w:val="20"/>
        </w:rPr>
        <w:t>list</w:t>
      </w:r>
      <w:r w:rsidRPr="00CA3781">
        <w:rPr>
          <w:rFonts w:cs="Arial"/>
          <w:szCs w:val="20"/>
        </w:rPr>
        <w:t xml:space="preserve"> Crne Gore, br. 14/12 od 07/03/2012, 54/16 od 15/08/2016, 37/17 od 14/06/2017 i 70/17 od 27/10/2017)</w:t>
      </w:r>
    </w:p>
    <w:p w14:paraId="1E67AB29" w14:textId="77777777" w:rsidR="00091B36" w:rsidRPr="00CA3781" w:rsidRDefault="00091B36" w:rsidP="00D15218">
      <w:pPr>
        <w:pStyle w:val="ListParagraph"/>
        <w:numPr>
          <w:ilvl w:val="0"/>
          <w:numId w:val="66"/>
        </w:numPr>
        <w:spacing w:before="120"/>
        <w:rPr>
          <w:rFonts w:cs="Arial"/>
          <w:szCs w:val="20"/>
        </w:rPr>
      </w:pPr>
      <w:r w:rsidRPr="00CA3781">
        <w:rPr>
          <w:rFonts w:cs="Arial"/>
          <w:szCs w:val="20"/>
        </w:rPr>
        <w:t xml:space="preserve">UREDBA o uspostavljanju </w:t>
      </w:r>
      <w:r>
        <w:rPr>
          <w:rFonts w:cs="Arial"/>
          <w:szCs w:val="20"/>
        </w:rPr>
        <w:t>unutrašnje</w:t>
      </w:r>
      <w:r w:rsidRPr="00CA3781">
        <w:rPr>
          <w:rFonts w:cs="Arial"/>
          <w:szCs w:val="20"/>
        </w:rPr>
        <w:t xml:space="preserve"> revizije u javnom sektoru (Službeni </w:t>
      </w:r>
      <w:r>
        <w:rPr>
          <w:rFonts w:cs="Arial"/>
          <w:szCs w:val="20"/>
        </w:rPr>
        <w:t>list</w:t>
      </w:r>
      <w:r w:rsidRPr="00CA3781">
        <w:rPr>
          <w:rFonts w:cs="Arial"/>
          <w:szCs w:val="20"/>
        </w:rPr>
        <w:t xml:space="preserve"> Crne Gore, br. 134/2022 od 07/12/2022)</w:t>
      </w:r>
    </w:p>
    <w:p w14:paraId="0A1DF5E0" w14:textId="77777777" w:rsidR="00091B36" w:rsidRDefault="00091B36" w:rsidP="00091B36">
      <w:pPr>
        <w:pStyle w:val="Heading3"/>
        <w:numPr>
          <w:ilvl w:val="0"/>
          <w:numId w:val="0"/>
        </w:numPr>
        <w:ind w:left="720" w:hanging="720"/>
      </w:pPr>
      <w:r w:rsidRPr="00FC0E29">
        <w:t>IPA III</w:t>
      </w:r>
    </w:p>
    <w:p w14:paraId="3A6E4BC5" w14:textId="77777777" w:rsidR="00091B36" w:rsidRDefault="00091B36" w:rsidP="00D15218">
      <w:pPr>
        <w:pStyle w:val="ListParagraph"/>
        <w:numPr>
          <w:ilvl w:val="0"/>
          <w:numId w:val="67"/>
        </w:numPr>
        <w:spacing w:before="120"/>
        <w:rPr>
          <w:rFonts w:cs="Arial"/>
          <w:szCs w:val="20"/>
        </w:rPr>
      </w:pPr>
      <w:r w:rsidRPr="00AC5D33">
        <w:rPr>
          <w:rFonts w:cs="Arial"/>
          <w:szCs w:val="20"/>
        </w:rPr>
        <w:t xml:space="preserve">Zakon o budžetu i fiskalnoj odgovornosti (Službeni </w:t>
      </w:r>
      <w:r>
        <w:rPr>
          <w:rFonts w:cs="Arial"/>
          <w:szCs w:val="20"/>
        </w:rPr>
        <w:t>list</w:t>
      </w:r>
      <w:r w:rsidRPr="00AC5D33">
        <w:rPr>
          <w:rFonts w:cs="Arial"/>
          <w:szCs w:val="20"/>
        </w:rPr>
        <w:t xml:space="preserve"> Crne Gore, br. 27/23 od 08/03/2023)  </w:t>
      </w:r>
    </w:p>
    <w:p w14:paraId="345DA3A7" w14:textId="77777777" w:rsidR="00091B36" w:rsidRDefault="00091B36" w:rsidP="00D15218">
      <w:pPr>
        <w:pStyle w:val="ListParagraph"/>
        <w:numPr>
          <w:ilvl w:val="0"/>
          <w:numId w:val="67"/>
        </w:numPr>
        <w:spacing w:before="120"/>
        <w:rPr>
          <w:rFonts w:cs="Arial"/>
          <w:szCs w:val="20"/>
        </w:rPr>
      </w:pPr>
      <w:r w:rsidRPr="00AC5D33">
        <w:rPr>
          <w:rFonts w:cs="Arial"/>
          <w:szCs w:val="20"/>
        </w:rPr>
        <w:t>U</w:t>
      </w:r>
      <w:r>
        <w:rPr>
          <w:rFonts w:cs="Arial"/>
          <w:szCs w:val="20"/>
        </w:rPr>
        <w:t>REDBA</w:t>
      </w:r>
      <w:r w:rsidRPr="00AC5D33">
        <w:rPr>
          <w:rFonts w:cs="Arial"/>
          <w:szCs w:val="20"/>
        </w:rPr>
        <w:t xml:space="preserve"> o bližem načinu sprovođenja finansijske podrške Evropske unije kroz Instrument pretpristupne podrške (IPA III) (Službeni </w:t>
      </w:r>
      <w:r>
        <w:rPr>
          <w:rFonts w:cs="Arial"/>
          <w:szCs w:val="20"/>
        </w:rPr>
        <w:t>list</w:t>
      </w:r>
      <w:r w:rsidRPr="00AC5D33">
        <w:rPr>
          <w:rFonts w:cs="Arial"/>
          <w:szCs w:val="20"/>
        </w:rPr>
        <w:t xml:space="preserve"> Crne Gore, br. 77/23 od 28/07/2023)  </w:t>
      </w:r>
    </w:p>
    <w:p w14:paraId="075C0467" w14:textId="77777777" w:rsidR="00091B36" w:rsidRDefault="00091B36" w:rsidP="00D15218">
      <w:pPr>
        <w:pStyle w:val="ListParagraph"/>
        <w:numPr>
          <w:ilvl w:val="0"/>
          <w:numId w:val="67"/>
        </w:numPr>
        <w:spacing w:before="120"/>
        <w:rPr>
          <w:rFonts w:cs="Arial"/>
          <w:szCs w:val="20"/>
        </w:rPr>
      </w:pPr>
      <w:r w:rsidRPr="00AC5D33">
        <w:rPr>
          <w:rFonts w:cs="Arial"/>
          <w:szCs w:val="20"/>
        </w:rPr>
        <w:t xml:space="preserve">ODLUKA o </w:t>
      </w:r>
      <w:r>
        <w:rPr>
          <w:rFonts w:cs="Arial"/>
          <w:szCs w:val="20"/>
        </w:rPr>
        <w:t>imenovanju</w:t>
      </w:r>
      <w:r w:rsidRPr="00AC5D33">
        <w:rPr>
          <w:rFonts w:cs="Arial"/>
          <w:szCs w:val="20"/>
        </w:rPr>
        <w:t xml:space="preserve"> lica </w:t>
      </w:r>
      <w:r>
        <w:rPr>
          <w:rFonts w:cs="Arial"/>
          <w:szCs w:val="20"/>
        </w:rPr>
        <w:t>u okviru</w:t>
      </w:r>
      <w:r w:rsidRPr="00AC5D33">
        <w:rPr>
          <w:rFonts w:cs="Arial"/>
          <w:szCs w:val="20"/>
        </w:rPr>
        <w:t xml:space="preserve"> akreditovanih IPA struktura odgovorn</w:t>
      </w:r>
      <w:r>
        <w:rPr>
          <w:rFonts w:cs="Arial"/>
          <w:szCs w:val="20"/>
        </w:rPr>
        <w:t>ih</w:t>
      </w:r>
      <w:r w:rsidRPr="00AC5D33">
        <w:rPr>
          <w:rFonts w:cs="Arial"/>
          <w:szCs w:val="20"/>
        </w:rPr>
        <w:t xml:space="preserve"> za </w:t>
      </w:r>
      <w:r>
        <w:rPr>
          <w:rFonts w:cs="Arial"/>
          <w:szCs w:val="20"/>
        </w:rPr>
        <w:t xml:space="preserve">vršenje </w:t>
      </w:r>
      <w:r w:rsidRPr="00AC5D33">
        <w:rPr>
          <w:rFonts w:cs="Arial"/>
          <w:szCs w:val="20"/>
        </w:rPr>
        <w:t>indirektno</w:t>
      </w:r>
      <w:r>
        <w:rPr>
          <w:rFonts w:cs="Arial"/>
          <w:szCs w:val="20"/>
        </w:rPr>
        <w:t>g</w:t>
      </w:r>
      <w:r w:rsidRPr="00AC5D33">
        <w:rPr>
          <w:rFonts w:cs="Arial"/>
          <w:szCs w:val="20"/>
        </w:rPr>
        <w:t xml:space="preserve"> upravljanj</w:t>
      </w:r>
      <w:r>
        <w:rPr>
          <w:rFonts w:cs="Arial"/>
          <w:szCs w:val="20"/>
        </w:rPr>
        <w:t>a</w:t>
      </w:r>
      <w:r w:rsidRPr="00AC5D33">
        <w:rPr>
          <w:rFonts w:cs="Arial"/>
          <w:szCs w:val="20"/>
        </w:rPr>
        <w:t xml:space="preserve"> pre</w:t>
      </w:r>
      <w:r>
        <w:rPr>
          <w:rFonts w:cs="Arial"/>
          <w:szCs w:val="20"/>
        </w:rPr>
        <w:t>tpristupnim</w:t>
      </w:r>
      <w:r w:rsidRPr="00AC5D33">
        <w:rPr>
          <w:rFonts w:cs="Arial"/>
          <w:szCs w:val="20"/>
        </w:rPr>
        <w:t xml:space="preserve"> </w:t>
      </w:r>
      <w:r>
        <w:rPr>
          <w:rFonts w:cs="Arial"/>
          <w:szCs w:val="20"/>
        </w:rPr>
        <w:t>fondovima</w:t>
      </w:r>
      <w:r w:rsidRPr="00AC5D33">
        <w:rPr>
          <w:rFonts w:cs="Arial"/>
          <w:szCs w:val="20"/>
        </w:rPr>
        <w:t xml:space="preserve"> Evropske unije (usvojena na sjednici Vlade 04/04/2024, </w:t>
      </w:r>
      <w:r>
        <w:rPr>
          <w:rFonts w:cs="Arial"/>
          <w:szCs w:val="20"/>
        </w:rPr>
        <w:t>Zključci vlade</w:t>
      </w:r>
      <w:r w:rsidRPr="00AC5D33">
        <w:rPr>
          <w:rFonts w:cs="Arial"/>
          <w:szCs w:val="20"/>
        </w:rPr>
        <w:t xml:space="preserve"> od 16/04/2024)  </w:t>
      </w:r>
    </w:p>
    <w:p w14:paraId="7021A8E0" w14:textId="77777777" w:rsidR="00091B36" w:rsidRDefault="00091B36" w:rsidP="00D15218">
      <w:pPr>
        <w:pStyle w:val="ListParagraph"/>
        <w:numPr>
          <w:ilvl w:val="0"/>
          <w:numId w:val="67"/>
        </w:numPr>
        <w:spacing w:before="120"/>
        <w:rPr>
          <w:rFonts w:cs="Arial"/>
          <w:szCs w:val="20"/>
        </w:rPr>
      </w:pPr>
      <w:r w:rsidRPr="00AC5D33">
        <w:rPr>
          <w:rFonts w:cs="Arial"/>
          <w:szCs w:val="20"/>
        </w:rPr>
        <w:t>Zakon o reviziji sredstava</w:t>
      </w:r>
      <w:r>
        <w:rPr>
          <w:rFonts w:cs="Arial"/>
          <w:szCs w:val="20"/>
        </w:rPr>
        <w:t xml:space="preserve"> iz fondova</w:t>
      </w:r>
      <w:r w:rsidRPr="00AC5D33">
        <w:rPr>
          <w:rFonts w:cs="Arial"/>
          <w:szCs w:val="20"/>
        </w:rPr>
        <w:t xml:space="preserve"> E</w:t>
      </w:r>
      <w:r>
        <w:rPr>
          <w:rFonts w:cs="Arial"/>
          <w:szCs w:val="20"/>
        </w:rPr>
        <w:t xml:space="preserve">vropske </w:t>
      </w:r>
      <w:r w:rsidRPr="00AC5D33">
        <w:rPr>
          <w:rFonts w:cs="Arial"/>
          <w:szCs w:val="20"/>
        </w:rPr>
        <w:t>U</w:t>
      </w:r>
      <w:r>
        <w:rPr>
          <w:rFonts w:cs="Arial"/>
          <w:szCs w:val="20"/>
        </w:rPr>
        <w:t>nije</w:t>
      </w:r>
      <w:r w:rsidRPr="00AC5D33">
        <w:rPr>
          <w:rFonts w:cs="Arial"/>
          <w:szCs w:val="20"/>
        </w:rPr>
        <w:t xml:space="preserve"> (Službeni </w:t>
      </w:r>
      <w:r>
        <w:rPr>
          <w:rFonts w:cs="Arial"/>
          <w:szCs w:val="20"/>
        </w:rPr>
        <w:t>list</w:t>
      </w:r>
      <w:r w:rsidRPr="00AC5D33">
        <w:rPr>
          <w:rFonts w:cs="Arial"/>
          <w:szCs w:val="20"/>
        </w:rPr>
        <w:t xml:space="preserve"> Crne Gore, br. 14/12 od 07/03/2012, 54/16 od 15/08/2016, 37/17 od 14/06/2017 i 70/17 od 27/10/2017)  </w:t>
      </w:r>
    </w:p>
    <w:p w14:paraId="565881D3" w14:textId="77777777" w:rsidR="00091B36" w:rsidRPr="00AC5D33" w:rsidRDefault="00091B36" w:rsidP="00D15218">
      <w:pPr>
        <w:pStyle w:val="ListParagraph"/>
        <w:numPr>
          <w:ilvl w:val="0"/>
          <w:numId w:val="67"/>
        </w:numPr>
        <w:spacing w:before="120"/>
        <w:rPr>
          <w:rFonts w:cs="Arial"/>
          <w:szCs w:val="20"/>
        </w:rPr>
      </w:pPr>
      <w:r w:rsidRPr="00AC5D33">
        <w:rPr>
          <w:rFonts w:cs="Arial"/>
          <w:szCs w:val="20"/>
        </w:rPr>
        <w:t xml:space="preserve">UREDBA o uspostavljanju </w:t>
      </w:r>
      <w:r>
        <w:rPr>
          <w:rFonts w:cs="Arial"/>
          <w:szCs w:val="20"/>
        </w:rPr>
        <w:t>unutrašnje</w:t>
      </w:r>
      <w:r w:rsidRPr="00AC5D33">
        <w:rPr>
          <w:rFonts w:cs="Arial"/>
          <w:szCs w:val="20"/>
        </w:rPr>
        <w:t xml:space="preserve"> revizije u javnom sektoru (Službeni </w:t>
      </w:r>
      <w:r>
        <w:rPr>
          <w:rFonts w:cs="Arial"/>
          <w:szCs w:val="20"/>
        </w:rPr>
        <w:t>list</w:t>
      </w:r>
      <w:r w:rsidRPr="00AC5D33">
        <w:rPr>
          <w:rFonts w:cs="Arial"/>
          <w:szCs w:val="20"/>
        </w:rPr>
        <w:t xml:space="preserve"> Crne Gore, br. 134/2022 od 07/12/2022)  </w:t>
      </w:r>
    </w:p>
    <w:p w14:paraId="1C795D96" w14:textId="77777777" w:rsidR="00091B36" w:rsidRPr="00FC0E29" w:rsidRDefault="00091B36" w:rsidP="00091B36">
      <w:pPr>
        <w:pStyle w:val="Heading2"/>
        <w:numPr>
          <w:ilvl w:val="0"/>
          <w:numId w:val="0"/>
        </w:numPr>
        <w:ind w:left="576" w:hanging="576"/>
      </w:pPr>
      <w:r w:rsidRPr="00FC0E29">
        <w:lastRenderedPageBreak/>
        <w:t xml:space="preserve">I.2. </w:t>
      </w:r>
      <w:r w:rsidRPr="004C536D">
        <w:t xml:space="preserve">Operativni aranžmani između IPA </w:t>
      </w:r>
      <w:r>
        <w:t>tijela</w:t>
      </w:r>
      <w:r w:rsidRPr="004C536D">
        <w:t xml:space="preserve"> i struktura pod indirektnim upravljanjem Crne Gore (Operativni sporazumi, Implementacioni sporazumi, Protokoli)</w:t>
      </w:r>
    </w:p>
    <w:p w14:paraId="7708067A" w14:textId="77777777" w:rsidR="00091B36" w:rsidRDefault="00091B36" w:rsidP="00091B36">
      <w:pPr>
        <w:pStyle w:val="Heading3"/>
        <w:numPr>
          <w:ilvl w:val="0"/>
          <w:numId w:val="0"/>
        </w:numPr>
        <w:ind w:left="720" w:hanging="720"/>
      </w:pPr>
      <w:r w:rsidRPr="00FC0E29">
        <w:t>IPA I</w:t>
      </w:r>
    </w:p>
    <w:p w14:paraId="09ED5F00" w14:textId="77777777" w:rsidR="00091B36" w:rsidRPr="00EF46AF" w:rsidRDefault="00091B36" w:rsidP="00D15218">
      <w:pPr>
        <w:pStyle w:val="ListParagraph"/>
        <w:numPr>
          <w:ilvl w:val="0"/>
          <w:numId w:val="68"/>
        </w:numPr>
        <w:spacing w:before="120"/>
        <w:rPr>
          <w:rFonts w:cs="Arial"/>
          <w:b/>
          <w:szCs w:val="20"/>
        </w:rPr>
      </w:pPr>
      <w:r w:rsidRPr="00EF46AF">
        <w:rPr>
          <w:rFonts w:cs="Arial"/>
          <w:szCs w:val="20"/>
        </w:rPr>
        <w:t>Implementacioni sporazum između Nacionalnog službenika za ovjeravanje i Šefa operativne strukture za Operativni program za regionalni razvoj 2012-2013 finansiranog iz Instrumenta za pretpristupnu podršku (IPA), potpisan 29/02/2016</w:t>
      </w:r>
    </w:p>
    <w:p w14:paraId="72622D08" w14:textId="77777777" w:rsidR="00091B36" w:rsidRPr="00EF46AF" w:rsidRDefault="00091B36" w:rsidP="00D15218">
      <w:pPr>
        <w:pStyle w:val="ListParagraph"/>
        <w:numPr>
          <w:ilvl w:val="0"/>
          <w:numId w:val="68"/>
        </w:numPr>
        <w:spacing w:before="120"/>
        <w:rPr>
          <w:rFonts w:cs="Arial"/>
          <w:b/>
          <w:szCs w:val="20"/>
        </w:rPr>
      </w:pPr>
      <w:r w:rsidRPr="00EF46AF">
        <w:rPr>
          <w:rFonts w:cs="Arial"/>
          <w:szCs w:val="20"/>
        </w:rPr>
        <w:t>Implementacioni sporazum između Nacionalnog službenika za ovjeravanje i Šefa Operativne strukture za Operativni program za razvoj ljudskih resursa 2012-2013 finansiranog iz Instrumenta za pretpristupnu podršku (IPA), potpisan 29/02/2016</w:t>
      </w:r>
    </w:p>
    <w:p w14:paraId="3B66884A" w14:textId="77777777" w:rsidR="00091B36" w:rsidRPr="00EF46AF" w:rsidRDefault="00091B36" w:rsidP="00D15218">
      <w:pPr>
        <w:pStyle w:val="ListParagraph"/>
        <w:numPr>
          <w:ilvl w:val="0"/>
          <w:numId w:val="68"/>
        </w:numPr>
        <w:spacing w:before="120"/>
        <w:rPr>
          <w:rFonts w:cs="Arial"/>
          <w:b/>
          <w:szCs w:val="20"/>
        </w:rPr>
      </w:pPr>
      <w:r w:rsidRPr="00EF46AF">
        <w:rPr>
          <w:rFonts w:cs="Arial"/>
          <w:szCs w:val="20"/>
        </w:rPr>
        <w:t>Operativni sporazum između tijela Operativne strukture za IPA komponentu III za upravljanje i implementaciju Operativnog programa za regionalni razvoj za 2012-2013 finansiranog iz Instrumenta za pretpristupnu podršku (IPA), potpisan 29/02/2016</w:t>
      </w:r>
    </w:p>
    <w:p w14:paraId="67874670" w14:textId="77777777" w:rsidR="00091B36" w:rsidRPr="00EF46AF" w:rsidRDefault="00091B36" w:rsidP="00D15218">
      <w:pPr>
        <w:pStyle w:val="ListParagraph"/>
        <w:numPr>
          <w:ilvl w:val="0"/>
          <w:numId w:val="68"/>
        </w:numPr>
        <w:spacing w:before="120"/>
        <w:rPr>
          <w:rFonts w:cs="Arial"/>
          <w:b/>
          <w:szCs w:val="20"/>
        </w:rPr>
      </w:pPr>
      <w:r w:rsidRPr="00EF46AF">
        <w:rPr>
          <w:rFonts w:cs="Arial"/>
          <w:szCs w:val="20"/>
        </w:rPr>
        <w:t>Operativni sporazum između tijela Operativne strukture za IPA komponentu IV za upravljanje i implementaciju Operativnog programa za razvoj ljudskih resursa za 2012-2013 finansiranog iz Instrumenta za pretpristupnu podršku (IPA), potpisan 29/02/2016</w:t>
      </w:r>
    </w:p>
    <w:p w14:paraId="4BA6226F" w14:textId="77777777" w:rsidR="00091B36" w:rsidRPr="00FC0E29" w:rsidRDefault="00091B36" w:rsidP="00091B36">
      <w:pPr>
        <w:pStyle w:val="Heading3"/>
        <w:numPr>
          <w:ilvl w:val="0"/>
          <w:numId w:val="0"/>
        </w:numPr>
        <w:ind w:left="720" w:hanging="720"/>
      </w:pPr>
      <w:r w:rsidRPr="00FC0E29">
        <w:t>IPA II</w:t>
      </w:r>
    </w:p>
    <w:p w14:paraId="3F83DDCE" w14:textId="77777777" w:rsidR="00091B36" w:rsidRPr="00A00A41" w:rsidRDefault="00091B36" w:rsidP="00D15218">
      <w:pPr>
        <w:pStyle w:val="ListParagraph"/>
        <w:numPr>
          <w:ilvl w:val="0"/>
          <w:numId w:val="63"/>
        </w:numPr>
        <w:rPr>
          <w:rFonts w:cs="Arial"/>
          <w:bCs/>
          <w:szCs w:val="20"/>
        </w:rPr>
      </w:pPr>
      <w:r w:rsidRPr="00A00A41">
        <w:rPr>
          <w:rFonts w:cs="Arial"/>
          <w:bCs/>
          <w:szCs w:val="20"/>
        </w:rPr>
        <w:t>Sporazum o implementaciji između Nacionalnog</w:t>
      </w:r>
      <w:r>
        <w:rPr>
          <w:rFonts w:cs="Arial"/>
          <w:bCs/>
          <w:szCs w:val="20"/>
        </w:rPr>
        <w:t xml:space="preserve"> službenika za ovjeravanje</w:t>
      </w:r>
      <w:r w:rsidRPr="00A00A41">
        <w:rPr>
          <w:rFonts w:cs="Arial"/>
          <w:bCs/>
          <w:szCs w:val="20"/>
        </w:rPr>
        <w:t xml:space="preserve">, Nacionalnog IPA koordinatora i </w:t>
      </w:r>
      <w:r>
        <w:rPr>
          <w:rFonts w:cs="Arial"/>
          <w:bCs/>
          <w:szCs w:val="20"/>
        </w:rPr>
        <w:t>Š</w:t>
      </w:r>
      <w:r w:rsidRPr="00A00A41">
        <w:rPr>
          <w:rFonts w:cs="Arial"/>
          <w:bCs/>
          <w:szCs w:val="20"/>
        </w:rPr>
        <w:t xml:space="preserve">efova implementacionih agencija za godišnje </w:t>
      </w:r>
      <w:r>
        <w:rPr>
          <w:rFonts w:cs="Arial"/>
          <w:bCs/>
          <w:szCs w:val="20"/>
        </w:rPr>
        <w:t>A</w:t>
      </w:r>
      <w:r w:rsidRPr="00A00A41">
        <w:rPr>
          <w:rFonts w:cs="Arial"/>
          <w:bCs/>
          <w:szCs w:val="20"/>
        </w:rPr>
        <w:t>kcione programe zemlje (CAP) 2014, potpisan 17.03.2016.</w:t>
      </w:r>
    </w:p>
    <w:p w14:paraId="40E10DBD" w14:textId="77777777" w:rsidR="00091B36" w:rsidRPr="00FC0E29" w:rsidRDefault="00091B36" w:rsidP="00D15218">
      <w:pPr>
        <w:pStyle w:val="ListParagraph"/>
        <w:numPr>
          <w:ilvl w:val="0"/>
          <w:numId w:val="63"/>
        </w:numPr>
        <w:spacing w:after="0"/>
        <w:rPr>
          <w:rFonts w:cs="Arial"/>
          <w:bCs/>
          <w:szCs w:val="20"/>
        </w:rPr>
      </w:pPr>
      <w:r w:rsidRPr="00A00A41">
        <w:rPr>
          <w:rFonts w:cs="Arial"/>
          <w:bCs/>
          <w:szCs w:val="20"/>
        </w:rPr>
        <w:t xml:space="preserve">Sporazum o implementaciji između Nacionalnog službenika za ovjeravanje, Nacionalnog IPA koordinatora i </w:t>
      </w:r>
      <w:r>
        <w:rPr>
          <w:rFonts w:cs="Arial"/>
          <w:bCs/>
          <w:szCs w:val="20"/>
        </w:rPr>
        <w:t>Š</w:t>
      </w:r>
      <w:r w:rsidRPr="00A00A41">
        <w:rPr>
          <w:rFonts w:cs="Arial"/>
          <w:bCs/>
          <w:szCs w:val="20"/>
        </w:rPr>
        <w:t>efova implementacionih agencija za CAP 2014, CAP 2016 i CAP 2017, potpisan 30.01.2018.</w:t>
      </w:r>
    </w:p>
    <w:p w14:paraId="14D8E6B3" w14:textId="77777777" w:rsidR="00091B36" w:rsidRPr="00FC0E29" w:rsidRDefault="00091B36" w:rsidP="00D15218">
      <w:pPr>
        <w:pStyle w:val="ListParagraph"/>
        <w:numPr>
          <w:ilvl w:val="0"/>
          <w:numId w:val="63"/>
        </w:numPr>
        <w:spacing w:after="0"/>
        <w:rPr>
          <w:rFonts w:cs="Arial"/>
          <w:bCs/>
          <w:szCs w:val="20"/>
        </w:rPr>
      </w:pPr>
      <w:r w:rsidRPr="00A00A41">
        <w:rPr>
          <w:rFonts w:cs="Arial"/>
          <w:bCs/>
          <w:szCs w:val="20"/>
        </w:rPr>
        <w:t xml:space="preserve">Aneks 1 </w:t>
      </w:r>
      <w:r>
        <w:rPr>
          <w:rFonts w:cs="Arial"/>
          <w:bCs/>
          <w:szCs w:val="20"/>
        </w:rPr>
        <w:t>S</w:t>
      </w:r>
      <w:r w:rsidRPr="00A00A41">
        <w:rPr>
          <w:rFonts w:cs="Arial"/>
          <w:bCs/>
          <w:szCs w:val="20"/>
        </w:rPr>
        <w:t>porazum</w:t>
      </w:r>
      <w:r>
        <w:rPr>
          <w:rFonts w:cs="Arial"/>
          <w:bCs/>
          <w:szCs w:val="20"/>
        </w:rPr>
        <w:t>a</w:t>
      </w:r>
      <w:r w:rsidRPr="00A00A41">
        <w:rPr>
          <w:rFonts w:cs="Arial"/>
          <w:bCs/>
          <w:szCs w:val="20"/>
        </w:rPr>
        <w:t xml:space="preserve"> o implementaciji između Nacionalnog službenika za ovjeravanje, Nacionalnog IPA koordinatora i Šefova implementacionih agencija za CAP 2014, CAP 2016 i CAP 2017, potpisan 09.04.2019.</w:t>
      </w:r>
    </w:p>
    <w:p w14:paraId="60172F1A" w14:textId="77777777" w:rsidR="00091B36" w:rsidRPr="00212BA7" w:rsidRDefault="00091B36" w:rsidP="00D15218">
      <w:pPr>
        <w:pStyle w:val="ListParagraph"/>
        <w:numPr>
          <w:ilvl w:val="0"/>
          <w:numId w:val="63"/>
        </w:numPr>
        <w:rPr>
          <w:rFonts w:cs="Arial"/>
          <w:bCs/>
          <w:szCs w:val="20"/>
        </w:rPr>
      </w:pPr>
      <w:r w:rsidRPr="00212BA7">
        <w:rPr>
          <w:rFonts w:cs="Arial"/>
          <w:bCs/>
          <w:szCs w:val="20"/>
        </w:rPr>
        <w:t>Aneks 2 sporazuma o implementaciji između Nacionalnog službenika za ovjeravanje, Nacionalnog IPA koordinatora i Šefova implementacionih agencija za CAP 2014, CAP 2016 i CAP 2017, potpisan 30.05.2019.</w:t>
      </w:r>
    </w:p>
    <w:p w14:paraId="7476DC9F" w14:textId="77777777" w:rsidR="00091B36" w:rsidRPr="00FC0E29" w:rsidRDefault="00091B36" w:rsidP="00D15218">
      <w:pPr>
        <w:pStyle w:val="ListParagraph"/>
        <w:numPr>
          <w:ilvl w:val="0"/>
          <w:numId w:val="63"/>
        </w:numPr>
        <w:spacing w:after="0"/>
        <w:rPr>
          <w:rFonts w:cs="Arial"/>
          <w:bCs/>
          <w:szCs w:val="20"/>
        </w:rPr>
      </w:pPr>
      <w:r w:rsidRPr="00212BA7">
        <w:rPr>
          <w:rFonts w:cs="Arial"/>
          <w:bCs/>
          <w:szCs w:val="20"/>
        </w:rPr>
        <w:t xml:space="preserve">Sporazum o implementaciji između Nacionalnog službenika za ovjeravanje, Nacionalnog IPA koordinatora i Šefa operativne strukture za upravljanje i implementaciju operacija </w:t>
      </w:r>
      <w:r>
        <w:rPr>
          <w:rFonts w:cs="Arial"/>
          <w:bCs/>
          <w:szCs w:val="20"/>
        </w:rPr>
        <w:t>P</w:t>
      </w:r>
      <w:r w:rsidRPr="00212BA7">
        <w:rPr>
          <w:rFonts w:cs="Arial"/>
          <w:bCs/>
          <w:szCs w:val="20"/>
        </w:rPr>
        <w:t>rograma prekogranične saradnje (</w:t>
      </w:r>
      <w:r>
        <w:rPr>
          <w:rFonts w:cs="Arial"/>
          <w:bCs/>
          <w:szCs w:val="20"/>
        </w:rPr>
        <w:t>PGS</w:t>
      </w:r>
      <w:r w:rsidRPr="00212BA7">
        <w:rPr>
          <w:rFonts w:cs="Arial"/>
          <w:bCs/>
          <w:szCs w:val="20"/>
        </w:rPr>
        <w:t>) sa Albanijom i Kosovom</w:t>
      </w:r>
      <w:r w:rsidRPr="00FC0E29">
        <w:rPr>
          <w:rStyle w:val="FootnoteReference"/>
          <w:rFonts w:cs="Arial"/>
          <w:bCs/>
          <w:szCs w:val="20"/>
        </w:rPr>
        <w:footnoteReference w:id="260"/>
      </w:r>
      <w:r w:rsidRPr="00FC0E29">
        <w:rPr>
          <w:rFonts w:cs="Arial"/>
          <w:bCs/>
          <w:szCs w:val="20"/>
        </w:rPr>
        <w:t xml:space="preserve"> </w:t>
      </w:r>
      <w:r w:rsidRPr="00212BA7">
        <w:rPr>
          <w:rFonts w:cs="Arial"/>
          <w:bCs/>
          <w:szCs w:val="20"/>
        </w:rPr>
        <w:t xml:space="preserve"> pod Instrumentom za pretpristupnu po</w:t>
      </w:r>
      <w:r>
        <w:rPr>
          <w:rFonts w:cs="Arial"/>
          <w:bCs/>
          <w:szCs w:val="20"/>
        </w:rPr>
        <w:t>dršku</w:t>
      </w:r>
      <w:r w:rsidRPr="00212BA7">
        <w:rPr>
          <w:rFonts w:cs="Arial"/>
          <w:bCs/>
          <w:szCs w:val="20"/>
        </w:rPr>
        <w:t xml:space="preserve"> (IPA II), potpisan 18.03.2016.</w:t>
      </w:r>
      <w:r>
        <w:rPr>
          <w:rFonts w:cs="Arial"/>
          <w:bCs/>
          <w:szCs w:val="20"/>
        </w:rPr>
        <w:t xml:space="preserve"> </w:t>
      </w:r>
    </w:p>
    <w:p w14:paraId="0EFABA59" w14:textId="77777777" w:rsidR="00091B36" w:rsidRPr="00FC0E29" w:rsidRDefault="00091B36" w:rsidP="00D15218">
      <w:pPr>
        <w:pStyle w:val="ListParagraph"/>
        <w:numPr>
          <w:ilvl w:val="0"/>
          <w:numId w:val="63"/>
        </w:numPr>
        <w:spacing w:after="0"/>
        <w:rPr>
          <w:rFonts w:cs="Arial"/>
          <w:bCs/>
          <w:szCs w:val="20"/>
        </w:rPr>
      </w:pPr>
      <w:r w:rsidRPr="00212BA7">
        <w:rPr>
          <w:rFonts w:cs="Arial"/>
          <w:bCs/>
          <w:szCs w:val="20"/>
        </w:rPr>
        <w:t xml:space="preserve">Sporazum o implementaciji između Nacionalnog službenika za ovjeravanje, Nacionalnog IPA koordinatora i Šefa operativne strukture za upravljanje i implementaciju operacija </w:t>
      </w:r>
      <w:r>
        <w:rPr>
          <w:rFonts w:cs="Arial"/>
          <w:bCs/>
          <w:szCs w:val="20"/>
        </w:rPr>
        <w:t>P</w:t>
      </w:r>
      <w:r w:rsidRPr="00212BA7">
        <w:rPr>
          <w:rFonts w:cs="Arial"/>
          <w:bCs/>
          <w:szCs w:val="20"/>
        </w:rPr>
        <w:t>rograma prekogranične saradnje (</w:t>
      </w:r>
      <w:r>
        <w:rPr>
          <w:rFonts w:cs="Arial"/>
          <w:bCs/>
          <w:szCs w:val="20"/>
        </w:rPr>
        <w:t>PGS</w:t>
      </w:r>
      <w:r w:rsidRPr="00212BA7">
        <w:rPr>
          <w:rFonts w:cs="Arial"/>
          <w:bCs/>
          <w:szCs w:val="20"/>
        </w:rPr>
        <w:t>) sa Albanijom i Kosovom pod Instrumentom za pretpristupnu p</w:t>
      </w:r>
      <w:r>
        <w:rPr>
          <w:rFonts w:cs="Arial"/>
          <w:bCs/>
          <w:szCs w:val="20"/>
        </w:rPr>
        <w:t>odršku</w:t>
      </w:r>
      <w:r w:rsidRPr="00212BA7">
        <w:rPr>
          <w:rFonts w:cs="Arial"/>
          <w:bCs/>
          <w:szCs w:val="20"/>
        </w:rPr>
        <w:t xml:space="preserve"> (IPA II), potpisan 30.07.2018.</w:t>
      </w:r>
      <w:r>
        <w:rPr>
          <w:rFonts w:cs="Arial"/>
          <w:bCs/>
          <w:szCs w:val="20"/>
        </w:rPr>
        <w:t xml:space="preserve"> </w:t>
      </w:r>
    </w:p>
    <w:p w14:paraId="43CBA21A" w14:textId="77777777" w:rsidR="00091B36" w:rsidRPr="00FC0E29" w:rsidRDefault="00091B36" w:rsidP="00D15218">
      <w:pPr>
        <w:pStyle w:val="ListParagraph"/>
        <w:numPr>
          <w:ilvl w:val="0"/>
          <w:numId w:val="63"/>
        </w:numPr>
        <w:spacing w:after="0"/>
        <w:rPr>
          <w:rFonts w:cs="Arial"/>
          <w:bCs/>
          <w:szCs w:val="20"/>
        </w:rPr>
      </w:pPr>
      <w:r w:rsidRPr="00212BA7">
        <w:rPr>
          <w:rFonts w:cs="Arial"/>
          <w:bCs/>
          <w:szCs w:val="20"/>
        </w:rPr>
        <w:t xml:space="preserve">Operativni sporazum između Šefa kancelarije </w:t>
      </w:r>
      <w:r w:rsidRPr="006F7CE6">
        <w:rPr>
          <w:rFonts w:cs="Arial"/>
          <w:bCs/>
          <w:szCs w:val="20"/>
        </w:rPr>
        <w:t>NIPAK</w:t>
      </w:r>
      <w:r w:rsidRPr="00212BA7">
        <w:rPr>
          <w:rFonts w:cs="Arial"/>
          <w:bCs/>
          <w:szCs w:val="20"/>
        </w:rPr>
        <w:t>, Šefova implementacionih agencija i Vi</w:t>
      </w:r>
      <w:r>
        <w:rPr>
          <w:rFonts w:cs="Arial"/>
          <w:bCs/>
          <w:szCs w:val="20"/>
        </w:rPr>
        <w:t>sokih</w:t>
      </w:r>
      <w:r w:rsidRPr="00212BA7">
        <w:rPr>
          <w:rFonts w:cs="Arial"/>
          <w:bCs/>
          <w:szCs w:val="20"/>
        </w:rPr>
        <w:t xml:space="preserve"> programskih službenika za CAP 2014, potpisan 17.03.2016.</w:t>
      </w:r>
    </w:p>
    <w:p w14:paraId="76169B01" w14:textId="77777777" w:rsidR="00091B36" w:rsidRPr="00FC0E29" w:rsidRDefault="00091B36" w:rsidP="00D15218">
      <w:pPr>
        <w:pStyle w:val="ListParagraph"/>
        <w:numPr>
          <w:ilvl w:val="0"/>
          <w:numId w:val="63"/>
        </w:numPr>
        <w:spacing w:after="0"/>
        <w:rPr>
          <w:rFonts w:cs="Arial"/>
          <w:bCs/>
          <w:szCs w:val="20"/>
        </w:rPr>
      </w:pPr>
      <w:bookmarkStart w:id="227" w:name="_Hlk201764208"/>
      <w:r w:rsidRPr="00212BA7">
        <w:rPr>
          <w:rFonts w:cs="Arial"/>
          <w:bCs/>
          <w:szCs w:val="20"/>
        </w:rPr>
        <w:t xml:space="preserve">Operativni sporazum između Šefa kancelarije </w:t>
      </w:r>
      <w:r w:rsidRPr="006F7CE6">
        <w:rPr>
          <w:rFonts w:cs="Arial"/>
          <w:bCs/>
          <w:szCs w:val="20"/>
        </w:rPr>
        <w:t>NIPAK</w:t>
      </w:r>
      <w:r w:rsidRPr="00212BA7">
        <w:rPr>
          <w:rFonts w:cs="Arial"/>
          <w:bCs/>
          <w:szCs w:val="20"/>
        </w:rPr>
        <w:t>, Šefova implementacionih agencija i Visokih programskih službenika za CAP 2016, potpisan 31.01.2018.</w:t>
      </w:r>
      <w:bookmarkEnd w:id="227"/>
    </w:p>
    <w:p w14:paraId="5C457437" w14:textId="77777777" w:rsidR="00091B36" w:rsidRPr="00FC0E29" w:rsidRDefault="00091B36" w:rsidP="00D15218">
      <w:pPr>
        <w:pStyle w:val="ListParagraph"/>
        <w:numPr>
          <w:ilvl w:val="0"/>
          <w:numId w:val="63"/>
        </w:numPr>
        <w:spacing w:after="0"/>
        <w:rPr>
          <w:rFonts w:cs="Arial"/>
          <w:bCs/>
          <w:szCs w:val="20"/>
        </w:rPr>
      </w:pPr>
      <w:r w:rsidRPr="009C797C">
        <w:rPr>
          <w:rFonts w:cs="Arial"/>
          <w:bCs/>
          <w:szCs w:val="20"/>
        </w:rPr>
        <w:t xml:space="preserve">Operativni sporazum između Šefa kancelarije </w:t>
      </w:r>
      <w:r w:rsidRPr="006F7CE6">
        <w:rPr>
          <w:rFonts w:cs="Arial"/>
          <w:bCs/>
          <w:szCs w:val="20"/>
        </w:rPr>
        <w:t>NIPAK</w:t>
      </w:r>
      <w:r w:rsidRPr="009C797C">
        <w:rPr>
          <w:rFonts w:cs="Arial"/>
          <w:bCs/>
          <w:szCs w:val="20"/>
        </w:rPr>
        <w:t>, Šefova implementacionih agencija i Visokih programskih službenika za CAP 201</w:t>
      </w:r>
      <w:r>
        <w:rPr>
          <w:rFonts w:cs="Arial"/>
          <w:bCs/>
          <w:szCs w:val="20"/>
        </w:rPr>
        <w:t>7</w:t>
      </w:r>
      <w:r w:rsidRPr="009C797C">
        <w:rPr>
          <w:rFonts w:cs="Arial"/>
          <w:bCs/>
          <w:szCs w:val="20"/>
        </w:rPr>
        <w:t>, potpisan 31.01.2018.</w:t>
      </w:r>
      <w:r>
        <w:rPr>
          <w:rFonts w:cs="Arial"/>
          <w:bCs/>
          <w:szCs w:val="20"/>
        </w:rPr>
        <w:t xml:space="preserve"> </w:t>
      </w:r>
    </w:p>
    <w:p w14:paraId="6F884FBF" w14:textId="77777777" w:rsidR="00091B36" w:rsidRPr="00FC0E29" w:rsidRDefault="00091B36" w:rsidP="00D15218">
      <w:pPr>
        <w:pStyle w:val="ListParagraph"/>
        <w:numPr>
          <w:ilvl w:val="0"/>
          <w:numId w:val="63"/>
        </w:numPr>
        <w:spacing w:after="0"/>
        <w:rPr>
          <w:rFonts w:cs="Arial"/>
          <w:bCs/>
          <w:szCs w:val="20"/>
        </w:rPr>
      </w:pPr>
      <w:r w:rsidRPr="009C797C">
        <w:rPr>
          <w:rFonts w:cs="Arial"/>
          <w:bCs/>
          <w:szCs w:val="20"/>
        </w:rPr>
        <w:t xml:space="preserve">Operativni sporazum između Šefa kancelarije </w:t>
      </w:r>
      <w:r w:rsidRPr="006F7CE6">
        <w:rPr>
          <w:rFonts w:cs="Arial"/>
          <w:bCs/>
          <w:szCs w:val="20"/>
        </w:rPr>
        <w:t>NIPAK</w:t>
      </w:r>
      <w:r w:rsidRPr="009C797C">
        <w:rPr>
          <w:rFonts w:cs="Arial"/>
          <w:bCs/>
          <w:szCs w:val="20"/>
        </w:rPr>
        <w:t>, Šefova implementacionih agencija i Visokih programskih službenika za CAP 201</w:t>
      </w:r>
      <w:r>
        <w:rPr>
          <w:rFonts w:cs="Arial"/>
          <w:bCs/>
          <w:szCs w:val="20"/>
        </w:rPr>
        <w:t>8</w:t>
      </w:r>
      <w:r w:rsidRPr="009C797C">
        <w:rPr>
          <w:rFonts w:cs="Arial"/>
          <w:bCs/>
          <w:szCs w:val="20"/>
        </w:rPr>
        <w:t xml:space="preserve">, potpisan </w:t>
      </w:r>
      <w:r w:rsidRPr="00FC0E29">
        <w:rPr>
          <w:rFonts w:cs="Arial"/>
          <w:bCs/>
          <w:szCs w:val="20"/>
        </w:rPr>
        <w:t>18</w:t>
      </w:r>
      <w:r>
        <w:rPr>
          <w:rFonts w:cs="Arial"/>
          <w:bCs/>
          <w:szCs w:val="20"/>
        </w:rPr>
        <w:t>.</w:t>
      </w:r>
      <w:r w:rsidRPr="00FC0E29">
        <w:rPr>
          <w:rFonts w:cs="Arial"/>
          <w:bCs/>
          <w:szCs w:val="20"/>
        </w:rPr>
        <w:t>04</w:t>
      </w:r>
      <w:r>
        <w:rPr>
          <w:rFonts w:cs="Arial"/>
          <w:bCs/>
          <w:szCs w:val="20"/>
        </w:rPr>
        <w:t>.</w:t>
      </w:r>
      <w:r w:rsidRPr="00FC0E29">
        <w:rPr>
          <w:rFonts w:cs="Arial"/>
          <w:bCs/>
          <w:szCs w:val="20"/>
        </w:rPr>
        <w:t>2019</w:t>
      </w:r>
      <w:r>
        <w:rPr>
          <w:rFonts w:cs="Arial"/>
          <w:bCs/>
          <w:szCs w:val="20"/>
        </w:rPr>
        <w:t>.</w:t>
      </w:r>
    </w:p>
    <w:p w14:paraId="5B68568F" w14:textId="77777777" w:rsidR="00091B36" w:rsidRPr="00BF576F" w:rsidRDefault="00091B36" w:rsidP="00D15218">
      <w:pPr>
        <w:pStyle w:val="ListParagraph"/>
        <w:numPr>
          <w:ilvl w:val="0"/>
          <w:numId w:val="63"/>
        </w:numPr>
        <w:spacing w:after="0"/>
        <w:rPr>
          <w:rFonts w:cs="Arial"/>
          <w:bCs/>
          <w:szCs w:val="20"/>
        </w:rPr>
      </w:pPr>
      <w:r w:rsidRPr="009C797C">
        <w:rPr>
          <w:rFonts w:cs="Arial"/>
          <w:bCs/>
          <w:szCs w:val="20"/>
        </w:rPr>
        <w:t xml:space="preserve">Operativni </w:t>
      </w:r>
      <w:r w:rsidRPr="00BF576F">
        <w:rPr>
          <w:rFonts w:cs="Arial"/>
          <w:bCs/>
          <w:szCs w:val="20"/>
        </w:rPr>
        <w:t xml:space="preserve">sporazum između Šefa kancelarije </w:t>
      </w:r>
      <w:r w:rsidRPr="006F7CE6">
        <w:rPr>
          <w:rFonts w:cs="Arial"/>
          <w:bCs/>
          <w:szCs w:val="20"/>
        </w:rPr>
        <w:t>NIPAK</w:t>
      </w:r>
      <w:r w:rsidRPr="00BF576F">
        <w:rPr>
          <w:rFonts w:cs="Arial"/>
          <w:bCs/>
          <w:szCs w:val="20"/>
        </w:rPr>
        <w:t xml:space="preserve">, Šefova implementacionih agencija i Visokih programskih službenika za CAP 2020, potpisan 30.05.2019. </w:t>
      </w:r>
    </w:p>
    <w:p w14:paraId="4CCD95AC" w14:textId="77777777" w:rsidR="00091B36" w:rsidRPr="00BF576F" w:rsidRDefault="00091B36" w:rsidP="00D15218">
      <w:pPr>
        <w:pStyle w:val="ListParagraph"/>
        <w:numPr>
          <w:ilvl w:val="0"/>
          <w:numId w:val="63"/>
        </w:numPr>
        <w:spacing w:after="0"/>
        <w:rPr>
          <w:rFonts w:cs="Arial"/>
          <w:bCs/>
          <w:szCs w:val="20"/>
        </w:rPr>
      </w:pPr>
      <w:r w:rsidRPr="00BF576F">
        <w:rPr>
          <w:rFonts w:cs="Arial"/>
          <w:bCs/>
          <w:szCs w:val="20"/>
        </w:rPr>
        <w:lastRenderedPageBreak/>
        <w:t xml:space="preserve">Operativni sporazum između Šefa kancelarije </w:t>
      </w:r>
      <w:r w:rsidRPr="006F7CE6">
        <w:rPr>
          <w:rFonts w:cs="Arial"/>
          <w:bCs/>
          <w:szCs w:val="20"/>
        </w:rPr>
        <w:t>NIPAK</w:t>
      </w:r>
      <w:r w:rsidRPr="00BF576F">
        <w:rPr>
          <w:rFonts w:cs="Arial"/>
          <w:bCs/>
          <w:szCs w:val="20"/>
        </w:rPr>
        <w:t xml:space="preserve">, Šefova implementacionih agencija, Vodećeg visokog programskog službenika i Visokih programskih službenika za upravljanje i implementaciju akcija u vezi sa Višegodišnjim akcionim programom za Crnu Goru o zapošljavanju, obrazovanju i socijalnim politikama, potpisan 08.03.2016. </w:t>
      </w:r>
    </w:p>
    <w:p w14:paraId="05F3CCA4" w14:textId="77777777" w:rsidR="00091B36" w:rsidRPr="00FC0E29" w:rsidRDefault="00091B36" w:rsidP="00D15218">
      <w:pPr>
        <w:pStyle w:val="ListParagraph"/>
        <w:numPr>
          <w:ilvl w:val="0"/>
          <w:numId w:val="63"/>
        </w:numPr>
        <w:spacing w:after="0"/>
        <w:rPr>
          <w:rFonts w:cs="Arial"/>
          <w:bCs/>
          <w:szCs w:val="20"/>
        </w:rPr>
      </w:pPr>
      <w:r w:rsidRPr="009C797C">
        <w:rPr>
          <w:rFonts w:cs="Arial"/>
          <w:bCs/>
          <w:szCs w:val="20"/>
        </w:rPr>
        <w:t>Operativni sporazum između Šefa operativne strukture, Šefa tijela za prekograničnu saradnju (</w:t>
      </w:r>
      <w:r>
        <w:rPr>
          <w:rFonts w:cs="Arial"/>
          <w:bCs/>
          <w:szCs w:val="20"/>
        </w:rPr>
        <w:t>PGS</w:t>
      </w:r>
      <w:r w:rsidRPr="009C797C">
        <w:rPr>
          <w:rFonts w:cs="Arial"/>
          <w:bCs/>
          <w:szCs w:val="20"/>
        </w:rPr>
        <w:t>) i Šefa implementacione agencije za upravljanje i implementaciju operacija programa prekogranične saradnje (</w:t>
      </w:r>
      <w:r>
        <w:rPr>
          <w:rFonts w:cs="Arial"/>
          <w:bCs/>
          <w:szCs w:val="20"/>
        </w:rPr>
        <w:t>PGS</w:t>
      </w:r>
      <w:r w:rsidRPr="009C797C">
        <w:rPr>
          <w:rFonts w:cs="Arial"/>
          <w:bCs/>
          <w:szCs w:val="20"/>
        </w:rPr>
        <w:t>) sa Albanijom i Kosovom pod Instrumentom za pretpristupnu po</w:t>
      </w:r>
      <w:r>
        <w:rPr>
          <w:rFonts w:cs="Arial"/>
          <w:bCs/>
          <w:szCs w:val="20"/>
        </w:rPr>
        <w:t>dršku</w:t>
      </w:r>
      <w:r w:rsidRPr="009C797C">
        <w:rPr>
          <w:rFonts w:cs="Arial"/>
          <w:bCs/>
          <w:szCs w:val="20"/>
        </w:rPr>
        <w:t xml:space="preserve"> (IPA II), potpisan 18.03.2016.</w:t>
      </w:r>
      <w:r>
        <w:rPr>
          <w:rFonts w:cs="Arial"/>
          <w:bCs/>
          <w:szCs w:val="20"/>
        </w:rPr>
        <w:t xml:space="preserve"> </w:t>
      </w:r>
    </w:p>
    <w:p w14:paraId="74FE6B4B" w14:textId="77777777" w:rsidR="00091B36" w:rsidRPr="00FC0E29" w:rsidRDefault="00091B36" w:rsidP="00D15218">
      <w:pPr>
        <w:pStyle w:val="ListParagraph"/>
        <w:numPr>
          <w:ilvl w:val="0"/>
          <w:numId w:val="63"/>
        </w:numPr>
        <w:spacing w:after="0"/>
        <w:rPr>
          <w:rFonts w:cs="Arial"/>
          <w:bCs/>
          <w:szCs w:val="20"/>
        </w:rPr>
      </w:pPr>
      <w:r w:rsidRPr="00027934">
        <w:rPr>
          <w:rFonts w:cs="Arial"/>
          <w:bCs/>
          <w:szCs w:val="20"/>
        </w:rPr>
        <w:t>Operativni sporazum između Šefa operativne strukture, Šefa tijela za prekograničnu saradnju (</w:t>
      </w:r>
      <w:r>
        <w:rPr>
          <w:rFonts w:cs="Arial"/>
          <w:bCs/>
          <w:szCs w:val="20"/>
        </w:rPr>
        <w:t>PGS</w:t>
      </w:r>
      <w:r w:rsidRPr="00027934">
        <w:rPr>
          <w:rFonts w:cs="Arial"/>
          <w:bCs/>
          <w:szCs w:val="20"/>
        </w:rPr>
        <w:t>) i Šefa implementacione agencije za upravljanje i implementaciju operacija programa prekogranične saradnje (</w:t>
      </w:r>
      <w:r>
        <w:rPr>
          <w:rFonts w:cs="Arial"/>
          <w:bCs/>
          <w:szCs w:val="20"/>
        </w:rPr>
        <w:t>PGS</w:t>
      </w:r>
      <w:r w:rsidRPr="00027934">
        <w:rPr>
          <w:rFonts w:cs="Arial"/>
          <w:bCs/>
          <w:szCs w:val="20"/>
        </w:rPr>
        <w:t xml:space="preserve">) sa Albanijom i Kosovom pod Instrumentom za pretpristupnu podršku (IPA II), potpisan </w:t>
      </w:r>
      <w:r>
        <w:rPr>
          <w:rFonts w:cs="Arial"/>
          <w:bCs/>
          <w:szCs w:val="20"/>
        </w:rPr>
        <w:t xml:space="preserve">30.07.2018. </w:t>
      </w:r>
    </w:p>
    <w:p w14:paraId="5F671388" w14:textId="77777777" w:rsidR="00091B36" w:rsidRPr="00FC0E29" w:rsidRDefault="00091B36" w:rsidP="00D15218">
      <w:pPr>
        <w:pStyle w:val="ListParagraph"/>
        <w:numPr>
          <w:ilvl w:val="0"/>
          <w:numId w:val="63"/>
        </w:numPr>
        <w:spacing w:after="0"/>
        <w:rPr>
          <w:rFonts w:cs="Arial"/>
          <w:bCs/>
          <w:szCs w:val="20"/>
        </w:rPr>
      </w:pPr>
      <w:r w:rsidRPr="00027934">
        <w:rPr>
          <w:rFonts w:cs="Arial"/>
          <w:bCs/>
          <w:szCs w:val="20"/>
        </w:rPr>
        <w:t>Radni sporazumi između Implementacionih agencija, Jedinica za implementaciju projekata i institucija korisnika za specifične programe u indirektnom upravljanju, tj. specifičnih sektora/akcija</w:t>
      </w:r>
      <w:r w:rsidRPr="00FC0E29">
        <w:rPr>
          <w:rStyle w:val="FootnoteReference"/>
          <w:rFonts w:cs="Arial"/>
          <w:bCs/>
          <w:szCs w:val="20"/>
        </w:rPr>
        <w:footnoteReference w:id="261"/>
      </w:r>
      <w:r w:rsidRPr="00027934">
        <w:rPr>
          <w:rFonts w:cs="Arial"/>
          <w:bCs/>
          <w:szCs w:val="20"/>
        </w:rPr>
        <w:t>, potpisani tokom 2018., 2019. i 2020. godine.</w:t>
      </w:r>
      <w:r>
        <w:rPr>
          <w:rFonts w:cs="Arial"/>
          <w:bCs/>
          <w:szCs w:val="20"/>
        </w:rPr>
        <w:t xml:space="preserve"> </w:t>
      </w:r>
    </w:p>
    <w:p w14:paraId="106528D8" w14:textId="77777777" w:rsidR="00091B36" w:rsidRPr="00FC0E29" w:rsidRDefault="00091B36" w:rsidP="00D15218">
      <w:pPr>
        <w:pStyle w:val="ListParagraph"/>
        <w:numPr>
          <w:ilvl w:val="0"/>
          <w:numId w:val="63"/>
        </w:numPr>
        <w:spacing w:after="0"/>
        <w:rPr>
          <w:rFonts w:cs="Arial"/>
          <w:szCs w:val="20"/>
        </w:rPr>
      </w:pPr>
      <w:r w:rsidRPr="00027934">
        <w:rPr>
          <w:rFonts w:cs="Arial"/>
          <w:szCs w:val="20"/>
        </w:rPr>
        <w:t>Bilateralni sporazum između Crne Gore i Albanije o IPA II programu prekogranične saradnje Crna Gora-Albanija2014-2020, potpisan 01.11.2016.</w:t>
      </w:r>
      <w:r>
        <w:rPr>
          <w:rFonts w:cs="Arial"/>
          <w:szCs w:val="20"/>
        </w:rPr>
        <w:t xml:space="preserve"> </w:t>
      </w:r>
    </w:p>
    <w:p w14:paraId="13DC912E" w14:textId="77777777" w:rsidR="00091B36" w:rsidRPr="00027934" w:rsidRDefault="00091B36" w:rsidP="00D15218">
      <w:pPr>
        <w:pStyle w:val="ListParagraph"/>
        <w:numPr>
          <w:ilvl w:val="0"/>
          <w:numId w:val="63"/>
        </w:numPr>
        <w:spacing w:before="120" w:after="0"/>
        <w:rPr>
          <w:rFonts w:cs="Arial"/>
          <w:b/>
          <w:szCs w:val="20"/>
        </w:rPr>
      </w:pPr>
      <w:r w:rsidRPr="00027934">
        <w:rPr>
          <w:rFonts w:cs="Arial"/>
          <w:szCs w:val="20"/>
        </w:rPr>
        <w:t xml:space="preserve">Bilateralni sporazum između Crne Gore i Kosova o IPA II programu prekogranične saradnje Crna Gora-Kosovo2014-2020, potpisan 10.02.2017. </w:t>
      </w:r>
    </w:p>
    <w:p w14:paraId="0FBA59B8" w14:textId="77777777" w:rsidR="00091B36" w:rsidRDefault="00091B36" w:rsidP="00091B36">
      <w:pPr>
        <w:pStyle w:val="ListParagraph"/>
        <w:spacing w:before="120" w:after="0"/>
        <w:rPr>
          <w:rFonts w:cs="Arial"/>
          <w:b/>
          <w:szCs w:val="20"/>
        </w:rPr>
      </w:pPr>
    </w:p>
    <w:p w14:paraId="7B10B0AC" w14:textId="77777777" w:rsidR="00091B36" w:rsidRPr="00027934" w:rsidRDefault="00091B36" w:rsidP="00091B36">
      <w:pPr>
        <w:pStyle w:val="Heading3"/>
        <w:numPr>
          <w:ilvl w:val="0"/>
          <w:numId w:val="0"/>
        </w:numPr>
        <w:ind w:left="720" w:hanging="720"/>
      </w:pPr>
      <w:r w:rsidRPr="00027934">
        <w:t>IPA III</w:t>
      </w:r>
    </w:p>
    <w:p w14:paraId="4A56A59A" w14:textId="77777777" w:rsidR="00091B36" w:rsidRPr="00FC0E29" w:rsidRDefault="00091B36" w:rsidP="00D15218">
      <w:pPr>
        <w:pStyle w:val="ListParagraph"/>
        <w:numPr>
          <w:ilvl w:val="0"/>
          <w:numId w:val="63"/>
        </w:numPr>
        <w:spacing w:after="0"/>
        <w:rPr>
          <w:rFonts w:cs="Arial"/>
          <w:bCs/>
          <w:szCs w:val="20"/>
        </w:rPr>
      </w:pPr>
      <w:r>
        <w:rPr>
          <w:rFonts w:cs="Arial"/>
          <w:bCs/>
          <w:szCs w:val="20"/>
        </w:rPr>
        <w:t>S</w:t>
      </w:r>
      <w:r w:rsidRPr="008A6CC3">
        <w:rPr>
          <w:rFonts w:cs="Arial"/>
          <w:bCs/>
          <w:szCs w:val="20"/>
        </w:rPr>
        <w:t xml:space="preserve">porazum </w:t>
      </w:r>
      <w:r>
        <w:rPr>
          <w:rFonts w:cs="Arial"/>
          <w:bCs/>
          <w:szCs w:val="20"/>
        </w:rPr>
        <w:t xml:space="preserve">o implementaciji </w:t>
      </w:r>
      <w:r w:rsidRPr="008A6CC3">
        <w:rPr>
          <w:rFonts w:cs="Arial"/>
          <w:bCs/>
          <w:szCs w:val="20"/>
        </w:rPr>
        <w:t>između Nacionalnog službenika za ovjeravnje, Nacionalnog IPA koordinatora, Šefa upravljačkog tijela i Šefova posredničkih tijela za finansijsko upravljanje za AAP 2021, potpisan 01.04.2024.</w:t>
      </w:r>
    </w:p>
    <w:p w14:paraId="791BED2B" w14:textId="77777777" w:rsidR="00091B36" w:rsidRPr="00FC0E29" w:rsidRDefault="00091B36" w:rsidP="00D15218">
      <w:pPr>
        <w:pStyle w:val="ListParagraph"/>
        <w:numPr>
          <w:ilvl w:val="0"/>
          <w:numId w:val="63"/>
        </w:numPr>
        <w:spacing w:after="0"/>
        <w:rPr>
          <w:rFonts w:cs="Arial"/>
          <w:bCs/>
          <w:szCs w:val="20"/>
        </w:rPr>
      </w:pPr>
      <w:r w:rsidRPr="00FC0E29">
        <w:rPr>
          <w:rFonts w:cs="Arial"/>
          <w:bCs/>
          <w:szCs w:val="20"/>
        </w:rPr>
        <w:t xml:space="preserve">Annex 1 </w:t>
      </w:r>
      <w:r>
        <w:rPr>
          <w:rFonts w:cs="Arial"/>
          <w:bCs/>
          <w:szCs w:val="20"/>
        </w:rPr>
        <w:t>S</w:t>
      </w:r>
      <w:r w:rsidRPr="00A64510">
        <w:rPr>
          <w:rFonts w:cs="Arial"/>
          <w:bCs/>
          <w:szCs w:val="20"/>
        </w:rPr>
        <w:t>porazum</w:t>
      </w:r>
      <w:r>
        <w:rPr>
          <w:rFonts w:cs="Arial"/>
          <w:bCs/>
          <w:szCs w:val="20"/>
        </w:rPr>
        <w:t>a</w:t>
      </w:r>
      <w:r w:rsidRPr="00A64510">
        <w:rPr>
          <w:rFonts w:cs="Arial"/>
          <w:bCs/>
          <w:szCs w:val="20"/>
        </w:rPr>
        <w:t xml:space="preserve"> </w:t>
      </w:r>
      <w:r>
        <w:rPr>
          <w:rFonts w:cs="Arial"/>
          <w:bCs/>
          <w:szCs w:val="20"/>
        </w:rPr>
        <w:t xml:space="preserve">o implementaciji </w:t>
      </w:r>
      <w:r w:rsidRPr="00A64510">
        <w:rPr>
          <w:rFonts w:cs="Arial"/>
          <w:bCs/>
          <w:szCs w:val="20"/>
        </w:rPr>
        <w:t>između Nacionalnog službenika za ovjeravnje, Nacionalnog IPA koordinatora, Šefa upravljačkog tijela i Šefova posredničkih tijela za finansijsko upravljanje za AAP 2021, potpisan 01.04.2024.</w:t>
      </w:r>
      <w:r>
        <w:rPr>
          <w:rFonts w:cs="Arial"/>
          <w:bCs/>
          <w:szCs w:val="20"/>
        </w:rPr>
        <w:t xml:space="preserve"> </w:t>
      </w:r>
    </w:p>
    <w:p w14:paraId="3F667DDC" w14:textId="77777777" w:rsidR="00091B36" w:rsidRPr="00FC0E29" w:rsidRDefault="00091B36" w:rsidP="00D15218">
      <w:pPr>
        <w:pStyle w:val="ListParagraph"/>
        <w:numPr>
          <w:ilvl w:val="0"/>
          <w:numId w:val="63"/>
        </w:numPr>
        <w:spacing w:after="0"/>
        <w:rPr>
          <w:rFonts w:cs="Arial"/>
          <w:bCs/>
          <w:szCs w:val="20"/>
        </w:rPr>
      </w:pPr>
      <w:r>
        <w:rPr>
          <w:rFonts w:cs="Arial"/>
          <w:bCs/>
          <w:szCs w:val="20"/>
        </w:rPr>
        <w:t>S</w:t>
      </w:r>
      <w:r w:rsidRPr="00A64510">
        <w:rPr>
          <w:rFonts w:cs="Arial"/>
          <w:bCs/>
          <w:szCs w:val="20"/>
        </w:rPr>
        <w:t>porazum</w:t>
      </w:r>
      <w:r>
        <w:rPr>
          <w:rFonts w:cs="Arial"/>
          <w:bCs/>
          <w:szCs w:val="20"/>
        </w:rPr>
        <w:t xml:space="preserve"> o implementaciji</w:t>
      </w:r>
      <w:r w:rsidRPr="00A64510">
        <w:rPr>
          <w:rFonts w:cs="Arial"/>
          <w:bCs/>
          <w:szCs w:val="20"/>
        </w:rPr>
        <w:t xml:space="preserve"> između Nacionalnog službenika za ovjeravnje, Nacionalnog IPA koordinatora, Šefa upravljačkog tijela i Šefa posredničkog tijela za finansijsko upravljanje za upravljanje i implementaciju Operativnog programa 2024-2027 za sektor životne sredine i klimatskih promjena, finansiranog iz Instrumenta za pretpristupnu p</w:t>
      </w:r>
      <w:r>
        <w:rPr>
          <w:rFonts w:cs="Arial"/>
          <w:bCs/>
          <w:szCs w:val="20"/>
        </w:rPr>
        <w:t>odršku</w:t>
      </w:r>
      <w:r w:rsidRPr="00A64510">
        <w:rPr>
          <w:rFonts w:cs="Arial"/>
          <w:bCs/>
          <w:szCs w:val="20"/>
        </w:rPr>
        <w:t xml:space="preserve"> (IPA III), potpisan </w:t>
      </w:r>
      <w:r>
        <w:rPr>
          <w:rFonts w:cs="Arial"/>
          <w:bCs/>
          <w:szCs w:val="20"/>
        </w:rPr>
        <w:t xml:space="preserve">19.09.2024. </w:t>
      </w:r>
    </w:p>
    <w:p w14:paraId="59F748D9" w14:textId="77777777" w:rsidR="00091B36" w:rsidRPr="00FC0E29" w:rsidRDefault="00091B36" w:rsidP="00D15218">
      <w:pPr>
        <w:pStyle w:val="ListParagraph"/>
        <w:numPr>
          <w:ilvl w:val="0"/>
          <w:numId w:val="63"/>
        </w:numPr>
        <w:spacing w:after="0"/>
        <w:rPr>
          <w:rFonts w:cs="Arial"/>
          <w:bCs/>
          <w:szCs w:val="20"/>
        </w:rPr>
      </w:pPr>
      <w:r w:rsidRPr="00A64510">
        <w:rPr>
          <w:rFonts w:cs="Arial"/>
          <w:bCs/>
          <w:szCs w:val="20"/>
        </w:rPr>
        <w:t>Sporazum o implementaciji između Nacionalnog službenika za ovjeravnje, Nacionalnog IPA koordinatora, Šefa upravljačkog tijela i Šefova posredničkih tijela za finansijsko upravljanje za upravljanje i implementaciju Operativnog programa 2024-2027 za sektor zapošljavanja i socijalne inkluzije, finansiranog iz Instrumenta za pretpristupnu po</w:t>
      </w:r>
      <w:r>
        <w:rPr>
          <w:rFonts w:cs="Arial"/>
          <w:bCs/>
          <w:szCs w:val="20"/>
        </w:rPr>
        <w:t>dršku</w:t>
      </w:r>
      <w:r w:rsidRPr="00A64510">
        <w:rPr>
          <w:rFonts w:cs="Arial"/>
          <w:bCs/>
          <w:szCs w:val="20"/>
        </w:rPr>
        <w:t xml:space="preserve"> (IPA III), potpisan 01.11.2024.</w:t>
      </w:r>
      <w:r>
        <w:rPr>
          <w:rFonts w:cs="Arial"/>
          <w:bCs/>
          <w:szCs w:val="20"/>
        </w:rPr>
        <w:t xml:space="preserve"> </w:t>
      </w:r>
    </w:p>
    <w:p w14:paraId="7EB28432" w14:textId="77777777" w:rsidR="00091B36" w:rsidRPr="00FC0E29" w:rsidRDefault="00091B36" w:rsidP="00D15218">
      <w:pPr>
        <w:pStyle w:val="ListParagraph"/>
        <w:numPr>
          <w:ilvl w:val="0"/>
          <w:numId w:val="63"/>
        </w:numPr>
        <w:spacing w:after="0"/>
        <w:rPr>
          <w:rFonts w:cs="Arial"/>
          <w:bCs/>
          <w:szCs w:val="20"/>
        </w:rPr>
      </w:pPr>
      <w:r w:rsidRPr="00A64510">
        <w:rPr>
          <w:rFonts w:cs="Arial"/>
          <w:bCs/>
          <w:szCs w:val="20"/>
        </w:rPr>
        <w:t xml:space="preserve">Sporazum o implementaciji između Nacionalnog službenika za ovjeravnje, Nacionalnog IPA koordinatora, Šefa upravljačkog tijela </w:t>
      </w:r>
      <w:r>
        <w:rPr>
          <w:rFonts w:cs="Arial"/>
          <w:bCs/>
          <w:szCs w:val="20"/>
        </w:rPr>
        <w:t>za PGS</w:t>
      </w:r>
      <w:r w:rsidRPr="00A64510">
        <w:rPr>
          <w:rFonts w:cs="Arial"/>
          <w:bCs/>
          <w:szCs w:val="20"/>
        </w:rPr>
        <w:t xml:space="preserve"> i Šefa posredničkog tijela za finansijsko upravljanje za IPA III </w:t>
      </w:r>
      <w:r>
        <w:rPr>
          <w:rFonts w:cs="Arial"/>
          <w:bCs/>
          <w:szCs w:val="20"/>
        </w:rPr>
        <w:t>PGS</w:t>
      </w:r>
      <w:r w:rsidRPr="00A64510">
        <w:rPr>
          <w:rFonts w:cs="Arial"/>
          <w:bCs/>
          <w:szCs w:val="20"/>
        </w:rPr>
        <w:t xml:space="preserve"> programe Crna Gora-Kosovo 2021-2027 i Crna Gora-Albanija 2021-2027, potpisan 01.04.2024.</w:t>
      </w:r>
      <w:r>
        <w:rPr>
          <w:rFonts w:cs="Arial"/>
          <w:bCs/>
          <w:szCs w:val="20"/>
        </w:rPr>
        <w:t xml:space="preserve"> </w:t>
      </w:r>
    </w:p>
    <w:p w14:paraId="21866A6D" w14:textId="77777777" w:rsidR="00091B36" w:rsidRPr="00FC0E29" w:rsidRDefault="00091B36" w:rsidP="00D15218">
      <w:pPr>
        <w:pStyle w:val="ListParagraph"/>
        <w:numPr>
          <w:ilvl w:val="0"/>
          <w:numId w:val="63"/>
        </w:numPr>
        <w:spacing w:after="0"/>
        <w:rPr>
          <w:rFonts w:cs="Arial"/>
          <w:bCs/>
          <w:szCs w:val="20"/>
        </w:rPr>
      </w:pPr>
      <w:r w:rsidRPr="00A64510">
        <w:rPr>
          <w:rFonts w:cs="Arial"/>
          <w:bCs/>
          <w:szCs w:val="20"/>
        </w:rPr>
        <w:t>Operativni sporazum između Šefa upravljačkog tijela, Šefova posredničkih tijela za finansijsko upravljanje i Šefova posredničkih tijela za upravljanje politikama za AAP 2021, potpisan 01.04.2024.</w:t>
      </w:r>
      <w:r>
        <w:rPr>
          <w:rFonts w:cs="Arial"/>
          <w:bCs/>
          <w:szCs w:val="20"/>
        </w:rPr>
        <w:t xml:space="preserve"> </w:t>
      </w:r>
    </w:p>
    <w:p w14:paraId="3CAD9F9B" w14:textId="77777777" w:rsidR="00091B36" w:rsidRPr="00FC0E29" w:rsidRDefault="00091B36" w:rsidP="00D15218">
      <w:pPr>
        <w:pStyle w:val="ListParagraph"/>
        <w:numPr>
          <w:ilvl w:val="0"/>
          <w:numId w:val="63"/>
        </w:numPr>
        <w:spacing w:after="0"/>
        <w:rPr>
          <w:rFonts w:cs="Arial"/>
          <w:bCs/>
          <w:szCs w:val="20"/>
        </w:rPr>
      </w:pPr>
      <w:r w:rsidRPr="00A64510">
        <w:rPr>
          <w:rFonts w:cs="Arial"/>
          <w:bCs/>
          <w:szCs w:val="20"/>
        </w:rPr>
        <w:t xml:space="preserve">Operativni sporazum između Šefa upravljačkog tijela, Šefova posredničkih tijela za finansijsko upravljanje i Šefova posredničkih tijela za upravljanje politikama za AAP 2024 (koji će biti potpisan u II kvartalu 2025. godine, tj. čim bude donesena Odluka o </w:t>
      </w:r>
      <w:r>
        <w:rPr>
          <w:rFonts w:cs="Arial"/>
          <w:bCs/>
          <w:szCs w:val="20"/>
        </w:rPr>
        <w:t>imenovanju</w:t>
      </w:r>
      <w:r w:rsidRPr="00A64510">
        <w:rPr>
          <w:rFonts w:cs="Arial"/>
          <w:bCs/>
          <w:szCs w:val="20"/>
        </w:rPr>
        <w:t xml:space="preserve"> ključnih IPA aktera).</w:t>
      </w:r>
      <w:r>
        <w:rPr>
          <w:rFonts w:cs="Arial"/>
          <w:bCs/>
          <w:szCs w:val="20"/>
        </w:rPr>
        <w:t xml:space="preserve"> </w:t>
      </w:r>
    </w:p>
    <w:p w14:paraId="6BD0C623" w14:textId="77777777" w:rsidR="00091B36" w:rsidRPr="00A64510" w:rsidRDefault="00091B36" w:rsidP="00D15218">
      <w:pPr>
        <w:pStyle w:val="ListParagraph"/>
        <w:numPr>
          <w:ilvl w:val="0"/>
          <w:numId w:val="63"/>
        </w:numPr>
        <w:rPr>
          <w:rFonts w:cs="Arial"/>
          <w:bCs/>
          <w:szCs w:val="20"/>
        </w:rPr>
      </w:pPr>
      <w:r w:rsidRPr="00A64510">
        <w:rPr>
          <w:rFonts w:cs="Arial"/>
          <w:bCs/>
          <w:szCs w:val="20"/>
        </w:rPr>
        <w:t>Operativni sporazum između Šefa upravljačkog tijela i Šefa posredničkog tijela za finansijsko upravljanje (</w:t>
      </w:r>
      <w:r>
        <w:rPr>
          <w:rFonts w:cs="Arial"/>
          <w:bCs/>
          <w:szCs w:val="20"/>
        </w:rPr>
        <w:t>PTFU</w:t>
      </w:r>
      <w:r w:rsidRPr="00A64510">
        <w:rPr>
          <w:rFonts w:cs="Arial"/>
          <w:bCs/>
          <w:szCs w:val="20"/>
        </w:rPr>
        <w:t xml:space="preserve">) za upravljanje i implementaciju Operativnog programa 2024-2027 za sektor </w:t>
      </w:r>
      <w:r>
        <w:rPr>
          <w:rFonts w:cs="Arial"/>
          <w:bCs/>
          <w:szCs w:val="20"/>
        </w:rPr>
        <w:t>životne sredine</w:t>
      </w:r>
      <w:r w:rsidRPr="00A64510">
        <w:rPr>
          <w:rFonts w:cs="Arial"/>
          <w:bCs/>
          <w:szCs w:val="20"/>
        </w:rPr>
        <w:t xml:space="preserve"> i klimatskih promjena, finansiranog iz Instrumenta za pretpristupnu po</w:t>
      </w:r>
      <w:r>
        <w:rPr>
          <w:rFonts w:cs="Arial"/>
          <w:bCs/>
          <w:szCs w:val="20"/>
        </w:rPr>
        <w:t>dršku</w:t>
      </w:r>
      <w:r w:rsidRPr="00A64510">
        <w:rPr>
          <w:rFonts w:cs="Arial"/>
          <w:bCs/>
          <w:szCs w:val="20"/>
        </w:rPr>
        <w:t xml:space="preserve"> (IPA III), potpisan 19.09.2024.</w:t>
      </w:r>
      <w:r>
        <w:rPr>
          <w:rFonts w:cs="Arial"/>
          <w:bCs/>
          <w:szCs w:val="20"/>
        </w:rPr>
        <w:t xml:space="preserve"> </w:t>
      </w:r>
    </w:p>
    <w:p w14:paraId="434E1BD5" w14:textId="77777777" w:rsidR="00091B36" w:rsidRPr="00FC0E29" w:rsidRDefault="00091B36" w:rsidP="00D15218">
      <w:pPr>
        <w:pStyle w:val="ListParagraph"/>
        <w:numPr>
          <w:ilvl w:val="0"/>
          <w:numId w:val="63"/>
        </w:numPr>
        <w:spacing w:after="0"/>
        <w:rPr>
          <w:rFonts w:cs="Arial"/>
          <w:bCs/>
          <w:szCs w:val="20"/>
        </w:rPr>
      </w:pPr>
      <w:r w:rsidRPr="001F0C0C">
        <w:rPr>
          <w:rFonts w:cs="Arial"/>
          <w:bCs/>
          <w:szCs w:val="20"/>
        </w:rPr>
        <w:lastRenderedPageBreak/>
        <w:t>Operativni sporazum između Šefa upravljačkog tijela i Šefova posredničkih tijela za finansijsko upravljanje (</w:t>
      </w:r>
      <w:r>
        <w:rPr>
          <w:rFonts w:cs="Arial"/>
          <w:bCs/>
          <w:szCs w:val="20"/>
        </w:rPr>
        <w:t>PTFU</w:t>
      </w:r>
      <w:r w:rsidRPr="001F0C0C">
        <w:rPr>
          <w:rFonts w:cs="Arial"/>
          <w:bCs/>
          <w:szCs w:val="20"/>
        </w:rPr>
        <w:t>) za upravljanje i implementaciju Operativnog programa 2024-2027 za sektor zapošljavanja i socijalne inkluzije, finansiranog iz Instrumenta za pretpristupnu po</w:t>
      </w:r>
      <w:r>
        <w:rPr>
          <w:rFonts w:cs="Arial"/>
          <w:bCs/>
          <w:szCs w:val="20"/>
        </w:rPr>
        <w:t>dršku</w:t>
      </w:r>
      <w:r w:rsidRPr="001F0C0C">
        <w:rPr>
          <w:rFonts w:cs="Arial"/>
          <w:bCs/>
          <w:szCs w:val="20"/>
        </w:rPr>
        <w:t xml:space="preserve"> (IPA III), potpisan 01.11.2024.</w:t>
      </w:r>
    </w:p>
    <w:p w14:paraId="268EA29B" w14:textId="77777777" w:rsidR="00091B36" w:rsidRPr="00FC0E29" w:rsidRDefault="00091B36" w:rsidP="00D15218">
      <w:pPr>
        <w:pStyle w:val="ListParagraph"/>
        <w:numPr>
          <w:ilvl w:val="0"/>
          <w:numId w:val="63"/>
        </w:numPr>
        <w:spacing w:after="0"/>
        <w:rPr>
          <w:rFonts w:cs="Arial"/>
          <w:szCs w:val="20"/>
        </w:rPr>
      </w:pPr>
      <w:r w:rsidRPr="001F0C0C">
        <w:rPr>
          <w:rFonts w:cs="Arial"/>
          <w:szCs w:val="20"/>
        </w:rPr>
        <w:t>Bilateralni sporazum između Crne Gore i Republike Albanije o programu prekogranične saradnje IPA III 2020-2027 Crna Gora-Albanija, potpisan 04.09.2024.</w:t>
      </w:r>
      <w:r>
        <w:rPr>
          <w:rFonts w:cs="Arial"/>
          <w:szCs w:val="20"/>
        </w:rPr>
        <w:t xml:space="preserve"> </w:t>
      </w:r>
    </w:p>
    <w:p w14:paraId="4900E12F" w14:textId="77777777" w:rsidR="00091B36" w:rsidRPr="00FC0E29" w:rsidRDefault="00091B36" w:rsidP="00D15218">
      <w:pPr>
        <w:pStyle w:val="ListParagraph"/>
        <w:numPr>
          <w:ilvl w:val="0"/>
          <w:numId w:val="63"/>
        </w:numPr>
        <w:spacing w:after="0"/>
        <w:rPr>
          <w:rFonts w:cs="Arial"/>
          <w:bCs/>
          <w:szCs w:val="20"/>
        </w:rPr>
      </w:pPr>
      <w:r w:rsidRPr="001F0C0C">
        <w:rPr>
          <w:rFonts w:cs="Arial"/>
          <w:szCs w:val="20"/>
        </w:rPr>
        <w:t>Bilateralni sporazum između Crne Gore i Republike Kosovo o programu prekogranične saradnje IPA III 2020-2027 Crna Gora-Kosovo, potpisan 29.03.2024.</w:t>
      </w:r>
      <w:r>
        <w:rPr>
          <w:rFonts w:cs="Arial"/>
          <w:szCs w:val="20"/>
        </w:rPr>
        <w:t xml:space="preserve"> </w:t>
      </w:r>
    </w:p>
    <w:p w14:paraId="41CBAFDA" w14:textId="77777777" w:rsidR="00091B36" w:rsidRPr="00FC0E29" w:rsidRDefault="00091B36" w:rsidP="00091B36">
      <w:pPr>
        <w:pStyle w:val="ListParagraph"/>
        <w:spacing w:after="0"/>
        <w:rPr>
          <w:rFonts w:cs="Arial"/>
          <w:bCs/>
          <w:szCs w:val="20"/>
        </w:rPr>
      </w:pPr>
    </w:p>
    <w:p w14:paraId="3E2607A0" w14:textId="77777777" w:rsidR="00091B36" w:rsidRPr="00FC0E29" w:rsidRDefault="00091B36" w:rsidP="00091B36">
      <w:pPr>
        <w:pStyle w:val="Heading2"/>
        <w:numPr>
          <w:ilvl w:val="0"/>
          <w:numId w:val="0"/>
        </w:numPr>
        <w:ind w:left="576" w:hanging="576"/>
      </w:pPr>
      <w:r w:rsidRPr="00FC0E29">
        <w:t xml:space="preserve">I.3. </w:t>
      </w:r>
      <w:r>
        <w:t>Opis IPA tijela i struktura pod indirektnim upravljanjem od strane Crne Gore</w:t>
      </w:r>
    </w:p>
    <w:p w14:paraId="53FF5F43" w14:textId="77777777" w:rsidR="00091B36" w:rsidRPr="00FC0E29" w:rsidRDefault="00091B36" w:rsidP="00091B36">
      <w:pPr>
        <w:pStyle w:val="Heading3"/>
        <w:numPr>
          <w:ilvl w:val="0"/>
          <w:numId w:val="0"/>
        </w:numPr>
        <w:ind w:left="720" w:hanging="720"/>
      </w:pPr>
      <w:r w:rsidRPr="00FC0E29">
        <w:t>IPA I</w:t>
      </w:r>
    </w:p>
    <w:p w14:paraId="06F67AE4" w14:textId="77777777" w:rsidR="00091B36" w:rsidRPr="00EF46AF" w:rsidRDefault="00091B36" w:rsidP="00091B36">
      <w:r w:rsidRPr="00EF46AF">
        <w:t xml:space="preserve">Pod IPA I programima, pored Revizorskog </w:t>
      </w:r>
      <w:r>
        <w:t>tijela</w:t>
      </w:r>
      <w:r w:rsidRPr="00EF46AF">
        <w:t xml:space="preserve">, </w:t>
      </w:r>
      <w:r w:rsidRPr="006F7CE6">
        <w:t>NIPAK</w:t>
      </w:r>
      <w:r w:rsidRPr="00EF46AF">
        <w:t>/</w:t>
      </w:r>
      <w:r w:rsidRPr="006F7CE6">
        <w:t>NIPAK</w:t>
      </w:r>
      <w:r w:rsidRPr="00EF46AF">
        <w:t xml:space="preserve"> kancelarije, NAO/Nacionalnog fonda i </w:t>
      </w:r>
      <w:r>
        <w:t>I</w:t>
      </w:r>
      <w:r w:rsidRPr="00EF46AF">
        <w:t xml:space="preserve">nterne revizije u relevantnim </w:t>
      </w:r>
      <w:r>
        <w:t>resornim</w:t>
      </w:r>
      <w:r w:rsidRPr="00EF46AF">
        <w:t xml:space="preserve"> ministarstvima koja imaju IPA jedinice uključene u svaki program upravljan decentralizovanim upravljanjem, struktura za upravljanje Operativnim programima pod IPA I bila je sljedeća</w:t>
      </w:r>
      <w:r w:rsidRPr="00FC0E29">
        <w:rPr>
          <w:rStyle w:val="FootnoteReference"/>
          <w:rFonts w:cs="Arial"/>
          <w:szCs w:val="20"/>
        </w:rPr>
        <w:footnoteReference w:id="262"/>
      </w:r>
      <w:r w:rsidRPr="00EF46AF">
        <w:t>:</w:t>
      </w:r>
    </w:p>
    <w:p w14:paraId="38D51F5F" w14:textId="77777777" w:rsidR="00091B36" w:rsidRDefault="00091B36" w:rsidP="00D15218">
      <w:pPr>
        <w:pStyle w:val="Default"/>
        <w:numPr>
          <w:ilvl w:val="0"/>
          <w:numId w:val="69"/>
        </w:numPr>
        <w:spacing w:before="120"/>
        <w:rPr>
          <w:rFonts w:ascii="Arial" w:hAnsi="Arial" w:cs="Arial"/>
          <w:color w:val="auto"/>
          <w:sz w:val="20"/>
          <w:szCs w:val="20"/>
          <w:lang w:val="en-GB"/>
        </w:rPr>
      </w:pPr>
      <w:r w:rsidRPr="00EF46AF">
        <w:rPr>
          <w:rFonts w:ascii="Arial" w:hAnsi="Arial" w:cs="Arial"/>
          <w:color w:val="auto"/>
          <w:sz w:val="20"/>
          <w:szCs w:val="20"/>
          <w:lang w:val="en-GB"/>
        </w:rPr>
        <w:t xml:space="preserve">Tijela odgovorna za Operativne programe – relevantna </w:t>
      </w:r>
      <w:r>
        <w:rPr>
          <w:rFonts w:ascii="Arial" w:hAnsi="Arial" w:cs="Arial"/>
          <w:color w:val="auto"/>
          <w:sz w:val="20"/>
          <w:szCs w:val="20"/>
          <w:lang w:val="en-GB"/>
        </w:rPr>
        <w:t>resorna</w:t>
      </w:r>
      <w:r w:rsidRPr="00EF46AF">
        <w:rPr>
          <w:rFonts w:ascii="Arial" w:hAnsi="Arial" w:cs="Arial"/>
          <w:color w:val="auto"/>
          <w:sz w:val="20"/>
          <w:szCs w:val="20"/>
          <w:lang w:val="en-GB"/>
        </w:rPr>
        <w:t xml:space="preserve"> ministarstva odgovorna za područje podržano </w:t>
      </w:r>
      <w:r>
        <w:rPr>
          <w:rFonts w:ascii="Arial" w:hAnsi="Arial" w:cs="Arial"/>
          <w:color w:val="auto"/>
          <w:sz w:val="20"/>
          <w:szCs w:val="20"/>
          <w:lang w:val="en-GB"/>
        </w:rPr>
        <w:t>u okviru</w:t>
      </w:r>
      <w:r w:rsidRPr="00EF46AF">
        <w:rPr>
          <w:rFonts w:ascii="Arial" w:hAnsi="Arial" w:cs="Arial"/>
          <w:color w:val="auto"/>
          <w:sz w:val="20"/>
          <w:szCs w:val="20"/>
          <w:lang w:val="en-GB"/>
        </w:rPr>
        <w:t xml:space="preserve"> Operativn</w:t>
      </w:r>
      <w:r>
        <w:rPr>
          <w:rFonts w:ascii="Arial" w:hAnsi="Arial" w:cs="Arial"/>
          <w:color w:val="auto"/>
          <w:sz w:val="20"/>
          <w:szCs w:val="20"/>
          <w:lang w:val="en-GB"/>
        </w:rPr>
        <w:t>og</w:t>
      </w:r>
      <w:r w:rsidRPr="00EF46AF">
        <w:rPr>
          <w:rFonts w:ascii="Arial" w:hAnsi="Arial" w:cs="Arial"/>
          <w:color w:val="auto"/>
          <w:sz w:val="20"/>
          <w:szCs w:val="20"/>
          <w:lang w:val="en-GB"/>
        </w:rPr>
        <w:t xml:space="preserve"> program</w:t>
      </w:r>
      <w:r>
        <w:rPr>
          <w:rFonts w:ascii="Arial" w:hAnsi="Arial" w:cs="Arial"/>
          <w:color w:val="auto"/>
          <w:sz w:val="20"/>
          <w:szCs w:val="20"/>
          <w:lang w:val="en-GB"/>
        </w:rPr>
        <w:t>a</w:t>
      </w:r>
      <w:r w:rsidRPr="00EF46AF">
        <w:rPr>
          <w:rFonts w:ascii="Arial" w:hAnsi="Arial" w:cs="Arial"/>
          <w:color w:val="auto"/>
          <w:sz w:val="20"/>
          <w:szCs w:val="20"/>
          <w:lang w:val="en-GB"/>
        </w:rPr>
        <w:t xml:space="preserve">;  </w:t>
      </w:r>
    </w:p>
    <w:p w14:paraId="63214F3C" w14:textId="77777777" w:rsidR="00091B36" w:rsidRDefault="00091B36" w:rsidP="00D15218">
      <w:pPr>
        <w:pStyle w:val="Default"/>
        <w:numPr>
          <w:ilvl w:val="0"/>
          <w:numId w:val="69"/>
        </w:numPr>
        <w:spacing w:before="120"/>
        <w:rPr>
          <w:rFonts w:ascii="Arial" w:hAnsi="Arial" w:cs="Arial"/>
          <w:color w:val="auto"/>
          <w:sz w:val="20"/>
          <w:szCs w:val="20"/>
          <w:lang w:val="en-GB"/>
        </w:rPr>
      </w:pPr>
      <w:r w:rsidRPr="00700554">
        <w:rPr>
          <w:rFonts w:ascii="Arial" w:hAnsi="Arial" w:cs="Arial"/>
          <w:color w:val="auto"/>
          <w:sz w:val="20"/>
          <w:szCs w:val="20"/>
          <w:lang w:val="en-GB"/>
        </w:rPr>
        <w:t xml:space="preserve">Tijela odgovorna za prioritete/mjere – relevantna </w:t>
      </w:r>
      <w:r>
        <w:rPr>
          <w:rFonts w:ascii="Arial" w:hAnsi="Arial" w:cs="Arial"/>
          <w:color w:val="auto"/>
          <w:sz w:val="20"/>
          <w:szCs w:val="20"/>
          <w:lang w:val="en-GB"/>
        </w:rPr>
        <w:t>resorna</w:t>
      </w:r>
      <w:r w:rsidRPr="00700554">
        <w:rPr>
          <w:rFonts w:ascii="Arial" w:hAnsi="Arial" w:cs="Arial"/>
          <w:color w:val="auto"/>
          <w:sz w:val="20"/>
          <w:szCs w:val="20"/>
          <w:lang w:val="en-GB"/>
        </w:rPr>
        <w:t xml:space="preserve"> ministarstva odgovorna za prioritet/mjeru koja dobija podršku </w:t>
      </w:r>
      <w:r>
        <w:rPr>
          <w:rFonts w:ascii="Arial" w:hAnsi="Arial" w:cs="Arial"/>
          <w:color w:val="auto"/>
          <w:sz w:val="20"/>
          <w:szCs w:val="20"/>
          <w:lang w:val="en-GB"/>
        </w:rPr>
        <w:t>u okviru</w:t>
      </w:r>
      <w:r w:rsidRPr="00700554">
        <w:rPr>
          <w:rFonts w:ascii="Arial" w:hAnsi="Arial" w:cs="Arial"/>
          <w:color w:val="auto"/>
          <w:sz w:val="20"/>
          <w:szCs w:val="20"/>
          <w:lang w:val="en-GB"/>
        </w:rPr>
        <w:t xml:space="preserve"> Operativn</w:t>
      </w:r>
      <w:r>
        <w:rPr>
          <w:rFonts w:ascii="Arial" w:hAnsi="Arial" w:cs="Arial"/>
          <w:color w:val="auto"/>
          <w:sz w:val="20"/>
          <w:szCs w:val="20"/>
          <w:lang w:val="en-GB"/>
        </w:rPr>
        <w:t>og</w:t>
      </w:r>
      <w:r w:rsidRPr="00700554">
        <w:rPr>
          <w:rFonts w:ascii="Arial" w:hAnsi="Arial" w:cs="Arial"/>
          <w:color w:val="auto"/>
          <w:sz w:val="20"/>
          <w:szCs w:val="20"/>
          <w:lang w:val="en-GB"/>
        </w:rPr>
        <w:t xml:space="preserve"> program</w:t>
      </w:r>
      <w:r>
        <w:rPr>
          <w:rFonts w:ascii="Arial" w:hAnsi="Arial" w:cs="Arial"/>
          <w:color w:val="auto"/>
          <w:sz w:val="20"/>
          <w:szCs w:val="20"/>
          <w:lang w:val="en-GB"/>
        </w:rPr>
        <w:t>a</w:t>
      </w:r>
      <w:r w:rsidRPr="00700554">
        <w:rPr>
          <w:rFonts w:ascii="Arial" w:hAnsi="Arial" w:cs="Arial"/>
          <w:color w:val="auto"/>
          <w:sz w:val="20"/>
          <w:szCs w:val="20"/>
          <w:lang w:val="en-GB"/>
        </w:rPr>
        <w:t xml:space="preserve">;  </w:t>
      </w:r>
    </w:p>
    <w:p w14:paraId="0FE994D4" w14:textId="77777777" w:rsidR="00091B36" w:rsidRPr="00700554" w:rsidRDefault="00091B36" w:rsidP="00D15218">
      <w:pPr>
        <w:pStyle w:val="Default"/>
        <w:numPr>
          <w:ilvl w:val="0"/>
          <w:numId w:val="69"/>
        </w:numPr>
        <w:spacing w:before="120"/>
        <w:rPr>
          <w:rFonts w:ascii="Arial" w:hAnsi="Arial" w:cs="Arial"/>
          <w:color w:val="auto"/>
          <w:sz w:val="20"/>
          <w:szCs w:val="20"/>
          <w:lang w:val="en-GB"/>
        </w:rPr>
      </w:pPr>
      <w:r>
        <w:rPr>
          <w:rFonts w:ascii="Arial" w:hAnsi="Arial" w:cs="Arial"/>
          <w:color w:val="auto"/>
          <w:sz w:val="20"/>
          <w:szCs w:val="20"/>
          <w:lang w:val="en-GB"/>
        </w:rPr>
        <w:t>Ugovorna tijela</w:t>
      </w:r>
      <w:r w:rsidRPr="00700554">
        <w:rPr>
          <w:rFonts w:ascii="Arial" w:hAnsi="Arial" w:cs="Arial"/>
          <w:color w:val="auto"/>
          <w:sz w:val="20"/>
          <w:szCs w:val="20"/>
          <w:lang w:val="en-GB"/>
        </w:rPr>
        <w:t xml:space="preserve">: CFCU i Uprava za kapitalne projekte (bivša Direkcija za javne radove).  </w:t>
      </w:r>
    </w:p>
    <w:p w14:paraId="0EFF4F4D" w14:textId="77777777" w:rsidR="00091B36" w:rsidRPr="00FC0E29" w:rsidRDefault="00091B36" w:rsidP="00091B36">
      <w:pPr>
        <w:pStyle w:val="Heading3"/>
        <w:numPr>
          <w:ilvl w:val="0"/>
          <w:numId w:val="0"/>
        </w:numPr>
        <w:ind w:left="720" w:hanging="720"/>
      </w:pPr>
      <w:r w:rsidRPr="00FC0E29">
        <w:t>IPA II</w:t>
      </w:r>
    </w:p>
    <w:p w14:paraId="7391FEFB" w14:textId="77777777" w:rsidR="00091B36" w:rsidRPr="00700554" w:rsidRDefault="00091B36" w:rsidP="00091B36">
      <w:r w:rsidRPr="00700554">
        <w:t xml:space="preserve">Pod IPA II programima, pored Revizorskog </w:t>
      </w:r>
      <w:r>
        <w:t>tijela</w:t>
      </w:r>
      <w:r w:rsidRPr="00700554">
        <w:t xml:space="preserve">, Ministarstva za evropske poslove </w:t>
      </w:r>
      <w:r w:rsidRPr="006F7CE6">
        <w:t>NIPAK</w:t>
      </w:r>
      <w:r w:rsidRPr="00700554">
        <w:t>/</w:t>
      </w:r>
      <w:r w:rsidRPr="006F7CE6">
        <w:t>NIPAK</w:t>
      </w:r>
      <w:r w:rsidRPr="00700554">
        <w:t xml:space="preserve"> kancelarije, Ministarstva finansija - NAO/Upravljačke strukture i interne revizije za programe EU (koja je odgovorna za sve programe osim IPARD, ali je odgovorna za reviziju Upravljačke strukture za IPARD program), struktura za upravljanje različitim programima zavisi od tipa programa.</w:t>
      </w:r>
    </w:p>
    <w:p w14:paraId="42EFE45C" w14:textId="77777777" w:rsidR="00091B36" w:rsidRPr="00700554" w:rsidRDefault="00091B36" w:rsidP="00091B36">
      <w:r w:rsidRPr="00700554">
        <w:t>Za akci</w:t>
      </w:r>
      <w:r>
        <w:t>one</w:t>
      </w:r>
      <w:r w:rsidRPr="00700554">
        <w:t xml:space="preserve"> programe (Godišnji akci</w:t>
      </w:r>
      <w:r>
        <w:t>oni</w:t>
      </w:r>
      <w:r w:rsidRPr="00700554">
        <w:t xml:space="preserve"> programi - CAP i Višegodišnji akci</w:t>
      </w:r>
      <w:r>
        <w:t xml:space="preserve">oni </w:t>
      </w:r>
      <w:r w:rsidRPr="00700554">
        <w:t>program za</w:t>
      </w:r>
      <w:r>
        <w:t xml:space="preserve"> Crnu Goru za zapošljavanje, obrazovanje i socijalnu politiku, </w:t>
      </w:r>
      <w:r w:rsidRPr="00700554">
        <w:t>za period 2015-2017 (SOPEES)), uključeni su sljedeći organi:</w:t>
      </w:r>
    </w:p>
    <w:p w14:paraId="08187CF6" w14:textId="77777777" w:rsidR="00091B36" w:rsidRDefault="00091B36" w:rsidP="00D15218">
      <w:pPr>
        <w:pStyle w:val="Default"/>
        <w:numPr>
          <w:ilvl w:val="0"/>
          <w:numId w:val="70"/>
        </w:numPr>
        <w:spacing w:before="120"/>
        <w:rPr>
          <w:rFonts w:ascii="Arial" w:hAnsi="Arial" w:cs="Arial"/>
          <w:color w:val="auto"/>
          <w:sz w:val="20"/>
          <w:szCs w:val="20"/>
          <w:lang w:val="en-GB"/>
        </w:rPr>
      </w:pPr>
      <w:r>
        <w:rPr>
          <w:rFonts w:ascii="Arial" w:hAnsi="Arial" w:cs="Arial"/>
          <w:color w:val="auto"/>
          <w:sz w:val="20"/>
          <w:szCs w:val="20"/>
          <w:lang w:val="en-GB"/>
        </w:rPr>
        <w:t>Ugovorna tijela</w:t>
      </w:r>
      <w:r w:rsidRPr="00700554">
        <w:rPr>
          <w:rFonts w:ascii="Arial" w:hAnsi="Arial" w:cs="Arial"/>
          <w:color w:val="auto"/>
          <w:sz w:val="20"/>
          <w:szCs w:val="20"/>
          <w:lang w:val="en-GB"/>
        </w:rPr>
        <w:t xml:space="preserve">: CFCU i Uprava za kapitalne projekte;  </w:t>
      </w:r>
    </w:p>
    <w:p w14:paraId="2E7E8D2F" w14:textId="77777777" w:rsidR="00091B36" w:rsidRPr="00700554" w:rsidRDefault="00091B36" w:rsidP="00D15218">
      <w:pPr>
        <w:pStyle w:val="Default"/>
        <w:numPr>
          <w:ilvl w:val="0"/>
          <w:numId w:val="70"/>
        </w:numPr>
        <w:spacing w:before="120"/>
        <w:rPr>
          <w:rFonts w:ascii="Arial" w:hAnsi="Arial" w:cs="Arial"/>
          <w:color w:val="auto"/>
          <w:sz w:val="20"/>
          <w:szCs w:val="20"/>
          <w:lang w:val="en-GB"/>
        </w:rPr>
      </w:pPr>
      <w:r w:rsidRPr="00700554">
        <w:rPr>
          <w:rFonts w:ascii="Arial" w:hAnsi="Arial" w:cs="Arial"/>
          <w:color w:val="auto"/>
          <w:sz w:val="20"/>
          <w:szCs w:val="20"/>
          <w:lang w:val="en-GB"/>
        </w:rPr>
        <w:t xml:space="preserve">Jedinice za implementaciju projekata </w:t>
      </w:r>
      <w:r>
        <w:rPr>
          <w:rFonts w:ascii="Arial" w:hAnsi="Arial" w:cs="Arial"/>
          <w:color w:val="auto"/>
          <w:sz w:val="20"/>
          <w:szCs w:val="20"/>
          <w:lang w:val="en-GB"/>
        </w:rPr>
        <w:t>koje se nalaze</w:t>
      </w:r>
      <w:r w:rsidRPr="00700554">
        <w:rPr>
          <w:rFonts w:ascii="Arial" w:hAnsi="Arial" w:cs="Arial"/>
          <w:color w:val="auto"/>
          <w:sz w:val="20"/>
          <w:szCs w:val="20"/>
          <w:lang w:val="en-GB"/>
        </w:rPr>
        <w:t xml:space="preserve"> u relevantnim </w:t>
      </w:r>
      <w:r>
        <w:rPr>
          <w:rFonts w:ascii="Arial" w:hAnsi="Arial" w:cs="Arial"/>
          <w:color w:val="auto"/>
          <w:sz w:val="20"/>
          <w:szCs w:val="20"/>
          <w:lang w:val="en-GB"/>
        </w:rPr>
        <w:t>resornim</w:t>
      </w:r>
      <w:r w:rsidRPr="00700554">
        <w:rPr>
          <w:rFonts w:ascii="Arial" w:hAnsi="Arial" w:cs="Arial"/>
          <w:color w:val="auto"/>
          <w:sz w:val="20"/>
          <w:szCs w:val="20"/>
          <w:lang w:val="en-GB"/>
        </w:rPr>
        <w:t xml:space="preserve"> ministarstvima: Ministarstvo finansija; Ministarstvo turizma, ekologije, održivog razvoja i razvoja sjevernog regiona; Ministarstvo rada i socijalnog staranja; Ministarstvo saobraćaja i pomorskih poslova; Ministarstvo ekonomskog razvoja; Ministarstvo pravde; Ministarstvo unutrašnjih poslova; Ministarstvo ljudskih i manjinskih prava; Ministarstvo obrazovanja, nauke i inovacija.  </w:t>
      </w:r>
    </w:p>
    <w:p w14:paraId="47FB172B" w14:textId="77777777" w:rsidR="00091B36" w:rsidRPr="00700554" w:rsidRDefault="00091B36" w:rsidP="00091B36">
      <w:pPr>
        <w:pStyle w:val="Default"/>
        <w:spacing w:before="120"/>
        <w:rPr>
          <w:rFonts w:ascii="Arial" w:hAnsi="Arial" w:cs="Arial"/>
          <w:color w:val="auto"/>
          <w:sz w:val="20"/>
          <w:szCs w:val="20"/>
          <w:lang w:val="en-GB"/>
        </w:rPr>
      </w:pPr>
    </w:p>
    <w:p w14:paraId="06B4B753" w14:textId="77777777" w:rsidR="00091B36" w:rsidRPr="00700554" w:rsidRDefault="00091B36" w:rsidP="00091B36">
      <w:pPr>
        <w:pStyle w:val="Default"/>
        <w:spacing w:before="120"/>
        <w:rPr>
          <w:rFonts w:ascii="Arial" w:hAnsi="Arial" w:cs="Arial"/>
          <w:color w:val="auto"/>
          <w:sz w:val="20"/>
          <w:szCs w:val="20"/>
          <w:lang w:val="en-GB"/>
        </w:rPr>
      </w:pPr>
      <w:r w:rsidRPr="00700554">
        <w:rPr>
          <w:rFonts w:ascii="Arial" w:hAnsi="Arial" w:cs="Arial"/>
          <w:color w:val="auto"/>
          <w:sz w:val="20"/>
          <w:szCs w:val="20"/>
          <w:lang w:val="en-GB"/>
        </w:rPr>
        <w:t>Sljedeć</w:t>
      </w:r>
      <w:r>
        <w:rPr>
          <w:rFonts w:ascii="Arial" w:hAnsi="Arial" w:cs="Arial"/>
          <w:color w:val="auto"/>
          <w:sz w:val="20"/>
          <w:szCs w:val="20"/>
          <w:lang w:val="en-GB"/>
        </w:rPr>
        <w:t>a tijela</w:t>
      </w:r>
      <w:r w:rsidRPr="00700554">
        <w:rPr>
          <w:rFonts w:ascii="Arial" w:hAnsi="Arial" w:cs="Arial"/>
          <w:color w:val="auto"/>
          <w:sz w:val="20"/>
          <w:szCs w:val="20"/>
          <w:lang w:val="en-GB"/>
        </w:rPr>
        <w:t xml:space="preserve"> su odgovorn</w:t>
      </w:r>
      <w:r>
        <w:rPr>
          <w:rFonts w:ascii="Arial" w:hAnsi="Arial" w:cs="Arial"/>
          <w:color w:val="auto"/>
          <w:sz w:val="20"/>
          <w:szCs w:val="20"/>
          <w:lang w:val="en-GB"/>
        </w:rPr>
        <w:t>a</w:t>
      </w:r>
      <w:r w:rsidRPr="00700554">
        <w:rPr>
          <w:rFonts w:ascii="Arial" w:hAnsi="Arial" w:cs="Arial"/>
          <w:color w:val="auto"/>
          <w:sz w:val="20"/>
          <w:szCs w:val="20"/>
          <w:lang w:val="en-GB"/>
        </w:rPr>
        <w:t xml:space="preserve"> za bilateralne </w:t>
      </w:r>
      <w:r>
        <w:rPr>
          <w:rFonts w:ascii="Arial" w:hAnsi="Arial" w:cs="Arial"/>
          <w:color w:val="auto"/>
          <w:sz w:val="20"/>
          <w:szCs w:val="20"/>
          <w:lang w:val="en-GB"/>
        </w:rPr>
        <w:t>PGS</w:t>
      </w:r>
      <w:r w:rsidRPr="00700554">
        <w:rPr>
          <w:rFonts w:ascii="Arial" w:hAnsi="Arial" w:cs="Arial"/>
          <w:color w:val="auto"/>
          <w:sz w:val="20"/>
          <w:szCs w:val="20"/>
          <w:lang w:val="en-GB"/>
        </w:rPr>
        <w:t xml:space="preserve"> programe:</w:t>
      </w:r>
    </w:p>
    <w:p w14:paraId="5DE99170" w14:textId="77777777" w:rsidR="00091B36" w:rsidRDefault="00091B36" w:rsidP="00D15218">
      <w:pPr>
        <w:pStyle w:val="Default"/>
        <w:numPr>
          <w:ilvl w:val="0"/>
          <w:numId w:val="71"/>
        </w:numPr>
        <w:spacing w:before="120"/>
        <w:rPr>
          <w:rFonts w:ascii="Arial" w:hAnsi="Arial" w:cs="Arial"/>
          <w:color w:val="auto"/>
          <w:sz w:val="20"/>
          <w:szCs w:val="20"/>
          <w:lang w:val="en-GB"/>
        </w:rPr>
      </w:pPr>
      <w:r w:rsidRPr="00700554">
        <w:rPr>
          <w:rFonts w:ascii="Arial" w:hAnsi="Arial" w:cs="Arial"/>
          <w:color w:val="auto"/>
          <w:sz w:val="20"/>
          <w:szCs w:val="20"/>
          <w:lang w:val="en-GB"/>
        </w:rPr>
        <w:t xml:space="preserve">Šef Operativne strukture unutar Ministarstva za evropske poslove, uz podršku kancelarije HOS; </w:t>
      </w:r>
    </w:p>
    <w:p w14:paraId="647D6EEB" w14:textId="77777777" w:rsidR="00091B36" w:rsidRDefault="00091B36" w:rsidP="00D15218">
      <w:pPr>
        <w:pStyle w:val="Default"/>
        <w:numPr>
          <w:ilvl w:val="0"/>
          <w:numId w:val="71"/>
        </w:numPr>
        <w:spacing w:before="120"/>
        <w:rPr>
          <w:rFonts w:ascii="Arial" w:hAnsi="Arial" w:cs="Arial"/>
          <w:color w:val="auto"/>
          <w:sz w:val="20"/>
          <w:szCs w:val="20"/>
          <w:lang w:val="en-GB"/>
        </w:rPr>
      </w:pPr>
      <w:r>
        <w:rPr>
          <w:rFonts w:ascii="Arial" w:hAnsi="Arial" w:cs="Arial"/>
          <w:color w:val="auto"/>
          <w:sz w:val="20"/>
          <w:szCs w:val="20"/>
          <w:lang w:val="en-GB"/>
        </w:rPr>
        <w:t>PGS</w:t>
      </w:r>
      <w:r w:rsidRPr="00700554">
        <w:rPr>
          <w:rFonts w:ascii="Arial" w:hAnsi="Arial" w:cs="Arial"/>
          <w:color w:val="auto"/>
          <w:sz w:val="20"/>
          <w:szCs w:val="20"/>
          <w:lang w:val="en-GB"/>
        </w:rPr>
        <w:t xml:space="preserve"> tijelo unutar Ministarstva za evropske poslove;  </w:t>
      </w:r>
    </w:p>
    <w:p w14:paraId="3B152987" w14:textId="77777777" w:rsidR="00091B36" w:rsidRPr="00700554" w:rsidRDefault="00091B36" w:rsidP="00D15218">
      <w:pPr>
        <w:pStyle w:val="Default"/>
        <w:numPr>
          <w:ilvl w:val="0"/>
          <w:numId w:val="71"/>
        </w:numPr>
        <w:spacing w:before="120"/>
        <w:rPr>
          <w:rFonts w:ascii="Arial" w:hAnsi="Arial" w:cs="Arial"/>
          <w:color w:val="auto"/>
          <w:sz w:val="20"/>
          <w:szCs w:val="20"/>
          <w:lang w:val="en-GB"/>
        </w:rPr>
      </w:pPr>
      <w:r>
        <w:rPr>
          <w:rFonts w:ascii="Arial" w:hAnsi="Arial" w:cs="Arial"/>
          <w:color w:val="auto"/>
          <w:sz w:val="20"/>
          <w:szCs w:val="20"/>
          <w:lang w:val="en-GB"/>
        </w:rPr>
        <w:t>Ugovorna tijela</w:t>
      </w:r>
      <w:r w:rsidRPr="00700554">
        <w:rPr>
          <w:rFonts w:ascii="Arial" w:hAnsi="Arial" w:cs="Arial"/>
          <w:color w:val="auto"/>
          <w:sz w:val="20"/>
          <w:szCs w:val="20"/>
          <w:lang w:val="en-GB"/>
        </w:rPr>
        <w:t>: CFCU (</w:t>
      </w:r>
      <w:r w:rsidRPr="004076CA">
        <w:rPr>
          <w:rFonts w:ascii="Arial" w:hAnsi="Arial" w:cs="Arial"/>
          <w:i/>
          <w:color w:val="auto"/>
          <w:sz w:val="20"/>
          <w:szCs w:val="20"/>
          <w:lang w:val="en-GB"/>
        </w:rPr>
        <w:t xml:space="preserve">U slučaju bilateralnih </w:t>
      </w:r>
      <w:r>
        <w:rPr>
          <w:rFonts w:ascii="Arial" w:hAnsi="Arial" w:cs="Arial"/>
          <w:i/>
          <w:color w:val="auto"/>
          <w:sz w:val="20"/>
          <w:szCs w:val="20"/>
          <w:lang w:val="en-GB"/>
        </w:rPr>
        <w:t>PGS</w:t>
      </w:r>
      <w:r w:rsidRPr="004076CA">
        <w:rPr>
          <w:rFonts w:ascii="Arial" w:hAnsi="Arial" w:cs="Arial"/>
          <w:i/>
          <w:color w:val="auto"/>
          <w:sz w:val="20"/>
          <w:szCs w:val="20"/>
          <w:lang w:val="en-GB"/>
        </w:rPr>
        <w:t xml:space="preserve"> programa, CFCU preuzima ulogu kontrolnog tijela. U slučaju trilateralnih i </w:t>
      </w:r>
      <w:r>
        <w:rPr>
          <w:rFonts w:ascii="Arial" w:hAnsi="Arial" w:cs="Arial"/>
          <w:i/>
          <w:color w:val="auto"/>
          <w:sz w:val="20"/>
          <w:szCs w:val="20"/>
          <w:lang w:val="en-GB"/>
        </w:rPr>
        <w:t>multilateralnih</w:t>
      </w:r>
      <w:r w:rsidRPr="004076CA">
        <w:rPr>
          <w:rFonts w:ascii="Arial" w:hAnsi="Arial" w:cs="Arial"/>
          <w:i/>
          <w:color w:val="auto"/>
          <w:sz w:val="20"/>
          <w:szCs w:val="20"/>
          <w:lang w:val="en-GB"/>
        </w:rPr>
        <w:t xml:space="preserve"> </w:t>
      </w:r>
      <w:r>
        <w:rPr>
          <w:rFonts w:ascii="Arial" w:hAnsi="Arial" w:cs="Arial"/>
          <w:i/>
          <w:color w:val="auto"/>
          <w:sz w:val="20"/>
          <w:szCs w:val="20"/>
          <w:lang w:val="en-GB"/>
        </w:rPr>
        <w:t>PGS</w:t>
      </w:r>
      <w:r w:rsidRPr="004076CA">
        <w:rPr>
          <w:rFonts w:ascii="Arial" w:hAnsi="Arial" w:cs="Arial"/>
          <w:i/>
          <w:color w:val="auto"/>
          <w:sz w:val="20"/>
          <w:szCs w:val="20"/>
          <w:lang w:val="en-GB"/>
        </w:rPr>
        <w:t xml:space="preserve"> programa, CFCU preuzima ulogu </w:t>
      </w:r>
      <w:r>
        <w:rPr>
          <w:rFonts w:ascii="Arial" w:hAnsi="Arial" w:cs="Arial"/>
          <w:i/>
          <w:color w:val="auto"/>
          <w:sz w:val="20"/>
          <w:szCs w:val="20"/>
          <w:lang w:val="en-GB"/>
        </w:rPr>
        <w:t>T</w:t>
      </w:r>
      <w:r w:rsidRPr="004076CA">
        <w:rPr>
          <w:rFonts w:ascii="Arial" w:hAnsi="Arial" w:cs="Arial"/>
          <w:i/>
          <w:color w:val="auto"/>
          <w:sz w:val="20"/>
          <w:szCs w:val="20"/>
          <w:lang w:val="en-GB"/>
        </w:rPr>
        <w:t xml:space="preserve">ijela </w:t>
      </w:r>
      <w:r>
        <w:rPr>
          <w:rFonts w:ascii="Arial" w:hAnsi="Arial" w:cs="Arial"/>
          <w:i/>
          <w:color w:val="auto"/>
          <w:sz w:val="20"/>
          <w:szCs w:val="20"/>
          <w:lang w:val="en-GB"/>
        </w:rPr>
        <w:t>prvog nivoa</w:t>
      </w:r>
      <w:r w:rsidRPr="004076CA">
        <w:rPr>
          <w:rFonts w:ascii="Arial" w:hAnsi="Arial" w:cs="Arial"/>
          <w:i/>
          <w:color w:val="auto"/>
          <w:sz w:val="20"/>
          <w:szCs w:val="20"/>
          <w:lang w:val="en-GB"/>
        </w:rPr>
        <w:t xml:space="preserve"> kontrole</w:t>
      </w:r>
      <w:r w:rsidRPr="00700554">
        <w:rPr>
          <w:rFonts w:ascii="Arial" w:hAnsi="Arial" w:cs="Arial"/>
          <w:color w:val="auto"/>
          <w:sz w:val="20"/>
          <w:szCs w:val="20"/>
          <w:lang w:val="en-GB"/>
        </w:rPr>
        <w:t>).</w:t>
      </w:r>
    </w:p>
    <w:p w14:paraId="35E6F90F" w14:textId="77777777" w:rsidR="00091B36" w:rsidRDefault="00091B36" w:rsidP="00091B36">
      <w:pPr>
        <w:spacing w:after="0"/>
        <w:rPr>
          <w:rFonts w:cs="Arial"/>
          <w:b/>
          <w:szCs w:val="20"/>
        </w:rPr>
      </w:pPr>
    </w:p>
    <w:p w14:paraId="78ED8631" w14:textId="77777777" w:rsidR="00091B36" w:rsidRPr="004076CA" w:rsidRDefault="00091B36" w:rsidP="00091B36">
      <w:pPr>
        <w:pStyle w:val="Heading3"/>
        <w:numPr>
          <w:ilvl w:val="0"/>
          <w:numId w:val="0"/>
        </w:numPr>
        <w:ind w:left="720" w:hanging="720"/>
        <w:rPr>
          <w:bCs/>
        </w:rPr>
      </w:pPr>
      <w:r w:rsidRPr="00FC0E29">
        <w:lastRenderedPageBreak/>
        <w:t>IPA III</w:t>
      </w:r>
    </w:p>
    <w:p w14:paraId="4B420C86" w14:textId="77777777" w:rsidR="00091B36" w:rsidRPr="004076CA" w:rsidRDefault="00091B36" w:rsidP="00091B36">
      <w:r w:rsidRPr="004076CA">
        <w:t xml:space="preserve">Pod IPA III programima, pored Revizorskog </w:t>
      </w:r>
      <w:r>
        <w:t>tijela</w:t>
      </w:r>
      <w:r w:rsidRPr="004076CA">
        <w:t xml:space="preserve">, Ministarstva za evropske poslove – </w:t>
      </w:r>
      <w:r w:rsidRPr="006F7CE6">
        <w:t>NIPAK</w:t>
      </w:r>
      <w:r w:rsidRPr="004076CA">
        <w:t xml:space="preserve"> kancelarije, Ministarstva finansija - NAO/Upravljačke strukture i interne revizije za programe EU (koja je zadužena za sve programe osim IPARD, ali je odgovorna za reviziju Upravljačke strukture za IPARD program) koje su uključene u svaki program upravljan indirektnim upravljanjem, struktura za upravljanje različiti</w:t>
      </w:r>
      <w:r>
        <w:t>h</w:t>
      </w:r>
      <w:r w:rsidRPr="004076CA">
        <w:t xml:space="preserve"> programa zavisi od tipa programa.</w:t>
      </w:r>
    </w:p>
    <w:p w14:paraId="3FE73AEF" w14:textId="77777777" w:rsidR="00091B36" w:rsidRPr="004076CA" w:rsidRDefault="00091B36" w:rsidP="00091B36">
      <w:r w:rsidRPr="004076CA">
        <w:t>Za a</w:t>
      </w:r>
      <w:r>
        <w:t>kcione</w:t>
      </w:r>
      <w:r w:rsidRPr="004076CA">
        <w:t xml:space="preserve"> programe (godišnji akci</w:t>
      </w:r>
      <w:r>
        <w:t>oni</w:t>
      </w:r>
      <w:r w:rsidRPr="004076CA">
        <w:t xml:space="preserve"> programi: AAP 2021 i AAP 2024), uključen</w:t>
      </w:r>
      <w:r>
        <w:t>a</w:t>
      </w:r>
      <w:r w:rsidRPr="004076CA">
        <w:t xml:space="preserve"> su sljedeć</w:t>
      </w:r>
      <w:r>
        <w:t>a</w:t>
      </w:r>
      <w:r w:rsidRPr="004076CA">
        <w:t xml:space="preserve"> </w:t>
      </w:r>
      <w:r>
        <w:t>tijela</w:t>
      </w:r>
      <w:r w:rsidRPr="004076CA">
        <w:t>:</w:t>
      </w:r>
    </w:p>
    <w:p w14:paraId="24CCBCE4" w14:textId="77777777" w:rsidR="00091B36" w:rsidRDefault="00091B36" w:rsidP="00D15218">
      <w:pPr>
        <w:pStyle w:val="Default"/>
        <w:numPr>
          <w:ilvl w:val="0"/>
          <w:numId w:val="72"/>
        </w:numPr>
        <w:spacing w:before="120"/>
        <w:rPr>
          <w:rFonts w:ascii="Arial" w:hAnsi="Arial" w:cs="Arial"/>
          <w:color w:val="auto"/>
          <w:sz w:val="20"/>
          <w:szCs w:val="20"/>
          <w:lang w:val="en-GB"/>
        </w:rPr>
      </w:pPr>
      <w:r w:rsidRPr="004076CA">
        <w:rPr>
          <w:rFonts w:ascii="Arial" w:hAnsi="Arial" w:cs="Arial"/>
          <w:color w:val="auto"/>
          <w:sz w:val="20"/>
          <w:szCs w:val="20"/>
          <w:lang w:val="en-GB"/>
        </w:rPr>
        <w:t>Upravljačk</w:t>
      </w:r>
      <w:r>
        <w:rPr>
          <w:rFonts w:ascii="Arial" w:hAnsi="Arial" w:cs="Arial"/>
          <w:color w:val="auto"/>
          <w:sz w:val="20"/>
          <w:szCs w:val="20"/>
          <w:lang w:val="en-GB"/>
        </w:rPr>
        <w:t>o</w:t>
      </w:r>
      <w:r w:rsidRPr="004076CA">
        <w:rPr>
          <w:rFonts w:ascii="Arial" w:hAnsi="Arial" w:cs="Arial"/>
          <w:color w:val="auto"/>
          <w:sz w:val="20"/>
          <w:szCs w:val="20"/>
          <w:lang w:val="en-GB"/>
        </w:rPr>
        <w:t xml:space="preserve"> tijel</w:t>
      </w:r>
      <w:r>
        <w:rPr>
          <w:rFonts w:ascii="Arial" w:hAnsi="Arial" w:cs="Arial"/>
          <w:color w:val="auto"/>
          <w:sz w:val="20"/>
          <w:szCs w:val="20"/>
          <w:lang w:val="en-GB"/>
        </w:rPr>
        <w:t>o</w:t>
      </w:r>
      <w:r w:rsidRPr="004076CA">
        <w:rPr>
          <w:rFonts w:ascii="Arial" w:hAnsi="Arial" w:cs="Arial"/>
          <w:color w:val="auto"/>
          <w:sz w:val="20"/>
          <w:szCs w:val="20"/>
          <w:lang w:val="en-GB"/>
        </w:rPr>
        <w:t xml:space="preserve"> – Ministarstvo za evropske poslove;  </w:t>
      </w:r>
    </w:p>
    <w:p w14:paraId="5D77370A" w14:textId="77777777" w:rsidR="00091B36" w:rsidRDefault="00091B36" w:rsidP="00D15218">
      <w:pPr>
        <w:pStyle w:val="Default"/>
        <w:numPr>
          <w:ilvl w:val="0"/>
          <w:numId w:val="72"/>
        </w:numPr>
        <w:spacing w:before="120"/>
        <w:rPr>
          <w:rFonts w:ascii="Arial" w:hAnsi="Arial" w:cs="Arial"/>
          <w:color w:val="auto"/>
          <w:sz w:val="20"/>
          <w:szCs w:val="20"/>
          <w:lang w:val="en-GB"/>
        </w:rPr>
      </w:pPr>
      <w:r w:rsidRPr="004076CA">
        <w:rPr>
          <w:rFonts w:ascii="Arial" w:hAnsi="Arial" w:cs="Arial"/>
          <w:color w:val="auto"/>
          <w:sz w:val="20"/>
          <w:szCs w:val="20"/>
          <w:lang w:val="en-GB"/>
        </w:rPr>
        <w:t xml:space="preserve">Posrednička tijela za finansijsko upravljanje: CFCU i Uprava za kapitalne projekte;  </w:t>
      </w:r>
    </w:p>
    <w:p w14:paraId="41876E06" w14:textId="77777777" w:rsidR="00091B36" w:rsidRPr="004076CA" w:rsidRDefault="00091B36" w:rsidP="00D15218">
      <w:pPr>
        <w:pStyle w:val="Default"/>
        <w:numPr>
          <w:ilvl w:val="0"/>
          <w:numId w:val="72"/>
        </w:numPr>
        <w:spacing w:before="120"/>
        <w:rPr>
          <w:rFonts w:ascii="Arial" w:hAnsi="Arial" w:cs="Arial"/>
          <w:color w:val="auto"/>
          <w:sz w:val="20"/>
          <w:szCs w:val="20"/>
          <w:lang w:val="en-GB"/>
        </w:rPr>
      </w:pPr>
      <w:r w:rsidRPr="004076CA">
        <w:rPr>
          <w:rFonts w:ascii="Arial" w:hAnsi="Arial" w:cs="Arial"/>
          <w:color w:val="auto"/>
          <w:sz w:val="20"/>
          <w:szCs w:val="20"/>
          <w:lang w:val="en-GB"/>
        </w:rPr>
        <w:t xml:space="preserve">Posrednička tijela za upravljanje politikom, uspostavljena unutar relevantnih resornih ministarstava: Ministarstvo poljoprivrede, šumarstva i vodoprivrede; Ministarstvo ekologije, održivog razvoja i razvoja sjevernog regiona; Ministarstvo finansija; Ministarstvo obrazovanja, nauke i inovacija.  </w:t>
      </w:r>
    </w:p>
    <w:p w14:paraId="0394AB88" w14:textId="77777777" w:rsidR="00091B36" w:rsidRPr="004076CA" w:rsidRDefault="00091B36" w:rsidP="00091B36">
      <w:pPr>
        <w:pStyle w:val="Default"/>
        <w:spacing w:before="120"/>
        <w:rPr>
          <w:rFonts w:ascii="Arial" w:hAnsi="Arial" w:cs="Arial"/>
          <w:color w:val="auto"/>
          <w:sz w:val="20"/>
          <w:szCs w:val="20"/>
          <w:lang w:val="en-GB"/>
        </w:rPr>
      </w:pPr>
      <w:r w:rsidRPr="004076CA">
        <w:rPr>
          <w:rFonts w:ascii="Arial" w:hAnsi="Arial" w:cs="Arial"/>
          <w:color w:val="auto"/>
          <w:sz w:val="20"/>
          <w:szCs w:val="20"/>
          <w:lang w:val="en-GB"/>
        </w:rPr>
        <w:t>Za akcione programe (višegodišnji akcioni programi - OP: Operativni program za zapošljavanje i socijalnu inkluziju i Operativni program za zaštitu životne sredine i klimatske promjene), uključeni su sljedeći organi:</w:t>
      </w:r>
    </w:p>
    <w:p w14:paraId="79854197" w14:textId="77777777" w:rsidR="00091B36" w:rsidRDefault="00091B36" w:rsidP="00D15218">
      <w:pPr>
        <w:pStyle w:val="Default"/>
        <w:numPr>
          <w:ilvl w:val="0"/>
          <w:numId w:val="73"/>
        </w:numPr>
        <w:spacing w:before="120"/>
        <w:rPr>
          <w:rFonts w:ascii="Arial" w:hAnsi="Arial" w:cs="Arial"/>
          <w:color w:val="auto"/>
          <w:sz w:val="20"/>
          <w:szCs w:val="20"/>
          <w:lang w:val="en-GB"/>
        </w:rPr>
      </w:pPr>
      <w:r w:rsidRPr="004076CA">
        <w:rPr>
          <w:rFonts w:ascii="Arial" w:hAnsi="Arial" w:cs="Arial"/>
          <w:color w:val="auto"/>
          <w:sz w:val="20"/>
          <w:szCs w:val="20"/>
          <w:lang w:val="en-GB"/>
        </w:rPr>
        <w:t>Upravljačka tijela – Ministarstvo rada, zapošljavanja i socijalnog dijaloga i Ministarstvo ekologije, održivog razvoja i razvoja sjevernog regiona;</w:t>
      </w:r>
    </w:p>
    <w:p w14:paraId="08323F1C" w14:textId="77777777" w:rsidR="00091B36" w:rsidRDefault="00091B36" w:rsidP="00D15218">
      <w:pPr>
        <w:pStyle w:val="Default"/>
        <w:numPr>
          <w:ilvl w:val="0"/>
          <w:numId w:val="73"/>
        </w:numPr>
        <w:spacing w:before="120"/>
        <w:rPr>
          <w:rFonts w:ascii="Arial" w:hAnsi="Arial" w:cs="Arial"/>
          <w:color w:val="auto"/>
          <w:sz w:val="20"/>
          <w:szCs w:val="20"/>
          <w:lang w:val="en-GB"/>
        </w:rPr>
      </w:pPr>
      <w:r w:rsidRPr="004076CA">
        <w:rPr>
          <w:rFonts w:ascii="Arial" w:hAnsi="Arial" w:cs="Arial"/>
          <w:color w:val="auto"/>
          <w:sz w:val="20"/>
          <w:szCs w:val="20"/>
          <w:lang w:val="en-GB"/>
        </w:rPr>
        <w:t xml:space="preserve">Posredničko tijelo za upravljanje politikom za OP </w:t>
      </w:r>
      <w:r>
        <w:rPr>
          <w:rFonts w:ascii="Arial" w:hAnsi="Arial" w:cs="Arial"/>
          <w:color w:val="auto"/>
          <w:sz w:val="20"/>
          <w:szCs w:val="20"/>
          <w:lang w:val="en-GB"/>
        </w:rPr>
        <w:t>za zapošljavanje</w:t>
      </w:r>
      <w:r w:rsidRPr="004076CA">
        <w:rPr>
          <w:rFonts w:ascii="Arial" w:hAnsi="Arial" w:cs="Arial"/>
          <w:color w:val="auto"/>
          <w:sz w:val="20"/>
          <w:szCs w:val="20"/>
          <w:lang w:val="en-GB"/>
        </w:rPr>
        <w:t>: Ministarstvo socijalnog staranja, demografije i socijalne zaštite;</w:t>
      </w:r>
    </w:p>
    <w:p w14:paraId="0AABD564" w14:textId="77777777" w:rsidR="00091B36" w:rsidRDefault="00091B36" w:rsidP="00D15218">
      <w:pPr>
        <w:pStyle w:val="Default"/>
        <w:numPr>
          <w:ilvl w:val="0"/>
          <w:numId w:val="73"/>
        </w:numPr>
        <w:spacing w:before="120"/>
        <w:rPr>
          <w:rFonts w:ascii="Arial" w:hAnsi="Arial" w:cs="Arial"/>
          <w:color w:val="auto"/>
          <w:sz w:val="20"/>
          <w:szCs w:val="20"/>
          <w:lang w:val="en-GB"/>
        </w:rPr>
      </w:pPr>
      <w:r w:rsidRPr="004076CA">
        <w:rPr>
          <w:rFonts w:ascii="Arial" w:hAnsi="Arial" w:cs="Arial"/>
          <w:color w:val="auto"/>
          <w:sz w:val="20"/>
          <w:szCs w:val="20"/>
          <w:lang w:val="en-GB"/>
        </w:rPr>
        <w:t>Posrednička tijela za finansijsko upravljanje: CFCU, Uprava za kapitalne projekte i Agencija za zapošljavanje Crne Gore.</w:t>
      </w:r>
    </w:p>
    <w:p w14:paraId="7D2603FD" w14:textId="77777777" w:rsidR="00091B36" w:rsidRPr="00985867" w:rsidRDefault="00091B36" w:rsidP="00091B36">
      <w:pPr>
        <w:pStyle w:val="Default"/>
        <w:spacing w:before="120"/>
        <w:rPr>
          <w:rFonts w:ascii="Arial" w:hAnsi="Arial" w:cs="Arial"/>
          <w:color w:val="auto"/>
          <w:sz w:val="20"/>
          <w:szCs w:val="20"/>
          <w:lang w:val="en-GB"/>
        </w:rPr>
      </w:pPr>
      <w:r w:rsidRPr="00985867">
        <w:rPr>
          <w:rFonts w:ascii="Arial" w:hAnsi="Arial" w:cs="Arial"/>
          <w:color w:val="auto"/>
          <w:sz w:val="20"/>
          <w:szCs w:val="20"/>
          <w:lang w:val="en-GB"/>
        </w:rPr>
        <w:t xml:space="preserve">Za bilateralne </w:t>
      </w:r>
      <w:r>
        <w:rPr>
          <w:rFonts w:ascii="Arial" w:hAnsi="Arial" w:cs="Arial"/>
          <w:color w:val="auto"/>
          <w:sz w:val="20"/>
          <w:szCs w:val="20"/>
          <w:lang w:val="en-GB"/>
        </w:rPr>
        <w:t>PGS</w:t>
      </w:r>
      <w:r w:rsidRPr="00985867">
        <w:rPr>
          <w:rFonts w:ascii="Arial" w:hAnsi="Arial" w:cs="Arial"/>
          <w:color w:val="auto"/>
          <w:sz w:val="20"/>
          <w:szCs w:val="20"/>
          <w:lang w:val="en-GB"/>
        </w:rPr>
        <w:t xml:space="preserve"> programe uključeni su sljedeć</w:t>
      </w:r>
      <w:r>
        <w:rPr>
          <w:rFonts w:ascii="Arial" w:hAnsi="Arial" w:cs="Arial"/>
          <w:color w:val="auto"/>
          <w:sz w:val="20"/>
          <w:szCs w:val="20"/>
          <w:lang w:val="en-GB"/>
        </w:rPr>
        <w:t>a tijela</w:t>
      </w:r>
      <w:r w:rsidRPr="00985867">
        <w:rPr>
          <w:rFonts w:ascii="Arial" w:hAnsi="Arial" w:cs="Arial"/>
          <w:color w:val="auto"/>
          <w:sz w:val="20"/>
          <w:szCs w:val="20"/>
          <w:lang w:val="en-GB"/>
        </w:rPr>
        <w:t>:</w:t>
      </w:r>
    </w:p>
    <w:p w14:paraId="3673F6A0" w14:textId="77777777" w:rsidR="00091B36" w:rsidRDefault="00091B36" w:rsidP="00D15218">
      <w:pPr>
        <w:pStyle w:val="Default"/>
        <w:numPr>
          <w:ilvl w:val="0"/>
          <w:numId w:val="74"/>
        </w:numPr>
        <w:spacing w:before="120"/>
        <w:rPr>
          <w:rFonts w:ascii="Arial" w:hAnsi="Arial" w:cs="Arial"/>
          <w:color w:val="auto"/>
          <w:sz w:val="20"/>
          <w:szCs w:val="20"/>
          <w:lang w:val="en-GB"/>
        </w:rPr>
      </w:pPr>
      <w:r w:rsidRPr="00985867">
        <w:rPr>
          <w:rFonts w:ascii="Arial" w:hAnsi="Arial" w:cs="Arial"/>
          <w:color w:val="auto"/>
          <w:sz w:val="20"/>
          <w:szCs w:val="20"/>
          <w:lang w:val="en-GB"/>
        </w:rPr>
        <w:t xml:space="preserve">Upravljačko tijelo – Ministarstvo za evropske poslove;  </w:t>
      </w:r>
    </w:p>
    <w:p w14:paraId="19C91964" w14:textId="77777777" w:rsidR="00091B36" w:rsidRPr="00985867" w:rsidRDefault="00091B36" w:rsidP="00D15218">
      <w:pPr>
        <w:pStyle w:val="Default"/>
        <w:numPr>
          <w:ilvl w:val="0"/>
          <w:numId w:val="74"/>
        </w:numPr>
        <w:spacing w:before="120"/>
        <w:rPr>
          <w:rFonts w:ascii="Arial" w:hAnsi="Arial" w:cs="Arial"/>
          <w:color w:val="auto"/>
          <w:sz w:val="20"/>
          <w:szCs w:val="20"/>
          <w:lang w:val="en-GB"/>
        </w:rPr>
      </w:pPr>
      <w:r>
        <w:rPr>
          <w:rFonts w:ascii="Arial" w:hAnsi="Arial" w:cs="Arial"/>
          <w:color w:val="auto"/>
          <w:sz w:val="20"/>
          <w:szCs w:val="20"/>
          <w:lang w:val="en-GB"/>
        </w:rPr>
        <w:t>Ugovorno tijelo</w:t>
      </w:r>
      <w:r w:rsidRPr="00985867">
        <w:rPr>
          <w:rFonts w:ascii="Arial" w:hAnsi="Arial" w:cs="Arial"/>
          <w:color w:val="auto"/>
          <w:sz w:val="20"/>
          <w:szCs w:val="20"/>
          <w:lang w:val="en-GB"/>
        </w:rPr>
        <w:t>: CFCU (</w:t>
      </w:r>
      <w:r w:rsidRPr="00985867">
        <w:rPr>
          <w:rFonts w:ascii="Arial" w:hAnsi="Arial" w:cs="Arial"/>
          <w:i/>
          <w:color w:val="auto"/>
          <w:sz w:val="20"/>
          <w:szCs w:val="20"/>
          <w:lang w:val="en-GB"/>
        </w:rPr>
        <w:t xml:space="preserve">U slučaju bilateralnih </w:t>
      </w:r>
      <w:r>
        <w:rPr>
          <w:rFonts w:ascii="Arial" w:hAnsi="Arial" w:cs="Arial"/>
          <w:i/>
          <w:color w:val="auto"/>
          <w:sz w:val="20"/>
          <w:szCs w:val="20"/>
          <w:lang w:val="en-GB"/>
        </w:rPr>
        <w:t>PGS</w:t>
      </w:r>
      <w:r w:rsidRPr="00985867">
        <w:rPr>
          <w:rFonts w:ascii="Arial" w:hAnsi="Arial" w:cs="Arial"/>
          <w:i/>
          <w:color w:val="auto"/>
          <w:sz w:val="20"/>
          <w:szCs w:val="20"/>
          <w:lang w:val="en-GB"/>
        </w:rPr>
        <w:t xml:space="preserve"> programa, CFCU obavlja ulogu Kontrolnog tijela. U slučaju trilateralnih i multilateralnih </w:t>
      </w:r>
      <w:r>
        <w:rPr>
          <w:rFonts w:ascii="Arial" w:hAnsi="Arial" w:cs="Arial"/>
          <w:i/>
          <w:color w:val="auto"/>
          <w:sz w:val="20"/>
          <w:szCs w:val="20"/>
          <w:lang w:val="en-GB"/>
        </w:rPr>
        <w:t>PGS</w:t>
      </w:r>
      <w:r w:rsidRPr="00985867">
        <w:rPr>
          <w:rFonts w:ascii="Arial" w:hAnsi="Arial" w:cs="Arial"/>
          <w:i/>
          <w:color w:val="auto"/>
          <w:sz w:val="20"/>
          <w:szCs w:val="20"/>
          <w:lang w:val="en-GB"/>
        </w:rPr>
        <w:t xml:space="preserve"> programa, CFCU obavlja ulogu Tijela prvog nivoa kontrole</w:t>
      </w:r>
      <w:r w:rsidRPr="00985867">
        <w:rPr>
          <w:rFonts w:ascii="Arial" w:hAnsi="Arial" w:cs="Arial"/>
          <w:color w:val="auto"/>
          <w:sz w:val="20"/>
          <w:szCs w:val="20"/>
          <w:lang w:val="en-GB"/>
        </w:rPr>
        <w:t xml:space="preserve">).  </w:t>
      </w:r>
    </w:p>
    <w:p w14:paraId="52DFCCD2" w14:textId="77777777" w:rsidR="00091B36" w:rsidRDefault="00091B36" w:rsidP="00091B36">
      <w:pPr>
        <w:pStyle w:val="Default"/>
        <w:spacing w:before="120" w:after="120"/>
        <w:jc w:val="both"/>
        <w:rPr>
          <w:rFonts w:ascii="Arial" w:hAnsi="Arial" w:cs="Arial"/>
          <w:color w:val="auto"/>
          <w:sz w:val="20"/>
          <w:szCs w:val="20"/>
          <w:lang w:val="en-GB"/>
        </w:rPr>
      </w:pPr>
      <w:r w:rsidRPr="00985867">
        <w:rPr>
          <w:rFonts w:ascii="Arial" w:hAnsi="Arial" w:cs="Arial"/>
          <w:color w:val="auto"/>
          <w:sz w:val="20"/>
          <w:szCs w:val="20"/>
          <w:lang w:val="en-GB"/>
        </w:rPr>
        <w:t xml:space="preserve">Funkcije i zadaci svake strukture i </w:t>
      </w:r>
      <w:r>
        <w:rPr>
          <w:rFonts w:ascii="Arial" w:hAnsi="Arial" w:cs="Arial"/>
          <w:color w:val="auto"/>
          <w:sz w:val="20"/>
          <w:szCs w:val="20"/>
          <w:lang w:val="en-GB"/>
        </w:rPr>
        <w:t>tijela</w:t>
      </w:r>
      <w:r w:rsidRPr="00985867">
        <w:rPr>
          <w:rFonts w:ascii="Arial" w:hAnsi="Arial" w:cs="Arial"/>
          <w:color w:val="auto"/>
          <w:sz w:val="20"/>
          <w:szCs w:val="20"/>
          <w:lang w:val="en-GB"/>
        </w:rPr>
        <w:t xml:space="preserve"> su jasno definisani u zakonodavnom okviru i operativnim aranžmanima navedenim iznad, kao i u Priručnicima </w:t>
      </w:r>
      <w:r>
        <w:rPr>
          <w:rFonts w:ascii="Arial" w:hAnsi="Arial" w:cs="Arial"/>
          <w:color w:val="auto"/>
          <w:sz w:val="20"/>
          <w:szCs w:val="20"/>
          <w:lang w:val="en-GB"/>
        </w:rPr>
        <w:t xml:space="preserve">o </w:t>
      </w:r>
      <w:r w:rsidRPr="00985867">
        <w:rPr>
          <w:rFonts w:ascii="Arial" w:hAnsi="Arial" w:cs="Arial"/>
          <w:color w:val="auto"/>
          <w:sz w:val="20"/>
          <w:szCs w:val="20"/>
          <w:lang w:val="en-GB"/>
        </w:rPr>
        <w:t>procedura</w:t>
      </w:r>
      <w:r>
        <w:rPr>
          <w:rFonts w:ascii="Arial" w:hAnsi="Arial" w:cs="Arial"/>
          <w:color w:val="auto"/>
          <w:sz w:val="20"/>
          <w:szCs w:val="20"/>
          <w:lang w:val="en-GB"/>
        </w:rPr>
        <w:t>ma</w:t>
      </w:r>
      <w:r w:rsidRPr="00985867">
        <w:rPr>
          <w:rFonts w:ascii="Arial" w:hAnsi="Arial" w:cs="Arial"/>
          <w:color w:val="auto"/>
          <w:sz w:val="20"/>
          <w:szCs w:val="20"/>
          <w:lang w:val="en-GB"/>
        </w:rPr>
        <w:t xml:space="preserve"> odobrenim od strane NAO-a.</w:t>
      </w:r>
    </w:p>
    <w:p w14:paraId="6EC176AB" w14:textId="77777777" w:rsidR="00091B36" w:rsidRPr="00FC0E29" w:rsidRDefault="00091B36" w:rsidP="00091B36">
      <w:pPr>
        <w:pStyle w:val="Heading2"/>
        <w:numPr>
          <w:ilvl w:val="0"/>
          <w:numId w:val="0"/>
        </w:numPr>
        <w:ind w:left="576" w:hanging="576"/>
      </w:pPr>
      <w:r w:rsidRPr="00FC0E29">
        <w:rPr>
          <w:iCs/>
        </w:rPr>
        <w:t xml:space="preserve">I.4. </w:t>
      </w:r>
      <w:r>
        <w:t>Revizorsko tijelo</w:t>
      </w:r>
    </w:p>
    <w:p w14:paraId="0EF26AEC" w14:textId="77777777" w:rsidR="00091B36" w:rsidRDefault="00091B36" w:rsidP="00091B36">
      <w:r w:rsidRPr="00985867">
        <w:t>Revizorsk</w:t>
      </w:r>
      <w:r>
        <w:t>o tijelo</w:t>
      </w:r>
      <w:r w:rsidRPr="00985867">
        <w:t xml:space="preserve"> (</w:t>
      </w:r>
      <w:r>
        <w:t>RT</w:t>
      </w:r>
      <w:r w:rsidRPr="00985867">
        <w:t>) Crne Gore</w:t>
      </w:r>
      <w:r w:rsidRPr="00FC0E29">
        <w:rPr>
          <w:rStyle w:val="FootnoteReference"/>
          <w:rFonts w:cs="Arial"/>
          <w:color w:val="000000" w:themeColor="text1"/>
        </w:rPr>
        <w:footnoteReference w:id="263"/>
      </w:r>
      <w:r w:rsidRPr="00985867">
        <w:t xml:space="preserve"> funkcionalno je nezavis</w:t>
      </w:r>
      <w:r>
        <w:t>no</w:t>
      </w:r>
      <w:r w:rsidRPr="00985867">
        <w:t xml:space="preserve"> od svih aktera u sistemu upravljanja i kontrole sredstava</w:t>
      </w:r>
      <w:r>
        <w:t xml:space="preserve"> iz fondova</w:t>
      </w:r>
      <w:r w:rsidRPr="00985867">
        <w:t xml:space="preserve"> EU i ima opsežno iskustvo u reviziji IPA programa. </w:t>
      </w:r>
      <w:r>
        <w:t>RT</w:t>
      </w:r>
      <w:r w:rsidRPr="00985867">
        <w:t xml:space="preserve"> je osnovan</w:t>
      </w:r>
      <w:r>
        <w:t>o</w:t>
      </w:r>
      <w:r w:rsidRPr="00985867">
        <w:t xml:space="preserve"> Zakonom o reviziji sredstava</w:t>
      </w:r>
      <w:r>
        <w:t xml:space="preserve"> iz fondova</w:t>
      </w:r>
      <w:r w:rsidRPr="00985867">
        <w:t xml:space="preserve"> EU (“Službeni list Crne Gore”, br. 14/12, 54/16, 37/17 i 70/17). Pod IPA I, </w:t>
      </w:r>
      <w:r>
        <w:t>RT</w:t>
      </w:r>
      <w:r w:rsidRPr="00985867">
        <w:t xml:space="preserve"> je sprove</w:t>
      </w:r>
      <w:r>
        <w:t>l</w:t>
      </w:r>
      <w:r w:rsidRPr="00985867">
        <w:t xml:space="preserve">o sistemske revizije i revizije operacija pod komponentama III i IV. Pod IPA II, </w:t>
      </w:r>
      <w:r>
        <w:t>RT</w:t>
      </w:r>
      <w:r w:rsidRPr="00985867">
        <w:t xml:space="preserve"> obavlja revizije i priprema Godišnje izvještaje kontrole i Godišnja mišljenja o reviziji za sljedeće IPA II programe: Godišnji akcioni programi za godine 2014, 2016, 2017, 2018 i 2020; Sektorski operativni program 2015-2017 za Crnu Goru u oblastima zapošljavanja, obrazovanja i socijalne politike; Programi prekogranične saradnje sa Albanijom i Kosovom; i IPARD II program.</w:t>
      </w:r>
      <w:r>
        <w:t xml:space="preserve"> </w:t>
      </w:r>
      <w:r w:rsidRPr="00985867">
        <w:t>Pod IPA III, do sada su potpisani finansijski sporazumi za Godišnji akcioni program 2021, Programe prekogranične saradnje Crna Gora - Albanija i Crna Gora - Kosovo, kao i IPARD III program, ali ni</w:t>
      </w:r>
      <w:r>
        <w:t>je</w:t>
      </w:r>
      <w:r w:rsidRPr="00985867">
        <w:t xml:space="preserve">su potpisani ugovori, izvršene isplate ili priznata sredstva. Sistemska revizija od strane </w:t>
      </w:r>
      <w:r>
        <w:t>RT</w:t>
      </w:r>
      <w:r w:rsidRPr="00985867">
        <w:t xml:space="preserve"> je sprovedena za navedene programe u decembru 2024. i januaru 2025. </w:t>
      </w:r>
      <w:r>
        <w:t>RT</w:t>
      </w:r>
      <w:r w:rsidRPr="00985867">
        <w:t xml:space="preserve"> je </w:t>
      </w:r>
      <w:r>
        <w:t>objavilo</w:t>
      </w:r>
      <w:r w:rsidRPr="00985867">
        <w:t xml:space="preserve"> konačne izvještaje o sistemskoj reviziji za IPARD III 19.02.2025, </w:t>
      </w:r>
      <w:r>
        <w:t>PGS</w:t>
      </w:r>
      <w:r w:rsidRPr="00985867">
        <w:t xml:space="preserve"> MNE</w:t>
      </w:r>
      <w:r>
        <w:rPr>
          <w:rStyle w:val="FootnoteReference"/>
          <w:rFonts w:cs="Arial"/>
          <w:color w:val="000000" w:themeColor="text1"/>
        </w:rPr>
        <w:footnoteReference w:id="264"/>
      </w:r>
      <w:r w:rsidRPr="00985867">
        <w:t xml:space="preserve"> ALB IPA III 10.02.2025, </w:t>
      </w:r>
      <w:r>
        <w:t>PGS</w:t>
      </w:r>
      <w:r w:rsidRPr="00985867">
        <w:t xml:space="preserve"> MNE KOS IPA III 07.02.2025, i </w:t>
      </w:r>
      <w:r>
        <w:t>AA</w:t>
      </w:r>
      <w:r w:rsidRPr="00985867">
        <w:t>P za 2021. 28.01.2025.</w:t>
      </w:r>
    </w:p>
    <w:p w14:paraId="04FC8953" w14:textId="77777777" w:rsidR="00091B36" w:rsidRPr="00985867" w:rsidRDefault="00091B36" w:rsidP="00091B36">
      <w:pPr>
        <w:spacing w:before="120"/>
        <w:rPr>
          <w:rFonts w:cs="Arial"/>
          <w:color w:val="000000" w:themeColor="text1"/>
          <w:szCs w:val="20"/>
        </w:rPr>
      </w:pPr>
      <w:r w:rsidRPr="00985867">
        <w:rPr>
          <w:rFonts w:cs="Arial"/>
          <w:color w:val="000000" w:themeColor="text1"/>
          <w:szCs w:val="20"/>
        </w:rPr>
        <w:lastRenderedPageBreak/>
        <w:t>Frekvencija i obim sistemskih revizija određuje se na osnovu procjene rizika koju sprovodi Revizorsko tijelo (</w:t>
      </w:r>
      <w:r>
        <w:rPr>
          <w:rFonts w:cs="Arial"/>
          <w:color w:val="000000" w:themeColor="text1"/>
          <w:szCs w:val="20"/>
        </w:rPr>
        <w:t>RT</w:t>
      </w:r>
      <w:r w:rsidRPr="00985867">
        <w:rPr>
          <w:rFonts w:cs="Arial"/>
          <w:color w:val="000000" w:themeColor="text1"/>
          <w:szCs w:val="20"/>
        </w:rPr>
        <w:t>).</w:t>
      </w:r>
    </w:p>
    <w:p w14:paraId="672CE15C" w14:textId="77777777" w:rsidR="00091B36" w:rsidRPr="00FC0E29" w:rsidRDefault="00091B36" w:rsidP="00091B36">
      <w:r w:rsidRPr="00985867">
        <w:t>Revizije računa se vrše za svaku finansijsku godinu. Revizorsko tijelo provjerava potpunost, tačnost i istinitost iznosa koji su priznati u računima, uzimajući u obzir rad izvršen kao dio sistemskih revizija Nacionalnog fonda (NF) (verifikacija pouzdanosti računovodstvenog sistema Nacionalnog fonda i, na osnovu uzorka, tačnost troškova iznosa povučenih i vraćenih koji su zabilježeni u računovodstvenom sistemu NF) i revizije projekata.</w:t>
      </w:r>
    </w:p>
    <w:p w14:paraId="3FCE66B4" w14:textId="77777777" w:rsidR="00091B36" w:rsidRPr="00FC0E29" w:rsidRDefault="00091B36" w:rsidP="00091B36">
      <w:pPr>
        <w:pStyle w:val="Heading2"/>
        <w:numPr>
          <w:ilvl w:val="0"/>
          <w:numId w:val="0"/>
        </w:numPr>
        <w:ind w:left="576" w:hanging="576"/>
        <w:rPr>
          <w:u w:val="single"/>
        </w:rPr>
      </w:pPr>
      <w:r w:rsidRPr="00FC0E29">
        <w:t xml:space="preserve">I.5. </w:t>
      </w:r>
      <w:r>
        <w:t>Unutrašnja revizija</w:t>
      </w:r>
      <w:r w:rsidRPr="00FC0E29">
        <w:rPr>
          <w:u w:val="single"/>
        </w:rPr>
        <w:t xml:space="preserve"> </w:t>
      </w:r>
    </w:p>
    <w:p w14:paraId="6C46F0E3" w14:textId="77777777" w:rsidR="00091B36" w:rsidRDefault="00091B36" w:rsidP="00091B36">
      <w:r w:rsidRPr="00085373">
        <w:t>Unutrašnja revizija u javnom sektoru Crne Gore definisana je Zakonom o upravljanju i unutrašnjim kontrolama</w:t>
      </w:r>
      <w:r>
        <w:t xml:space="preserve"> u javnom sektoru</w:t>
      </w:r>
      <w:r w:rsidRPr="00085373">
        <w:t xml:space="preserve"> (Službeni list Crne Gore br. 075/18 od 23.11.2018). Prema Uredbi o uspostavljanju unutrašnje revizije u javnom sektoru (Službeni list Crne Gore br. 134/22 od 07.12.2022), Uredbi o </w:t>
      </w:r>
      <w:proofErr w:type="gramStart"/>
      <w:r>
        <w:t>bližem</w:t>
      </w:r>
      <w:r w:rsidRPr="00085373">
        <w:t xml:space="preserve"> </w:t>
      </w:r>
      <w:r>
        <w:t xml:space="preserve"> načinu</w:t>
      </w:r>
      <w:proofErr w:type="gramEnd"/>
      <w:r>
        <w:t xml:space="preserve"> </w:t>
      </w:r>
      <w:r w:rsidRPr="00085373">
        <w:t>sprovođenj</w:t>
      </w:r>
      <w:r>
        <w:t>a</w:t>
      </w:r>
      <w:r w:rsidRPr="00085373">
        <w:t xml:space="preserve"> finansijske podrške </w:t>
      </w:r>
      <w:r>
        <w:t>Evropske u</w:t>
      </w:r>
      <w:r w:rsidRPr="00085373">
        <w:t xml:space="preserve">nije </w:t>
      </w:r>
      <w:r>
        <w:t>kroz</w:t>
      </w:r>
      <w:r w:rsidRPr="00085373">
        <w:t xml:space="preserve"> Instrument za pretpristupnu po</w:t>
      </w:r>
      <w:r>
        <w:t>dršku</w:t>
      </w:r>
      <w:r w:rsidRPr="00085373">
        <w:t xml:space="preserve"> (IPA III) (Službeni list Crne Gore br. 77/23 od 28.07.2023) i Pravilniku o unutrašnjoj organizaciji i sistematizaciji Ministarstva finansija (najnovija verzija iz decembra 2023</w:t>
      </w:r>
      <w:r>
        <w:t>. godine</w:t>
      </w:r>
      <w:r w:rsidRPr="00085373">
        <w:t xml:space="preserve">), unutrašnja revizija sredstava EU je centralizovana i sprovodi je </w:t>
      </w:r>
      <w:r>
        <w:t xml:space="preserve">Odjeljenje za </w:t>
      </w:r>
      <w:r w:rsidRPr="00085373">
        <w:t>unutrašnj</w:t>
      </w:r>
      <w:r>
        <w:t>u</w:t>
      </w:r>
      <w:r w:rsidRPr="00085373">
        <w:t xml:space="preserve"> revizij</w:t>
      </w:r>
      <w:r>
        <w:t>u</w:t>
      </w:r>
      <w:r w:rsidRPr="00085373">
        <w:t xml:space="preserve"> </w:t>
      </w:r>
      <w:r>
        <w:t>fondova</w:t>
      </w:r>
      <w:r w:rsidRPr="00085373">
        <w:t xml:space="preserve"> EU</w:t>
      </w:r>
      <w:r>
        <w:t xml:space="preserve"> u javnom sektoru</w:t>
      </w:r>
      <w:r w:rsidRPr="00085373">
        <w:t>, koja je odjeljenje unutar Ministarstva finansija.</w:t>
      </w:r>
      <w:r>
        <w:t xml:space="preserve"> Odjeljenje</w:t>
      </w:r>
      <w:r w:rsidRPr="00085373">
        <w:t xml:space="preserve"> unutrašnje revizije za sredstva EU vrši revizije programa/projekata koji su finansirani u cijelosti ili delimično iz sredstava EU za pretpristupnu po</w:t>
      </w:r>
      <w:r>
        <w:t>dršku</w:t>
      </w:r>
      <w:r w:rsidRPr="00085373">
        <w:t xml:space="preserve"> unutar državnih administrativnih organa koji čine strukturu za upravljanje pretpristupnim sredstvima (poznatijim kao IPA tijela), s ciljem pružanja nezavisnog i objektivnog osiguranja o adekvatnosti i efikasnosti sistema upravljanja, upravljanju rizicima i unutrašnjim kontrolama (osim u sektoru poljoprivrede). </w:t>
      </w:r>
    </w:p>
    <w:p w14:paraId="78942B13" w14:textId="77777777" w:rsidR="00091B36" w:rsidRPr="00085373" w:rsidRDefault="00091B36" w:rsidP="00091B36">
      <w:r>
        <w:t>Odjeljenje</w:t>
      </w:r>
      <w:r w:rsidRPr="00085373">
        <w:t xml:space="preserve"> unutrašnje revizije za sredstva EU posjeduje potrebnu organizacionu nezavisnost, što je garantovano Pravilnikom o unutrašnjoj organizaciji i sistematizaciji Ministarstva finansija. Šef odjeljenja direktno je odgovoran ne samo ministru finansija, već i NAO-u.</w:t>
      </w:r>
    </w:p>
    <w:p w14:paraId="6745666B" w14:textId="77777777" w:rsidR="00091B36" w:rsidRDefault="00091B36" w:rsidP="00091B36">
      <w:r w:rsidRPr="00085373">
        <w:t>Izvještaji i nalazi unutrašnje revizije dostavljaju se NAO-u, šefu Jedinice (ministra finansija) i šefu državnog administrativnog o</w:t>
      </w:r>
      <w:r>
        <w:t>rgana</w:t>
      </w:r>
      <w:r w:rsidRPr="00085373">
        <w:t xml:space="preserve"> koji je bio predmet revizije. </w:t>
      </w:r>
    </w:p>
    <w:p w14:paraId="6C771413" w14:textId="77777777" w:rsidR="00091B36" w:rsidRPr="00FC0E29" w:rsidRDefault="00091B36" w:rsidP="00091B36">
      <w:pPr>
        <w:pStyle w:val="Heading2"/>
        <w:numPr>
          <w:ilvl w:val="0"/>
          <w:numId w:val="0"/>
        </w:numPr>
        <w:ind w:left="576" w:hanging="576"/>
      </w:pPr>
      <w:r w:rsidRPr="00FC0E29">
        <w:t xml:space="preserve">I.6. </w:t>
      </w:r>
      <w:r>
        <w:t>Sistem za borbu protiv prevara</w:t>
      </w:r>
      <w:r w:rsidRPr="00FC0E29">
        <w:t xml:space="preserve"> (AFCOS)</w:t>
      </w:r>
    </w:p>
    <w:p w14:paraId="2F4A0AC0" w14:textId="77777777" w:rsidR="00091B36" w:rsidRPr="002461BB" w:rsidRDefault="00091B36" w:rsidP="00091B36">
      <w:r w:rsidRPr="002461BB">
        <w:t>Član 12. FFPA navodi da, prilikom upravljanja sredstvima IPA III, korisnik IPA III mora poštovati principe dobrog finansijskog upravljanja, transparentnosti i nediskriminacije, te osigurati vidljivost IPA III po</w:t>
      </w:r>
      <w:r>
        <w:t>drške</w:t>
      </w:r>
      <w:r w:rsidRPr="002461BB">
        <w:t xml:space="preserve">. Korisnik IPA III treba da obezbijedi određeni nivo zaštite finansijskih interesa Evropske unije. Isto tako, navedeni član </w:t>
      </w:r>
      <w:r>
        <w:t>propisuje</w:t>
      </w:r>
      <w:r w:rsidRPr="002461BB">
        <w:t xml:space="preserve"> da korisnik treba da uspostavi i obezbijedi funkcionisanje efikasnog i ef</w:t>
      </w:r>
      <w:r>
        <w:t>ektivnog</w:t>
      </w:r>
      <w:r w:rsidRPr="002461BB">
        <w:t xml:space="preserve"> sistema unutrašnje kontrole zasnovanog na međunarodnim najboljim praksama, koji omogućava, posebno, prevenciju, otkrivanje, izv</w:t>
      </w:r>
      <w:r>
        <w:t>j</w:t>
      </w:r>
      <w:r w:rsidRPr="002461BB">
        <w:t>eštavanje i ispravku nepravilnosti i prevara.</w:t>
      </w:r>
    </w:p>
    <w:p w14:paraId="468B2651" w14:textId="77777777" w:rsidR="00091B36" w:rsidRPr="002461BB" w:rsidRDefault="00091B36" w:rsidP="00091B36">
      <w:r w:rsidRPr="002461BB">
        <w:t>Član 50. FFPA takođe naglašava da su svi finansijski sporazumi podložni nadzoru, kontroli i reviziji od strane Komisije, Evropsk</w:t>
      </w:r>
      <w:r>
        <w:t>e kancelarije</w:t>
      </w:r>
      <w:r w:rsidRPr="002461BB">
        <w:t xml:space="preserve"> za borbu protiv prevara (OLAF) i Evropskog revizorskog suda. Član 51. FFPA definiše značaj zaštite finansijskih interesa EU i naglašava potrebu uspostavljanja mehanizama kontrole i izvještavanja u vezi s mogućim nepravilnostima u državama članicama, zemljama kandidatkinjama i potencijalnim zemljama kandidatkinjama koje primaju </w:t>
      </w:r>
      <w:r>
        <w:t>podršku</w:t>
      </w:r>
      <w:r w:rsidRPr="002461BB">
        <w:t xml:space="preserve"> EU.</w:t>
      </w:r>
    </w:p>
    <w:p w14:paraId="6349BE9A" w14:textId="77777777" w:rsidR="00091B36" w:rsidRDefault="00091B36" w:rsidP="00091B36">
      <w:r w:rsidRPr="002461BB">
        <w:t xml:space="preserve">Crna Gora </w:t>
      </w:r>
      <w:r>
        <w:t xml:space="preserve">ima </w:t>
      </w:r>
      <w:r w:rsidRPr="002461BB">
        <w:t>obavez</w:t>
      </w:r>
      <w:r>
        <w:t>u</w:t>
      </w:r>
      <w:r w:rsidRPr="002461BB">
        <w:t xml:space="preserve"> da odredi AFCOS u skladu sa odredbama IPA III Finansijskog okvira za partnerski sporazum - član 50(2), kao i IPA II Okvirnog sporazuma - član 50(2), kako bi se omogućila efikasna saradnja i razmjena informacija, uključujući informacije operativne prirode, sa Evropsk</w:t>
      </w:r>
      <w:r>
        <w:t>om kancelarijom</w:t>
      </w:r>
      <w:r w:rsidRPr="002461BB">
        <w:t xml:space="preserve"> za borbu protiv prevara (OLAF).</w:t>
      </w:r>
    </w:p>
    <w:p w14:paraId="1F21F73C" w14:textId="77777777" w:rsidR="00091B36" w:rsidRPr="002461BB" w:rsidRDefault="00091B36" w:rsidP="00091B36">
      <w:r w:rsidRPr="002461BB">
        <w:t xml:space="preserve">Crna Gora je ispunila ove obaveze tako što je odredila AFCOS – </w:t>
      </w:r>
      <w:r>
        <w:t>Direkciju</w:t>
      </w:r>
      <w:r w:rsidRPr="002461BB">
        <w:t xml:space="preserve"> za zaštitu finansijskih interesa EU (AFCOS kancelarija) unutar Ministarstva finansija, koje je pod upravom Direk</w:t>
      </w:r>
      <w:r>
        <w:t>torata</w:t>
      </w:r>
      <w:r w:rsidRPr="002461BB">
        <w:t xml:space="preserve"> za inspekcij</w:t>
      </w:r>
      <w:r>
        <w:t>ski nadzor</w:t>
      </w:r>
      <w:r w:rsidRPr="002461BB">
        <w:t xml:space="preserve"> i zaštitu finansijskih interesa EU. </w:t>
      </w:r>
    </w:p>
    <w:p w14:paraId="751671BD" w14:textId="77777777" w:rsidR="00091B36" w:rsidRDefault="00091B36" w:rsidP="00091B36">
      <w:r w:rsidRPr="002461BB">
        <w:t xml:space="preserve">AFCOS kancelarija je glavna tačka kontakta za OLAF i obezbjeđuje efikasnu saradnju između IPA struktura i </w:t>
      </w:r>
      <w:r>
        <w:t>tijela</w:t>
      </w:r>
      <w:r w:rsidRPr="002461BB">
        <w:t xml:space="preserve"> van IPA struktura, kao i razmjenu informacija, uključujući i informacije sa OLAF-om.</w:t>
      </w:r>
    </w:p>
    <w:p w14:paraId="791661A8" w14:textId="77777777" w:rsidR="00091B36" w:rsidRPr="002461BB" w:rsidRDefault="00091B36" w:rsidP="00091B36">
      <w:r w:rsidRPr="002461BB">
        <w:t>Glavne funkcije AFCOS kancelarije zasnovane su na zahtjevima iz IPA III Finansijskog okvira za partnerski sporazum i obuhvataju sljedeće:</w:t>
      </w:r>
    </w:p>
    <w:p w14:paraId="6AAD6FED" w14:textId="77777777" w:rsidR="00091B36" w:rsidRDefault="00091B36" w:rsidP="00D15218">
      <w:pPr>
        <w:pStyle w:val="ListParagraph"/>
        <w:numPr>
          <w:ilvl w:val="0"/>
          <w:numId w:val="75"/>
        </w:numPr>
        <w:spacing w:before="120"/>
        <w:rPr>
          <w:rFonts w:cs="Arial"/>
          <w:color w:val="000000" w:themeColor="text1"/>
          <w:szCs w:val="20"/>
        </w:rPr>
      </w:pPr>
      <w:r w:rsidRPr="00BA42E3">
        <w:rPr>
          <w:rFonts w:cs="Arial"/>
          <w:color w:val="000000" w:themeColor="text1"/>
          <w:szCs w:val="20"/>
        </w:rPr>
        <w:lastRenderedPageBreak/>
        <w:t>Vođenje kreiranja/implementacije strategija za zaštitu finansijskih interesa EU</w:t>
      </w:r>
      <w:r>
        <w:rPr>
          <w:rFonts w:cs="Arial"/>
          <w:color w:val="000000" w:themeColor="text1"/>
          <w:szCs w:val="20"/>
        </w:rPr>
        <w:t>;</w:t>
      </w:r>
    </w:p>
    <w:p w14:paraId="1AABC7B8" w14:textId="77777777" w:rsidR="00091B36" w:rsidRDefault="00091B36" w:rsidP="00D15218">
      <w:pPr>
        <w:pStyle w:val="ListParagraph"/>
        <w:numPr>
          <w:ilvl w:val="0"/>
          <w:numId w:val="75"/>
        </w:numPr>
        <w:spacing w:before="120"/>
        <w:rPr>
          <w:rFonts w:cs="Arial"/>
          <w:color w:val="000000" w:themeColor="text1"/>
          <w:szCs w:val="20"/>
        </w:rPr>
      </w:pPr>
      <w:r w:rsidRPr="00BA42E3">
        <w:rPr>
          <w:rFonts w:cs="Arial"/>
          <w:color w:val="000000" w:themeColor="text1"/>
          <w:szCs w:val="20"/>
        </w:rPr>
        <w:t>Identifikacija mogućih slabosti u sistemima korisnika IPA III za upravljanje sredstvima Unije, uključujući IPA III po</w:t>
      </w:r>
      <w:r>
        <w:rPr>
          <w:rFonts w:cs="Arial"/>
          <w:color w:val="000000" w:themeColor="text1"/>
          <w:szCs w:val="20"/>
        </w:rPr>
        <w:t>dršku;</w:t>
      </w:r>
    </w:p>
    <w:p w14:paraId="4B19918B" w14:textId="77777777" w:rsidR="00091B36" w:rsidRDefault="00091B36" w:rsidP="00D15218">
      <w:pPr>
        <w:pStyle w:val="ListParagraph"/>
        <w:numPr>
          <w:ilvl w:val="0"/>
          <w:numId w:val="75"/>
        </w:numPr>
        <w:spacing w:before="120"/>
        <w:rPr>
          <w:rFonts w:cs="Arial"/>
          <w:color w:val="000000" w:themeColor="text1"/>
          <w:szCs w:val="20"/>
        </w:rPr>
      </w:pPr>
      <w:r w:rsidRPr="00BA42E3">
        <w:rPr>
          <w:rFonts w:cs="Arial"/>
          <w:color w:val="000000" w:themeColor="text1"/>
          <w:szCs w:val="20"/>
        </w:rPr>
        <w:t>Osiguranje dovoljn</w:t>
      </w:r>
      <w:r>
        <w:rPr>
          <w:rFonts w:cs="Arial"/>
          <w:color w:val="000000" w:themeColor="text1"/>
          <w:szCs w:val="20"/>
        </w:rPr>
        <w:t>og</w:t>
      </w:r>
      <w:r w:rsidRPr="00BA42E3">
        <w:rPr>
          <w:rFonts w:cs="Arial"/>
          <w:color w:val="000000" w:themeColor="text1"/>
          <w:szCs w:val="20"/>
        </w:rPr>
        <w:t xml:space="preserve"> kapacitet</w:t>
      </w:r>
      <w:r>
        <w:rPr>
          <w:rFonts w:cs="Arial"/>
          <w:color w:val="000000" w:themeColor="text1"/>
          <w:szCs w:val="20"/>
        </w:rPr>
        <w:t>a</w:t>
      </w:r>
      <w:r w:rsidRPr="00BA42E3">
        <w:rPr>
          <w:rFonts w:cs="Arial"/>
          <w:color w:val="000000" w:themeColor="text1"/>
          <w:szCs w:val="20"/>
        </w:rPr>
        <w:t xml:space="preserve"> ljudskih resursa za ove zadatke, uključujući obuku osoblja za borbu protiv prevara</w:t>
      </w:r>
      <w:r>
        <w:rPr>
          <w:rFonts w:cs="Arial"/>
          <w:color w:val="000000" w:themeColor="text1"/>
          <w:szCs w:val="20"/>
        </w:rPr>
        <w:t>;</w:t>
      </w:r>
    </w:p>
    <w:p w14:paraId="2EF16813" w14:textId="77777777" w:rsidR="00091B36" w:rsidRDefault="00091B36" w:rsidP="00D15218">
      <w:pPr>
        <w:pStyle w:val="ListParagraph"/>
        <w:numPr>
          <w:ilvl w:val="0"/>
          <w:numId w:val="75"/>
        </w:numPr>
        <w:spacing w:before="120"/>
        <w:rPr>
          <w:rFonts w:cs="Arial"/>
          <w:color w:val="000000" w:themeColor="text1"/>
          <w:szCs w:val="20"/>
        </w:rPr>
      </w:pPr>
      <w:r w:rsidRPr="00BA42E3">
        <w:rPr>
          <w:rFonts w:cs="Arial"/>
          <w:color w:val="000000" w:themeColor="text1"/>
          <w:szCs w:val="20"/>
        </w:rPr>
        <w:t>Podrška saradnji između administracija korisnika IPA III, organa za sprovođenje zakona</w:t>
      </w:r>
      <w:r>
        <w:rPr>
          <w:rFonts w:cs="Arial"/>
          <w:color w:val="000000" w:themeColor="text1"/>
          <w:szCs w:val="20"/>
        </w:rPr>
        <w:t xml:space="preserve"> (organi reda)</w:t>
      </w:r>
      <w:r w:rsidRPr="00BA42E3">
        <w:rPr>
          <w:rFonts w:cs="Arial"/>
          <w:color w:val="000000" w:themeColor="text1"/>
          <w:szCs w:val="20"/>
        </w:rPr>
        <w:t xml:space="preserve"> i OLAF-a: </w:t>
      </w:r>
    </w:p>
    <w:p w14:paraId="7E326DED" w14:textId="77777777" w:rsidR="00091B36" w:rsidRDefault="00091B36" w:rsidP="00D15218">
      <w:pPr>
        <w:pStyle w:val="ListParagraph"/>
        <w:numPr>
          <w:ilvl w:val="0"/>
          <w:numId w:val="75"/>
        </w:numPr>
        <w:spacing w:before="120"/>
        <w:rPr>
          <w:rFonts w:cs="Arial"/>
          <w:color w:val="000000" w:themeColor="text1"/>
          <w:szCs w:val="20"/>
        </w:rPr>
      </w:pPr>
      <w:r w:rsidRPr="00BA42E3">
        <w:rPr>
          <w:rFonts w:cs="Arial"/>
          <w:color w:val="000000" w:themeColor="text1"/>
          <w:szCs w:val="20"/>
        </w:rPr>
        <w:t xml:space="preserve">Razmjena informacija o nepravilnostima i sumnjivim prevarama, uključujući one otkrivene tokom revizija i kontrola koje sprovodi </w:t>
      </w:r>
      <w:r>
        <w:rPr>
          <w:rFonts w:cs="Arial"/>
          <w:color w:val="000000" w:themeColor="text1"/>
          <w:szCs w:val="20"/>
        </w:rPr>
        <w:t>Revizorsko tijelo</w:t>
      </w:r>
      <w:r w:rsidRPr="00BA42E3">
        <w:rPr>
          <w:rFonts w:cs="Arial"/>
          <w:color w:val="000000" w:themeColor="text1"/>
          <w:szCs w:val="20"/>
        </w:rPr>
        <w:t>, unutrašnje službe</w:t>
      </w:r>
      <w:r>
        <w:rPr>
          <w:rFonts w:cs="Arial"/>
          <w:color w:val="000000" w:themeColor="text1"/>
          <w:szCs w:val="20"/>
        </w:rPr>
        <w:t xml:space="preserve"> za reviziju</w:t>
      </w:r>
      <w:r w:rsidRPr="00BA42E3">
        <w:rPr>
          <w:rFonts w:cs="Arial"/>
          <w:color w:val="000000" w:themeColor="text1"/>
          <w:szCs w:val="20"/>
        </w:rPr>
        <w:t>, Ministarstvo finansija – NAO/Upravlja</w:t>
      </w:r>
      <w:r>
        <w:rPr>
          <w:rFonts w:cs="Arial"/>
          <w:color w:val="000000" w:themeColor="text1"/>
          <w:szCs w:val="20"/>
        </w:rPr>
        <w:t>čka</w:t>
      </w:r>
      <w:r w:rsidRPr="00BA42E3">
        <w:rPr>
          <w:rFonts w:cs="Arial"/>
          <w:color w:val="000000" w:themeColor="text1"/>
          <w:szCs w:val="20"/>
        </w:rPr>
        <w:t xml:space="preserve"> struktur</w:t>
      </w:r>
      <w:r>
        <w:rPr>
          <w:rFonts w:cs="Arial"/>
          <w:color w:val="000000" w:themeColor="text1"/>
          <w:szCs w:val="20"/>
        </w:rPr>
        <w:t>a</w:t>
      </w:r>
      <w:r w:rsidRPr="00BA42E3">
        <w:rPr>
          <w:rFonts w:cs="Arial"/>
          <w:color w:val="000000" w:themeColor="text1"/>
          <w:szCs w:val="20"/>
        </w:rPr>
        <w:t>, Upravlj</w:t>
      </w:r>
      <w:r>
        <w:rPr>
          <w:rFonts w:cs="Arial"/>
          <w:color w:val="000000" w:themeColor="text1"/>
          <w:szCs w:val="20"/>
        </w:rPr>
        <w:t>ačka tijela</w:t>
      </w:r>
      <w:r w:rsidRPr="00BA42E3">
        <w:rPr>
          <w:rFonts w:cs="Arial"/>
          <w:color w:val="000000" w:themeColor="text1"/>
          <w:szCs w:val="20"/>
        </w:rPr>
        <w:t xml:space="preserve"> i </w:t>
      </w:r>
      <w:r>
        <w:rPr>
          <w:rFonts w:cs="Arial"/>
          <w:color w:val="000000" w:themeColor="text1"/>
          <w:szCs w:val="20"/>
        </w:rPr>
        <w:t>Posrednička tijela</w:t>
      </w:r>
      <w:r w:rsidRPr="00BA42E3">
        <w:rPr>
          <w:rFonts w:cs="Arial"/>
          <w:color w:val="000000" w:themeColor="text1"/>
          <w:szCs w:val="20"/>
        </w:rPr>
        <w:t xml:space="preserve">, </w:t>
      </w:r>
      <w:r>
        <w:rPr>
          <w:rFonts w:cs="Arial"/>
          <w:color w:val="000000" w:themeColor="text1"/>
          <w:szCs w:val="20"/>
        </w:rPr>
        <w:t>menadžmentom</w:t>
      </w:r>
      <w:r w:rsidRPr="00BA42E3">
        <w:rPr>
          <w:rFonts w:cs="Arial"/>
          <w:color w:val="000000" w:themeColor="text1"/>
          <w:szCs w:val="20"/>
        </w:rPr>
        <w:t xml:space="preserve"> korisnika IPA III i OLAF-om</w:t>
      </w:r>
      <w:r>
        <w:rPr>
          <w:rFonts w:cs="Arial"/>
          <w:color w:val="000000" w:themeColor="text1"/>
          <w:szCs w:val="20"/>
        </w:rPr>
        <w:t>;</w:t>
      </w:r>
    </w:p>
    <w:p w14:paraId="6FB012CF" w14:textId="77777777" w:rsidR="00091B36" w:rsidRPr="00BA42E3" w:rsidRDefault="00091B36" w:rsidP="00D15218">
      <w:pPr>
        <w:pStyle w:val="ListParagraph"/>
        <w:numPr>
          <w:ilvl w:val="0"/>
          <w:numId w:val="75"/>
        </w:numPr>
        <w:spacing w:before="120"/>
        <w:rPr>
          <w:rFonts w:cs="Arial"/>
          <w:color w:val="000000" w:themeColor="text1"/>
          <w:szCs w:val="20"/>
        </w:rPr>
      </w:pPr>
      <w:r w:rsidRPr="00BA42E3">
        <w:rPr>
          <w:rFonts w:cs="Arial"/>
          <w:color w:val="000000" w:themeColor="text1"/>
          <w:szCs w:val="20"/>
        </w:rPr>
        <w:t xml:space="preserve">Osiguranje ispunjenja svih obaveza prema </w:t>
      </w:r>
      <w:r>
        <w:rPr>
          <w:rFonts w:cs="Arial"/>
          <w:color w:val="000000" w:themeColor="text1"/>
          <w:szCs w:val="20"/>
        </w:rPr>
        <w:t>Regulativi</w:t>
      </w:r>
      <w:r w:rsidRPr="00BA42E3">
        <w:rPr>
          <w:rFonts w:cs="Arial"/>
          <w:color w:val="000000" w:themeColor="text1"/>
          <w:szCs w:val="20"/>
        </w:rPr>
        <w:t xml:space="preserve"> (</w:t>
      </w:r>
      <w:r>
        <w:rPr>
          <w:rFonts w:cs="Arial"/>
          <w:color w:val="000000" w:themeColor="text1"/>
          <w:szCs w:val="20"/>
        </w:rPr>
        <w:t>EK</w:t>
      </w:r>
      <w:r w:rsidRPr="00BA42E3">
        <w:rPr>
          <w:rFonts w:cs="Arial"/>
          <w:color w:val="000000" w:themeColor="text1"/>
          <w:szCs w:val="20"/>
        </w:rPr>
        <w:t xml:space="preserve">, Euratom) br. 883/2013 Evropskog parlamenta i Savjeta, </w:t>
      </w:r>
      <w:r>
        <w:rPr>
          <w:rFonts w:cs="Arial"/>
          <w:color w:val="000000" w:themeColor="text1"/>
          <w:szCs w:val="20"/>
        </w:rPr>
        <w:t>Regulativi</w:t>
      </w:r>
      <w:r w:rsidRPr="00BA42E3">
        <w:rPr>
          <w:rFonts w:cs="Arial"/>
          <w:color w:val="000000" w:themeColor="text1"/>
          <w:szCs w:val="20"/>
        </w:rPr>
        <w:t xml:space="preserve"> Savjeta (Euratom, </w:t>
      </w:r>
      <w:r>
        <w:rPr>
          <w:rFonts w:cs="Arial"/>
          <w:color w:val="000000" w:themeColor="text1"/>
          <w:szCs w:val="20"/>
        </w:rPr>
        <w:t>EK</w:t>
      </w:r>
      <w:r w:rsidRPr="00BA42E3">
        <w:rPr>
          <w:rFonts w:cs="Arial"/>
          <w:color w:val="000000" w:themeColor="text1"/>
          <w:szCs w:val="20"/>
        </w:rPr>
        <w:t xml:space="preserve">) br. 2988/1995 i </w:t>
      </w:r>
      <w:r>
        <w:rPr>
          <w:rFonts w:cs="Arial"/>
          <w:color w:val="000000" w:themeColor="text1"/>
          <w:szCs w:val="20"/>
        </w:rPr>
        <w:t>Regulativi</w:t>
      </w:r>
      <w:r w:rsidRPr="00BA42E3">
        <w:rPr>
          <w:rFonts w:cs="Arial"/>
          <w:color w:val="000000" w:themeColor="text1"/>
          <w:szCs w:val="20"/>
        </w:rPr>
        <w:t xml:space="preserve"> Savjeta (</w:t>
      </w:r>
      <w:r>
        <w:rPr>
          <w:rFonts w:cs="Arial"/>
          <w:color w:val="000000" w:themeColor="text1"/>
          <w:szCs w:val="20"/>
        </w:rPr>
        <w:t>EK</w:t>
      </w:r>
      <w:r w:rsidRPr="00BA42E3">
        <w:rPr>
          <w:rFonts w:cs="Arial"/>
          <w:color w:val="000000" w:themeColor="text1"/>
          <w:szCs w:val="20"/>
        </w:rPr>
        <w:t>, Euratom) br. 2185/1996.</w:t>
      </w:r>
    </w:p>
    <w:p w14:paraId="50CE76D3" w14:textId="77777777" w:rsidR="00091B36" w:rsidRPr="00EA084C" w:rsidRDefault="00091B36" w:rsidP="00091B36">
      <w:r w:rsidRPr="00EA084C">
        <w:t xml:space="preserve">AFCOS kancelarija je takođe inicirala uspostavljanje Koordinacionog tijela za </w:t>
      </w:r>
      <w:r>
        <w:t>monitoring</w:t>
      </w:r>
      <w:r w:rsidRPr="00EA084C">
        <w:t xml:space="preserve"> i upravljanje politikama za spr</w:t>
      </w:r>
      <w:r>
        <w:t>j</w:t>
      </w:r>
      <w:r w:rsidRPr="00EA084C">
        <w:t>ečavanje i borbu protiv nepravilnosti za zaštitu finansijskih interesa EU (AFCOS mreža). Pored AFCOS kancelarije koja koordinira Mrež</w:t>
      </w:r>
      <w:r>
        <w:t>om</w:t>
      </w:r>
      <w:r w:rsidRPr="00EA084C">
        <w:t>, AFCOS mreža se sastoji od predstavnika različitih institucija, kao što su: Ministarstvo pravde, Ministarstvo unutrašnjih poslova, Uprava policije, Poreska i carinska uprava, Vrhovno državno tužilaštvo</w:t>
      </w:r>
      <w:r w:rsidRPr="004130C4">
        <w:t>, Revizorsko tijelo,</w:t>
      </w:r>
      <w:r w:rsidRPr="00EA084C">
        <w:t xml:space="preserve"> Ministarstvo evropskih poslova, Ministarstvo finansija i Agencija za borbu protiv korupcije. Zada</w:t>
      </w:r>
      <w:r>
        <w:t>ci</w:t>
      </w:r>
      <w:r w:rsidRPr="00EA084C">
        <w:t xml:space="preserve"> AFCOS mreže su:</w:t>
      </w:r>
    </w:p>
    <w:p w14:paraId="1BB15E96" w14:textId="77777777" w:rsidR="00091B36" w:rsidRDefault="00091B36" w:rsidP="00D15218">
      <w:pPr>
        <w:pStyle w:val="ListParagraph"/>
        <w:numPr>
          <w:ilvl w:val="0"/>
          <w:numId w:val="76"/>
        </w:numPr>
        <w:spacing w:before="120"/>
        <w:rPr>
          <w:rFonts w:cs="Arial"/>
          <w:color w:val="000000" w:themeColor="text1"/>
          <w:szCs w:val="20"/>
        </w:rPr>
      </w:pPr>
      <w:r w:rsidRPr="00CC027D">
        <w:rPr>
          <w:rFonts w:cs="Arial"/>
          <w:color w:val="000000" w:themeColor="text1"/>
          <w:szCs w:val="20"/>
        </w:rPr>
        <w:t>Razvijanje nacionalne strategije za borbu protiv prevara;</w:t>
      </w:r>
    </w:p>
    <w:p w14:paraId="7E866379" w14:textId="77777777" w:rsidR="00091B36" w:rsidRDefault="00091B36" w:rsidP="00D15218">
      <w:pPr>
        <w:pStyle w:val="ListParagraph"/>
        <w:numPr>
          <w:ilvl w:val="0"/>
          <w:numId w:val="76"/>
        </w:numPr>
        <w:spacing w:before="120"/>
        <w:rPr>
          <w:rFonts w:cs="Arial"/>
          <w:color w:val="000000" w:themeColor="text1"/>
          <w:szCs w:val="20"/>
        </w:rPr>
      </w:pPr>
      <w:r>
        <w:rPr>
          <w:rFonts w:cs="Arial"/>
          <w:color w:val="000000" w:themeColor="text1"/>
          <w:szCs w:val="20"/>
        </w:rPr>
        <w:t>Monitoring</w:t>
      </w:r>
      <w:r w:rsidRPr="00CC027D">
        <w:rPr>
          <w:rFonts w:cs="Arial"/>
          <w:color w:val="000000" w:themeColor="text1"/>
          <w:szCs w:val="20"/>
        </w:rPr>
        <w:t xml:space="preserve"> implementacije strategije;</w:t>
      </w:r>
    </w:p>
    <w:p w14:paraId="04A32800" w14:textId="77777777" w:rsidR="00091B36" w:rsidRDefault="00091B36" w:rsidP="00D15218">
      <w:pPr>
        <w:pStyle w:val="ListParagraph"/>
        <w:numPr>
          <w:ilvl w:val="0"/>
          <w:numId w:val="76"/>
        </w:numPr>
        <w:spacing w:before="120"/>
        <w:rPr>
          <w:rFonts w:cs="Arial"/>
          <w:color w:val="000000" w:themeColor="text1"/>
          <w:szCs w:val="20"/>
        </w:rPr>
      </w:pPr>
      <w:r w:rsidRPr="00CC027D">
        <w:rPr>
          <w:rFonts w:cs="Arial"/>
          <w:color w:val="000000" w:themeColor="text1"/>
          <w:szCs w:val="20"/>
        </w:rPr>
        <w:t>Iniciranje donošenja propisa koji su važni za efikasnu zaštitu finansijskih interesa Evropske unije;</w:t>
      </w:r>
    </w:p>
    <w:p w14:paraId="0242320A" w14:textId="77777777" w:rsidR="00091B36" w:rsidRDefault="00091B36" w:rsidP="00D15218">
      <w:pPr>
        <w:pStyle w:val="ListParagraph"/>
        <w:numPr>
          <w:ilvl w:val="0"/>
          <w:numId w:val="76"/>
        </w:numPr>
        <w:spacing w:before="120"/>
        <w:rPr>
          <w:rFonts w:cs="Arial"/>
          <w:color w:val="000000" w:themeColor="text1"/>
          <w:szCs w:val="20"/>
        </w:rPr>
      </w:pPr>
      <w:r w:rsidRPr="00CC027D">
        <w:rPr>
          <w:rFonts w:cs="Arial"/>
          <w:color w:val="000000" w:themeColor="text1"/>
          <w:szCs w:val="20"/>
        </w:rPr>
        <w:t>Pregled potencijalnih slučajeva nepravilnosti i prevara u vezi sa kršenjem ugovora, pravila i propisa koji se odnose na zaštitu finansijskih interesa Evropske unije na osnovu informacija i saznanja članova AFCOS mreže i zainteresovanih strana;</w:t>
      </w:r>
    </w:p>
    <w:p w14:paraId="4086594A" w14:textId="77777777" w:rsidR="00091B36" w:rsidRDefault="00091B36" w:rsidP="00D15218">
      <w:pPr>
        <w:pStyle w:val="ListParagraph"/>
        <w:numPr>
          <w:ilvl w:val="0"/>
          <w:numId w:val="76"/>
        </w:numPr>
        <w:spacing w:before="120"/>
        <w:rPr>
          <w:rFonts w:cs="Arial"/>
          <w:color w:val="000000" w:themeColor="text1"/>
          <w:szCs w:val="20"/>
        </w:rPr>
      </w:pPr>
      <w:r w:rsidRPr="00CC027D">
        <w:rPr>
          <w:rFonts w:cs="Arial"/>
          <w:color w:val="000000" w:themeColor="text1"/>
          <w:szCs w:val="20"/>
        </w:rPr>
        <w:t>Izvještavanje Evropsk</w:t>
      </w:r>
      <w:r>
        <w:rPr>
          <w:rFonts w:cs="Arial"/>
          <w:color w:val="000000" w:themeColor="text1"/>
          <w:szCs w:val="20"/>
        </w:rPr>
        <w:t>e kancelarije</w:t>
      </w:r>
      <w:r w:rsidRPr="00CC027D">
        <w:rPr>
          <w:rFonts w:cs="Arial"/>
          <w:color w:val="000000" w:themeColor="text1"/>
          <w:szCs w:val="20"/>
        </w:rPr>
        <w:t xml:space="preserve"> za borbu protiv prevara (OLAF) o slučajevima nepravilnosti ili prevara koje utiču na finansijske interese Evropske unije;</w:t>
      </w:r>
    </w:p>
    <w:p w14:paraId="7D1C3370" w14:textId="77777777" w:rsidR="00091B36" w:rsidRDefault="00091B36" w:rsidP="00D15218">
      <w:pPr>
        <w:pStyle w:val="ListParagraph"/>
        <w:numPr>
          <w:ilvl w:val="0"/>
          <w:numId w:val="76"/>
        </w:numPr>
        <w:spacing w:before="120"/>
        <w:rPr>
          <w:rFonts w:cs="Arial"/>
          <w:color w:val="000000" w:themeColor="text1"/>
          <w:szCs w:val="20"/>
        </w:rPr>
      </w:pPr>
      <w:r w:rsidRPr="00CC027D">
        <w:rPr>
          <w:rFonts w:cs="Arial"/>
          <w:color w:val="000000" w:themeColor="text1"/>
          <w:szCs w:val="20"/>
        </w:rPr>
        <w:t>Jačanje međuinstitucionalne saradnje i razmjene informacija između organizacija čiji su predstavnici uključeni u AFCOS mrežu radi zaštite finansijskih interesa Evropske unije;</w:t>
      </w:r>
    </w:p>
    <w:p w14:paraId="3DEE5270" w14:textId="77777777" w:rsidR="00091B36" w:rsidRDefault="00091B36" w:rsidP="00D15218">
      <w:pPr>
        <w:pStyle w:val="ListParagraph"/>
        <w:numPr>
          <w:ilvl w:val="0"/>
          <w:numId w:val="76"/>
        </w:numPr>
        <w:spacing w:before="120"/>
        <w:rPr>
          <w:rFonts w:cs="Arial"/>
          <w:color w:val="000000" w:themeColor="text1"/>
          <w:szCs w:val="20"/>
        </w:rPr>
      </w:pPr>
      <w:r w:rsidRPr="00CC027D">
        <w:rPr>
          <w:rFonts w:cs="Arial"/>
          <w:color w:val="000000" w:themeColor="text1"/>
          <w:szCs w:val="20"/>
        </w:rPr>
        <w:t xml:space="preserve">Održavanje registra otkrivenih nepravilnosti i </w:t>
      </w:r>
      <w:r>
        <w:rPr>
          <w:rFonts w:cs="Arial"/>
          <w:color w:val="000000" w:themeColor="text1"/>
          <w:szCs w:val="20"/>
        </w:rPr>
        <w:t>monitoring</w:t>
      </w:r>
      <w:r w:rsidRPr="00CC027D">
        <w:rPr>
          <w:rFonts w:cs="Arial"/>
          <w:color w:val="000000" w:themeColor="text1"/>
          <w:szCs w:val="20"/>
        </w:rPr>
        <w:t xml:space="preserve"> </w:t>
      </w:r>
      <w:r>
        <w:rPr>
          <w:rFonts w:cs="Arial"/>
          <w:color w:val="000000" w:themeColor="text1"/>
          <w:szCs w:val="20"/>
        </w:rPr>
        <w:t>implementacije</w:t>
      </w:r>
      <w:r w:rsidRPr="00CC027D">
        <w:rPr>
          <w:rFonts w:cs="Arial"/>
          <w:color w:val="000000" w:themeColor="text1"/>
          <w:szCs w:val="20"/>
        </w:rPr>
        <w:t xml:space="preserve"> nalaza navedenih u izvještajima OLAF-u;</w:t>
      </w:r>
    </w:p>
    <w:p w14:paraId="7ADD6B2D" w14:textId="77777777" w:rsidR="00091B36" w:rsidRPr="00CC027D" w:rsidRDefault="00091B36" w:rsidP="00D15218">
      <w:pPr>
        <w:pStyle w:val="ListParagraph"/>
        <w:numPr>
          <w:ilvl w:val="0"/>
          <w:numId w:val="76"/>
        </w:numPr>
        <w:spacing w:before="120"/>
        <w:rPr>
          <w:rFonts w:cs="Arial"/>
          <w:color w:val="000000" w:themeColor="text1"/>
          <w:szCs w:val="20"/>
        </w:rPr>
      </w:pPr>
      <w:r w:rsidRPr="00CC027D">
        <w:rPr>
          <w:rFonts w:cs="Arial"/>
          <w:color w:val="000000" w:themeColor="text1"/>
          <w:szCs w:val="20"/>
        </w:rPr>
        <w:t>Sprovođenje programa obuke prema potrebama institucija čiji su predstavnici d</w:t>
      </w:r>
      <w:r>
        <w:rPr>
          <w:rFonts w:cs="Arial"/>
          <w:color w:val="000000" w:themeColor="text1"/>
          <w:szCs w:val="20"/>
        </w:rPr>
        <w:t>i</w:t>
      </w:r>
      <w:r w:rsidRPr="00CC027D">
        <w:rPr>
          <w:rFonts w:cs="Arial"/>
          <w:color w:val="000000" w:themeColor="text1"/>
          <w:szCs w:val="20"/>
        </w:rPr>
        <w:t>o AFCOS mreže.</w:t>
      </w:r>
    </w:p>
    <w:p w14:paraId="1B658B0C" w14:textId="77777777" w:rsidR="00091B36" w:rsidRPr="00FC0E29" w:rsidRDefault="00091B36" w:rsidP="00091B36">
      <w:pPr>
        <w:pStyle w:val="Heading2"/>
        <w:numPr>
          <w:ilvl w:val="0"/>
          <w:numId w:val="0"/>
        </w:numPr>
        <w:ind w:left="576" w:hanging="576"/>
      </w:pPr>
      <w:r w:rsidRPr="00FC0E29">
        <w:t xml:space="preserve">I.7. </w:t>
      </w:r>
      <w:r>
        <w:t>Povjeravanje zadataka izvršenja budžeta i okvir osiguranja</w:t>
      </w:r>
    </w:p>
    <w:p w14:paraId="2193FBD7" w14:textId="77777777" w:rsidR="00091B36" w:rsidRDefault="00091B36" w:rsidP="00091B36">
      <w:pPr>
        <w:spacing w:before="120"/>
        <w:rPr>
          <w:rFonts w:cs="Arial"/>
          <w:bCs/>
          <w:color w:val="000000" w:themeColor="text1"/>
        </w:rPr>
      </w:pPr>
      <w:r w:rsidRPr="00CC027D">
        <w:rPr>
          <w:rFonts w:cs="Arial"/>
          <w:bCs/>
          <w:color w:val="000000" w:themeColor="text1"/>
        </w:rPr>
        <w:t xml:space="preserve">Treba naglasiti da je osoblje </w:t>
      </w:r>
      <w:r w:rsidRPr="00CC027D">
        <w:rPr>
          <w:rFonts w:cs="Arial"/>
          <w:b/>
          <w:bCs/>
          <w:color w:val="000000" w:themeColor="text1"/>
        </w:rPr>
        <w:t>Ministarstva finansija – NAO/Upravljačke strukture ostalo stabilno tokom tri IPA perspektive, stičući značajno institucionalno znanje i postepeno unaprjeđujući svoje administrativne kapacitete u pripremi pravnih akata i priručnika za procedure, zahtjeva za povjeravanje i</w:t>
      </w:r>
      <w:r>
        <w:rPr>
          <w:rFonts w:cs="Arial"/>
          <w:b/>
          <w:bCs/>
          <w:color w:val="000000" w:themeColor="text1"/>
        </w:rPr>
        <w:t>zvršenja</w:t>
      </w:r>
      <w:r w:rsidRPr="00CC027D">
        <w:rPr>
          <w:rFonts w:cs="Arial"/>
          <w:b/>
          <w:bCs/>
          <w:color w:val="000000" w:themeColor="text1"/>
        </w:rPr>
        <w:t xml:space="preserve"> budžet</w:t>
      </w:r>
      <w:r>
        <w:rPr>
          <w:rFonts w:cs="Arial"/>
          <w:b/>
          <w:bCs/>
          <w:color w:val="000000" w:themeColor="text1"/>
        </w:rPr>
        <w:t>skih</w:t>
      </w:r>
      <w:r w:rsidRPr="008B244E">
        <w:rPr>
          <w:rFonts w:cs="Arial"/>
          <w:b/>
          <w:bCs/>
          <w:color w:val="000000" w:themeColor="text1"/>
        </w:rPr>
        <w:t xml:space="preserve"> </w:t>
      </w:r>
      <w:r w:rsidRPr="00CC027D">
        <w:rPr>
          <w:rFonts w:cs="Arial"/>
          <w:b/>
          <w:bCs/>
          <w:color w:val="000000" w:themeColor="text1"/>
        </w:rPr>
        <w:t>zadataka, godišnjih menadžerskih deklaracija, priručnika za procedure i, generalno, u nadzoru sistema upravljanja i kontrole i komunikaciji sa Komisijom</w:t>
      </w:r>
      <w:r w:rsidRPr="00FC0E29">
        <w:rPr>
          <w:rStyle w:val="FootnoteReference"/>
          <w:rFonts w:cs="Arial"/>
          <w:b/>
          <w:color w:val="000000" w:themeColor="text1"/>
        </w:rPr>
        <w:footnoteReference w:id="265"/>
      </w:r>
      <w:r w:rsidRPr="00CC027D">
        <w:rPr>
          <w:rFonts w:cs="Arial"/>
          <w:bCs/>
          <w:color w:val="000000" w:themeColor="text1"/>
        </w:rPr>
        <w:t xml:space="preserve">. Ministarstvo finansija – NAO/Upravljačka struktura pruža </w:t>
      </w:r>
      <w:r>
        <w:rPr>
          <w:rFonts w:cs="Arial"/>
          <w:bCs/>
          <w:color w:val="000000" w:themeColor="text1"/>
        </w:rPr>
        <w:t>osigurava</w:t>
      </w:r>
      <w:r w:rsidRPr="00CC027D">
        <w:rPr>
          <w:rFonts w:cs="Arial"/>
          <w:bCs/>
          <w:color w:val="000000" w:themeColor="text1"/>
        </w:rPr>
        <w:t xml:space="preserve"> pravilno funkcionisanj</w:t>
      </w:r>
      <w:r>
        <w:rPr>
          <w:rFonts w:cs="Arial"/>
          <w:bCs/>
          <w:color w:val="000000" w:themeColor="text1"/>
        </w:rPr>
        <w:t>e</w:t>
      </w:r>
      <w:r w:rsidRPr="00CC027D">
        <w:rPr>
          <w:rFonts w:cs="Arial"/>
          <w:bCs/>
          <w:color w:val="000000" w:themeColor="text1"/>
        </w:rPr>
        <w:t xml:space="preserve"> sistema upravljanja i kontrole za IPA programe, što potvrđuju relevantne proc</w:t>
      </w:r>
      <w:r>
        <w:rPr>
          <w:rFonts w:cs="Arial"/>
          <w:bCs/>
          <w:color w:val="000000" w:themeColor="text1"/>
        </w:rPr>
        <w:t>j</w:t>
      </w:r>
      <w:r w:rsidRPr="00CC027D">
        <w:rPr>
          <w:rFonts w:cs="Arial"/>
          <w:bCs/>
          <w:color w:val="000000" w:themeColor="text1"/>
        </w:rPr>
        <w:t>ene usklađenosti i revizorsk</w:t>
      </w:r>
      <w:r>
        <w:rPr>
          <w:rFonts w:cs="Arial"/>
          <w:bCs/>
          <w:color w:val="000000" w:themeColor="text1"/>
        </w:rPr>
        <w:t>a mišljenja</w:t>
      </w:r>
      <w:r w:rsidRPr="00CC027D">
        <w:rPr>
          <w:rFonts w:cs="Arial"/>
          <w:bCs/>
          <w:color w:val="000000" w:themeColor="text1"/>
        </w:rPr>
        <w:t>.</w:t>
      </w:r>
    </w:p>
    <w:p w14:paraId="45312E96" w14:textId="77777777" w:rsidR="00091B36" w:rsidRPr="00FC0E29" w:rsidRDefault="00091B36" w:rsidP="00091B36">
      <w:pPr>
        <w:spacing w:before="120"/>
        <w:rPr>
          <w:rFonts w:cs="Arial"/>
          <w:b/>
        </w:rPr>
      </w:pPr>
      <w:r w:rsidRPr="00FC0E29">
        <w:rPr>
          <w:rFonts w:cs="Arial"/>
          <w:b/>
        </w:rPr>
        <w:t>IPA I</w:t>
      </w:r>
    </w:p>
    <w:p w14:paraId="0AD51546" w14:textId="77777777" w:rsidR="00091B36" w:rsidRPr="00A92144" w:rsidRDefault="00091B36" w:rsidP="00091B36">
      <w:pPr>
        <w:spacing w:before="120"/>
        <w:rPr>
          <w:rFonts w:cs="Arial"/>
        </w:rPr>
      </w:pPr>
      <w:r w:rsidRPr="00A92144">
        <w:rPr>
          <w:rFonts w:cs="Arial"/>
        </w:rPr>
        <w:lastRenderedPageBreak/>
        <w:t>Pod IPA I, Crn</w:t>
      </w:r>
      <w:r>
        <w:rPr>
          <w:rFonts w:cs="Arial"/>
        </w:rPr>
        <w:t>oj</w:t>
      </w:r>
      <w:r w:rsidRPr="00A92144">
        <w:rPr>
          <w:rFonts w:cs="Arial"/>
        </w:rPr>
        <w:t xml:space="preserve"> Gor</w:t>
      </w:r>
      <w:r>
        <w:rPr>
          <w:rFonts w:cs="Arial"/>
        </w:rPr>
        <w:t>i</w:t>
      </w:r>
      <w:r w:rsidRPr="00A92144">
        <w:rPr>
          <w:rFonts w:cs="Arial"/>
        </w:rPr>
        <w:t xml:space="preserve"> je pov</w:t>
      </w:r>
      <w:r>
        <w:rPr>
          <w:rFonts w:cs="Arial"/>
        </w:rPr>
        <w:t>j</w:t>
      </w:r>
      <w:r w:rsidRPr="00A92144">
        <w:rPr>
          <w:rFonts w:cs="Arial"/>
        </w:rPr>
        <w:t xml:space="preserve">erena implementacija </w:t>
      </w:r>
      <w:r w:rsidRPr="00A92144">
        <w:rPr>
          <w:rFonts w:cs="Arial"/>
          <w:b/>
        </w:rPr>
        <w:t>dva Operativna programa</w:t>
      </w:r>
      <w:r w:rsidRPr="00A92144">
        <w:rPr>
          <w:rFonts w:cs="Arial"/>
        </w:rPr>
        <w:t xml:space="preserve"> (OP) pod decentralizovanim upravljanjem (kroz dv</w:t>
      </w:r>
      <w:r>
        <w:rPr>
          <w:rFonts w:cs="Arial"/>
        </w:rPr>
        <w:t>ije</w:t>
      </w:r>
      <w:r w:rsidRPr="00A92144">
        <w:rPr>
          <w:rFonts w:cs="Arial"/>
        </w:rPr>
        <w:t xml:space="preserve"> od pet</w:t>
      </w:r>
      <w:r w:rsidRPr="00FC0E29">
        <w:rPr>
          <w:rStyle w:val="FootnoteReference"/>
          <w:rFonts w:cs="Arial"/>
        </w:rPr>
        <w:footnoteReference w:id="266"/>
      </w:r>
      <w:r w:rsidRPr="00FC0E29">
        <w:rPr>
          <w:rFonts w:cs="Arial"/>
        </w:rPr>
        <w:t xml:space="preserve"> </w:t>
      </w:r>
      <w:r w:rsidRPr="00A92144">
        <w:rPr>
          <w:rFonts w:cs="Arial"/>
        </w:rPr>
        <w:t xml:space="preserve"> IPA I komponenti). Uspostavljen je sl</w:t>
      </w:r>
      <w:r>
        <w:rPr>
          <w:rFonts w:cs="Arial"/>
        </w:rPr>
        <w:t>j</w:t>
      </w:r>
      <w:r w:rsidRPr="00A92144">
        <w:rPr>
          <w:rFonts w:cs="Arial"/>
        </w:rPr>
        <w:t>edeći institucionalni okvir za decentralizovanu implementaciju:</w:t>
      </w:r>
    </w:p>
    <w:p w14:paraId="2B9DDDAC" w14:textId="77777777" w:rsidR="00091B36" w:rsidRPr="002B219B" w:rsidRDefault="00091B36" w:rsidP="00D15218">
      <w:pPr>
        <w:pStyle w:val="ListParagraph"/>
        <w:numPr>
          <w:ilvl w:val="0"/>
          <w:numId w:val="82"/>
        </w:numPr>
        <w:spacing w:before="120"/>
        <w:rPr>
          <w:rFonts w:cs="Arial"/>
        </w:rPr>
      </w:pPr>
      <w:r w:rsidRPr="002B219B">
        <w:rPr>
          <w:rFonts w:cs="Arial"/>
        </w:rPr>
        <w:t>Nacionalni IPA koordinator (NIPAK) – Ministarstvo za evropske integracije</w:t>
      </w:r>
    </w:p>
    <w:p w14:paraId="624DCEA6" w14:textId="77777777" w:rsidR="00091B36" w:rsidRPr="002B219B" w:rsidRDefault="00091B36" w:rsidP="00D15218">
      <w:pPr>
        <w:pStyle w:val="ListParagraph"/>
        <w:numPr>
          <w:ilvl w:val="0"/>
          <w:numId w:val="82"/>
        </w:numPr>
        <w:spacing w:before="120"/>
        <w:rPr>
          <w:rFonts w:cs="Arial"/>
        </w:rPr>
      </w:pPr>
      <w:r w:rsidRPr="002B219B">
        <w:rPr>
          <w:rFonts w:cs="Arial"/>
        </w:rPr>
        <w:t>Strateški koordinator za komponente III i IV – Ministarstvo za evropske integracije</w:t>
      </w:r>
    </w:p>
    <w:p w14:paraId="5DFD94DD" w14:textId="77777777" w:rsidR="00091B36" w:rsidRPr="002B219B" w:rsidRDefault="00091B36" w:rsidP="00D15218">
      <w:pPr>
        <w:pStyle w:val="ListParagraph"/>
        <w:numPr>
          <w:ilvl w:val="0"/>
          <w:numId w:val="82"/>
        </w:numPr>
        <w:spacing w:before="120"/>
        <w:rPr>
          <w:rFonts w:cs="Arial"/>
        </w:rPr>
      </w:pPr>
      <w:r w:rsidRPr="002B219B">
        <w:rPr>
          <w:rFonts w:cs="Arial"/>
        </w:rPr>
        <w:t>Službenik za akreditaciju (CAO) – Ministarstvo finansija</w:t>
      </w:r>
    </w:p>
    <w:p w14:paraId="6444C4F7" w14:textId="77777777" w:rsidR="00091B36" w:rsidRPr="002B219B" w:rsidRDefault="00091B36" w:rsidP="00D15218">
      <w:pPr>
        <w:pStyle w:val="ListParagraph"/>
        <w:numPr>
          <w:ilvl w:val="0"/>
          <w:numId w:val="82"/>
        </w:numPr>
        <w:spacing w:before="120"/>
        <w:rPr>
          <w:rFonts w:cs="Arial"/>
        </w:rPr>
      </w:pPr>
      <w:r w:rsidRPr="002B219B">
        <w:rPr>
          <w:rFonts w:cs="Arial"/>
        </w:rPr>
        <w:t>Nacionalni službenik za ovjeravanje (NAO) – Ministarstvo finansija</w:t>
      </w:r>
    </w:p>
    <w:p w14:paraId="3D451A09" w14:textId="77777777" w:rsidR="00091B36" w:rsidRPr="002B219B" w:rsidRDefault="00091B36" w:rsidP="00D15218">
      <w:pPr>
        <w:pStyle w:val="ListParagraph"/>
        <w:numPr>
          <w:ilvl w:val="0"/>
          <w:numId w:val="82"/>
        </w:numPr>
        <w:spacing w:before="120"/>
        <w:rPr>
          <w:rFonts w:cs="Arial"/>
        </w:rPr>
      </w:pPr>
      <w:r w:rsidRPr="002B219B">
        <w:rPr>
          <w:rFonts w:cs="Arial"/>
        </w:rPr>
        <w:t>Nacionalni fond (NF) – Ministarstvo finansija</w:t>
      </w:r>
    </w:p>
    <w:p w14:paraId="1F04B119" w14:textId="77777777" w:rsidR="00091B36" w:rsidRPr="002B219B" w:rsidRDefault="00091B36" w:rsidP="00D15218">
      <w:pPr>
        <w:pStyle w:val="ListParagraph"/>
        <w:numPr>
          <w:ilvl w:val="0"/>
          <w:numId w:val="82"/>
        </w:numPr>
        <w:spacing w:before="120"/>
        <w:rPr>
          <w:rFonts w:cs="Arial"/>
        </w:rPr>
      </w:pPr>
      <w:r w:rsidRPr="002B219B">
        <w:rPr>
          <w:rFonts w:cs="Arial"/>
        </w:rPr>
        <w:t>Operativna struktura IPA komponente III (OS) koja uključuje:</w:t>
      </w:r>
    </w:p>
    <w:p w14:paraId="120AE028" w14:textId="77777777" w:rsidR="00091B36" w:rsidRPr="002B219B" w:rsidRDefault="00091B36" w:rsidP="00D15218">
      <w:pPr>
        <w:pStyle w:val="ListParagraph"/>
        <w:numPr>
          <w:ilvl w:val="1"/>
          <w:numId w:val="81"/>
        </w:numPr>
        <w:spacing w:before="120"/>
        <w:rPr>
          <w:rFonts w:cs="Arial"/>
        </w:rPr>
      </w:pPr>
      <w:r w:rsidRPr="002B219B">
        <w:rPr>
          <w:rFonts w:cs="Arial"/>
        </w:rPr>
        <w:t>Ministarstvo za prostorno planiranje i životnu sredinu (Šef operativne strukture i PIU);</w:t>
      </w:r>
    </w:p>
    <w:p w14:paraId="46460A5D" w14:textId="77777777" w:rsidR="00091B36" w:rsidRPr="002B219B" w:rsidRDefault="00091B36" w:rsidP="00D15218">
      <w:pPr>
        <w:pStyle w:val="ListParagraph"/>
        <w:numPr>
          <w:ilvl w:val="1"/>
          <w:numId w:val="81"/>
        </w:numPr>
        <w:spacing w:before="120"/>
        <w:rPr>
          <w:rFonts w:cs="Arial"/>
        </w:rPr>
      </w:pPr>
      <w:r w:rsidRPr="002B219B">
        <w:rPr>
          <w:rFonts w:cs="Arial"/>
        </w:rPr>
        <w:t>Ministarstvo saobraćaja, pomorstva i telekomunikacija (Tijelo odgovorno za prioritete/mjere);</w:t>
      </w:r>
    </w:p>
    <w:p w14:paraId="08087598" w14:textId="77777777" w:rsidR="00091B36" w:rsidRPr="002B219B" w:rsidRDefault="00091B36" w:rsidP="00D15218">
      <w:pPr>
        <w:pStyle w:val="ListParagraph"/>
        <w:numPr>
          <w:ilvl w:val="1"/>
          <w:numId w:val="81"/>
        </w:numPr>
        <w:spacing w:before="120"/>
        <w:rPr>
          <w:rFonts w:cs="Arial"/>
        </w:rPr>
      </w:pPr>
      <w:r w:rsidRPr="002B219B">
        <w:rPr>
          <w:rFonts w:cs="Arial"/>
        </w:rPr>
        <w:t>Uprava za kapitalne projekte (bivša Direkcija za javne radove).</w:t>
      </w:r>
    </w:p>
    <w:p w14:paraId="4793F999" w14:textId="77777777" w:rsidR="00091B36" w:rsidRPr="002B219B" w:rsidRDefault="00091B36" w:rsidP="00D15218">
      <w:pPr>
        <w:pStyle w:val="ListParagraph"/>
        <w:numPr>
          <w:ilvl w:val="0"/>
          <w:numId w:val="82"/>
        </w:numPr>
        <w:spacing w:before="120"/>
        <w:rPr>
          <w:rFonts w:cs="Arial"/>
        </w:rPr>
      </w:pPr>
      <w:r w:rsidRPr="002B219B">
        <w:rPr>
          <w:rFonts w:cs="Arial"/>
        </w:rPr>
        <w:t>IPA komponenta IV Operativna struktura (OS) uključujući:</w:t>
      </w:r>
    </w:p>
    <w:p w14:paraId="12DB30F6" w14:textId="77777777" w:rsidR="00091B36" w:rsidRPr="002B219B" w:rsidRDefault="00091B36" w:rsidP="00D15218">
      <w:pPr>
        <w:pStyle w:val="ListParagraph"/>
        <w:numPr>
          <w:ilvl w:val="1"/>
          <w:numId w:val="81"/>
        </w:numPr>
        <w:spacing w:before="120"/>
        <w:rPr>
          <w:rFonts w:cs="Arial"/>
        </w:rPr>
      </w:pPr>
      <w:r w:rsidRPr="002B219B">
        <w:rPr>
          <w:rFonts w:cs="Arial"/>
        </w:rPr>
        <w:t>Ministarstvo rada i socijalnog staranja (Šef operativne strukture i PIU);</w:t>
      </w:r>
    </w:p>
    <w:p w14:paraId="7DF200B1" w14:textId="77777777" w:rsidR="00091B36" w:rsidRPr="002B219B" w:rsidRDefault="00091B36" w:rsidP="00D15218">
      <w:pPr>
        <w:pStyle w:val="ListParagraph"/>
        <w:numPr>
          <w:ilvl w:val="1"/>
          <w:numId w:val="81"/>
        </w:numPr>
        <w:spacing w:before="120"/>
        <w:rPr>
          <w:rFonts w:cs="Arial"/>
        </w:rPr>
      </w:pPr>
      <w:r w:rsidRPr="002B219B">
        <w:rPr>
          <w:rFonts w:cs="Arial"/>
        </w:rPr>
        <w:t>Ministarstvo transporta, pomorstva i telekomunikacija (Tijelo odgovorno za prioritete/mjere)</w:t>
      </w:r>
    </w:p>
    <w:p w14:paraId="48117066" w14:textId="77777777" w:rsidR="00091B36" w:rsidRPr="002B219B" w:rsidRDefault="00091B36" w:rsidP="00D15218">
      <w:pPr>
        <w:pStyle w:val="ListParagraph"/>
        <w:numPr>
          <w:ilvl w:val="1"/>
          <w:numId w:val="81"/>
        </w:numPr>
        <w:spacing w:before="120"/>
        <w:rPr>
          <w:rFonts w:cs="Arial"/>
        </w:rPr>
      </w:pPr>
      <w:r w:rsidRPr="002B219B">
        <w:rPr>
          <w:rFonts w:cs="Arial"/>
        </w:rPr>
        <w:t>Direktorat za finansiranje i ugovaranje sredstava EU podrške (CFCU) – Ministarstvo finansija</w:t>
      </w:r>
    </w:p>
    <w:p w14:paraId="6011DAAF" w14:textId="77777777" w:rsidR="00091B36" w:rsidRPr="002B219B" w:rsidRDefault="00091B36" w:rsidP="00D15218">
      <w:pPr>
        <w:pStyle w:val="ListParagraph"/>
        <w:numPr>
          <w:ilvl w:val="0"/>
          <w:numId w:val="82"/>
        </w:numPr>
        <w:spacing w:before="120"/>
        <w:rPr>
          <w:rFonts w:cs="Arial"/>
        </w:rPr>
      </w:pPr>
      <w:r w:rsidRPr="002B219B">
        <w:rPr>
          <w:rFonts w:cs="Arial"/>
        </w:rPr>
        <w:t>Revizorsko tijelo (RT)</w:t>
      </w:r>
    </w:p>
    <w:p w14:paraId="27FF5F6A" w14:textId="77777777" w:rsidR="00091B36" w:rsidRPr="001A7E30" w:rsidRDefault="00091B36" w:rsidP="00091B36">
      <w:r w:rsidRPr="001A7E30">
        <w:t xml:space="preserve">NF, kojim rukovodi operativni šef </w:t>
      </w:r>
      <w:r>
        <w:t>Direkcije</w:t>
      </w:r>
      <w:r w:rsidRPr="001A7E30">
        <w:t xml:space="preserve"> za NF, djelujući pod direktnom odgovornošću NAO, operativno je podržavao NAO i </w:t>
      </w:r>
      <w:r>
        <w:t>državni trezor</w:t>
      </w:r>
      <w:r w:rsidRPr="001A7E30">
        <w:t xml:space="preserve"> unutar Ministarstva finansija, koj</w:t>
      </w:r>
      <w:r>
        <w:t>i</w:t>
      </w:r>
      <w:r w:rsidRPr="001A7E30">
        <w:t xml:space="preserve"> je zadužen za zadatke finansijskog upravljanja </w:t>
      </w:r>
      <w:r>
        <w:t>sredstvima podrške</w:t>
      </w:r>
      <w:r w:rsidRPr="001A7E30">
        <w:t xml:space="preserve"> u skladu sa IPA </w:t>
      </w:r>
      <w:r>
        <w:t>regulativama</w:t>
      </w:r>
      <w:r w:rsidRPr="001A7E30">
        <w:t>. Konkretno, NF je bio zadužen za organizaciju bankovnih računa, odobravanje prenosa sredstava ka operativnim strukturama ili k</w:t>
      </w:r>
      <w:r>
        <w:t>rajnjim</w:t>
      </w:r>
      <w:r w:rsidRPr="001A7E30">
        <w:t xml:space="preserve"> korisnicima, kao i za finansijsko izvještavanje Komisiji i traženje sredstava od Komisije. NF je takođe podržavao NAO u vezi sa akreditacijom sistema za decentralizovano upravljanje, kao i </w:t>
      </w:r>
      <w:r w:rsidRPr="001A7E30">
        <w:rPr>
          <w:b/>
        </w:rPr>
        <w:t>osiguranje efikasnog funkcionisanja sistema upravljanja i kontrole u skladu sa IPA regulativama</w:t>
      </w:r>
      <w:r w:rsidRPr="001A7E30">
        <w:t xml:space="preserve"> i dostavljanje </w:t>
      </w:r>
      <w:r w:rsidRPr="001A7E30">
        <w:rPr>
          <w:b/>
        </w:rPr>
        <w:t>Izjava o garanciji</w:t>
      </w:r>
      <w:r w:rsidRPr="001A7E30">
        <w:t>.</w:t>
      </w:r>
    </w:p>
    <w:p w14:paraId="0AFC384F" w14:textId="77777777" w:rsidR="00091B36" w:rsidRPr="001A7E30" w:rsidRDefault="00091B36" w:rsidP="00936D1D">
      <w:pPr>
        <w:pStyle w:val="Heading3"/>
        <w:numPr>
          <w:ilvl w:val="0"/>
          <w:numId w:val="0"/>
        </w:numPr>
        <w:ind w:left="720" w:hanging="720"/>
      </w:pPr>
      <w:r w:rsidRPr="001A7E30">
        <w:t>IPA II</w:t>
      </w:r>
    </w:p>
    <w:p w14:paraId="0908D72A" w14:textId="77777777" w:rsidR="00091B36" w:rsidRDefault="00091B36" w:rsidP="00091B36">
      <w:r w:rsidRPr="001A7E30">
        <w:t>U skladu sa Okvirnim sporazumom između Crne Gore i Evropske komisije za IPA II, Ministarstvo finansija – NAO/Upravljačka struktura se sastoji od Nacionalnog fonda i kancelarije za podršku NAO. Zadaci i odgovornosti Nacionalnog fonda i kancelarije za podršku NAO su adekvatno razdvojeni. Nacionalni fond je odgovoran NAO</w:t>
      </w:r>
      <w:r>
        <w:t>-u</w:t>
      </w:r>
      <w:r w:rsidRPr="001A7E30">
        <w:t xml:space="preserve"> i nalazi se u Ministarstvu finansija. U okviru IPA II, nacionalne vlasti uz vođstvo i koordinaciju Ministarstva finansija – NAO/Upravljačke strukture uspješno su dobile akreditaciju za 10 programa koji</w:t>
      </w:r>
      <w:r>
        <w:t>ma</w:t>
      </w:r>
      <w:r w:rsidRPr="001A7E30">
        <w:t xml:space="preserve"> se upravlja indirektnim upravljanjem: CAP 2014, CAP 2015, CAP 2016, CAP 2017, CAP 2018, CAP 2020, SOPEES 2015-2017, IPARD II program 2014-2020, </w:t>
      </w:r>
      <w:r>
        <w:t>PGS</w:t>
      </w:r>
      <w:r w:rsidRPr="001A7E30">
        <w:t xml:space="preserve"> programi sa Albanijom 2014-2020 i Kosovom 2014-2020.</w:t>
      </w:r>
    </w:p>
    <w:p w14:paraId="33331D08" w14:textId="77777777" w:rsidR="00091B36" w:rsidRPr="00FC0E29" w:rsidRDefault="00091B36" w:rsidP="00936D1D">
      <w:pPr>
        <w:pStyle w:val="Heading3"/>
        <w:numPr>
          <w:ilvl w:val="0"/>
          <w:numId w:val="0"/>
        </w:numPr>
        <w:ind w:left="720" w:hanging="720"/>
      </w:pPr>
      <w:r w:rsidRPr="00FC0E29">
        <w:t>IPA III</w:t>
      </w:r>
    </w:p>
    <w:p w14:paraId="4AED8D47" w14:textId="77777777" w:rsidR="00091B36" w:rsidRDefault="00091B36" w:rsidP="00091B36">
      <w:r w:rsidRPr="001A7E30">
        <w:t xml:space="preserve">U 2023. i 2024. godini, Ministarstvo finansija – NAO/Upravljačka struktura je podnijelo Evropskoj komisiji Zahtjeve za </w:t>
      </w:r>
      <w:r>
        <w:t>povjeravanje</w:t>
      </w:r>
      <w:r w:rsidRPr="001A7E30">
        <w:t xml:space="preserve"> </w:t>
      </w:r>
      <w:r>
        <w:t>izvršenja</w:t>
      </w:r>
      <w:r w:rsidRPr="001A7E30">
        <w:t xml:space="preserve"> budžetsk</w:t>
      </w:r>
      <w:r>
        <w:t>ih</w:t>
      </w:r>
      <w:r w:rsidRPr="001A7E30">
        <w:t xml:space="preserve"> zadataka (REBIT) za Godišnji akcioni program 2021, </w:t>
      </w:r>
      <w:r>
        <w:t>PGS</w:t>
      </w:r>
      <w:r w:rsidRPr="001A7E30">
        <w:t xml:space="preserve"> programe sa Albanijom i Kosovom 201-2027, kao i za Godišnji akcioni program 2024. i Operativni program Crna Gora 2024-2027 za oblast životne sredine i klimatskih promjena, te Operativni program Crna Gora 2024-2024 za oblast zapošljavanja i socijalne uključenosti. REBIT za Operativni program Crna Gora 2024-2027 za oblast životne sredine i klimatskih promjena sa svim pratećim dokumentima je poslat Evropskoj komisiji 20. septembra 2024. REBIT za Operativni program Crna Gora 2024-2024 za oblast zapošljavanja i socijalne uključenosti je podnijet 1. novembra 2024. sa novo</w:t>
      </w:r>
      <w:r>
        <w:t>-</w:t>
      </w:r>
      <w:r w:rsidRPr="001A7E30">
        <w:t>uvedenim Posredničkim tijelom za finansijsko upravljanje – Zavodom za zapošljavanje Crne Gore. Zbog re</w:t>
      </w:r>
      <w:r>
        <w:t>konstrukcije</w:t>
      </w:r>
      <w:r w:rsidRPr="001A7E30">
        <w:t xml:space="preserve"> Vlade Crne Gore, kao i promjene Akcionog dokumenta za Godišnji akcioni program za 2024, Ministarstvo finansija – NAO/Upravljačka struktura je u oktobru 2024. podnijelo ažuriranu prijavu Evropskoj komisiji za navedeni program, pri čemu je Ministarstvo prosvjete, nauke i inovacija određeno kao Posredničko tijelo za upravljanje politikom. DG NEAR je sproveo misiju nadzora u poslednjoj nedelji novembra 2024, fokusirajući se na podn</w:t>
      </w:r>
      <w:r>
        <w:t>ij</w:t>
      </w:r>
      <w:r w:rsidRPr="001A7E30">
        <w:t>ete REBIT-</w:t>
      </w:r>
      <w:r w:rsidRPr="001A7E30">
        <w:lastRenderedPageBreak/>
        <w:t>ove. Zaključci i izvještaj ove misije su formirali osnovu za dalji rad vezan za usklađenost sistema u vezi sa punom akreditacijom.</w:t>
      </w:r>
    </w:p>
    <w:p w14:paraId="1651C0AD" w14:textId="77777777" w:rsidR="00091B36" w:rsidRPr="00FC0E29" w:rsidRDefault="00091B36" w:rsidP="00936D1D">
      <w:pPr>
        <w:pStyle w:val="Heading2"/>
        <w:numPr>
          <w:ilvl w:val="0"/>
          <w:numId w:val="0"/>
        </w:numPr>
        <w:ind w:left="576" w:hanging="576"/>
      </w:pPr>
      <w:r w:rsidRPr="00FC0E29">
        <w:t xml:space="preserve">I.8. </w:t>
      </w:r>
      <w:r>
        <w:t>Broj službenika i zadržavanje službenika</w:t>
      </w:r>
    </w:p>
    <w:p w14:paraId="59596531" w14:textId="77777777" w:rsidR="00091B36" w:rsidRPr="008B244E" w:rsidRDefault="00091B36" w:rsidP="00091B36">
      <w:r w:rsidRPr="008B244E">
        <w:t>Trenutno se paralelno realizuju sl</w:t>
      </w:r>
      <w:r>
        <w:t>j</w:t>
      </w:r>
      <w:r w:rsidRPr="008B244E">
        <w:t>edeće IPA II i IPA III strukture za implementaciju, kontrolu i nadzor IPA godišnjih i višegodišnjih programa u indirektnom upravljanju od strane Crne Gore:</w:t>
      </w:r>
    </w:p>
    <w:p w14:paraId="558BF96B" w14:textId="77777777" w:rsidR="00091B36" w:rsidRPr="008B244E" w:rsidRDefault="00091B36" w:rsidP="00936D1D">
      <w:pPr>
        <w:pStyle w:val="Heading3"/>
        <w:numPr>
          <w:ilvl w:val="0"/>
          <w:numId w:val="0"/>
        </w:numPr>
        <w:ind w:left="720" w:hanging="720"/>
      </w:pPr>
      <w:r w:rsidRPr="008B244E">
        <w:t>IPA II strukture (17 struktura)</w:t>
      </w:r>
      <w:r w:rsidRPr="008B244E">
        <w:rPr>
          <w:rStyle w:val="FootnoteReference"/>
          <w:rFonts w:cs="Arial"/>
          <w:b/>
          <w:bCs/>
          <w:color w:val="000000" w:themeColor="text1"/>
        </w:rPr>
        <w:t xml:space="preserve"> </w:t>
      </w:r>
      <w:r w:rsidRPr="0035145C">
        <w:rPr>
          <w:rStyle w:val="FootnoteReference"/>
          <w:rFonts w:cs="Arial"/>
          <w:b/>
          <w:bCs/>
          <w:color w:val="000000" w:themeColor="text1"/>
        </w:rPr>
        <w:footnoteReference w:id="267"/>
      </w:r>
    </w:p>
    <w:p w14:paraId="75EC57EF" w14:textId="2E3E2553" w:rsidR="00091B36" w:rsidRDefault="00091B36" w:rsidP="00D15218">
      <w:pPr>
        <w:pStyle w:val="ListParagraph"/>
        <w:numPr>
          <w:ilvl w:val="0"/>
          <w:numId w:val="77"/>
        </w:numPr>
        <w:spacing w:before="120"/>
        <w:rPr>
          <w:rFonts w:cs="Arial"/>
        </w:rPr>
      </w:pPr>
      <w:r w:rsidRPr="008B244E">
        <w:rPr>
          <w:rFonts w:cs="Arial"/>
        </w:rPr>
        <w:t xml:space="preserve">Ministarstvo finansija </w:t>
      </w:r>
      <w:r>
        <w:rPr>
          <w:rFonts w:cs="Arial"/>
        </w:rPr>
        <w:t>–</w:t>
      </w:r>
      <w:r w:rsidRPr="008B244E">
        <w:rPr>
          <w:rFonts w:cs="Arial"/>
        </w:rPr>
        <w:t xml:space="preserve"> NAO</w:t>
      </w:r>
      <w:r>
        <w:rPr>
          <w:rFonts w:cs="Arial"/>
        </w:rPr>
        <w:t xml:space="preserve">/Direktorat za upravljačku strukturu </w:t>
      </w:r>
      <w:r w:rsidRPr="008B244E">
        <w:rPr>
          <w:rFonts w:cs="Arial"/>
        </w:rPr>
        <w:t>(</w:t>
      </w:r>
      <w:r>
        <w:rPr>
          <w:rFonts w:cs="Arial"/>
        </w:rPr>
        <w:t>DUS</w:t>
      </w:r>
      <w:r w:rsidRPr="008B244E">
        <w:rPr>
          <w:rFonts w:cs="Arial"/>
        </w:rPr>
        <w:t>) uključujući NA</w:t>
      </w:r>
      <w:r>
        <w:rPr>
          <w:rFonts w:cs="Arial"/>
        </w:rPr>
        <w:t>O</w:t>
      </w:r>
    </w:p>
    <w:p w14:paraId="06F65268" w14:textId="77777777" w:rsidR="00091B36" w:rsidRDefault="00091B36" w:rsidP="00D15218">
      <w:pPr>
        <w:pStyle w:val="ListParagraph"/>
        <w:numPr>
          <w:ilvl w:val="0"/>
          <w:numId w:val="77"/>
        </w:numPr>
        <w:spacing w:before="120"/>
        <w:rPr>
          <w:rFonts w:cs="Arial"/>
        </w:rPr>
      </w:pPr>
      <w:r w:rsidRPr="008B244E">
        <w:rPr>
          <w:rFonts w:cs="Arial"/>
        </w:rPr>
        <w:t xml:space="preserve">Ministarstvo vanjskih poslova - Kancelarija </w:t>
      </w:r>
      <w:r w:rsidRPr="006F7CE6">
        <w:rPr>
          <w:rFonts w:cs="Arial"/>
        </w:rPr>
        <w:t>NIPAK</w:t>
      </w:r>
      <w:r w:rsidRPr="008B244E">
        <w:rPr>
          <w:rFonts w:cs="Arial"/>
        </w:rPr>
        <w:t xml:space="preserve"> uključujući </w:t>
      </w:r>
      <w:r w:rsidRPr="006F7CE6">
        <w:rPr>
          <w:rFonts w:cs="Arial"/>
        </w:rPr>
        <w:t>NIPAK</w:t>
      </w:r>
    </w:p>
    <w:p w14:paraId="32C40685" w14:textId="77777777" w:rsidR="00091B36" w:rsidRDefault="00091B36" w:rsidP="00D15218">
      <w:pPr>
        <w:pStyle w:val="ListParagraph"/>
        <w:numPr>
          <w:ilvl w:val="0"/>
          <w:numId w:val="77"/>
        </w:numPr>
        <w:spacing w:before="120"/>
        <w:rPr>
          <w:rFonts w:cs="Arial"/>
        </w:rPr>
      </w:pPr>
      <w:r w:rsidRPr="008B244E">
        <w:rPr>
          <w:rFonts w:cs="Arial"/>
        </w:rPr>
        <w:t>Upravljačk</w:t>
      </w:r>
      <w:r>
        <w:rPr>
          <w:rFonts w:cs="Arial"/>
        </w:rPr>
        <w:t>o tijelo</w:t>
      </w:r>
      <w:r w:rsidRPr="008B244E">
        <w:rPr>
          <w:rFonts w:cs="Arial"/>
        </w:rPr>
        <w:t xml:space="preserve"> za </w:t>
      </w:r>
      <w:r>
        <w:rPr>
          <w:rFonts w:cs="Arial"/>
        </w:rPr>
        <w:t>PGS</w:t>
      </w:r>
      <w:r w:rsidRPr="008B244E">
        <w:rPr>
          <w:rFonts w:cs="Arial"/>
        </w:rPr>
        <w:t xml:space="preserve"> programe MNE-AL i MNE-KOS</w:t>
      </w:r>
      <w:r w:rsidRPr="0049181E">
        <w:rPr>
          <w:rStyle w:val="FootnoteReference"/>
          <w:rFonts w:cs="Arial"/>
        </w:rPr>
        <w:footnoteReference w:id="268"/>
      </w:r>
      <w:r w:rsidRPr="008B244E">
        <w:rPr>
          <w:rFonts w:cs="Arial"/>
          <w:bCs/>
        </w:rPr>
        <w:t xml:space="preserve"> </w:t>
      </w:r>
      <w:r w:rsidRPr="008B244E">
        <w:rPr>
          <w:rFonts w:cs="Arial"/>
        </w:rPr>
        <w:t xml:space="preserve"> - HOS kancelarija + </w:t>
      </w:r>
      <w:r>
        <w:rPr>
          <w:rFonts w:cs="Arial"/>
        </w:rPr>
        <w:t>PGS</w:t>
      </w:r>
      <w:r w:rsidRPr="008B244E">
        <w:rPr>
          <w:rFonts w:cs="Arial"/>
        </w:rPr>
        <w:t xml:space="preserve"> t</w:t>
      </w:r>
      <w:r>
        <w:rPr>
          <w:rFonts w:cs="Arial"/>
        </w:rPr>
        <w:t>ij</w:t>
      </w:r>
      <w:r w:rsidRPr="008B244E">
        <w:rPr>
          <w:rFonts w:cs="Arial"/>
        </w:rPr>
        <w:t>elo</w:t>
      </w:r>
    </w:p>
    <w:p w14:paraId="253AF2A3" w14:textId="77777777" w:rsidR="00091B36" w:rsidRDefault="00091B36" w:rsidP="00D15218">
      <w:pPr>
        <w:pStyle w:val="ListParagraph"/>
        <w:numPr>
          <w:ilvl w:val="0"/>
          <w:numId w:val="77"/>
        </w:numPr>
        <w:spacing w:before="120"/>
        <w:rPr>
          <w:rFonts w:cs="Arial"/>
        </w:rPr>
      </w:pPr>
      <w:r w:rsidRPr="008B244E">
        <w:rPr>
          <w:rFonts w:cs="Arial"/>
        </w:rPr>
        <w:t>Dvanaest IPA jedinica koje implementiraju IPA II operacije</w:t>
      </w:r>
    </w:p>
    <w:p w14:paraId="617B1448" w14:textId="77777777" w:rsidR="00091B36" w:rsidRDefault="00091B36" w:rsidP="00D15218">
      <w:pPr>
        <w:pStyle w:val="ListParagraph"/>
        <w:numPr>
          <w:ilvl w:val="0"/>
          <w:numId w:val="77"/>
        </w:numPr>
        <w:spacing w:before="120"/>
        <w:rPr>
          <w:rFonts w:cs="Arial"/>
        </w:rPr>
      </w:pPr>
      <w:r w:rsidRPr="008B244E">
        <w:rPr>
          <w:rFonts w:cs="Arial"/>
        </w:rPr>
        <w:t>CFCU IA</w:t>
      </w:r>
    </w:p>
    <w:p w14:paraId="49C5E96B" w14:textId="77777777" w:rsidR="00091B36" w:rsidRPr="001C47D4" w:rsidRDefault="00091B36" w:rsidP="00D15218">
      <w:pPr>
        <w:pStyle w:val="ListParagraph"/>
        <w:numPr>
          <w:ilvl w:val="0"/>
          <w:numId w:val="77"/>
        </w:numPr>
        <w:spacing w:before="120"/>
        <w:rPr>
          <w:rFonts w:cs="Arial"/>
        </w:rPr>
      </w:pPr>
      <w:r w:rsidRPr="00C37EEC">
        <w:rPr>
          <w:rFonts w:cs="Arial"/>
        </w:rPr>
        <w:t>UKP</w:t>
      </w:r>
      <w:r w:rsidRPr="008B244E">
        <w:rPr>
          <w:rFonts w:cs="Arial"/>
        </w:rPr>
        <w:t xml:space="preserve"> IA</w:t>
      </w:r>
    </w:p>
    <w:p w14:paraId="489890DA" w14:textId="77777777" w:rsidR="00091B36" w:rsidRPr="008B244E" w:rsidRDefault="00091B36" w:rsidP="00936D1D">
      <w:pPr>
        <w:pStyle w:val="Heading3"/>
        <w:numPr>
          <w:ilvl w:val="0"/>
          <w:numId w:val="0"/>
        </w:numPr>
        <w:ind w:left="720" w:hanging="720"/>
      </w:pPr>
      <w:r w:rsidRPr="008B244E">
        <w:t>IPA III strukture (12 struktura)</w:t>
      </w:r>
      <w:r w:rsidRPr="008B244E">
        <w:rPr>
          <w:rStyle w:val="FootnoteReference"/>
          <w:rFonts w:cs="Arial"/>
          <w:b/>
          <w:bCs/>
        </w:rPr>
        <w:t xml:space="preserve"> </w:t>
      </w:r>
      <w:r w:rsidRPr="0049181E">
        <w:rPr>
          <w:rStyle w:val="FootnoteReference"/>
          <w:rFonts w:cs="Arial"/>
          <w:b/>
          <w:bCs/>
        </w:rPr>
        <w:footnoteReference w:id="269"/>
      </w:r>
    </w:p>
    <w:p w14:paraId="1FF9D303" w14:textId="77777777" w:rsidR="00091B36" w:rsidRDefault="00091B36" w:rsidP="00D15218">
      <w:pPr>
        <w:pStyle w:val="ListParagraph"/>
        <w:numPr>
          <w:ilvl w:val="0"/>
          <w:numId w:val="78"/>
        </w:numPr>
        <w:spacing w:before="120"/>
        <w:rPr>
          <w:rFonts w:cs="Arial"/>
          <w:bCs/>
        </w:rPr>
      </w:pPr>
      <w:r w:rsidRPr="008B244E">
        <w:rPr>
          <w:rFonts w:cs="Arial"/>
          <w:bCs/>
        </w:rPr>
        <w:t>Ministarstvo finansija – NAO/</w:t>
      </w:r>
      <w:r>
        <w:rPr>
          <w:rFonts w:cs="Arial"/>
          <w:bCs/>
        </w:rPr>
        <w:t>Direktorat za u</w:t>
      </w:r>
      <w:r w:rsidRPr="008B244E">
        <w:rPr>
          <w:rFonts w:cs="Arial"/>
          <w:bCs/>
        </w:rPr>
        <w:t>pravljačk</w:t>
      </w:r>
      <w:r>
        <w:rPr>
          <w:rFonts w:cs="Arial"/>
          <w:bCs/>
        </w:rPr>
        <w:t>u</w:t>
      </w:r>
      <w:r w:rsidRPr="008B244E">
        <w:rPr>
          <w:rFonts w:cs="Arial"/>
          <w:bCs/>
        </w:rPr>
        <w:t xml:space="preserve"> struktur</w:t>
      </w:r>
      <w:r>
        <w:rPr>
          <w:rFonts w:cs="Arial"/>
          <w:bCs/>
        </w:rPr>
        <w:t>u</w:t>
      </w:r>
      <w:r w:rsidRPr="008B244E">
        <w:rPr>
          <w:rFonts w:cs="Arial"/>
          <w:bCs/>
        </w:rPr>
        <w:t xml:space="preserve"> (</w:t>
      </w:r>
      <w:r>
        <w:rPr>
          <w:rFonts w:cs="Arial"/>
          <w:bCs/>
        </w:rPr>
        <w:t>DUS</w:t>
      </w:r>
      <w:r w:rsidRPr="008B244E">
        <w:rPr>
          <w:rFonts w:cs="Arial"/>
          <w:bCs/>
        </w:rPr>
        <w:t>) uključujući NAO</w:t>
      </w:r>
    </w:p>
    <w:p w14:paraId="4E20EF6F" w14:textId="77777777" w:rsidR="00091B36" w:rsidRDefault="00091B36" w:rsidP="00D15218">
      <w:pPr>
        <w:pStyle w:val="ListParagraph"/>
        <w:numPr>
          <w:ilvl w:val="0"/>
          <w:numId w:val="78"/>
        </w:numPr>
        <w:spacing w:before="120"/>
        <w:rPr>
          <w:rFonts w:cs="Arial"/>
          <w:bCs/>
        </w:rPr>
      </w:pPr>
      <w:r w:rsidRPr="008B244E">
        <w:rPr>
          <w:rFonts w:cs="Arial"/>
          <w:bCs/>
        </w:rPr>
        <w:t xml:space="preserve">Ministarstvo za evropske poslove - Kancelarija </w:t>
      </w:r>
      <w:r w:rsidRPr="006F7CE6">
        <w:rPr>
          <w:rFonts w:cs="Arial"/>
          <w:bCs/>
        </w:rPr>
        <w:t>NIPAK</w:t>
      </w:r>
      <w:r w:rsidRPr="008B244E">
        <w:rPr>
          <w:rFonts w:cs="Arial"/>
          <w:bCs/>
        </w:rPr>
        <w:t xml:space="preserve"> uključujući Upravljačk</w:t>
      </w:r>
      <w:r>
        <w:rPr>
          <w:rFonts w:cs="Arial"/>
          <w:bCs/>
        </w:rPr>
        <w:t>o tijelo</w:t>
      </w:r>
      <w:r w:rsidRPr="008B244E">
        <w:rPr>
          <w:rFonts w:cs="Arial"/>
          <w:bCs/>
        </w:rPr>
        <w:t xml:space="preserve"> za godišnje IPA III programe i uključujući </w:t>
      </w:r>
      <w:r w:rsidRPr="006F7CE6">
        <w:rPr>
          <w:rFonts w:cs="Arial"/>
          <w:bCs/>
        </w:rPr>
        <w:t>NIPAK</w:t>
      </w:r>
    </w:p>
    <w:p w14:paraId="608E4AE4" w14:textId="77777777" w:rsidR="00091B36" w:rsidRDefault="00091B36" w:rsidP="00D15218">
      <w:pPr>
        <w:pStyle w:val="ListParagraph"/>
        <w:numPr>
          <w:ilvl w:val="0"/>
          <w:numId w:val="78"/>
        </w:numPr>
        <w:spacing w:before="120"/>
        <w:rPr>
          <w:rFonts w:cs="Arial"/>
          <w:bCs/>
        </w:rPr>
      </w:pPr>
      <w:r w:rsidRPr="008B244E">
        <w:rPr>
          <w:rFonts w:cs="Arial"/>
          <w:bCs/>
        </w:rPr>
        <w:t>Dv</w:t>
      </w:r>
      <w:r>
        <w:rPr>
          <w:rFonts w:cs="Arial"/>
          <w:bCs/>
        </w:rPr>
        <w:t>a</w:t>
      </w:r>
      <w:r w:rsidRPr="008B244E">
        <w:rPr>
          <w:rFonts w:cs="Arial"/>
          <w:bCs/>
        </w:rPr>
        <w:t xml:space="preserve"> Upravljačk</w:t>
      </w:r>
      <w:r>
        <w:rPr>
          <w:rFonts w:cs="Arial"/>
          <w:bCs/>
        </w:rPr>
        <w:t>a tijela</w:t>
      </w:r>
      <w:r w:rsidRPr="008B244E">
        <w:rPr>
          <w:rFonts w:cs="Arial"/>
          <w:bCs/>
        </w:rPr>
        <w:t xml:space="preserve"> za Operativne programe 2024-2027</w:t>
      </w:r>
    </w:p>
    <w:p w14:paraId="4DDBF74D" w14:textId="77777777" w:rsidR="00091B36" w:rsidRDefault="00091B36" w:rsidP="00D15218">
      <w:pPr>
        <w:pStyle w:val="ListParagraph"/>
        <w:numPr>
          <w:ilvl w:val="0"/>
          <w:numId w:val="78"/>
        </w:numPr>
        <w:spacing w:before="120"/>
        <w:rPr>
          <w:rFonts w:cs="Arial"/>
          <w:bCs/>
        </w:rPr>
      </w:pPr>
      <w:r w:rsidRPr="008B244E">
        <w:rPr>
          <w:rFonts w:cs="Arial"/>
          <w:bCs/>
        </w:rPr>
        <w:t>Upravljačk</w:t>
      </w:r>
      <w:r>
        <w:rPr>
          <w:rFonts w:cs="Arial"/>
          <w:bCs/>
        </w:rPr>
        <w:t>o tijelo</w:t>
      </w:r>
      <w:r w:rsidRPr="008B244E">
        <w:rPr>
          <w:rFonts w:cs="Arial"/>
          <w:bCs/>
        </w:rPr>
        <w:t xml:space="preserve"> za </w:t>
      </w:r>
      <w:r>
        <w:rPr>
          <w:rFonts w:cs="Arial"/>
          <w:bCs/>
        </w:rPr>
        <w:t>PGS</w:t>
      </w:r>
      <w:r w:rsidRPr="008B244E">
        <w:rPr>
          <w:rFonts w:cs="Arial"/>
          <w:bCs/>
        </w:rPr>
        <w:t xml:space="preserve"> programe MNE-AL i MNE-KOS</w:t>
      </w:r>
      <w:r>
        <w:rPr>
          <w:rStyle w:val="FootnoteReference"/>
          <w:rFonts w:cs="Arial"/>
          <w:bCs/>
        </w:rPr>
        <w:footnoteReference w:id="270"/>
      </w:r>
      <w:r w:rsidRPr="008B244E">
        <w:rPr>
          <w:rFonts w:cs="Arial"/>
          <w:bCs/>
        </w:rPr>
        <w:t xml:space="preserve">- HOS kancelarija + </w:t>
      </w:r>
      <w:r>
        <w:rPr>
          <w:rFonts w:cs="Arial"/>
          <w:bCs/>
        </w:rPr>
        <w:t>PGS</w:t>
      </w:r>
      <w:r w:rsidRPr="008B244E">
        <w:rPr>
          <w:rFonts w:cs="Arial"/>
          <w:bCs/>
        </w:rPr>
        <w:t xml:space="preserve"> tijelo</w:t>
      </w:r>
    </w:p>
    <w:p w14:paraId="0AAB2316" w14:textId="77777777" w:rsidR="00091B36" w:rsidRDefault="00091B36" w:rsidP="00D15218">
      <w:pPr>
        <w:pStyle w:val="ListParagraph"/>
        <w:numPr>
          <w:ilvl w:val="0"/>
          <w:numId w:val="78"/>
        </w:numPr>
        <w:spacing w:before="120"/>
        <w:rPr>
          <w:rFonts w:cs="Arial"/>
          <w:bCs/>
        </w:rPr>
      </w:pPr>
      <w:r w:rsidRPr="008B244E">
        <w:rPr>
          <w:rFonts w:cs="Arial"/>
          <w:bCs/>
        </w:rPr>
        <w:t xml:space="preserve">Tri Posrednička tijela za finansijsko upravljanje za godišnje i višegodišnje programe: CFCU, </w:t>
      </w:r>
      <w:r w:rsidRPr="00C37EEC">
        <w:rPr>
          <w:rFonts w:cs="Arial"/>
          <w:bCs/>
        </w:rPr>
        <w:t>UKP</w:t>
      </w:r>
      <w:r w:rsidRPr="008B244E">
        <w:rPr>
          <w:rFonts w:cs="Arial"/>
          <w:bCs/>
        </w:rPr>
        <w:t>, Zavod za zapošljavanje Crne Gore (</w:t>
      </w:r>
      <w:r>
        <w:rPr>
          <w:rFonts w:cs="Arial"/>
          <w:bCs/>
        </w:rPr>
        <w:t>ZZZCG</w:t>
      </w:r>
      <w:r w:rsidRPr="008B244E">
        <w:rPr>
          <w:rFonts w:cs="Arial"/>
          <w:bCs/>
        </w:rPr>
        <w:t>)</w:t>
      </w:r>
    </w:p>
    <w:p w14:paraId="626DBBDC" w14:textId="77777777" w:rsidR="00091B36" w:rsidRPr="008B244E" w:rsidRDefault="00091B36" w:rsidP="00D15218">
      <w:pPr>
        <w:pStyle w:val="ListParagraph"/>
        <w:numPr>
          <w:ilvl w:val="0"/>
          <w:numId w:val="78"/>
        </w:numPr>
        <w:spacing w:before="120"/>
        <w:rPr>
          <w:rFonts w:cs="Arial"/>
          <w:bCs/>
        </w:rPr>
      </w:pPr>
      <w:r w:rsidRPr="008B244E">
        <w:rPr>
          <w:rFonts w:cs="Arial"/>
          <w:bCs/>
        </w:rPr>
        <w:t>Četiri Posrednička tijela za upravljanje politikom, uspostavljena unutar relevantnih</w:t>
      </w:r>
      <w:r>
        <w:rPr>
          <w:rFonts w:cs="Arial"/>
          <w:bCs/>
        </w:rPr>
        <w:t xml:space="preserve"> resornih</w:t>
      </w:r>
      <w:r w:rsidRPr="008B244E">
        <w:rPr>
          <w:rFonts w:cs="Arial"/>
          <w:bCs/>
        </w:rPr>
        <w:t xml:space="preserve"> ministarstava: Ministarstvo poljoprivrede, šumarstva i vodoprivrede; Ministarstvo finansija; Ministarstvo prosvjete, nauke i inovacija; i Ministarstvo socijalnog staranja, demografije i brige o porodici.</w:t>
      </w:r>
    </w:p>
    <w:p w14:paraId="26CCE1F5" w14:textId="77777777" w:rsidR="00091B36" w:rsidRPr="0084024E" w:rsidRDefault="00091B36" w:rsidP="00091B36">
      <w:pPr>
        <w:spacing w:before="120"/>
        <w:rPr>
          <w:rFonts w:cs="Arial"/>
          <w:color w:val="000000" w:themeColor="text1"/>
        </w:rPr>
      </w:pPr>
      <w:r w:rsidRPr="0084024E">
        <w:rPr>
          <w:rFonts w:cs="Arial"/>
          <w:color w:val="000000" w:themeColor="text1"/>
        </w:rPr>
        <w:t xml:space="preserve">Prema Pravilniku, </w:t>
      </w:r>
      <w:r w:rsidRPr="0084024E">
        <w:rPr>
          <w:rFonts w:cs="Arial"/>
          <w:b/>
          <w:color w:val="000000" w:themeColor="text1"/>
        </w:rPr>
        <w:t xml:space="preserve">IPA III </w:t>
      </w:r>
      <w:r w:rsidRPr="004130C4">
        <w:rPr>
          <w:rFonts w:cs="Arial"/>
          <w:b/>
          <w:color w:val="000000" w:themeColor="text1"/>
        </w:rPr>
        <w:t>IUDK</w:t>
      </w:r>
      <w:r w:rsidRPr="0084024E">
        <w:rPr>
          <w:rFonts w:cs="Arial"/>
          <w:color w:val="000000" w:themeColor="text1"/>
        </w:rPr>
        <w:t xml:space="preserve"> strukture trebaju zaposliti ukupno 189 </w:t>
      </w:r>
      <w:r>
        <w:rPr>
          <w:rFonts w:cs="Arial"/>
          <w:color w:val="000000" w:themeColor="text1"/>
        </w:rPr>
        <w:t>službenika</w:t>
      </w:r>
      <w:r w:rsidRPr="0084024E">
        <w:rPr>
          <w:rFonts w:cs="Arial"/>
          <w:color w:val="000000" w:themeColor="text1"/>
        </w:rPr>
        <w:t xml:space="preserve"> (ne uključujući IPARD strukture)</w:t>
      </w:r>
      <w:r w:rsidRPr="0084024E">
        <w:rPr>
          <w:rStyle w:val="FootnoteReference"/>
          <w:rFonts w:cs="Arial"/>
          <w:color w:val="000000" w:themeColor="text1"/>
        </w:rPr>
        <w:t xml:space="preserve"> </w:t>
      </w:r>
      <w:r w:rsidRPr="0035145C">
        <w:rPr>
          <w:rStyle w:val="FootnoteReference"/>
          <w:rFonts w:cs="Arial"/>
          <w:color w:val="000000" w:themeColor="text1"/>
        </w:rPr>
        <w:footnoteReference w:id="271"/>
      </w:r>
      <w:r w:rsidRPr="0084024E">
        <w:rPr>
          <w:rFonts w:cs="Arial"/>
          <w:color w:val="000000" w:themeColor="text1"/>
        </w:rPr>
        <w:t xml:space="preserve">. Međutim, 23% radnih mjesta je </w:t>
      </w:r>
      <w:r>
        <w:rPr>
          <w:rFonts w:cs="Arial"/>
          <w:color w:val="000000" w:themeColor="text1"/>
        </w:rPr>
        <w:t>upražnjeno</w:t>
      </w:r>
      <w:r w:rsidRPr="0084024E">
        <w:rPr>
          <w:rFonts w:cs="Arial"/>
          <w:color w:val="000000" w:themeColor="text1"/>
        </w:rPr>
        <w:t xml:space="preserve">. </w:t>
      </w:r>
    </w:p>
    <w:p w14:paraId="1D053139" w14:textId="77777777" w:rsidR="00091B36" w:rsidRDefault="00091B36" w:rsidP="00091B36">
      <w:pPr>
        <w:spacing w:before="120"/>
        <w:rPr>
          <w:rFonts w:cs="Arial"/>
          <w:color w:val="000000" w:themeColor="text1"/>
        </w:rPr>
      </w:pPr>
      <w:r w:rsidRPr="0084024E">
        <w:rPr>
          <w:rFonts w:cs="Arial"/>
          <w:color w:val="000000" w:themeColor="text1"/>
        </w:rPr>
        <w:t xml:space="preserve">Osim Ministarstva za evropske poslove - Kancelarije </w:t>
      </w:r>
      <w:r w:rsidRPr="006F7CE6">
        <w:rPr>
          <w:rFonts w:cs="Arial"/>
          <w:color w:val="000000" w:themeColor="text1"/>
        </w:rPr>
        <w:t>NIPAK</w:t>
      </w:r>
      <w:r w:rsidRPr="0084024E">
        <w:rPr>
          <w:rFonts w:cs="Arial"/>
          <w:color w:val="000000" w:themeColor="text1"/>
        </w:rPr>
        <w:t xml:space="preserve"> i Ministarstva finansija - NAO/Upravljačke strukture, </w:t>
      </w:r>
      <w:r>
        <w:rPr>
          <w:rFonts w:cs="Arial"/>
          <w:color w:val="000000" w:themeColor="text1"/>
        </w:rPr>
        <w:t>izuzetka</w:t>
      </w:r>
      <w:r w:rsidRPr="0084024E">
        <w:rPr>
          <w:rFonts w:cs="Arial"/>
          <w:color w:val="000000" w:themeColor="text1"/>
        </w:rPr>
        <w:t xml:space="preserve"> u slučaju višegodišnjih programa, IPA strukture su uspostavljene na osnovu Godišnjih akcionih programa i sredstava koja se implementiraju kroz indirektno upravljanje. Posljedično, potrebni zaposleni značajno variraju na duži rok, odražavajući kako logiku ciklusa programa, tako i to da se uključuju različite strukture u zavisnosti od sektora za svaki Godišnji akcioni program. Dodatno, što se tiče dva višegodišnja programa 2024-2027, mnogi od zaposlenih su novi u IPA. Kao rezultat toga, što se tiče zadržavanja osoblja, jedine strukture gdje se može osigurati dugoročn</w:t>
      </w:r>
      <w:r>
        <w:rPr>
          <w:rFonts w:cs="Arial"/>
          <w:color w:val="000000" w:themeColor="text1"/>
        </w:rPr>
        <w:t>i</w:t>
      </w:r>
      <w:r w:rsidRPr="0084024E">
        <w:rPr>
          <w:rFonts w:cs="Arial"/>
          <w:color w:val="000000" w:themeColor="text1"/>
        </w:rPr>
        <w:t xml:space="preserve"> kontinuitet su Ministarstvo vanjskih poslova - Kancelarija </w:t>
      </w:r>
      <w:r w:rsidRPr="006F7CE6">
        <w:rPr>
          <w:rFonts w:cs="Arial"/>
          <w:color w:val="000000" w:themeColor="text1"/>
        </w:rPr>
        <w:t>NIPAK</w:t>
      </w:r>
      <w:r w:rsidRPr="0084024E">
        <w:rPr>
          <w:rFonts w:cs="Arial"/>
          <w:color w:val="000000" w:themeColor="text1"/>
        </w:rPr>
        <w:t xml:space="preserve"> i Ministarstvo finansija – NAO/Upravljačka struktura. Vrijed</w:t>
      </w:r>
      <w:r>
        <w:rPr>
          <w:rFonts w:cs="Arial"/>
          <w:color w:val="000000" w:themeColor="text1"/>
        </w:rPr>
        <w:t>i</w:t>
      </w:r>
      <w:r w:rsidRPr="0084024E">
        <w:rPr>
          <w:rFonts w:cs="Arial"/>
          <w:color w:val="000000" w:themeColor="text1"/>
        </w:rPr>
        <w:t xml:space="preserve"> napomenuti da u oba slučaja postoji značajno zadržavanje zaposlenih (90% u periodu od 2021. do 14. februara 2025).</w:t>
      </w:r>
    </w:p>
    <w:p w14:paraId="6B3E1A8A" w14:textId="77777777" w:rsidR="00091B36" w:rsidRPr="00FC0E29" w:rsidRDefault="00091B36" w:rsidP="00936D1D">
      <w:pPr>
        <w:pStyle w:val="Heading2"/>
        <w:numPr>
          <w:ilvl w:val="0"/>
          <w:numId w:val="0"/>
        </w:numPr>
        <w:ind w:left="576" w:hanging="576"/>
      </w:pPr>
      <w:r w:rsidRPr="00FC0E29">
        <w:t xml:space="preserve">I.9. </w:t>
      </w:r>
      <w:r w:rsidRPr="00B348D9">
        <w:t>Odbijanje i obustava (2023-2024) dokumenata tokom ex-ante verifikacije u okviru IPA programa implementiranih u indirektnom upravljanju</w:t>
      </w:r>
    </w:p>
    <w:p w14:paraId="488D213C" w14:textId="77777777" w:rsidR="00091B36" w:rsidRPr="00A70136" w:rsidRDefault="00091B36" w:rsidP="00091B36">
      <w:pPr>
        <w:contextualSpacing/>
        <w:rPr>
          <w:rFonts w:eastAsia="Calibri" w:cs="Arial"/>
          <w:kern w:val="0"/>
          <w:szCs w:val="20"/>
        </w:rPr>
      </w:pPr>
      <w:r w:rsidRPr="00A70136">
        <w:rPr>
          <w:rFonts w:eastAsia="Calibri" w:cs="Arial"/>
          <w:kern w:val="0"/>
          <w:szCs w:val="20"/>
        </w:rPr>
        <w:t>Trenutno, dv</w:t>
      </w:r>
      <w:r>
        <w:rPr>
          <w:rFonts w:eastAsia="Calibri" w:cs="Arial"/>
          <w:kern w:val="0"/>
          <w:szCs w:val="20"/>
        </w:rPr>
        <w:t>a Ugovorna tijela</w:t>
      </w:r>
      <w:r w:rsidRPr="00A70136">
        <w:rPr>
          <w:rFonts w:eastAsia="Calibri" w:cs="Arial"/>
          <w:kern w:val="0"/>
          <w:szCs w:val="20"/>
        </w:rPr>
        <w:t xml:space="preserve"> </w:t>
      </w:r>
      <w:r>
        <w:rPr>
          <w:rFonts w:eastAsia="Calibri" w:cs="Arial"/>
          <w:kern w:val="0"/>
          <w:szCs w:val="20"/>
        </w:rPr>
        <w:t>podnose</w:t>
      </w:r>
      <w:r w:rsidRPr="00A70136">
        <w:rPr>
          <w:rFonts w:eastAsia="Calibri" w:cs="Arial"/>
          <w:kern w:val="0"/>
          <w:szCs w:val="20"/>
        </w:rPr>
        <w:t xml:space="preserve"> dokument</w:t>
      </w:r>
      <w:r>
        <w:rPr>
          <w:rFonts w:eastAsia="Calibri" w:cs="Arial"/>
          <w:kern w:val="0"/>
          <w:szCs w:val="20"/>
        </w:rPr>
        <w:t>a</w:t>
      </w:r>
      <w:r w:rsidRPr="00A70136">
        <w:rPr>
          <w:rFonts w:eastAsia="Calibri" w:cs="Arial"/>
          <w:kern w:val="0"/>
          <w:szCs w:val="20"/>
        </w:rPr>
        <w:t xml:space="preserve"> Delegaciji Evropske unije </w:t>
      </w:r>
      <w:r>
        <w:rPr>
          <w:rFonts w:eastAsia="Calibri" w:cs="Arial"/>
          <w:kern w:val="0"/>
          <w:szCs w:val="20"/>
        </w:rPr>
        <w:t>na</w:t>
      </w:r>
      <w:r w:rsidRPr="00A70136">
        <w:rPr>
          <w:rFonts w:eastAsia="Calibri" w:cs="Arial"/>
          <w:kern w:val="0"/>
          <w:szCs w:val="20"/>
        </w:rPr>
        <w:t xml:space="preserve"> ex-ante verifikaciju: Direktorat za finansiranje i ugovaranje sredstava EU</w:t>
      </w:r>
      <w:r>
        <w:rPr>
          <w:rFonts w:eastAsia="Calibri" w:cs="Arial"/>
          <w:kern w:val="0"/>
          <w:szCs w:val="20"/>
        </w:rPr>
        <w:t xml:space="preserve"> podrške</w:t>
      </w:r>
      <w:r w:rsidRPr="00A70136">
        <w:rPr>
          <w:rFonts w:eastAsia="Calibri" w:cs="Arial"/>
          <w:kern w:val="0"/>
          <w:szCs w:val="20"/>
        </w:rPr>
        <w:t xml:space="preserve"> (CFCU) i Uprava za kapitalne projekte (</w:t>
      </w:r>
      <w:r w:rsidRPr="00C37EEC">
        <w:rPr>
          <w:rFonts w:eastAsia="Calibri" w:cs="Arial"/>
          <w:kern w:val="0"/>
          <w:szCs w:val="20"/>
        </w:rPr>
        <w:t>UKP</w:t>
      </w:r>
      <w:r w:rsidRPr="00A70136">
        <w:rPr>
          <w:rFonts w:eastAsia="Calibri" w:cs="Arial"/>
          <w:kern w:val="0"/>
          <w:szCs w:val="20"/>
        </w:rPr>
        <w:t>).</w:t>
      </w:r>
    </w:p>
    <w:p w14:paraId="6940D36F" w14:textId="77777777" w:rsidR="00091B36" w:rsidRDefault="00091B36" w:rsidP="00091B36">
      <w:pPr>
        <w:contextualSpacing/>
        <w:rPr>
          <w:rFonts w:eastAsia="Calibri" w:cs="Arial"/>
          <w:kern w:val="0"/>
          <w:szCs w:val="20"/>
        </w:rPr>
      </w:pPr>
    </w:p>
    <w:p w14:paraId="76FC44F4" w14:textId="77777777" w:rsidR="00091B36" w:rsidRDefault="00091B36" w:rsidP="00091B36">
      <w:r w:rsidRPr="00A70136">
        <w:t xml:space="preserve">Direktorat za finansiranje i ugovaranje sredstava EU </w:t>
      </w:r>
      <w:r>
        <w:t>podrške</w:t>
      </w:r>
      <w:r w:rsidRPr="00A70136">
        <w:t xml:space="preserve"> (CFCU) </w:t>
      </w:r>
      <w:r w:rsidRPr="00A70136">
        <w:rPr>
          <w:b/>
        </w:rPr>
        <w:t>djeluje kao Ugovorn</w:t>
      </w:r>
      <w:r>
        <w:rPr>
          <w:b/>
        </w:rPr>
        <w:t>o tijelo</w:t>
      </w:r>
      <w:r w:rsidRPr="00A70136">
        <w:t xml:space="preserve"> za 8 programa finansiranih pod IPA II u indirektnom upravljanju. </w:t>
      </w:r>
      <w:r w:rsidRPr="00A70136">
        <w:rPr>
          <w:b/>
        </w:rPr>
        <w:t>Ukupna vrijednost EU sredstava povjerenih CFCU za ove programe iznosi 66,6 miliona EUR</w:t>
      </w:r>
      <w:r w:rsidRPr="0049181E">
        <w:rPr>
          <w:rStyle w:val="FootnoteReference"/>
          <w:rFonts w:eastAsia="Calibri" w:cs="Arial"/>
          <w:b/>
          <w:kern w:val="0"/>
          <w:szCs w:val="20"/>
        </w:rPr>
        <w:footnoteReference w:id="272"/>
      </w:r>
      <w:r w:rsidRPr="00A70136">
        <w:t>. Ukupan broj ugovora koje je CFCU potpisao je 257.</w:t>
      </w:r>
      <w:r>
        <w:t xml:space="preserve"> </w:t>
      </w:r>
      <w:r w:rsidRPr="00A70136">
        <w:t>Uprava za kapitalne projekte (</w:t>
      </w:r>
      <w:r w:rsidRPr="00C37EEC">
        <w:t>UKP</w:t>
      </w:r>
      <w:r w:rsidRPr="00A70136">
        <w:t>) djeluje kao</w:t>
      </w:r>
      <w:r>
        <w:t xml:space="preserve"> Ugovorno tijelo</w:t>
      </w:r>
      <w:r w:rsidRPr="00A70136">
        <w:t xml:space="preserve"> za 5 IPA II programa finansiranih pod IPA II u indirektnom upravljanju. </w:t>
      </w:r>
      <w:r w:rsidRPr="00A70136">
        <w:rPr>
          <w:b/>
        </w:rPr>
        <w:t xml:space="preserve">Ukupna vrijednost EU sredstava povjerenih </w:t>
      </w:r>
      <w:r w:rsidRPr="00C37EEC">
        <w:rPr>
          <w:b/>
        </w:rPr>
        <w:t>UKP</w:t>
      </w:r>
      <w:r w:rsidRPr="00A70136">
        <w:rPr>
          <w:b/>
        </w:rPr>
        <w:t xml:space="preserve"> iznosi 43,3 miliona EUR.</w:t>
      </w:r>
      <w:r w:rsidRPr="00A70136">
        <w:t xml:space="preserve"> Ukupan broj ugovora koje je </w:t>
      </w:r>
      <w:r w:rsidRPr="00C37EEC">
        <w:t>UKP</w:t>
      </w:r>
      <w:r w:rsidRPr="00A70136">
        <w:t xml:space="preserve"> potpisala je 50.</w:t>
      </w:r>
    </w:p>
    <w:p w14:paraId="46EE399B" w14:textId="77777777" w:rsidR="00091B36" w:rsidRPr="0035145C" w:rsidRDefault="00091B36" w:rsidP="00091B36">
      <w:r w:rsidRPr="003C5EB8">
        <w:t xml:space="preserve">Kvantitativni proračuni stopa </w:t>
      </w:r>
      <w:r>
        <w:t>eksternih</w:t>
      </w:r>
      <w:r w:rsidRPr="003C5EB8">
        <w:t xml:space="preserve"> odbacivanja/obustava za 2023. i 2024. godinu prikazani su u tabelama ispod:</w:t>
      </w:r>
      <w:r>
        <w:t xml:space="preserve"> </w:t>
      </w:r>
    </w:p>
    <w:p w14:paraId="3C24B79D" w14:textId="77777777" w:rsidR="00091B36" w:rsidRPr="0035145C" w:rsidRDefault="00091B36" w:rsidP="00091B36">
      <w:pPr>
        <w:spacing w:after="200" w:line="276" w:lineRule="auto"/>
        <w:contextualSpacing/>
        <w:rPr>
          <w:rFonts w:eastAsia="Calibri" w:cs="Arial"/>
          <w:color w:val="000000" w:themeColor="text1"/>
          <w:kern w:val="0"/>
          <w:szCs w:val="20"/>
        </w:rPr>
      </w:pPr>
      <w:r w:rsidRPr="001F0C0C">
        <w:rPr>
          <w:rFonts w:eastAsia="Calibri" w:cs="Arial"/>
          <w:color w:val="000000" w:themeColor="text1"/>
          <w:kern w:val="0"/>
          <w:szCs w:val="20"/>
        </w:rPr>
        <w:t>Tabela</w:t>
      </w:r>
      <w:r w:rsidRPr="0035145C">
        <w:rPr>
          <w:rFonts w:eastAsia="Calibri" w:cs="Arial"/>
          <w:color w:val="000000" w:themeColor="text1"/>
          <w:kern w:val="0"/>
          <w:szCs w:val="20"/>
        </w:rPr>
        <w:t xml:space="preserve"> 1: CFCU </w:t>
      </w:r>
      <w:r>
        <w:rPr>
          <w:rFonts w:eastAsia="Calibri" w:cs="Arial"/>
          <w:color w:val="000000" w:themeColor="text1"/>
          <w:kern w:val="0"/>
          <w:szCs w:val="20"/>
        </w:rPr>
        <w:t>Ukupna Stopa odbijanja/obustavaljanja</w:t>
      </w:r>
      <w:r w:rsidRPr="0035145C">
        <w:rPr>
          <w:rFonts w:eastAsia="Calibri" w:cs="Arial"/>
          <w:color w:val="000000" w:themeColor="text1"/>
          <w:kern w:val="0"/>
          <w:szCs w:val="20"/>
        </w:rPr>
        <w:t xml:space="preserve"> (</w:t>
      </w:r>
      <w:r>
        <w:rPr>
          <w:rFonts w:eastAsia="Calibri" w:cs="Arial"/>
          <w:color w:val="000000" w:themeColor="text1"/>
          <w:kern w:val="0"/>
          <w:szCs w:val="20"/>
        </w:rPr>
        <w:t>za</w:t>
      </w:r>
      <w:r w:rsidRPr="0035145C">
        <w:rPr>
          <w:rFonts w:eastAsia="Calibri" w:cs="Arial"/>
          <w:color w:val="000000" w:themeColor="text1"/>
          <w:kern w:val="0"/>
          <w:szCs w:val="20"/>
        </w:rPr>
        <w:t xml:space="preserve"> 2023</w:t>
      </w:r>
      <w:r>
        <w:rPr>
          <w:rFonts w:eastAsia="Calibri" w:cs="Arial"/>
          <w:color w:val="000000" w:themeColor="text1"/>
          <w:kern w:val="0"/>
          <w:szCs w:val="20"/>
        </w:rPr>
        <w:t>.</w:t>
      </w:r>
      <w:r w:rsidRPr="0035145C">
        <w:rPr>
          <w:rFonts w:eastAsia="Calibri" w:cs="Arial"/>
          <w:color w:val="000000" w:themeColor="text1"/>
          <w:kern w:val="0"/>
          <w:szCs w:val="20"/>
        </w:rPr>
        <w:t>)</w:t>
      </w:r>
    </w:p>
    <w:tbl>
      <w:tblPr>
        <w:tblW w:w="0" w:type="auto"/>
        <w:tblCellMar>
          <w:left w:w="0" w:type="dxa"/>
          <w:right w:w="0" w:type="dxa"/>
        </w:tblCellMar>
        <w:tblLook w:val="04A0" w:firstRow="1" w:lastRow="0" w:firstColumn="1" w:lastColumn="0" w:noHBand="0" w:noVBand="1"/>
      </w:tblPr>
      <w:tblGrid>
        <w:gridCol w:w="1195"/>
        <w:gridCol w:w="873"/>
        <w:gridCol w:w="1172"/>
        <w:gridCol w:w="1083"/>
        <w:gridCol w:w="1483"/>
        <w:gridCol w:w="1286"/>
        <w:gridCol w:w="1287"/>
        <w:gridCol w:w="961"/>
      </w:tblGrid>
      <w:tr w:rsidR="00091B36" w:rsidRPr="0035145C" w14:paraId="364981FC" w14:textId="77777777" w:rsidTr="00936D1D">
        <w:tc>
          <w:tcPr>
            <w:tcW w:w="0" w:type="auto"/>
            <w:tcBorders>
              <w:top w:val="dotted" w:sz="8" w:space="0" w:color="000000"/>
              <w:left w:val="dotted" w:sz="8" w:space="0" w:color="000000"/>
              <w:bottom w:val="single" w:sz="8" w:space="0" w:color="7F7F7F"/>
              <w:right w:val="nil"/>
            </w:tcBorders>
            <w:shd w:val="clear" w:color="auto" w:fill="D9E2F3"/>
            <w:tcMar>
              <w:top w:w="0" w:type="dxa"/>
              <w:left w:w="108" w:type="dxa"/>
              <w:bottom w:w="0" w:type="dxa"/>
              <w:right w:w="108" w:type="dxa"/>
            </w:tcMar>
            <w:vAlign w:val="center"/>
          </w:tcPr>
          <w:p w14:paraId="67A4E6BD"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bookmarkStart w:id="228" w:name="_Hlk193272243"/>
          </w:p>
        </w:tc>
        <w:tc>
          <w:tcPr>
            <w:tcW w:w="0" w:type="auto"/>
            <w:tcBorders>
              <w:top w:val="dotted" w:sz="8" w:space="0" w:color="000000"/>
              <w:left w:val="dotted" w:sz="8" w:space="0" w:color="000000"/>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3C34BF4C"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Broj</w:t>
            </w:r>
          </w:p>
          <w:p w14:paraId="4E9B89E5"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Prijava</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4005F460"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Odobreno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3F7CED14"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Odbijeno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369FE8D0"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Obustavljeno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2FB35785"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Stopa odbijanja</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0E3148A2"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Stopa obustave</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13BC34FD"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Ukupno</w:t>
            </w:r>
          </w:p>
        </w:tc>
      </w:tr>
      <w:tr w:rsidR="00091B36" w:rsidRPr="0035145C" w14:paraId="067B17B7" w14:textId="77777777" w:rsidTr="00936D1D">
        <w:tc>
          <w:tcPr>
            <w:tcW w:w="0" w:type="auto"/>
            <w:tcBorders>
              <w:top w:val="nil"/>
              <w:left w:val="dotted" w:sz="8" w:space="0" w:color="000000"/>
              <w:bottom w:val="dotted" w:sz="8" w:space="0" w:color="000000"/>
              <w:right w:val="single" w:sz="8" w:space="0" w:color="7F7F7F"/>
            </w:tcBorders>
            <w:shd w:val="clear" w:color="auto" w:fill="8EAADB"/>
            <w:tcMar>
              <w:top w:w="0" w:type="dxa"/>
              <w:left w:w="108" w:type="dxa"/>
              <w:bottom w:w="0" w:type="dxa"/>
              <w:right w:w="108" w:type="dxa"/>
            </w:tcMar>
            <w:vAlign w:val="center"/>
            <w:hideMark/>
          </w:tcPr>
          <w:p w14:paraId="3D0C839A" w14:textId="77777777" w:rsidR="00091B36" w:rsidRPr="0035145C" w:rsidRDefault="00091B36" w:rsidP="00936D1D">
            <w:pPr>
              <w:spacing w:after="200" w:line="276" w:lineRule="auto"/>
              <w:contextualSpacing/>
              <w:rPr>
                <w:rFonts w:eastAsia="Calibri" w:cs="Arial"/>
                <w:b/>
                <w:bCs/>
                <w:iCs/>
                <w:color w:val="000000" w:themeColor="text1"/>
                <w:kern w:val="0"/>
                <w:szCs w:val="20"/>
              </w:rPr>
            </w:pPr>
            <w:r>
              <w:rPr>
                <w:rFonts w:eastAsia="Calibri" w:cs="Arial"/>
                <w:b/>
                <w:bCs/>
                <w:iCs/>
                <w:color w:val="000000" w:themeColor="text1"/>
                <w:kern w:val="0"/>
                <w:szCs w:val="20"/>
              </w:rPr>
              <w:t>Vrijednost</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242189BB"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110</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35AD9C28"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104</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604C8079"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3</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71E988E8"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3</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27361C27"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2,73%</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61E2BEFC"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2,73%</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52C5B9F0" w14:textId="77777777" w:rsidR="00091B36" w:rsidRPr="0035145C" w:rsidRDefault="00091B36" w:rsidP="00936D1D">
            <w:pPr>
              <w:spacing w:after="200" w:line="276" w:lineRule="auto"/>
              <w:contextualSpacing/>
              <w:rPr>
                <w:rFonts w:eastAsia="Calibri" w:cs="Arial"/>
                <w:b/>
                <w:bCs/>
                <w:color w:val="000000" w:themeColor="text1"/>
                <w:kern w:val="0"/>
                <w:szCs w:val="20"/>
                <w:u w:val="single"/>
              </w:rPr>
            </w:pPr>
            <w:r w:rsidRPr="0035145C">
              <w:rPr>
                <w:rFonts w:eastAsia="Calibri" w:cs="Arial"/>
                <w:b/>
                <w:bCs/>
                <w:color w:val="000000" w:themeColor="text1"/>
                <w:kern w:val="0"/>
                <w:szCs w:val="20"/>
                <w:u w:val="single"/>
              </w:rPr>
              <w:t>5,46%</w:t>
            </w:r>
          </w:p>
        </w:tc>
      </w:tr>
      <w:bookmarkEnd w:id="228"/>
    </w:tbl>
    <w:p w14:paraId="3B496DB2" w14:textId="77777777" w:rsidR="00091B36" w:rsidRPr="0035145C" w:rsidRDefault="00091B36" w:rsidP="00091B36">
      <w:pPr>
        <w:spacing w:after="200" w:line="276" w:lineRule="auto"/>
        <w:contextualSpacing/>
        <w:rPr>
          <w:rFonts w:eastAsia="Calibri" w:cs="Arial"/>
          <w:color w:val="000000" w:themeColor="text1"/>
          <w:kern w:val="0"/>
          <w:szCs w:val="20"/>
        </w:rPr>
      </w:pPr>
    </w:p>
    <w:p w14:paraId="0B021192" w14:textId="77777777" w:rsidR="00091B36" w:rsidRDefault="00091B36" w:rsidP="00091B36">
      <w:pPr>
        <w:spacing w:after="200" w:line="276" w:lineRule="auto"/>
        <w:contextualSpacing/>
        <w:rPr>
          <w:rFonts w:eastAsia="Calibri" w:cs="Arial"/>
          <w:color w:val="000000" w:themeColor="text1"/>
          <w:kern w:val="0"/>
          <w:szCs w:val="20"/>
        </w:rPr>
      </w:pPr>
      <w:r w:rsidRPr="003C5EB8">
        <w:rPr>
          <w:rFonts w:eastAsia="Calibri" w:cs="Arial"/>
          <w:color w:val="000000" w:themeColor="text1"/>
          <w:kern w:val="0"/>
          <w:szCs w:val="20"/>
        </w:rPr>
        <w:t>Tokom perioda od januara do decembra 2023. godine, 110 dokumenata je podneseno Delegaciji Evropske unije na ex-ante kontrolu. Od toga, 104 dokumenta su odobrena, 3 su odbijena i 3 su obustavljena. Stoga, potrebna su dodatna poboljšanja za 6 dokumenata, što predstavlja 5,46% od ukupnog broja podnesenih dokumenata.</w:t>
      </w:r>
    </w:p>
    <w:p w14:paraId="6968C196" w14:textId="77777777" w:rsidR="00091B36" w:rsidRPr="0035145C" w:rsidRDefault="00091B36" w:rsidP="00091B36">
      <w:pPr>
        <w:spacing w:after="200" w:line="276" w:lineRule="auto"/>
        <w:contextualSpacing/>
        <w:rPr>
          <w:rFonts w:eastAsia="Calibri" w:cs="Arial"/>
          <w:color w:val="000000" w:themeColor="text1"/>
          <w:kern w:val="0"/>
          <w:szCs w:val="20"/>
        </w:rPr>
      </w:pPr>
    </w:p>
    <w:p w14:paraId="72D7967E" w14:textId="77777777" w:rsidR="00091B36" w:rsidRPr="0035145C" w:rsidRDefault="00091B36" w:rsidP="00091B36">
      <w:pPr>
        <w:spacing w:after="200" w:line="276" w:lineRule="auto"/>
        <w:contextualSpacing/>
        <w:rPr>
          <w:rFonts w:eastAsia="Calibri" w:cs="Arial"/>
          <w:color w:val="000000" w:themeColor="text1"/>
          <w:kern w:val="0"/>
          <w:szCs w:val="20"/>
        </w:rPr>
      </w:pPr>
      <w:r w:rsidRPr="001F0C0C">
        <w:rPr>
          <w:rFonts w:eastAsia="Calibri" w:cs="Arial"/>
          <w:b/>
          <w:bCs/>
          <w:color w:val="000000" w:themeColor="text1"/>
          <w:kern w:val="0"/>
          <w:szCs w:val="20"/>
        </w:rPr>
        <w:t>Tabela</w:t>
      </w:r>
      <w:r w:rsidRPr="0035145C">
        <w:rPr>
          <w:rFonts w:eastAsia="Calibri" w:cs="Arial"/>
          <w:b/>
          <w:bCs/>
          <w:color w:val="000000" w:themeColor="text1"/>
          <w:kern w:val="0"/>
          <w:szCs w:val="20"/>
        </w:rPr>
        <w:t xml:space="preserve"> 2: </w:t>
      </w:r>
      <w:r w:rsidRPr="00C37EEC">
        <w:rPr>
          <w:rFonts w:eastAsia="Calibri" w:cs="Arial"/>
          <w:b/>
          <w:bCs/>
          <w:color w:val="000000" w:themeColor="text1"/>
          <w:kern w:val="0"/>
          <w:szCs w:val="20"/>
        </w:rPr>
        <w:t>UKP</w:t>
      </w:r>
      <w:r w:rsidRPr="0035145C">
        <w:rPr>
          <w:rFonts w:eastAsia="Calibri" w:cs="Arial"/>
          <w:b/>
          <w:bCs/>
          <w:color w:val="000000" w:themeColor="text1"/>
          <w:kern w:val="0"/>
          <w:szCs w:val="20"/>
        </w:rPr>
        <w:t xml:space="preserve"> </w:t>
      </w:r>
      <w:r>
        <w:rPr>
          <w:rFonts w:eastAsia="Calibri" w:cs="Arial"/>
          <w:b/>
          <w:bCs/>
          <w:color w:val="000000" w:themeColor="text1"/>
          <w:kern w:val="0"/>
          <w:szCs w:val="20"/>
        </w:rPr>
        <w:t>Ukupna stopa odbijanja</w:t>
      </w:r>
      <w:r w:rsidRPr="0035145C">
        <w:rPr>
          <w:rFonts w:eastAsia="Calibri" w:cs="Arial"/>
          <w:b/>
          <w:bCs/>
          <w:color w:val="000000" w:themeColor="text1"/>
          <w:kern w:val="0"/>
          <w:szCs w:val="20"/>
        </w:rPr>
        <w:t xml:space="preserve">/ </w:t>
      </w:r>
      <w:r>
        <w:rPr>
          <w:rFonts w:eastAsia="Calibri" w:cs="Arial"/>
          <w:b/>
          <w:bCs/>
          <w:color w:val="000000" w:themeColor="text1"/>
          <w:kern w:val="0"/>
          <w:szCs w:val="20"/>
        </w:rPr>
        <w:t>obustavljanja</w:t>
      </w:r>
      <w:r w:rsidRPr="0035145C">
        <w:rPr>
          <w:rFonts w:eastAsia="Calibri" w:cs="Arial"/>
          <w:b/>
          <w:bCs/>
          <w:color w:val="000000" w:themeColor="text1"/>
          <w:kern w:val="0"/>
          <w:szCs w:val="20"/>
        </w:rPr>
        <w:t xml:space="preserve"> (</w:t>
      </w:r>
      <w:r>
        <w:rPr>
          <w:rFonts w:eastAsia="Calibri" w:cs="Arial"/>
          <w:b/>
          <w:bCs/>
          <w:color w:val="000000" w:themeColor="text1"/>
          <w:kern w:val="0"/>
          <w:szCs w:val="20"/>
        </w:rPr>
        <w:t>za</w:t>
      </w:r>
      <w:r w:rsidRPr="0035145C">
        <w:rPr>
          <w:rFonts w:eastAsia="Calibri" w:cs="Arial"/>
          <w:b/>
          <w:bCs/>
          <w:color w:val="000000" w:themeColor="text1"/>
          <w:kern w:val="0"/>
          <w:szCs w:val="20"/>
        </w:rPr>
        <w:t xml:space="preserve"> 2023</w:t>
      </w:r>
      <w:r>
        <w:rPr>
          <w:rFonts w:eastAsia="Calibri" w:cs="Arial"/>
          <w:b/>
          <w:bCs/>
          <w:color w:val="000000" w:themeColor="text1"/>
          <w:kern w:val="0"/>
          <w:szCs w:val="20"/>
        </w:rPr>
        <w:t>.</w:t>
      </w:r>
      <w:r w:rsidRPr="0035145C">
        <w:rPr>
          <w:rFonts w:eastAsia="Calibri" w:cs="Arial"/>
          <w:b/>
          <w:bCs/>
          <w:color w:val="000000" w:themeColor="text1"/>
          <w:kern w:val="0"/>
          <w:szCs w:val="20"/>
        </w:rPr>
        <w:t>)</w:t>
      </w:r>
    </w:p>
    <w:tbl>
      <w:tblPr>
        <w:tblW w:w="0" w:type="auto"/>
        <w:tblCellMar>
          <w:left w:w="0" w:type="dxa"/>
          <w:right w:w="0" w:type="dxa"/>
        </w:tblCellMar>
        <w:tblLook w:val="04A0" w:firstRow="1" w:lastRow="0" w:firstColumn="1" w:lastColumn="0" w:noHBand="0" w:noVBand="1"/>
      </w:tblPr>
      <w:tblGrid>
        <w:gridCol w:w="1097"/>
        <w:gridCol w:w="807"/>
        <w:gridCol w:w="1076"/>
        <w:gridCol w:w="996"/>
        <w:gridCol w:w="1357"/>
        <w:gridCol w:w="1557"/>
        <w:gridCol w:w="1557"/>
        <w:gridCol w:w="886"/>
      </w:tblGrid>
      <w:tr w:rsidR="00091B36" w:rsidRPr="0035145C" w14:paraId="1F6C34A7" w14:textId="77777777" w:rsidTr="00936D1D">
        <w:tc>
          <w:tcPr>
            <w:tcW w:w="0" w:type="auto"/>
            <w:tcBorders>
              <w:top w:val="dotted" w:sz="8" w:space="0" w:color="000000"/>
              <w:left w:val="dotted" w:sz="8" w:space="0" w:color="000000"/>
              <w:bottom w:val="single" w:sz="8" w:space="0" w:color="7F7F7F"/>
              <w:right w:val="nil"/>
            </w:tcBorders>
            <w:shd w:val="clear" w:color="auto" w:fill="D9E2F3"/>
            <w:tcMar>
              <w:top w:w="0" w:type="dxa"/>
              <w:left w:w="108" w:type="dxa"/>
              <w:bottom w:w="0" w:type="dxa"/>
              <w:right w:w="108" w:type="dxa"/>
            </w:tcMar>
            <w:vAlign w:val="center"/>
          </w:tcPr>
          <w:p w14:paraId="53B55B67"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p>
        </w:tc>
        <w:tc>
          <w:tcPr>
            <w:tcW w:w="0" w:type="auto"/>
            <w:tcBorders>
              <w:top w:val="dotted" w:sz="8" w:space="0" w:color="000000"/>
              <w:left w:val="dotted" w:sz="8" w:space="0" w:color="000000"/>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6F807387"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Broj</w:t>
            </w:r>
          </w:p>
          <w:p w14:paraId="2DDCFE93"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Prijava</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121F230C"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Odobreno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4F904E70"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Odbijeno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6E1DF8AD"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Obustavljeno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0ED9E476"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Stopa odbijanja</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581E2DA6"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Stopa obustave</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18CA2EA5"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Ukupno</w:t>
            </w:r>
          </w:p>
        </w:tc>
      </w:tr>
      <w:tr w:rsidR="00091B36" w:rsidRPr="0035145C" w14:paraId="6C126314" w14:textId="77777777" w:rsidTr="00936D1D">
        <w:tc>
          <w:tcPr>
            <w:tcW w:w="0" w:type="auto"/>
            <w:tcBorders>
              <w:top w:val="nil"/>
              <w:left w:val="dotted" w:sz="8" w:space="0" w:color="000000"/>
              <w:bottom w:val="dotted" w:sz="8" w:space="0" w:color="000000"/>
              <w:right w:val="single" w:sz="8" w:space="0" w:color="7F7F7F"/>
            </w:tcBorders>
            <w:shd w:val="clear" w:color="auto" w:fill="8EAADB"/>
            <w:tcMar>
              <w:top w:w="0" w:type="dxa"/>
              <w:left w:w="108" w:type="dxa"/>
              <w:bottom w:w="0" w:type="dxa"/>
              <w:right w:w="108" w:type="dxa"/>
            </w:tcMar>
            <w:vAlign w:val="center"/>
            <w:hideMark/>
          </w:tcPr>
          <w:p w14:paraId="152CB3CD" w14:textId="77777777" w:rsidR="00091B36" w:rsidRPr="0035145C" w:rsidRDefault="00091B36" w:rsidP="00936D1D">
            <w:pPr>
              <w:spacing w:after="200" w:line="276" w:lineRule="auto"/>
              <w:contextualSpacing/>
              <w:rPr>
                <w:rFonts w:eastAsia="Calibri" w:cs="Arial"/>
                <w:b/>
                <w:bCs/>
                <w:iCs/>
                <w:color w:val="000000" w:themeColor="text1"/>
                <w:kern w:val="0"/>
                <w:sz w:val="18"/>
                <w:szCs w:val="18"/>
              </w:rPr>
            </w:pPr>
            <w:r>
              <w:rPr>
                <w:rFonts w:eastAsia="Calibri" w:cs="Arial"/>
                <w:b/>
                <w:bCs/>
                <w:iCs/>
                <w:color w:val="000000" w:themeColor="text1"/>
                <w:kern w:val="0"/>
                <w:sz w:val="18"/>
                <w:szCs w:val="18"/>
              </w:rPr>
              <w:t>Vrijednost</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6EFA7DBC"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54</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1AB69354"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37</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693EC512"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13</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281B2F4A"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4</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35F1E501"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24.07 %</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1BEB16E8"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7.41 %</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24DA76F5" w14:textId="77777777" w:rsidR="00091B36" w:rsidRPr="0035145C" w:rsidRDefault="00091B36" w:rsidP="00936D1D">
            <w:pPr>
              <w:spacing w:after="200" w:line="276" w:lineRule="auto"/>
              <w:contextualSpacing/>
              <w:rPr>
                <w:rFonts w:eastAsia="Calibri" w:cs="Arial"/>
                <w:b/>
                <w:bCs/>
                <w:color w:val="000000" w:themeColor="text1"/>
                <w:kern w:val="0"/>
                <w:sz w:val="18"/>
                <w:szCs w:val="18"/>
                <w:u w:val="single"/>
              </w:rPr>
            </w:pPr>
            <w:r w:rsidRPr="0035145C">
              <w:rPr>
                <w:rFonts w:eastAsia="Calibri" w:cs="Arial"/>
                <w:b/>
                <w:bCs/>
                <w:color w:val="000000" w:themeColor="text1"/>
                <w:kern w:val="0"/>
                <w:sz w:val="18"/>
                <w:szCs w:val="18"/>
                <w:u w:val="single"/>
              </w:rPr>
              <w:t>31.48%</w:t>
            </w:r>
          </w:p>
        </w:tc>
      </w:tr>
    </w:tbl>
    <w:p w14:paraId="186FDA73" w14:textId="77777777" w:rsidR="00091B36" w:rsidRPr="0035145C" w:rsidRDefault="00091B36" w:rsidP="00091B36">
      <w:pPr>
        <w:spacing w:after="200" w:line="276" w:lineRule="auto"/>
        <w:contextualSpacing/>
        <w:rPr>
          <w:rFonts w:eastAsia="Calibri" w:cs="Arial"/>
          <w:i/>
          <w:color w:val="000000" w:themeColor="text1"/>
          <w:kern w:val="0"/>
          <w:szCs w:val="20"/>
          <w:u w:val="single"/>
        </w:rPr>
      </w:pPr>
    </w:p>
    <w:p w14:paraId="161C1BB6" w14:textId="77777777" w:rsidR="00091B36" w:rsidRDefault="00091B36" w:rsidP="00091B36">
      <w:pPr>
        <w:spacing w:after="0"/>
        <w:rPr>
          <w:rFonts w:eastAsia="Calibri" w:cs="Arial"/>
          <w:color w:val="000000" w:themeColor="text1"/>
          <w:kern w:val="0"/>
          <w:szCs w:val="20"/>
        </w:rPr>
      </w:pPr>
      <w:r w:rsidRPr="00EF2A0C">
        <w:rPr>
          <w:rFonts w:eastAsia="Calibri" w:cs="Arial"/>
          <w:color w:val="000000" w:themeColor="text1"/>
          <w:kern w:val="0"/>
          <w:szCs w:val="20"/>
        </w:rPr>
        <w:t>Tokom perioda od januara do decembra 2023. godine, 54 dokumenta su podnesena Delegaciji Evropske unije na ex-ante kontrolu. Od toga, 37 dokumenata je odobreno, 13 je odbijeno, a 4 su obustavljena. Stoga, potrebna su dodatna poboljšanja za 17 dokumenata, što čini 31,48% od ukupnog broja podnesenih dokumenata.</w:t>
      </w:r>
    </w:p>
    <w:p w14:paraId="4F5FD5DB" w14:textId="77777777" w:rsidR="00091B36" w:rsidRPr="0035145C" w:rsidRDefault="00091B36" w:rsidP="00091B36">
      <w:pPr>
        <w:spacing w:after="200" w:line="276" w:lineRule="auto"/>
        <w:contextualSpacing/>
        <w:rPr>
          <w:rFonts w:eastAsia="Calibri" w:cs="Arial"/>
          <w:color w:val="000000" w:themeColor="text1"/>
          <w:kern w:val="0"/>
          <w:szCs w:val="20"/>
        </w:rPr>
      </w:pPr>
    </w:p>
    <w:p w14:paraId="2A9C0A00" w14:textId="77777777" w:rsidR="00091B36" w:rsidRPr="0035145C" w:rsidRDefault="00091B36" w:rsidP="00091B36">
      <w:pPr>
        <w:spacing w:after="200" w:line="276" w:lineRule="auto"/>
        <w:contextualSpacing/>
        <w:rPr>
          <w:rFonts w:eastAsia="Calibri" w:cs="Arial"/>
          <w:color w:val="000000" w:themeColor="text1"/>
          <w:kern w:val="0"/>
          <w:szCs w:val="20"/>
        </w:rPr>
      </w:pPr>
      <w:r w:rsidRPr="001F0C0C">
        <w:rPr>
          <w:rFonts w:eastAsia="Calibri" w:cs="Arial"/>
          <w:color w:val="000000" w:themeColor="text1"/>
          <w:kern w:val="0"/>
          <w:szCs w:val="20"/>
        </w:rPr>
        <w:t>Tabela</w:t>
      </w:r>
      <w:r w:rsidRPr="0035145C">
        <w:rPr>
          <w:rFonts w:eastAsia="Calibri" w:cs="Arial"/>
          <w:color w:val="000000" w:themeColor="text1"/>
          <w:kern w:val="0"/>
          <w:szCs w:val="20"/>
        </w:rPr>
        <w:t xml:space="preserve"> 3: CFCU </w:t>
      </w:r>
      <w:r>
        <w:rPr>
          <w:rFonts w:eastAsia="Calibri" w:cs="Arial"/>
          <w:color w:val="000000" w:themeColor="text1"/>
          <w:kern w:val="0"/>
          <w:szCs w:val="20"/>
        </w:rPr>
        <w:t>Ukupna stopa odbijanja/obustavljanja</w:t>
      </w:r>
      <w:r w:rsidRPr="0035145C">
        <w:rPr>
          <w:rFonts w:eastAsia="Calibri" w:cs="Arial"/>
          <w:color w:val="000000" w:themeColor="text1"/>
          <w:kern w:val="0"/>
          <w:szCs w:val="20"/>
        </w:rPr>
        <w:t xml:space="preserve"> (</w:t>
      </w:r>
      <w:r>
        <w:rPr>
          <w:rFonts w:eastAsia="Calibri" w:cs="Arial"/>
          <w:color w:val="000000" w:themeColor="text1"/>
          <w:kern w:val="0"/>
          <w:szCs w:val="20"/>
        </w:rPr>
        <w:t>za</w:t>
      </w:r>
      <w:r w:rsidRPr="0035145C">
        <w:rPr>
          <w:rFonts w:eastAsia="Calibri" w:cs="Arial"/>
          <w:color w:val="000000" w:themeColor="text1"/>
          <w:kern w:val="0"/>
          <w:szCs w:val="20"/>
        </w:rPr>
        <w:t xml:space="preserve"> 2024</w:t>
      </w:r>
      <w:r>
        <w:rPr>
          <w:rFonts w:eastAsia="Calibri" w:cs="Arial"/>
          <w:color w:val="000000" w:themeColor="text1"/>
          <w:kern w:val="0"/>
          <w:szCs w:val="20"/>
        </w:rPr>
        <w:t>.</w:t>
      </w:r>
      <w:r w:rsidRPr="0035145C">
        <w:rPr>
          <w:rFonts w:eastAsia="Calibri" w:cs="Arial"/>
          <w:color w:val="000000" w:themeColor="text1"/>
          <w:kern w:val="0"/>
          <w:szCs w:val="20"/>
        </w:rPr>
        <w:t>)</w:t>
      </w:r>
    </w:p>
    <w:tbl>
      <w:tblPr>
        <w:tblW w:w="0" w:type="auto"/>
        <w:tblCellMar>
          <w:left w:w="0" w:type="dxa"/>
          <w:right w:w="0" w:type="dxa"/>
        </w:tblCellMar>
        <w:tblLook w:val="04A0" w:firstRow="1" w:lastRow="0" w:firstColumn="1" w:lastColumn="0" w:noHBand="0" w:noVBand="1"/>
      </w:tblPr>
      <w:tblGrid>
        <w:gridCol w:w="1195"/>
        <w:gridCol w:w="873"/>
        <w:gridCol w:w="1172"/>
        <w:gridCol w:w="1083"/>
        <w:gridCol w:w="1483"/>
        <w:gridCol w:w="1286"/>
        <w:gridCol w:w="1287"/>
        <w:gridCol w:w="961"/>
      </w:tblGrid>
      <w:tr w:rsidR="00091B36" w:rsidRPr="0035145C" w14:paraId="568E127A" w14:textId="77777777" w:rsidTr="00936D1D">
        <w:tc>
          <w:tcPr>
            <w:tcW w:w="0" w:type="auto"/>
            <w:tcBorders>
              <w:top w:val="dotted" w:sz="8" w:space="0" w:color="000000"/>
              <w:left w:val="dotted" w:sz="8" w:space="0" w:color="000000"/>
              <w:bottom w:val="single" w:sz="8" w:space="0" w:color="7F7F7F"/>
              <w:right w:val="nil"/>
            </w:tcBorders>
            <w:shd w:val="clear" w:color="auto" w:fill="D9E2F3"/>
            <w:tcMar>
              <w:top w:w="0" w:type="dxa"/>
              <w:left w:w="108" w:type="dxa"/>
              <w:bottom w:w="0" w:type="dxa"/>
              <w:right w:w="108" w:type="dxa"/>
            </w:tcMar>
            <w:vAlign w:val="center"/>
          </w:tcPr>
          <w:p w14:paraId="3F387ADE"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p>
        </w:tc>
        <w:tc>
          <w:tcPr>
            <w:tcW w:w="0" w:type="auto"/>
            <w:tcBorders>
              <w:top w:val="dotted" w:sz="8" w:space="0" w:color="000000"/>
              <w:left w:val="dotted" w:sz="8" w:space="0" w:color="000000"/>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74CE5A75"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Broj</w:t>
            </w:r>
          </w:p>
          <w:p w14:paraId="2B71231B"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Prijava</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2E5C8C2A"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Odobreno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2F79FA6E"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Odbijeno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75891943"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Obustavljeno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279B0E3C"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Stopa odbijanja</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027DE70C"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Stopa obustave</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33156345" w14:textId="77777777" w:rsidR="00091B36" w:rsidRPr="0035145C" w:rsidRDefault="00091B36" w:rsidP="00936D1D">
            <w:pPr>
              <w:spacing w:after="200" w:line="276" w:lineRule="auto"/>
              <w:contextualSpacing/>
              <w:rPr>
                <w:rFonts w:eastAsia="Calibri" w:cs="Arial"/>
                <w:b/>
                <w:bCs/>
                <w:i/>
                <w:iCs/>
                <w:color w:val="000000" w:themeColor="text1"/>
                <w:kern w:val="0"/>
                <w:szCs w:val="20"/>
                <w:u w:val="single"/>
              </w:rPr>
            </w:pPr>
            <w:r w:rsidRPr="003C5EB8">
              <w:rPr>
                <w:rFonts w:eastAsia="Calibri" w:cs="Arial"/>
                <w:b/>
                <w:bCs/>
                <w:i/>
                <w:iCs/>
                <w:color w:val="000000" w:themeColor="text1"/>
                <w:kern w:val="0"/>
                <w:szCs w:val="20"/>
                <w:u w:val="single"/>
              </w:rPr>
              <w:t>Ukupno</w:t>
            </w:r>
          </w:p>
        </w:tc>
      </w:tr>
      <w:tr w:rsidR="00091B36" w:rsidRPr="0035145C" w14:paraId="2A9788B5" w14:textId="77777777" w:rsidTr="00936D1D">
        <w:tc>
          <w:tcPr>
            <w:tcW w:w="0" w:type="auto"/>
            <w:tcBorders>
              <w:top w:val="nil"/>
              <w:left w:val="dotted" w:sz="8" w:space="0" w:color="000000"/>
              <w:bottom w:val="dotted" w:sz="8" w:space="0" w:color="000000"/>
              <w:right w:val="single" w:sz="8" w:space="0" w:color="7F7F7F"/>
            </w:tcBorders>
            <w:shd w:val="clear" w:color="auto" w:fill="8EAADB"/>
            <w:tcMar>
              <w:top w:w="0" w:type="dxa"/>
              <w:left w:w="108" w:type="dxa"/>
              <w:bottom w:w="0" w:type="dxa"/>
              <w:right w:w="108" w:type="dxa"/>
            </w:tcMar>
            <w:vAlign w:val="center"/>
            <w:hideMark/>
          </w:tcPr>
          <w:p w14:paraId="2367BCF2" w14:textId="77777777" w:rsidR="00091B36" w:rsidRPr="0035145C" w:rsidRDefault="00091B36" w:rsidP="00936D1D">
            <w:pPr>
              <w:spacing w:after="200" w:line="276" w:lineRule="auto"/>
              <w:contextualSpacing/>
              <w:rPr>
                <w:rFonts w:eastAsia="Calibri" w:cs="Arial"/>
                <w:b/>
                <w:bCs/>
                <w:iCs/>
                <w:color w:val="000000" w:themeColor="text1"/>
                <w:kern w:val="0"/>
                <w:szCs w:val="20"/>
              </w:rPr>
            </w:pPr>
            <w:r>
              <w:rPr>
                <w:rFonts w:eastAsia="Calibri" w:cs="Arial"/>
                <w:b/>
                <w:bCs/>
                <w:iCs/>
                <w:color w:val="000000" w:themeColor="text1"/>
                <w:kern w:val="0"/>
                <w:szCs w:val="20"/>
              </w:rPr>
              <w:t>Vrijednost</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5DC85599"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59</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6988A592"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49</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3A44CDD2"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5</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7C98CDD2"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5</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0D1CFE02"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8,47%</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2C494B00" w14:textId="77777777" w:rsidR="00091B36" w:rsidRPr="0035145C" w:rsidRDefault="00091B36" w:rsidP="00936D1D">
            <w:pPr>
              <w:spacing w:after="200" w:line="276" w:lineRule="auto"/>
              <w:contextualSpacing/>
              <w:rPr>
                <w:rFonts w:eastAsia="Calibri" w:cs="Arial"/>
                <w:color w:val="000000" w:themeColor="text1"/>
                <w:kern w:val="0"/>
                <w:szCs w:val="20"/>
              </w:rPr>
            </w:pPr>
            <w:r w:rsidRPr="0035145C">
              <w:rPr>
                <w:rFonts w:eastAsia="Calibri" w:cs="Arial"/>
                <w:color w:val="000000" w:themeColor="text1"/>
                <w:kern w:val="0"/>
                <w:szCs w:val="20"/>
              </w:rPr>
              <w:t>8,47%</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12CF024A" w14:textId="77777777" w:rsidR="00091B36" w:rsidRPr="0035145C" w:rsidRDefault="00091B36" w:rsidP="00936D1D">
            <w:pPr>
              <w:spacing w:after="200" w:line="276" w:lineRule="auto"/>
              <w:contextualSpacing/>
              <w:rPr>
                <w:rFonts w:eastAsia="Calibri" w:cs="Arial"/>
                <w:b/>
                <w:bCs/>
                <w:color w:val="000000" w:themeColor="text1"/>
                <w:kern w:val="0"/>
                <w:szCs w:val="20"/>
                <w:u w:val="single"/>
              </w:rPr>
            </w:pPr>
            <w:r w:rsidRPr="0035145C">
              <w:rPr>
                <w:rFonts w:eastAsia="Calibri" w:cs="Arial"/>
                <w:b/>
                <w:bCs/>
                <w:color w:val="000000" w:themeColor="text1"/>
                <w:kern w:val="0"/>
                <w:szCs w:val="20"/>
                <w:u w:val="single"/>
              </w:rPr>
              <w:t>16,94%</w:t>
            </w:r>
          </w:p>
        </w:tc>
      </w:tr>
    </w:tbl>
    <w:p w14:paraId="12644799" w14:textId="77777777" w:rsidR="00091B36" w:rsidRPr="0035145C" w:rsidRDefault="00091B36" w:rsidP="00091B36">
      <w:pPr>
        <w:spacing w:after="200" w:line="276" w:lineRule="auto"/>
        <w:contextualSpacing/>
        <w:rPr>
          <w:rFonts w:eastAsia="Calibri" w:cs="Arial"/>
          <w:color w:val="000000" w:themeColor="text1"/>
          <w:kern w:val="0"/>
          <w:szCs w:val="20"/>
        </w:rPr>
      </w:pPr>
    </w:p>
    <w:p w14:paraId="2C1B62C5" w14:textId="77777777" w:rsidR="00091B36" w:rsidRDefault="00091B36" w:rsidP="00091B36">
      <w:pPr>
        <w:spacing w:after="200" w:line="276" w:lineRule="auto"/>
        <w:contextualSpacing/>
        <w:rPr>
          <w:rFonts w:eastAsia="Calibri" w:cs="Arial"/>
          <w:color w:val="000000" w:themeColor="text1"/>
          <w:kern w:val="0"/>
          <w:szCs w:val="20"/>
        </w:rPr>
      </w:pPr>
      <w:r w:rsidRPr="00EF2A0C">
        <w:rPr>
          <w:rFonts w:eastAsia="Calibri" w:cs="Arial"/>
          <w:color w:val="000000" w:themeColor="text1"/>
          <w:kern w:val="0"/>
          <w:szCs w:val="20"/>
        </w:rPr>
        <w:t>Tokom perioda od januara do decembra 2024. godine, 59 dokumenata je podneseno Delegaciji Evropske unije na ex-ante kontrolu. Od toga, 49 dokumenata je odobreno, 5 je odbijeno, a 5 je obustavljeno. Stoga, potrebna su dodatna poboljšanja za 10 dokumenata, što čini 16,94% od ukupnog broja podnesenih dokumenata.</w:t>
      </w:r>
    </w:p>
    <w:p w14:paraId="31A8DD29" w14:textId="77777777" w:rsidR="00091B36" w:rsidRPr="0035145C" w:rsidRDefault="00091B36" w:rsidP="00091B36">
      <w:pPr>
        <w:spacing w:after="200" w:line="276" w:lineRule="auto"/>
        <w:contextualSpacing/>
        <w:rPr>
          <w:rFonts w:eastAsia="Calibri" w:cs="Arial"/>
          <w:b/>
          <w:bCs/>
          <w:color w:val="000000" w:themeColor="text1"/>
          <w:kern w:val="0"/>
          <w:szCs w:val="20"/>
        </w:rPr>
      </w:pPr>
    </w:p>
    <w:p w14:paraId="36392D36" w14:textId="77777777" w:rsidR="00091B36" w:rsidRPr="0035145C" w:rsidRDefault="00091B36" w:rsidP="00091B36">
      <w:pPr>
        <w:spacing w:after="200" w:line="276" w:lineRule="auto"/>
        <w:contextualSpacing/>
        <w:rPr>
          <w:rFonts w:eastAsia="Calibri" w:cs="Arial"/>
          <w:color w:val="000000" w:themeColor="text1"/>
          <w:kern w:val="0"/>
          <w:szCs w:val="20"/>
        </w:rPr>
      </w:pPr>
      <w:r w:rsidRPr="001F0C0C">
        <w:rPr>
          <w:rFonts w:eastAsia="Calibri" w:cs="Arial"/>
          <w:b/>
          <w:bCs/>
          <w:color w:val="000000" w:themeColor="text1"/>
          <w:kern w:val="0"/>
          <w:szCs w:val="20"/>
        </w:rPr>
        <w:t>Tabela</w:t>
      </w:r>
      <w:r w:rsidRPr="0035145C">
        <w:rPr>
          <w:rFonts w:eastAsia="Calibri" w:cs="Arial"/>
          <w:b/>
          <w:bCs/>
          <w:color w:val="000000" w:themeColor="text1"/>
          <w:kern w:val="0"/>
          <w:szCs w:val="20"/>
        </w:rPr>
        <w:t xml:space="preserve"> 4: </w:t>
      </w:r>
      <w:r w:rsidRPr="00C37EEC">
        <w:rPr>
          <w:rFonts w:eastAsia="Calibri" w:cs="Arial"/>
          <w:b/>
          <w:bCs/>
          <w:color w:val="000000" w:themeColor="text1"/>
          <w:kern w:val="0"/>
          <w:szCs w:val="20"/>
        </w:rPr>
        <w:t>UKP</w:t>
      </w:r>
      <w:r w:rsidRPr="0035145C">
        <w:rPr>
          <w:rFonts w:eastAsia="Calibri" w:cs="Arial"/>
          <w:b/>
          <w:bCs/>
          <w:color w:val="000000" w:themeColor="text1"/>
          <w:kern w:val="0"/>
          <w:szCs w:val="20"/>
        </w:rPr>
        <w:t xml:space="preserve"> </w:t>
      </w:r>
      <w:r>
        <w:rPr>
          <w:rFonts w:eastAsia="Calibri" w:cs="Arial"/>
          <w:b/>
          <w:bCs/>
          <w:color w:val="000000" w:themeColor="text1"/>
          <w:kern w:val="0"/>
          <w:szCs w:val="20"/>
        </w:rPr>
        <w:t>Ukupna stopa odbijanja/obustavljnja</w:t>
      </w:r>
      <w:r w:rsidRPr="0035145C">
        <w:rPr>
          <w:rFonts w:eastAsia="Calibri" w:cs="Arial"/>
          <w:b/>
          <w:bCs/>
          <w:color w:val="000000" w:themeColor="text1"/>
          <w:kern w:val="0"/>
          <w:szCs w:val="20"/>
        </w:rPr>
        <w:t xml:space="preserve"> (</w:t>
      </w:r>
      <w:r>
        <w:rPr>
          <w:rFonts w:eastAsia="Calibri" w:cs="Arial"/>
          <w:b/>
          <w:bCs/>
          <w:color w:val="000000" w:themeColor="text1"/>
          <w:kern w:val="0"/>
          <w:szCs w:val="20"/>
        </w:rPr>
        <w:t xml:space="preserve">za </w:t>
      </w:r>
      <w:r w:rsidRPr="0035145C">
        <w:rPr>
          <w:rFonts w:eastAsia="Calibri" w:cs="Arial"/>
          <w:b/>
          <w:bCs/>
          <w:color w:val="000000" w:themeColor="text1"/>
          <w:kern w:val="0"/>
          <w:szCs w:val="20"/>
        </w:rPr>
        <w:t>2024</w:t>
      </w:r>
      <w:r>
        <w:rPr>
          <w:rFonts w:eastAsia="Calibri" w:cs="Arial"/>
          <w:b/>
          <w:bCs/>
          <w:color w:val="000000" w:themeColor="text1"/>
          <w:kern w:val="0"/>
          <w:szCs w:val="20"/>
        </w:rPr>
        <w:t>.</w:t>
      </w:r>
      <w:r w:rsidRPr="0035145C">
        <w:rPr>
          <w:rFonts w:eastAsia="Calibri" w:cs="Arial"/>
          <w:b/>
          <w:bCs/>
          <w:color w:val="000000" w:themeColor="text1"/>
          <w:kern w:val="0"/>
          <w:szCs w:val="20"/>
        </w:rPr>
        <w:t>)</w:t>
      </w:r>
    </w:p>
    <w:tbl>
      <w:tblPr>
        <w:tblW w:w="0" w:type="auto"/>
        <w:tblCellMar>
          <w:left w:w="0" w:type="dxa"/>
          <w:right w:w="0" w:type="dxa"/>
        </w:tblCellMar>
        <w:tblLook w:val="04A0" w:firstRow="1" w:lastRow="0" w:firstColumn="1" w:lastColumn="0" w:noHBand="0" w:noVBand="1"/>
      </w:tblPr>
      <w:tblGrid>
        <w:gridCol w:w="1097"/>
        <w:gridCol w:w="807"/>
        <w:gridCol w:w="1076"/>
        <w:gridCol w:w="996"/>
        <w:gridCol w:w="1357"/>
        <w:gridCol w:w="1557"/>
        <w:gridCol w:w="1557"/>
        <w:gridCol w:w="886"/>
      </w:tblGrid>
      <w:tr w:rsidR="00091B36" w:rsidRPr="0035145C" w14:paraId="27ED600C" w14:textId="77777777" w:rsidTr="00936D1D">
        <w:tc>
          <w:tcPr>
            <w:tcW w:w="0" w:type="auto"/>
            <w:tcBorders>
              <w:top w:val="dotted" w:sz="8" w:space="0" w:color="000000"/>
              <w:left w:val="dotted" w:sz="8" w:space="0" w:color="000000"/>
              <w:bottom w:val="single" w:sz="8" w:space="0" w:color="7F7F7F"/>
              <w:right w:val="nil"/>
            </w:tcBorders>
            <w:shd w:val="clear" w:color="auto" w:fill="D9E2F3"/>
            <w:tcMar>
              <w:top w:w="0" w:type="dxa"/>
              <w:left w:w="108" w:type="dxa"/>
              <w:bottom w:w="0" w:type="dxa"/>
              <w:right w:w="108" w:type="dxa"/>
            </w:tcMar>
            <w:vAlign w:val="center"/>
          </w:tcPr>
          <w:p w14:paraId="4A8836C0"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p>
        </w:tc>
        <w:tc>
          <w:tcPr>
            <w:tcW w:w="0" w:type="auto"/>
            <w:tcBorders>
              <w:top w:val="dotted" w:sz="8" w:space="0" w:color="000000"/>
              <w:left w:val="dotted" w:sz="8" w:space="0" w:color="000000"/>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66A93E30"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Broj</w:t>
            </w:r>
          </w:p>
          <w:p w14:paraId="05C39A7F"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Prijava</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3C0AB28F"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Odobreno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0170E92D"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Odbijeno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63AE12ED"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Obustavljeno</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2818F50D"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Stopa odbijanja</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607DC8B1"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Stopa obustave</w:t>
            </w:r>
          </w:p>
        </w:tc>
        <w:tc>
          <w:tcPr>
            <w:tcW w:w="0" w:type="auto"/>
            <w:tcBorders>
              <w:top w:val="dotted" w:sz="8" w:space="0" w:color="000000"/>
              <w:left w:val="nil"/>
              <w:bottom w:val="single" w:sz="8" w:space="0" w:color="7F7F7F"/>
              <w:right w:val="dotted" w:sz="8" w:space="0" w:color="000000"/>
            </w:tcBorders>
            <w:shd w:val="clear" w:color="auto" w:fill="D9E2F3"/>
            <w:tcMar>
              <w:top w:w="0" w:type="dxa"/>
              <w:left w:w="108" w:type="dxa"/>
              <w:bottom w:w="0" w:type="dxa"/>
              <w:right w:w="108" w:type="dxa"/>
            </w:tcMar>
            <w:vAlign w:val="center"/>
            <w:hideMark/>
          </w:tcPr>
          <w:p w14:paraId="54890764" w14:textId="77777777" w:rsidR="00091B36" w:rsidRPr="0035145C" w:rsidRDefault="00091B36" w:rsidP="00936D1D">
            <w:pPr>
              <w:spacing w:after="200" w:line="276" w:lineRule="auto"/>
              <w:contextualSpacing/>
              <w:rPr>
                <w:rFonts w:eastAsia="Calibri" w:cs="Arial"/>
                <w:b/>
                <w:bCs/>
                <w:i/>
                <w:iCs/>
                <w:color w:val="000000" w:themeColor="text1"/>
                <w:kern w:val="0"/>
                <w:sz w:val="18"/>
                <w:szCs w:val="18"/>
                <w:u w:val="single"/>
              </w:rPr>
            </w:pPr>
            <w:r w:rsidRPr="003C5EB8">
              <w:rPr>
                <w:rFonts w:eastAsia="Calibri" w:cs="Arial"/>
                <w:b/>
                <w:bCs/>
                <w:i/>
                <w:iCs/>
                <w:color w:val="000000" w:themeColor="text1"/>
                <w:kern w:val="0"/>
                <w:sz w:val="18"/>
                <w:szCs w:val="18"/>
                <w:u w:val="single"/>
              </w:rPr>
              <w:t>Ukupno</w:t>
            </w:r>
          </w:p>
        </w:tc>
      </w:tr>
      <w:tr w:rsidR="00091B36" w:rsidRPr="0035145C" w14:paraId="24F3337D" w14:textId="77777777" w:rsidTr="00936D1D">
        <w:tc>
          <w:tcPr>
            <w:tcW w:w="0" w:type="auto"/>
            <w:tcBorders>
              <w:top w:val="nil"/>
              <w:left w:val="dotted" w:sz="8" w:space="0" w:color="000000"/>
              <w:bottom w:val="dotted" w:sz="8" w:space="0" w:color="000000"/>
              <w:right w:val="single" w:sz="8" w:space="0" w:color="7F7F7F"/>
            </w:tcBorders>
            <w:shd w:val="clear" w:color="auto" w:fill="8EAADB"/>
            <w:tcMar>
              <w:top w:w="0" w:type="dxa"/>
              <w:left w:w="108" w:type="dxa"/>
              <w:bottom w:w="0" w:type="dxa"/>
              <w:right w:w="108" w:type="dxa"/>
            </w:tcMar>
            <w:vAlign w:val="center"/>
            <w:hideMark/>
          </w:tcPr>
          <w:p w14:paraId="588A623B" w14:textId="77777777" w:rsidR="00091B36" w:rsidRPr="0035145C" w:rsidRDefault="00091B36" w:rsidP="00936D1D">
            <w:pPr>
              <w:spacing w:after="200" w:line="276" w:lineRule="auto"/>
              <w:contextualSpacing/>
              <w:rPr>
                <w:rFonts w:eastAsia="Calibri" w:cs="Arial"/>
                <w:b/>
                <w:bCs/>
                <w:iCs/>
                <w:color w:val="000000" w:themeColor="text1"/>
                <w:kern w:val="0"/>
                <w:sz w:val="18"/>
                <w:szCs w:val="18"/>
              </w:rPr>
            </w:pPr>
            <w:r>
              <w:rPr>
                <w:rFonts w:eastAsia="Calibri" w:cs="Arial"/>
                <w:b/>
                <w:bCs/>
                <w:iCs/>
                <w:color w:val="000000" w:themeColor="text1"/>
                <w:kern w:val="0"/>
                <w:sz w:val="18"/>
                <w:szCs w:val="18"/>
              </w:rPr>
              <w:t>Vrijednost</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4FE76246"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91</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7AB20665"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70</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1AAC5145"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16</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5FB69237"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5</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7A143320"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17.58%</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73FA4915" w14:textId="77777777" w:rsidR="00091B36" w:rsidRPr="0035145C" w:rsidRDefault="00091B36" w:rsidP="00936D1D">
            <w:pPr>
              <w:spacing w:after="200" w:line="276" w:lineRule="auto"/>
              <w:contextualSpacing/>
              <w:rPr>
                <w:rFonts w:eastAsia="Calibri" w:cs="Arial"/>
                <w:color w:val="000000" w:themeColor="text1"/>
                <w:kern w:val="0"/>
                <w:sz w:val="18"/>
                <w:szCs w:val="18"/>
              </w:rPr>
            </w:pPr>
            <w:r w:rsidRPr="0035145C">
              <w:rPr>
                <w:rFonts w:eastAsia="Calibri" w:cs="Arial"/>
                <w:color w:val="000000" w:themeColor="text1"/>
                <w:kern w:val="0"/>
                <w:sz w:val="18"/>
                <w:szCs w:val="18"/>
              </w:rPr>
              <w:t>5.49%</w:t>
            </w:r>
          </w:p>
        </w:tc>
        <w:tc>
          <w:tcPr>
            <w:tcW w:w="0" w:type="auto"/>
            <w:tcBorders>
              <w:top w:val="nil"/>
              <w:left w:val="nil"/>
              <w:bottom w:val="dotted" w:sz="8" w:space="0" w:color="000000"/>
              <w:right w:val="dotted" w:sz="8" w:space="0" w:color="000000"/>
            </w:tcBorders>
            <w:shd w:val="clear" w:color="auto" w:fill="8EAADB"/>
            <w:tcMar>
              <w:top w:w="0" w:type="dxa"/>
              <w:left w:w="108" w:type="dxa"/>
              <w:bottom w:w="0" w:type="dxa"/>
              <w:right w:w="108" w:type="dxa"/>
            </w:tcMar>
            <w:vAlign w:val="center"/>
            <w:hideMark/>
          </w:tcPr>
          <w:p w14:paraId="63D2B193" w14:textId="77777777" w:rsidR="00091B36" w:rsidRPr="0035145C" w:rsidRDefault="00091B36" w:rsidP="00936D1D">
            <w:pPr>
              <w:spacing w:after="200" w:line="276" w:lineRule="auto"/>
              <w:contextualSpacing/>
              <w:rPr>
                <w:rFonts w:eastAsia="Calibri" w:cs="Arial"/>
                <w:b/>
                <w:bCs/>
                <w:color w:val="000000" w:themeColor="text1"/>
                <w:kern w:val="0"/>
                <w:sz w:val="18"/>
                <w:szCs w:val="18"/>
                <w:u w:val="single"/>
              </w:rPr>
            </w:pPr>
            <w:r w:rsidRPr="0035145C">
              <w:rPr>
                <w:rFonts w:eastAsia="Calibri" w:cs="Arial"/>
                <w:b/>
                <w:bCs/>
                <w:color w:val="000000" w:themeColor="text1"/>
                <w:kern w:val="0"/>
                <w:sz w:val="18"/>
                <w:szCs w:val="18"/>
                <w:u w:val="single"/>
              </w:rPr>
              <w:t>23.07%</w:t>
            </w:r>
          </w:p>
        </w:tc>
      </w:tr>
    </w:tbl>
    <w:p w14:paraId="210B0925" w14:textId="77777777" w:rsidR="00091B36" w:rsidRPr="0035145C" w:rsidRDefault="00091B36" w:rsidP="00091B36">
      <w:pPr>
        <w:spacing w:after="200" w:line="276" w:lineRule="auto"/>
        <w:contextualSpacing/>
        <w:rPr>
          <w:rFonts w:eastAsia="Calibri" w:cs="Arial"/>
          <w:i/>
          <w:color w:val="000000" w:themeColor="text1"/>
          <w:kern w:val="0"/>
          <w:szCs w:val="20"/>
          <w:u w:val="single"/>
        </w:rPr>
      </w:pPr>
    </w:p>
    <w:p w14:paraId="3F6A95E6" w14:textId="77777777" w:rsidR="00091B36" w:rsidRDefault="00091B36" w:rsidP="00091B36">
      <w:pPr>
        <w:spacing w:after="0"/>
        <w:rPr>
          <w:rFonts w:eastAsia="Calibri" w:cs="Arial"/>
          <w:color w:val="000000" w:themeColor="text1"/>
          <w:kern w:val="0"/>
          <w:szCs w:val="20"/>
        </w:rPr>
      </w:pPr>
      <w:r w:rsidRPr="00EF2A0C">
        <w:rPr>
          <w:rFonts w:eastAsia="Calibri" w:cs="Arial"/>
          <w:color w:val="000000" w:themeColor="text1"/>
          <w:kern w:val="0"/>
          <w:szCs w:val="20"/>
        </w:rPr>
        <w:t>Tokom perioda od januara do decembra 2024. godine, 91 dokument je podnesen Delegaciji Evropske unije na ex-ante kontrolu. Od toga, 70 dokumenata je odobreno, 16 je odbijeno, a 5 je obustavljeno. Stoga, potrebna su dodatna poboljšanja za 21 dokument, što čini 23,07% od ukupnog broja podnesenih dokumenata.</w:t>
      </w:r>
    </w:p>
    <w:p w14:paraId="77058100" w14:textId="77777777" w:rsidR="00091B36" w:rsidRPr="0035145C" w:rsidRDefault="00091B36" w:rsidP="00091B36">
      <w:pPr>
        <w:spacing w:after="0"/>
        <w:rPr>
          <w:rFonts w:eastAsia="Calibri" w:cs="Arial"/>
          <w:color w:val="000000" w:themeColor="text1"/>
          <w:kern w:val="0"/>
          <w:szCs w:val="20"/>
        </w:rPr>
      </w:pPr>
    </w:p>
    <w:p w14:paraId="2932E525" w14:textId="77777777" w:rsidR="00091B36" w:rsidRDefault="00091B36" w:rsidP="00091B36">
      <w:pPr>
        <w:spacing w:after="0"/>
        <w:rPr>
          <w:rFonts w:eastAsia="Calibri" w:cs="Arial"/>
          <w:color w:val="000000" w:themeColor="text1"/>
          <w:kern w:val="0"/>
          <w:szCs w:val="20"/>
        </w:rPr>
      </w:pPr>
      <w:r w:rsidRPr="00EF2A0C">
        <w:rPr>
          <w:rFonts w:eastAsia="Calibri" w:cs="Arial"/>
          <w:color w:val="000000" w:themeColor="text1"/>
          <w:kern w:val="0"/>
          <w:szCs w:val="20"/>
        </w:rPr>
        <w:t>Analiza odbijanja i obustava</w:t>
      </w:r>
      <w:r w:rsidRPr="0035145C">
        <w:rPr>
          <w:rStyle w:val="FootnoteReference"/>
          <w:rFonts w:eastAsia="Calibri" w:cs="Arial"/>
          <w:color w:val="000000" w:themeColor="text1"/>
          <w:kern w:val="0"/>
          <w:szCs w:val="20"/>
        </w:rPr>
        <w:footnoteReference w:id="273"/>
      </w:r>
      <w:r w:rsidRPr="0035145C">
        <w:rPr>
          <w:rFonts w:eastAsia="Calibri" w:cs="Arial"/>
          <w:color w:val="000000" w:themeColor="text1"/>
          <w:kern w:val="0"/>
          <w:szCs w:val="20"/>
        </w:rPr>
        <w:t xml:space="preserve"> </w:t>
      </w:r>
      <w:r w:rsidRPr="00EF2A0C">
        <w:rPr>
          <w:rFonts w:eastAsia="Calibri" w:cs="Arial"/>
          <w:color w:val="000000" w:themeColor="text1"/>
          <w:kern w:val="0"/>
          <w:szCs w:val="20"/>
        </w:rPr>
        <w:t xml:space="preserve"> kategorizovana je prema vrsti dokumenta, a greške u svakoj kategoriji su kvantifikovane kako bi se identifikatovale vrste dokumenata sa višim rizikom od odbacivanja i obustava, a to su: dokument</w:t>
      </w:r>
      <w:r>
        <w:rPr>
          <w:rFonts w:eastAsia="Calibri" w:cs="Arial"/>
          <w:color w:val="000000" w:themeColor="text1"/>
          <w:kern w:val="0"/>
          <w:szCs w:val="20"/>
        </w:rPr>
        <w:t>a za tendere</w:t>
      </w:r>
      <w:r w:rsidRPr="00EF2A0C">
        <w:rPr>
          <w:rFonts w:eastAsia="Calibri" w:cs="Arial"/>
          <w:color w:val="000000" w:themeColor="text1"/>
          <w:kern w:val="0"/>
          <w:szCs w:val="20"/>
        </w:rPr>
        <w:t xml:space="preserve">, izveštaji o evaluaciji (pregovaranje), </w:t>
      </w:r>
      <w:r>
        <w:rPr>
          <w:rFonts w:eastAsia="Calibri" w:cs="Arial"/>
          <w:color w:val="000000" w:themeColor="text1"/>
          <w:kern w:val="0"/>
          <w:szCs w:val="20"/>
        </w:rPr>
        <w:t>dokumenta za ugovore</w:t>
      </w:r>
      <w:r w:rsidRPr="00EF2A0C">
        <w:rPr>
          <w:rFonts w:eastAsia="Calibri" w:cs="Arial"/>
          <w:color w:val="000000" w:themeColor="text1"/>
          <w:kern w:val="0"/>
          <w:szCs w:val="20"/>
        </w:rPr>
        <w:t xml:space="preserve"> i dodaci. Najčešći problemi su bili sl</w:t>
      </w:r>
      <w:r>
        <w:rPr>
          <w:rFonts w:eastAsia="Calibri" w:cs="Arial"/>
          <w:color w:val="000000" w:themeColor="text1"/>
          <w:kern w:val="0"/>
          <w:szCs w:val="20"/>
        </w:rPr>
        <w:t>j</w:t>
      </w:r>
      <w:r w:rsidRPr="00EF2A0C">
        <w:rPr>
          <w:rFonts w:eastAsia="Calibri" w:cs="Arial"/>
          <w:color w:val="000000" w:themeColor="text1"/>
          <w:kern w:val="0"/>
          <w:szCs w:val="20"/>
        </w:rPr>
        <w:t>edeći:</w:t>
      </w:r>
    </w:p>
    <w:p w14:paraId="208D97EE"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Ni</w:t>
      </w:r>
      <w:r>
        <w:rPr>
          <w:rFonts w:eastAsia="Calibri" w:cs="Arial"/>
          <w:color w:val="000000" w:themeColor="text1"/>
          <w:kern w:val="0"/>
          <w:szCs w:val="20"/>
        </w:rPr>
        <w:t>je</w:t>
      </w:r>
      <w:r w:rsidRPr="00EF2A0C">
        <w:rPr>
          <w:rFonts w:eastAsia="Calibri" w:cs="Arial"/>
          <w:color w:val="000000" w:themeColor="text1"/>
          <w:kern w:val="0"/>
          <w:szCs w:val="20"/>
        </w:rPr>
        <w:t>su korišćeni novi PRAG šabloni.</w:t>
      </w:r>
    </w:p>
    <w:p w14:paraId="730A56FB"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Dokument</w:t>
      </w:r>
      <w:r>
        <w:rPr>
          <w:rFonts w:eastAsia="Calibri" w:cs="Arial"/>
          <w:color w:val="000000" w:themeColor="text1"/>
          <w:kern w:val="0"/>
          <w:szCs w:val="20"/>
        </w:rPr>
        <w:t>a</w:t>
      </w:r>
      <w:r w:rsidRPr="00EF2A0C">
        <w:rPr>
          <w:rFonts w:eastAsia="Calibri" w:cs="Arial"/>
          <w:color w:val="000000" w:themeColor="text1"/>
          <w:kern w:val="0"/>
          <w:szCs w:val="20"/>
        </w:rPr>
        <w:t xml:space="preserve"> koj</w:t>
      </w:r>
      <w:r>
        <w:rPr>
          <w:rFonts w:eastAsia="Calibri" w:cs="Arial"/>
          <w:color w:val="000000" w:themeColor="text1"/>
          <w:kern w:val="0"/>
          <w:szCs w:val="20"/>
        </w:rPr>
        <w:t>a</w:t>
      </w:r>
      <w:r w:rsidRPr="00EF2A0C">
        <w:rPr>
          <w:rFonts w:eastAsia="Calibri" w:cs="Arial"/>
          <w:color w:val="000000" w:themeColor="text1"/>
          <w:kern w:val="0"/>
          <w:szCs w:val="20"/>
        </w:rPr>
        <w:t xml:space="preserve"> bi trebal</w:t>
      </w:r>
      <w:r>
        <w:rPr>
          <w:rFonts w:eastAsia="Calibri" w:cs="Arial"/>
          <w:color w:val="000000" w:themeColor="text1"/>
          <w:kern w:val="0"/>
          <w:szCs w:val="20"/>
        </w:rPr>
        <w:t>o</w:t>
      </w:r>
      <w:r w:rsidRPr="00EF2A0C">
        <w:rPr>
          <w:rFonts w:eastAsia="Calibri" w:cs="Arial"/>
          <w:color w:val="000000" w:themeColor="text1"/>
          <w:kern w:val="0"/>
          <w:szCs w:val="20"/>
        </w:rPr>
        <w:t xml:space="preserve"> biti d</w:t>
      </w:r>
      <w:r>
        <w:rPr>
          <w:rFonts w:eastAsia="Calibri" w:cs="Arial"/>
          <w:color w:val="000000" w:themeColor="text1"/>
          <w:kern w:val="0"/>
          <w:szCs w:val="20"/>
        </w:rPr>
        <w:t>i</w:t>
      </w:r>
      <w:r w:rsidRPr="00EF2A0C">
        <w:rPr>
          <w:rFonts w:eastAsia="Calibri" w:cs="Arial"/>
          <w:color w:val="000000" w:themeColor="text1"/>
          <w:kern w:val="0"/>
          <w:szCs w:val="20"/>
        </w:rPr>
        <w:t>o tender</w:t>
      </w:r>
      <w:r>
        <w:rPr>
          <w:rFonts w:eastAsia="Calibri" w:cs="Arial"/>
          <w:color w:val="000000" w:themeColor="text1"/>
          <w:kern w:val="0"/>
          <w:szCs w:val="20"/>
        </w:rPr>
        <w:t>ske</w:t>
      </w:r>
      <w:r w:rsidRPr="00EF2A0C">
        <w:rPr>
          <w:rFonts w:eastAsia="Calibri" w:cs="Arial"/>
          <w:color w:val="000000" w:themeColor="text1"/>
          <w:kern w:val="0"/>
          <w:szCs w:val="20"/>
        </w:rPr>
        <w:t xml:space="preserve"> dokumentacije ni</w:t>
      </w:r>
      <w:r>
        <w:rPr>
          <w:rFonts w:eastAsia="Calibri" w:cs="Arial"/>
          <w:color w:val="000000" w:themeColor="text1"/>
          <w:kern w:val="0"/>
          <w:szCs w:val="20"/>
        </w:rPr>
        <w:t>je</w:t>
      </w:r>
      <w:r w:rsidRPr="00EF2A0C">
        <w:rPr>
          <w:rFonts w:eastAsia="Calibri" w:cs="Arial"/>
          <w:color w:val="000000" w:themeColor="text1"/>
          <w:kern w:val="0"/>
          <w:szCs w:val="20"/>
        </w:rPr>
        <w:t>su podn</w:t>
      </w:r>
      <w:r>
        <w:rPr>
          <w:rFonts w:eastAsia="Calibri" w:cs="Arial"/>
          <w:color w:val="000000" w:themeColor="text1"/>
          <w:kern w:val="0"/>
          <w:szCs w:val="20"/>
        </w:rPr>
        <w:t>ij</w:t>
      </w:r>
      <w:r w:rsidRPr="00EF2A0C">
        <w:rPr>
          <w:rFonts w:eastAsia="Calibri" w:cs="Arial"/>
          <w:color w:val="000000" w:themeColor="text1"/>
          <w:kern w:val="0"/>
          <w:szCs w:val="20"/>
        </w:rPr>
        <w:t>et</w:t>
      </w:r>
      <w:r>
        <w:rPr>
          <w:rFonts w:eastAsia="Calibri" w:cs="Arial"/>
          <w:color w:val="000000" w:themeColor="text1"/>
          <w:kern w:val="0"/>
          <w:szCs w:val="20"/>
        </w:rPr>
        <w:t>a</w:t>
      </w:r>
      <w:r w:rsidRPr="00EF2A0C">
        <w:rPr>
          <w:rFonts w:eastAsia="Calibri" w:cs="Arial"/>
          <w:color w:val="000000" w:themeColor="text1"/>
          <w:kern w:val="0"/>
          <w:szCs w:val="20"/>
        </w:rPr>
        <w:t>.</w:t>
      </w:r>
    </w:p>
    <w:p w14:paraId="6EB7CCFF"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Greške u gramati</w:t>
      </w:r>
      <w:r>
        <w:rPr>
          <w:rFonts w:eastAsia="Calibri" w:cs="Arial"/>
          <w:color w:val="000000" w:themeColor="text1"/>
          <w:kern w:val="0"/>
          <w:szCs w:val="20"/>
        </w:rPr>
        <w:t>ci</w:t>
      </w:r>
      <w:r w:rsidRPr="00EF2A0C">
        <w:rPr>
          <w:rFonts w:eastAsia="Calibri" w:cs="Arial"/>
          <w:color w:val="000000" w:themeColor="text1"/>
          <w:kern w:val="0"/>
          <w:szCs w:val="20"/>
        </w:rPr>
        <w:t>, sintaks</w:t>
      </w:r>
      <w:r>
        <w:rPr>
          <w:rFonts w:eastAsia="Calibri" w:cs="Arial"/>
          <w:color w:val="000000" w:themeColor="text1"/>
          <w:kern w:val="0"/>
          <w:szCs w:val="20"/>
        </w:rPr>
        <w:t>i</w:t>
      </w:r>
      <w:r w:rsidRPr="00EF2A0C">
        <w:rPr>
          <w:rFonts w:eastAsia="Calibri" w:cs="Arial"/>
          <w:color w:val="000000" w:themeColor="text1"/>
          <w:kern w:val="0"/>
          <w:szCs w:val="20"/>
        </w:rPr>
        <w:t xml:space="preserve"> i semanti</w:t>
      </w:r>
      <w:r>
        <w:rPr>
          <w:rFonts w:eastAsia="Calibri" w:cs="Arial"/>
          <w:color w:val="000000" w:themeColor="text1"/>
          <w:kern w:val="0"/>
          <w:szCs w:val="20"/>
        </w:rPr>
        <w:t>ci</w:t>
      </w:r>
      <w:r w:rsidRPr="00EF2A0C">
        <w:rPr>
          <w:rFonts w:eastAsia="Calibri" w:cs="Arial"/>
          <w:color w:val="000000" w:themeColor="text1"/>
          <w:kern w:val="0"/>
          <w:szCs w:val="20"/>
        </w:rPr>
        <w:t>.</w:t>
      </w:r>
    </w:p>
    <w:p w14:paraId="1C404F8B"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Naslov projekta ne referiše na ciljeve projekta.</w:t>
      </w:r>
    </w:p>
    <w:p w14:paraId="6A38598A"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Net</w:t>
      </w:r>
      <w:r>
        <w:rPr>
          <w:rFonts w:eastAsia="Calibri" w:cs="Arial"/>
          <w:color w:val="000000" w:themeColor="text1"/>
          <w:kern w:val="0"/>
          <w:szCs w:val="20"/>
        </w:rPr>
        <w:t>a</w:t>
      </w:r>
      <w:r w:rsidRPr="00EF2A0C">
        <w:rPr>
          <w:rFonts w:eastAsia="Calibri" w:cs="Arial"/>
          <w:color w:val="000000" w:themeColor="text1"/>
          <w:kern w:val="0"/>
          <w:szCs w:val="20"/>
        </w:rPr>
        <w:t>čni CPV kodovi.</w:t>
      </w:r>
    </w:p>
    <w:p w14:paraId="0ECFFF5E"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Nedovoljno objašnjenje pod</w:t>
      </w:r>
      <w:r>
        <w:rPr>
          <w:rFonts w:eastAsia="Calibri" w:cs="Arial"/>
          <w:color w:val="000000" w:themeColor="text1"/>
          <w:kern w:val="0"/>
          <w:szCs w:val="20"/>
        </w:rPr>
        <w:t>j</w:t>
      </w:r>
      <w:r w:rsidRPr="00EF2A0C">
        <w:rPr>
          <w:rFonts w:eastAsia="Calibri" w:cs="Arial"/>
          <w:color w:val="000000" w:themeColor="text1"/>
          <w:kern w:val="0"/>
          <w:szCs w:val="20"/>
        </w:rPr>
        <w:t>el</w:t>
      </w:r>
      <w:r>
        <w:rPr>
          <w:rFonts w:eastAsia="Calibri" w:cs="Arial"/>
          <w:color w:val="000000" w:themeColor="text1"/>
          <w:kern w:val="0"/>
          <w:szCs w:val="20"/>
        </w:rPr>
        <w:t>a</w:t>
      </w:r>
      <w:r w:rsidRPr="00EF2A0C">
        <w:rPr>
          <w:rFonts w:eastAsia="Calibri" w:cs="Arial"/>
          <w:color w:val="000000" w:themeColor="text1"/>
          <w:kern w:val="0"/>
          <w:szCs w:val="20"/>
        </w:rPr>
        <w:t xml:space="preserve"> na lotove.</w:t>
      </w:r>
    </w:p>
    <w:p w14:paraId="5C8472C4"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Kriterijumi selekcije ni</w:t>
      </w:r>
      <w:r>
        <w:rPr>
          <w:rFonts w:eastAsia="Calibri" w:cs="Arial"/>
          <w:color w:val="000000" w:themeColor="text1"/>
          <w:kern w:val="0"/>
          <w:szCs w:val="20"/>
        </w:rPr>
        <w:t>je</w:t>
      </w:r>
      <w:r w:rsidRPr="00EF2A0C">
        <w:rPr>
          <w:rFonts w:eastAsia="Calibri" w:cs="Arial"/>
          <w:color w:val="000000" w:themeColor="text1"/>
          <w:kern w:val="0"/>
          <w:szCs w:val="20"/>
        </w:rPr>
        <w:t>su jasno formulisani i/ili ni</w:t>
      </w:r>
      <w:r>
        <w:rPr>
          <w:rFonts w:eastAsia="Calibri" w:cs="Arial"/>
          <w:color w:val="000000" w:themeColor="text1"/>
          <w:kern w:val="0"/>
          <w:szCs w:val="20"/>
        </w:rPr>
        <w:t>je</w:t>
      </w:r>
      <w:r w:rsidRPr="00EF2A0C">
        <w:rPr>
          <w:rFonts w:eastAsia="Calibri" w:cs="Arial"/>
          <w:color w:val="000000" w:themeColor="text1"/>
          <w:kern w:val="0"/>
          <w:szCs w:val="20"/>
        </w:rPr>
        <w:t>su proporcionalni ili ni</w:t>
      </w:r>
      <w:r>
        <w:rPr>
          <w:rFonts w:eastAsia="Calibri" w:cs="Arial"/>
          <w:color w:val="000000" w:themeColor="text1"/>
          <w:kern w:val="0"/>
          <w:szCs w:val="20"/>
        </w:rPr>
        <w:t>je</w:t>
      </w:r>
      <w:r w:rsidRPr="00EF2A0C">
        <w:rPr>
          <w:rFonts w:eastAsia="Calibri" w:cs="Arial"/>
          <w:color w:val="000000" w:themeColor="text1"/>
          <w:kern w:val="0"/>
          <w:szCs w:val="20"/>
        </w:rPr>
        <w:t>su osigurali da ponuđači budu dovoljno kvalifikovani za izvršenje ugovora.</w:t>
      </w:r>
    </w:p>
    <w:p w14:paraId="6033BD31"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 xml:space="preserve">Korišćenje </w:t>
      </w:r>
      <w:r>
        <w:rPr>
          <w:rFonts w:eastAsia="Calibri" w:cs="Arial"/>
          <w:color w:val="000000" w:themeColor="text1"/>
          <w:kern w:val="0"/>
          <w:szCs w:val="20"/>
        </w:rPr>
        <w:t>uslova</w:t>
      </w:r>
      <w:r w:rsidRPr="00EF2A0C">
        <w:rPr>
          <w:rFonts w:eastAsia="Calibri" w:cs="Arial"/>
          <w:color w:val="000000" w:themeColor="text1"/>
          <w:kern w:val="0"/>
          <w:szCs w:val="20"/>
        </w:rPr>
        <w:t xml:space="preserve"> kao što su lokalna </w:t>
      </w:r>
      <w:r>
        <w:rPr>
          <w:rFonts w:eastAsia="Calibri" w:cs="Arial"/>
          <w:color w:val="000000" w:themeColor="text1"/>
          <w:kern w:val="0"/>
          <w:szCs w:val="20"/>
        </w:rPr>
        <w:t>ekspertiza</w:t>
      </w:r>
      <w:r w:rsidRPr="00EF2A0C">
        <w:rPr>
          <w:rFonts w:eastAsia="Calibri" w:cs="Arial"/>
          <w:color w:val="000000" w:themeColor="text1"/>
          <w:kern w:val="0"/>
          <w:szCs w:val="20"/>
        </w:rPr>
        <w:t>, lokalne usluge, podružnice.</w:t>
      </w:r>
    </w:p>
    <w:p w14:paraId="3BEDE189"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Potrebniji je pažljiviji pristup prilikom pripreme tržišnih studija.</w:t>
      </w:r>
    </w:p>
    <w:p w14:paraId="2FF20B5A"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Ako ukupna c</w:t>
      </w:r>
      <w:r>
        <w:rPr>
          <w:rFonts w:eastAsia="Calibri" w:cs="Arial"/>
          <w:color w:val="000000" w:themeColor="text1"/>
          <w:kern w:val="0"/>
          <w:szCs w:val="20"/>
        </w:rPr>
        <w:t>ij</w:t>
      </w:r>
      <w:r w:rsidRPr="00EF2A0C">
        <w:rPr>
          <w:rFonts w:eastAsia="Calibri" w:cs="Arial"/>
          <w:color w:val="000000" w:themeColor="text1"/>
          <w:kern w:val="0"/>
          <w:szCs w:val="20"/>
        </w:rPr>
        <w:t>ena u tržišnoj studiji premašuje raspoloživi budžet, ugovorn</w:t>
      </w:r>
      <w:r>
        <w:rPr>
          <w:rFonts w:eastAsia="Calibri" w:cs="Arial"/>
          <w:color w:val="000000" w:themeColor="text1"/>
          <w:kern w:val="0"/>
          <w:szCs w:val="20"/>
        </w:rPr>
        <w:t>o tijelo</w:t>
      </w:r>
      <w:r w:rsidRPr="00EF2A0C">
        <w:rPr>
          <w:rFonts w:eastAsia="Calibri" w:cs="Arial"/>
          <w:color w:val="000000" w:themeColor="text1"/>
          <w:kern w:val="0"/>
          <w:szCs w:val="20"/>
        </w:rPr>
        <w:t xml:space="preserve"> treba da objasni kako će razlika biti finansirana (u propratnom pismu koje prati podn</w:t>
      </w:r>
      <w:r>
        <w:rPr>
          <w:rFonts w:eastAsia="Calibri" w:cs="Arial"/>
          <w:color w:val="000000" w:themeColor="text1"/>
          <w:kern w:val="0"/>
          <w:szCs w:val="20"/>
        </w:rPr>
        <w:t>ij</w:t>
      </w:r>
      <w:r w:rsidRPr="00EF2A0C">
        <w:rPr>
          <w:rFonts w:eastAsia="Calibri" w:cs="Arial"/>
          <w:color w:val="000000" w:themeColor="text1"/>
          <w:kern w:val="0"/>
          <w:szCs w:val="20"/>
        </w:rPr>
        <w:t>eti paket dokumentacije).</w:t>
      </w:r>
    </w:p>
    <w:p w14:paraId="73AA5994"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Tehničke specifikacije za isporuke ne bi trebale biti kopirane iz kataloga.</w:t>
      </w:r>
    </w:p>
    <w:p w14:paraId="693B7375"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Nije osigurano da ponuđači ni</w:t>
      </w:r>
      <w:r>
        <w:rPr>
          <w:rFonts w:eastAsia="Calibri" w:cs="Arial"/>
          <w:color w:val="000000" w:themeColor="text1"/>
          <w:kern w:val="0"/>
          <w:szCs w:val="20"/>
        </w:rPr>
        <w:t>je</w:t>
      </w:r>
      <w:r w:rsidRPr="00EF2A0C">
        <w:rPr>
          <w:rFonts w:eastAsia="Calibri" w:cs="Arial"/>
          <w:color w:val="000000" w:themeColor="text1"/>
          <w:kern w:val="0"/>
          <w:szCs w:val="20"/>
        </w:rPr>
        <w:t>su bili uključeni u pripremu tendera.</w:t>
      </w:r>
    </w:p>
    <w:p w14:paraId="28C9308A"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Nije osigurano d</w:t>
      </w:r>
      <w:r>
        <w:rPr>
          <w:rFonts w:eastAsia="Calibri" w:cs="Arial"/>
          <w:color w:val="000000" w:themeColor="text1"/>
          <w:kern w:val="0"/>
          <w:szCs w:val="20"/>
        </w:rPr>
        <w:t xml:space="preserve">a </w:t>
      </w:r>
      <w:r w:rsidRPr="00EF2A0C">
        <w:rPr>
          <w:rFonts w:eastAsia="Calibri" w:cs="Arial"/>
          <w:color w:val="000000" w:themeColor="text1"/>
          <w:kern w:val="0"/>
          <w:szCs w:val="20"/>
        </w:rPr>
        <w:t xml:space="preserve">predloženi </w:t>
      </w:r>
      <w:r>
        <w:rPr>
          <w:rFonts w:eastAsia="Calibri" w:cs="Arial"/>
          <w:color w:val="000000" w:themeColor="text1"/>
          <w:kern w:val="0"/>
          <w:szCs w:val="20"/>
        </w:rPr>
        <w:t>evaluator nije</w:t>
      </w:r>
      <w:r w:rsidRPr="00EF2A0C">
        <w:rPr>
          <w:rFonts w:eastAsia="Calibri" w:cs="Arial"/>
          <w:color w:val="000000" w:themeColor="text1"/>
          <w:kern w:val="0"/>
          <w:szCs w:val="20"/>
        </w:rPr>
        <w:t xml:space="preserve"> bio</w:t>
      </w:r>
      <w:r>
        <w:rPr>
          <w:rFonts w:eastAsia="Calibri" w:cs="Arial"/>
          <w:color w:val="000000" w:themeColor="text1"/>
          <w:kern w:val="0"/>
          <w:szCs w:val="20"/>
        </w:rPr>
        <w:t xml:space="preserve"> uključen u</w:t>
      </w:r>
      <w:r w:rsidRPr="00EF2A0C">
        <w:rPr>
          <w:rFonts w:eastAsia="Calibri" w:cs="Arial"/>
          <w:color w:val="000000" w:themeColor="text1"/>
          <w:kern w:val="0"/>
          <w:szCs w:val="20"/>
        </w:rPr>
        <w:t xml:space="preserve"> pripremu grant</w:t>
      </w:r>
      <w:r>
        <w:rPr>
          <w:rFonts w:eastAsia="Calibri" w:cs="Arial"/>
          <w:color w:val="000000" w:themeColor="text1"/>
          <w:kern w:val="0"/>
          <w:szCs w:val="20"/>
        </w:rPr>
        <w:t xml:space="preserve"> aplikacije</w:t>
      </w:r>
      <w:r w:rsidRPr="00EF2A0C">
        <w:rPr>
          <w:rFonts w:eastAsia="Calibri" w:cs="Arial"/>
          <w:color w:val="000000" w:themeColor="text1"/>
          <w:kern w:val="0"/>
          <w:szCs w:val="20"/>
        </w:rPr>
        <w:t>.</w:t>
      </w:r>
    </w:p>
    <w:p w14:paraId="4957DA3A"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Izbor ponuđača nije bio dovoljno obrazložen.</w:t>
      </w:r>
    </w:p>
    <w:p w14:paraId="4A5BB079" w14:textId="77777777" w:rsidR="00091B36"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Razlozi za odbijanje tenderskih ponuda ni</w:t>
      </w:r>
      <w:r>
        <w:rPr>
          <w:rFonts w:eastAsia="Calibri" w:cs="Arial"/>
          <w:color w:val="000000" w:themeColor="text1"/>
          <w:kern w:val="0"/>
          <w:szCs w:val="20"/>
        </w:rPr>
        <w:t>je</w:t>
      </w:r>
      <w:r w:rsidRPr="00EF2A0C">
        <w:rPr>
          <w:rFonts w:eastAsia="Calibri" w:cs="Arial"/>
          <w:color w:val="000000" w:themeColor="text1"/>
          <w:kern w:val="0"/>
          <w:szCs w:val="20"/>
        </w:rPr>
        <w:t>su propisno elaborirani.</w:t>
      </w:r>
    </w:p>
    <w:p w14:paraId="3A8DDDC9" w14:textId="77777777" w:rsidR="00091B36" w:rsidRPr="00EF2A0C" w:rsidRDefault="00091B36" w:rsidP="00D15218">
      <w:pPr>
        <w:pStyle w:val="ListParagraph"/>
        <w:numPr>
          <w:ilvl w:val="0"/>
          <w:numId w:val="79"/>
        </w:numPr>
        <w:spacing w:after="0"/>
        <w:rPr>
          <w:rFonts w:eastAsia="Calibri" w:cs="Arial"/>
          <w:color w:val="000000" w:themeColor="text1"/>
          <w:kern w:val="0"/>
          <w:szCs w:val="20"/>
        </w:rPr>
      </w:pPr>
      <w:r w:rsidRPr="00EF2A0C">
        <w:rPr>
          <w:rFonts w:eastAsia="Calibri" w:cs="Arial"/>
          <w:color w:val="000000" w:themeColor="text1"/>
          <w:kern w:val="0"/>
          <w:szCs w:val="20"/>
        </w:rPr>
        <w:t>Revizije c</w:t>
      </w:r>
      <w:r>
        <w:rPr>
          <w:rFonts w:eastAsia="Calibri" w:cs="Arial"/>
          <w:color w:val="000000" w:themeColor="text1"/>
          <w:kern w:val="0"/>
          <w:szCs w:val="20"/>
        </w:rPr>
        <w:t>ij</w:t>
      </w:r>
      <w:r w:rsidRPr="00EF2A0C">
        <w:rPr>
          <w:rFonts w:eastAsia="Calibri" w:cs="Arial"/>
          <w:color w:val="000000" w:themeColor="text1"/>
          <w:kern w:val="0"/>
          <w:szCs w:val="20"/>
        </w:rPr>
        <w:t>ena u dodatku ugovora treba strogo prim</w:t>
      </w:r>
      <w:r>
        <w:rPr>
          <w:rFonts w:eastAsia="Calibri" w:cs="Arial"/>
          <w:color w:val="000000" w:themeColor="text1"/>
          <w:kern w:val="0"/>
          <w:szCs w:val="20"/>
        </w:rPr>
        <w:t>ij</w:t>
      </w:r>
      <w:r w:rsidRPr="00EF2A0C">
        <w:rPr>
          <w:rFonts w:eastAsia="Calibri" w:cs="Arial"/>
          <w:color w:val="000000" w:themeColor="text1"/>
          <w:kern w:val="0"/>
          <w:szCs w:val="20"/>
        </w:rPr>
        <w:t>eniti prema članu 48.5 Opštih uslova.</w:t>
      </w:r>
    </w:p>
    <w:p w14:paraId="6F823AF6" w14:textId="77777777" w:rsidR="00091B36" w:rsidRDefault="00091B36" w:rsidP="00091B36">
      <w:pPr>
        <w:spacing w:after="0"/>
        <w:rPr>
          <w:rFonts w:eastAsia="Calibri" w:cs="Arial"/>
          <w:color w:val="000000" w:themeColor="text1"/>
          <w:kern w:val="0"/>
          <w:szCs w:val="20"/>
        </w:rPr>
      </w:pPr>
    </w:p>
    <w:p w14:paraId="721CF27D" w14:textId="77777777" w:rsidR="00091B36" w:rsidRPr="00FC0E29" w:rsidRDefault="00091B36" w:rsidP="00091B36">
      <w:pPr>
        <w:spacing w:after="0"/>
        <w:rPr>
          <w:rFonts w:eastAsia="Calibri" w:cs="Arial"/>
          <w:color w:val="000000" w:themeColor="text1"/>
          <w:kern w:val="0"/>
          <w:szCs w:val="20"/>
        </w:rPr>
      </w:pPr>
    </w:p>
    <w:p w14:paraId="5B8FA0D1" w14:textId="77777777" w:rsidR="00091B36" w:rsidRPr="006F6957" w:rsidRDefault="00091B36" w:rsidP="00091B36">
      <w:pPr>
        <w:autoSpaceDE w:val="0"/>
        <w:autoSpaceDN w:val="0"/>
        <w:adjustRightInd w:val="0"/>
        <w:spacing w:after="0"/>
        <w:rPr>
          <w:rFonts w:cs="Arial"/>
          <w:color w:val="000000" w:themeColor="text1"/>
          <w:kern w:val="0"/>
          <w:szCs w:val="20"/>
        </w:rPr>
      </w:pPr>
      <w:r>
        <w:rPr>
          <w:rFonts w:cs="Arial"/>
          <w:color w:val="000000" w:themeColor="text1"/>
          <w:kern w:val="0"/>
          <w:szCs w:val="20"/>
        </w:rPr>
        <w:t>S</w:t>
      </w:r>
      <w:r w:rsidRPr="006F6957">
        <w:rPr>
          <w:rFonts w:cs="Arial"/>
          <w:color w:val="000000" w:themeColor="text1"/>
          <w:kern w:val="0"/>
          <w:szCs w:val="20"/>
        </w:rPr>
        <w:t>trategije za smanjenje stopa odbijanja i obustava su sljedeće:</w:t>
      </w:r>
    </w:p>
    <w:p w14:paraId="3019520F" w14:textId="77777777" w:rsidR="00091B36" w:rsidRDefault="00091B36" w:rsidP="00D15218">
      <w:pPr>
        <w:pStyle w:val="ListParagraph"/>
        <w:numPr>
          <w:ilvl w:val="0"/>
          <w:numId w:val="80"/>
        </w:numPr>
        <w:autoSpaceDE w:val="0"/>
        <w:autoSpaceDN w:val="0"/>
        <w:adjustRightInd w:val="0"/>
        <w:spacing w:after="0"/>
        <w:rPr>
          <w:rFonts w:cs="Arial"/>
          <w:color w:val="000000" w:themeColor="text1"/>
          <w:kern w:val="0"/>
          <w:szCs w:val="20"/>
        </w:rPr>
      </w:pPr>
      <w:r w:rsidRPr="006F6957">
        <w:rPr>
          <w:rFonts w:cs="Arial"/>
          <w:color w:val="000000" w:themeColor="text1"/>
          <w:kern w:val="0"/>
          <w:szCs w:val="20"/>
        </w:rPr>
        <w:t xml:space="preserve">Kontrolne liste za dokumentaciju pokrivaju sve greške koje su navedene u Bilješkama o odbijanju/obustavi </w:t>
      </w:r>
      <w:r>
        <w:rPr>
          <w:rFonts w:cs="Arial"/>
          <w:color w:val="000000" w:themeColor="text1"/>
          <w:kern w:val="0"/>
          <w:szCs w:val="20"/>
        </w:rPr>
        <w:t>Delegacije Evropske Unije</w:t>
      </w:r>
      <w:r w:rsidRPr="006F6957">
        <w:rPr>
          <w:rFonts w:cs="Arial"/>
          <w:color w:val="000000" w:themeColor="text1"/>
          <w:kern w:val="0"/>
          <w:szCs w:val="20"/>
        </w:rPr>
        <w:t>.</w:t>
      </w:r>
    </w:p>
    <w:p w14:paraId="566DE503" w14:textId="77777777" w:rsidR="00091B36" w:rsidRDefault="00091B36" w:rsidP="00D15218">
      <w:pPr>
        <w:pStyle w:val="ListParagraph"/>
        <w:numPr>
          <w:ilvl w:val="0"/>
          <w:numId w:val="80"/>
        </w:numPr>
        <w:autoSpaceDE w:val="0"/>
        <w:autoSpaceDN w:val="0"/>
        <w:adjustRightInd w:val="0"/>
        <w:spacing w:after="0"/>
        <w:rPr>
          <w:rFonts w:cs="Arial"/>
          <w:color w:val="000000" w:themeColor="text1"/>
          <w:kern w:val="0"/>
          <w:szCs w:val="20"/>
        </w:rPr>
      </w:pPr>
      <w:r w:rsidRPr="006F6957">
        <w:rPr>
          <w:rFonts w:cs="Arial"/>
          <w:color w:val="000000" w:themeColor="text1"/>
          <w:kern w:val="0"/>
          <w:szCs w:val="20"/>
        </w:rPr>
        <w:t xml:space="preserve">Nove/poboljšane </w:t>
      </w:r>
      <w:r>
        <w:rPr>
          <w:rFonts w:cs="Arial"/>
          <w:color w:val="000000" w:themeColor="text1"/>
          <w:kern w:val="0"/>
          <w:szCs w:val="20"/>
        </w:rPr>
        <w:t>instrukcije</w:t>
      </w:r>
      <w:r w:rsidRPr="006F6957">
        <w:rPr>
          <w:rFonts w:cs="Arial"/>
          <w:color w:val="000000" w:themeColor="text1"/>
          <w:kern w:val="0"/>
          <w:szCs w:val="20"/>
        </w:rPr>
        <w:t xml:space="preserve"> i smjernice za tačno popunjavanje i korištenje PRAG šablona, posebno novih, su kreirane kako bi se pojednostavio radni proces i minimizirale greške.</w:t>
      </w:r>
    </w:p>
    <w:p w14:paraId="50F77C94" w14:textId="77777777" w:rsidR="00091B36" w:rsidRPr="006F6957" w:rsidRDefault="00091B36" w:rsidP="00D15218">
      <w:pPr>
        <w:pStyle w:val="ListParagraph"/>
        <w:numPr>
          <w:ilvl w:val="0"/>
          <w:numId w:val="80"/>
        </w:numPr>
        <w:autoSpaceDE w:val="0"/>
        <w:autoSpaceDN w:val="0"/>
        <w:adjustRightInd w:val="0"/>
        <w:spacing w:after="0"/>
        <w:rPr>
          <w:rFonts w:cs="Arial"/>
          <w:color w:val="000000" w:themeColor="text1"/>
          <w:kern w:val="0"/>
          <w:szCs w:val="20"/>
        </w:rPr>
      </w:pPr>
      <w:r w:rsidRPr="006F6957">
        <w:rPr>
          <w:rFonts w:cs="Arial"/>
          <w:color w:val="000000" w:themeColor="text1"/>
          <w:kern w:val="0"/>
          <w:szCs w:val="20"/>
        </w:rPr>
        <w:t>Specifična obuka je organizovana za PIU i ugovorn</w:t>
      </w:r>
      <w:r>
        <w:rPr>
          <w:rFonts w:cs="Arial"/>
          <w:color w:val="000000" w:themeColor="text1"/>
          <w:kern w:val="0"/>
          <w:szCs w:val="20"/>
        </w:rPr>
        <w:t>a tijela</w:t>
      </w:r>
      <w:r w:rsidRPr="006F6957">
        <w:rPr>
          <w:rFonts w:cs="Arial"/>
          <w:color w:val="000000" w:themeColor="text1"/>
          <w:kern w:val="0"/>
          <w:szCs w:val="20"/>
        </w:rPr>
        <w:t xml:space="preserve"> 2024. godine o pripremi dokumenata za dodjelu i izvršenje ugovora, </w:t>
      </w:r>
      <w:proofErr w:type="gramStart"/>
      <w:r w:rsidRPr="006F6957">
        <w:rPr>
          <w:rFonts w:cs="Arial"/>
          <w:color w:val="000000" w:themeColor="text1"/>
          <w:kern w:val="0"/>
          <w:szCs w:val="20"/>
        </w:rPr>
        <w:t>a</w:t>
      </w:r>
      <w:proofErr w:type="gramEnd"/>
      <w:r w:rsidRPr="006F6957">
        <w:rPr>
          <w:rFonts w:cs="Arial"/>
          <w:color w:val="000000" w:themeColor="text1"/>
          <w:kern w:val="0"/>
          <w:szCs w:val="20"/>
        </w:rPr>
        <w:t xml:space="preserve"> obuka će se nastaviti redovno.</w:t>
      </w:r>
    </w:p>
    <w:p w14:paraId="41732776" w14:textId="77777777" w:rsidR="00091B36" w:rsidRPr="00FC0E29" w:rsidRDefault="00091B36" w:rsidP="00936D1D">
      <w:pPr>
        <w:pStyle w:val="Heading1"/>
        <w:numPr>
          <w:ilvl w:val="0"/>
          <w:numId w:val="0"/>
        </w:numPr>
        <w:ind w:left="432" w:hanging="432"/>
      </w:pPr>
      <w:r w:rsidRPr="00FC0E29">
        <w:t>II. Finan</w:t>
      </w:r>
      <w:r>
        <w:t>sijsko upravljanje</w:t>
      </w:r>
    </w:p>
    <w:p w14:paraId="79BDB0B5" w14:textId="1B388CEB" w:rsidR="00091B36" w:rsidRPr="00A24905" w:rsidRDefault="00091B36" w:rsidP="00936D1D">
      <w:pPr>
        <w:pStyle w:val="Heading2"/>
        <w:numPr>
          <w:ilvl w:val="0"/>
          <w:numId w:val="0"/>
        </w:numPr>
        <w:ind w:left="576" w:hanging="576"/>
      </w:pPr>
      <w:r w:rsidRPr="00A24905">
        <w:t>II.1. Informacije o ugovaranju i isplaćivanju (IPA II)</w:t>
      </w:r>
    </w:p>
    <w:sdt>
      <w:sdtPr>
        <w:rPr>
          <w:rFonts w:eastAsiaTheme="minorHAnsi" w:cstheme="minorBidi"/>
          <w:color w:val="auto"/>
          <w:sz w:val="20"/>
          <w:szCs w:val="22"/>
        </w:rPr>
        <w:id w:val="-1362971079"/>
        <w:docPartObj>
          <w:docPartGallery w:val="Cover Pages"/>
          <w:docPartUnique/>
        </w:docPartObj>
      </w:sdtPr>
      <w:sdtEndPr>
        <w:rPr>
          <w:rFonts w:cs="Arial"/>
          <w:szCs w:val="20"/>
          <w:u w:val="single"/>
        </w:rPr>
      </w:sdtEndPr>
      <w:sdtContent>
        <w:p w14:paraId="7D30FD98" w14:textId="77777777" w:rsidR="00091B36" w:rsidRPr="00FC0E29" w:rsidRDefault="00091B36" w:rsidP="00936D1D">
          <w:pPr>
            <w:pStyle w:val="Heading3"/>
            <w:numPr>
              <w:ilvl w:val="0"/>
              <w:numId w:val="0"/>
            </w:numPr>
            <w:ind w:left="720" w:hanging="720"/>
          </w:pPr>
          <w:r w:rsidRPr="00655EF8">
            <w:t>Godišnji akcioni program</w:t>
          </w:r>
          <w:r w:rsidRPr="00FC0E29">
            <w:t xml:space="preserve"> 2014</w:t>
          </w:r>
        </w:p>
        <w:p w14:paraId="5B7DBB82" w14:textId="77777777" w:rsidR="00091B36" w:rsidRPr="00655EF8" w:rsidRDefault="00091B36" w:rsidP="00091B36">
          <w:pPr>
            <w:rPr>
              <w:b/>
            </w:rPr>
          </w:pPr>
          <w:r w:rsidRPr="00655EF8">
            <w:t xml:space="preserve">Ukupan iznos dostupan za implementaciju </w:t>
          </w:r>
          <w:r w:rsidRPr="004130C4">
            <w:t>IUDK</w:t>
          </w:r>
          <w:r w:rsidRPr="00655EF8">
            <w:t>-a bio je 25</w:t>
          </w:r>
          <w:r>
            <w:t>.</w:t>
          </w:r>
          <w:r w:rsidRPr="00655EF8">
            <w:t>561</w:t>
          </w:r>
          <w:r>
            <w:t>.</w:t>
          </w:r>
          <w:r w:rsidRPr="00655EF8">
            <w:t>408 EUR, od čega je 21</w:t>
          </w:r>
          <w:r>
            <w:t>.</w:t>
          </w:r>
          <w:r w:rsidRPr="00655EF8">
            <w:t>288</w:t>
          </w:r>
          <w:r>
            <w:t>.</w:t>
          </w:r>
          <w:r w:rsidRPr="00655EF8">
            <w:t xml:space="preserve">220 EUR predstavljalo doprinos EU. Finansijski </w:t>
          </w:r>
          <w:r>
            <w:t>sporazum</w:t>
          </w:r>
          <w:r w:rsidRPr="00655EF8">
            <w:t xml:space="preserve"> između Evropske komisije i Vlade Crne Gore potpisan je 10. decembra 2015. godine, dok je </w:t>
          </w:r>
          <w:r>
            <w:t>rok</w:t>
          </w:r>
          <w:r w:rsidRPr="00655EF8">
            <w:t xml:space="preserve"> za ugovaranje istekao 10. decembra 2018. godine. Ukupna vrijednost potpisanih ugovora iznosila je 25</w:t>
          </w:r>
          <w:r>
            <w:t>.</w:t>
          </w:r>
          <w:r w:rsidRPr="00655EF8">
            <w:t>259</w:t>
          </w:r>
          <w:r>
            <w:t>.</w:t>
          </w:r>
          <w:r w:rsidRPr="00655EF8">
            <w:t xml:space="preserve">884 EUR, što predstavlja </w:t>
          </w:r>
          <w:r w:rsidRPr="00655EF8">
            <w:rPr>
              <w:b/>
            </w:rPr>
            <w:t>98</w:t>
          </w:r>
          <w:r>
            <w:rPr>
              <w:b/>
            </w:rPr>
            <w:t>,</w:t>
          </w:r>
          <w:r w:rsidRPr="00655EF8">
            <w:rPr>
              <w:b/>
            </w:rPr>
            <w:t>82% sredstava dostupnih</w:t>
          </w:r>
          <w:r w:rsidRPr="00655EF8">
            <w:t xml:space="preserve"> Crnoj Gori u okviru programa. Isplaćena sredstva iznosila su 24</w:t>
          </w:r>
          <w:r>
            <w:t>.</w:t>
          </w:r>
          <w:r w:rsidRPr="00655EF8">
            <w:t>710</w:t>
          </w:r>
          <w:r>
            <w:t>.</w:t>
          </w:r>
          <w:r w:rsidRPr="00655EF8">
            <w:t xml:space="preserve">580 EUR, tj. </w:t>
          </w:r>
          <w:r w:rsidRPr="00655EF8">
            <w:rPr>
              <w:b/>
            </w:rPr>
            <w:t>97</w:t>
          </w:r>
          <w:r>
            <w:rPr>
              <w:b/>
            </w:rPr>
            <w:t>,</w:t>
          </w:r>
          <w:r w:rsidRPr="00655EF8">
            <w:rPr>
              <w:b/>
            </w:rPr>
            <w:t>83% ugovorenih sredstava.</w:t>
          </w:r>
        </w:p>
        <w:p w14:paraId="018F5DD8" w14:textId="77777777" w:rsidR="00091B36" w:rsidRDefault="00091B36" w:rsidP="00091B36">
          <w:pPr>
            <w:pStyle w:val="Caption"/>
          </w:pPr>
          <w:r>
            <w:lastRenderedPageBreak/>
            <w:t xml:space="preserve">Grafikon </w:t>
          </w:r>
          <w:fldSimple w:instr=" SEQ Grafikon \* ARABIC ">
            <w:r>
              <w:rPr>
                <w:noProof/>
              </w:rPr>
              <w:t>1</w:t>
            </w:r>
          </w:fldSimple>
          <w:r>
            <w:t>: Finansijski pregled CAP 2014 programa</w:t>
          </w:r>
        </w:p>
        <w:p w14:paraId="740FE55B" w14:textId="77777777" w:rsidR="00091B36" w:rsidRDefault="00091B36" w:rsidP="00091B36">
          <w:pPr>
            <w:keepNext/>
            <w:spacing w:before="120"/>
          </w:pPr>
          <w:r w:rsidRPr="00FC0E29">
            <w:rPr>
              <w:noProof/>
            </w:rPr>
            <w:drawing>
              <wp:inline distT="0" distB="0" distL="0" distR="0" wp14:anchorId="55F618D2" wp14:editId="5D2314EB">
                <wp:extent cx="5981700" cy="3133725"/>
                <wp:effectExtent l="0" t="0" r="0" b="9525"/>
                <wp:docPr id="6249708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DED59D" w14:textId="77777777" w:rsidR="00091B36" w:rsidRPr="00FC0E29" w:rsidRDefault="00091B36" w:rsidP="00091B36">
          <w:pPr>
            <w:spacing w:before="120"/>
            <w:rPr>
              <w:rFonts w:cs="Arial"/>
              <w:b/>
            </w:rPr>
          </w:pPr>
        </w:p>
        <w:p w14:paraId="1FB5A94D" w14:textId="3D05C6B2" w:rsidR="00091B36" w:rsidRPr="00FC0E29" w:rsidRDefault="00091B36" w:rsidP="00DC3A9D">
          <w:pPr>
            <w:pStyle w:val="Heading3"/>
            <w:numPr>
              <w:ilvl w:val="0"/>
              <w:numId w:val="0"/>
            </w:numPr>
            <w:ind w:left="720" w:hanging="720"/>
          </w:pPr>
          <w:r w:rsidRPr="00655EF8">
            <w:t>Go</w:t>
          </w:r>
          <w:r w:rsidR="00DC3A9D">
            <w:t>di</w:t>
          </w:r>
          <w:r w:rsidRPr="00655EF8">
            <w:t>šnji akcioni program</w:t>
          </w:r>
          <w:r w:rsidRPr="00FC0E29">
            <w:t xml:space="preserve"> 2015</w:t>
          </w:r>
        </w:p>
        <w:p w14:paraId="172CAA78" w14:textId="77777777" w:rsidR="00091B36" w:rsidRDefault="00091B36" w:rsidP="00091B36">
          <w:r w:rsidRPr="00655EF8">
            <w:t xml:space="preserve">Ukupan iznos dostupan za implementaciju </w:t>
          </w:r>
          <w:r w:rsidRPr="004130C4">
            <w:t>IUDK</w:t>
          </w:r>
          <w:r w:rsidRPr="00655EF8">
            <w:t>-a bio je 3</w:t>
          </w:r>
          <w:r>
            <w:t>.</w:t>
          </w:r>
          <w:r w:rsidRPr="00655EF8">
            <w:t>272</w:t>
          </w:r>
          <w:r>
            <w:t>.</w:t>
          </w:r>
          <w:r w:rsidRPr="00655EF8">
            <w:t>161 EUR, od čega je 1</w:t>
          </w:r>
          <w:r>
            <w:t>.</w:t>
          </w:r>
          <w:r w:rsidRPr="00655EF8">
            <w:t>684</w:t>
          </w:r>
          <w:r>
            <w:t>.</w:t>
          </w:r>
          <w:r w:rsidRPr="00655EF8">
            <w:t>580 EUR predstavljalo doprinos EU. Ukupna vrijednost potpisanih ugovora iznosi 3</w:t>
          </w:r>
          <w:r>
            <w:t>.</w:t>
          </w:r>
          <w:r w:rsidRPr="00655EF8">
            <w:t>098</w:t>
          </w:r>
          <w:r>
            <w:t>.</w:t>
          </w:r>
          <w:r w:rsidRPr="00655EF8">
            <w:t xml:space="preserve">902 EUR, što predstavlja </w:t>
          </w:r>
          <w:r w:rsidRPr="00FB048B">
            <w:rPr>
              <w:b/>
            </w:rPr>
            <w:t>94,70% sredstava dostupnih</w:t>
          </w:r>
          <w:r w:rsidRPr="00655EF8">
            <w:t xml:space="preserve"> Crnoj Gori u okviru programa. Isplaćena sredstva iznose 3</w:t>
          </w:r>
          <w:r>
            <w:t>.</w:t>
          </w:r>
          <w:r w:rsidRPr="00655EF8">
            <w:t>098</w:t>
          </w:r>
          <w:r>
            <w:t>.</w:t>
          </w:r>
          <w:r w:rsidRPr="00655EF8">
            <w:t xml:space="preserve">902 EUR, tj. </w:t>
          </w:r>
          <w:r w:rsidRPr="00FB048B">
            <w:rPr>
              <w:b/>
            </w:rPr>
            <w:t>100% ugovorenih sredstava</w:t>
          </w:r>
          <w:r w:rsidRPr="00655EF8">
            <w:t>. Sve aktivnosti su povezane s programima Unije.</w:t>
          </w:r>
        </w:p>
        <w:p w14:paraId="2794799D" w14:textId="77777777" w:rsidR="00091B36" w:rsidRDefault="00091B36" w:rsidP="00091B36">
          <w:pPr>
            <w:pStyle w:val="Caption"/>
          </w:pPr>
          <w:r>
            <w:t xml:space="preserve">Grafikon </w:t>
          </w:r>
          <w:fldSimple w:instr=" SEQ Grafikon \* ARABIC ">
            <w:r>
              <w:rPr>
                <w:noProof/>
              </w:rPr>
              <w:t>2</w:t>
            </w:r>
          </w:fldSimple>
          <w:r>
            <w:t>: Finansijski pregled CAP 2015 programa</w:t>
          </w:r>
        </w:p>
        <w:p w14:paraId="060A4279" w14:textId="77777777" w:rsidR="00091B36" w:rsidRPr="00FC0E29" w:rsidRDefault="00091B36" w:rsidP="00091B36">
          <w:pPr>
            <w:spacing w:before="120"/>
            <w:rPr>
              <w:rFonts w:cs="Arial"/>
              <w:b/>
            </w:rPr>
          </w:pPr>
          <w:r w:rsidRPr="00FC0E29">
            <w:rPr>
              <w:noProof/>
            </w:rPr>
            <w:drawing>
              <wp:inline distT="0" distB="0" distL="0" distR="0" wp14:anchorId="25E6530A" wp14:editId="100C6E0B">
                <wp:extent cx="5905500" cy="2838450"/>
                <wp:effectExtent l="0" t="0" r="0" b="0"/>
                <wp:docPr id="38379823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A4C58B" w14:textId="77777777" w:rsidR="00091B36" w:rsidRPr="00FC0E29" w:rsidRDefault="00091B36" w:rsidP="00091B36">
          <w:pPr>
            <w:spacing w:before="120"/>
            <w:rPr>
              <w:rFonts w:cs="Arial"/>
              <w:b/>
            </w:rPr>
          </w:pPr>
        </w:p>
        <w:p w14:paraId="163B3812" w14:textId="77777777" w:rsidR="00091B36" w:rsidRPr="00FC0E29" w:rsidRDefault="00091B36" w:rsidP="00DC3A9D">
          <w:pPr>
            <w:pStyle w:val="Heading3"/>
            <w:numPr>
              <w:ilvl w:val="0"/>
              <w:numId w:val="0"/>
            </w:numPr>
            <w:ind w:left="720" w:hanging="720"/>
          </w:pPr>
          <w:r w:rsidRPr="00655EF8">
            <w:lastRenderedPageBreak/>
            <w:t>Godišnji akcioni program</w:t>
          </w:r>
          <w:r w:rsidRPr="00FC0E29">
            <w:t xml:space="preserve"> 2016</w:t>
          </w:r>
        </w:p>
        <w:p w14:paraId="78E2C475" w14:textId="77777777" w:rsidR="00091B36" w:rsidRDefault="00091B36" w:rsidP="00091B36">
          <w:r w:rsidRPr="00FB048B">
            <w:t xml:space="preserve">Ukupan iznos dostupan za implementaciju </w:t>
          </w:r>
          <w:r w:rsidRPr="004130C4">
            <w:t>IUDK</w:t>
          </w:r>
          <w:r w:rsidRPr="00FB048B">
            <w:t>-a bio je 15</w:t>
          </w:r>
          <w:r>
            <w:t>.</w:t>
          </w:r>
          <w:r w:rsidRPr="00FB048B">
            <w:t>730</w:t>
          </w:r>
          <w:r>
            <w:t>.</w:t>
          </w:r>
          <w:r w:rsidRPr="00FB048B">
            <w:t>316</w:t>
          </w:r>
          <w:r>
            <w:t>,</w:t>
          </w:r>
          <w:r w:rsidRPr="00FB048B">
            <w:t>43 EUR, od čega je 13</w:t>
          </w:r>
          <w:r>
            <w:t>.</w:t>
          </w:r>
          <w:r w:rsidRPr="00FB048B">
            <w:t>028</w:t>
          </w:r>
          <w:r>
            <w:t>.</w:t>
          </w:r>
          <w:r w:rsidRPr="00FB048B">
            <w:t>926</w:t>
          </w:r>
          <w:r>
            <w:t>,</w:t>
          </w:r>
          <w:r w:rsidRPr="00FB048B">
            <w:t xml:space="preserve">43 EUR predstavljalo doprinos EU. Finansijski </w:t>
          </w:r>
          <w:r>
            <w:t>sporazum</w:t>
          </w:r>
          <w:r w:rsidRPr="00FB048B">
            <w:t xml:space="preserve"> između Evropske komisije i Vlade Crne Gore potpisan je 22. decembra 2017. godine, dok je </w:t>
          </w:r>
          <w:r>
            <w:t>rok</w:t>
          </w:r>
          <w:r w:rsidRPr="00FB048B">
            <w:t xml:space="preserve"> za ugovaranje istekao 22. decembra 2020. godine. Ukupna vrijednost potpisanih ugovora iznosi 14</w:t>
          </w:r>
          <w:r>
            <w:t>.</w:t>
          </w:r>
          <w:r w:rsidRPr="00FB048B">
            <w:t>598</w:t>
          </w:r>
          <w:r>
            <w:t>.</w:t>
          </w:r>
          <w:r w:rsidRPr="00FB048B">
            <w:t>974</w:t>
          </w:r>
          <w:r>
            <w:t>,</w:t>
          </w:r>
          <w:r w:rsidRPr="00FB048B">
            <w:t xml:space="preserve">12 EUR, što predstavlja </w:t>
          </w:r>
          <w:r w:rsidRPr="00FB048B">
            <w:rPr>
              <w:b/>
            </w:rPr>
            <w:t>92,81% sredstava dostupnih</w:t>
          </w:r>
          <w:r w:rsidRPr="00FB048B">
            <w:t xml:space="preserve"> Crnoj Gori u okviru programa. Isplaćena sredstva iznose 24</w:t>
          </w:r>
          <w:r>
            <w:t>.</w:t>
          </w:r>
          <w:r w:rsidRPr="00FB048B">
            <w:t>710</w:t>
          </w:r>
          <w:r>
            <w:t>.</w:t>
          </w:r>
          <w:r w:rsidRPr="00FB048B">
            <w:t xml:space="preserve">580 EUR, tj. </w:t>
          </w:r>
          <w:r w:rsidRPr="00FB048B">
            <w:rPr>
              <w:b/>
            </w:rPr>
            <w:t>83,76% ugovorenih sredstava</w:t>
          </w:r>
          <w:r w:rsidRPr="00FB048B">
            <w:t xml:space="preserve">. U vezi sa periodom implementacije Finansijskog </w:t>
          </w:r>
          <w:r>
            <w:t>sporazuma</w:t>
          </w:r>
          <w:r w:rsidRPr="00FB048B">
            <w:t>, svi ugovori su završeni 2024. godine, poštujući rok za operativnu implementaciju.</w:t>
          </w:r>
        </w:p>
        <w:p w14:paraId="2E97A601" w14:textId="77777777" w:rsidR="00091B36" w:rsidRDefault="00091B36" w:rsidP="00091B36">
          <w:r w:rsidRPr="00FB048B">
            <w:t xml:space="preserve">Pokrenuta je procedura </w:t>
          </w:r>
          <w:r>
            <w:t>za povraćaj</w:t>
          </w:r>
          <w:r w:rsidRPr="00FB048B">
            <w:t xml:space="preserve"> sredstava u okviru programa i zatraženi iznos je vraćen.</w:t>
          </w:r>
        </w:p>
        <w:p w14:paraId="0AC8449D" w14:textId="77777777" w:rsidR="00091B36" w:rsidRDefault="00091B36" w:rsidP="00091B36">
          <w:pPr>
            <w:pStyle w:val="Caption"/>
          </w:pPr>
          <w:r>
            <w:t xml:space="preserve">Grafikon </w:t>
          </w:r>
          <w:fldSimple w:instr=" SEQ Grafikon \* ARABIC ">
            <w:r>
              <w:rPr>
                <w:noProof/>
              </w:rPr>
              <w:t>3</w:t>
            </w:r>
          </w:fldSimple>
          <w:r>
            <w:t>: Finansijski pregled CAP 2016 programa</w:t>
          </w:r>
        </w:p>
        <w:p w14:paraId="3FFD031E" w14:textId="77777777" w:rsidR="00091B36" w:rsidRPr="00FC0E29" w:rsidRDefault="00091B36" w:rsidP="00091B36">
          <w:pPr>
            <w:spacing w:before="120"/>
            <w:rPr>
              <w:rFonts w:cs="Arial"/>
              <w:szCs w:val="20"/>
            </w:rPr>
          </w:pPr>
          <w:r>
            <w:rPr>
              <w:noProof/>
            </w:rPr>
            <w:drawing>
              <wp:inline distT="0" distB="0" distL="0" distR="0" wp14:anchorId="47E65371" wp14:editId="6A1BFFC6">
                <wp:extent cx="5943600" cy="2886075"/>
                <wp:effectExtent l="0" t="0" r="0" b="9525"/>
                <wp:docPr id="242058614" name="Grafikon 1">
                  <a:extLst xmlns:a="http://schemas.openxmlformats.org/drawingml/2006/main">
                    <a:ext uri="{FF2B5EF4-FFF2-40B4-BE49-F238E27FC236}">
                      <a16:creationId xmlns:a16="http://schemas.microsoft.com/office/drawing/2014/main" id="{52521C4A-BD87-0BD5-0555-722EB3691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6D65B2" w14:textId="77777777" w:rsidR="00091B36" w:rsidRPr="00FC0E29" w:rsidRDefault="00091B36" w:rsidP="00DC3A9D">
          <w:pPr>
            <w:pStyle w:val="Heading3"/>
            <w:numPr>
              <w:ilvl w:val="0"/>
              <w:numId w:val="0"/>
            </w:numPr>
            <w:ind w:left="720" w:hanging="720"/>
          </w:pPr>
          <w:r w:rsidRPr="00655EF8">
            <w:t>Godišnji akcioni program</w:t>
          </w:r>
          <w:r w:rsidRPr="00FC0E29">
            <w:t xml:space="preserve"> 2017</w:t>
          </w:r>
        </w:p>
        <w:p w14:paraId="47E348A9" w14:textId="77777777" w:rsidR="00091B36" w:rsidRPr="00FB048B" w:rsidRDefault="00091B36" w:rsidP="00091B36">
          <w:r w:rsidRPr="00FB048B">
            <w:t xml:space="preserve">Ukupan iznos dostupan za implementaciju </w:t>
          </w:r>
          <w:r w:rsidRPr="004130C4">
            <w:t>IUDK</w:t>
          </w:r>
          <w:r w:rsidRPr="00FB048B">
            <w:t>-a bio je 16</w:t>
          </w:r>
          <w:r>
            <w:t>.</w:t>
          </w:r>
          <w:r w:rsidRPr="00FB048B">
            <w:t>924</w:t>
          </w:r>
          <w:r>
            <w:t>.</w:t>
          </w:r>
          <w:r w:rsidRPr="00FB048B">
            <w:t>199 EUR, od čega je 13</w:t>
          </w:r>
          <w:r>
            <w:t>.</w:t>
          </w:r>
          <w:r w:rsidRPr="00FB048B">
            <w:t>511</w:t>
          </w:r>
          <w:r>
            <w:t>.</w:t>
          </w:r>
          <w:r w:rsidRPr="00FB048B">
            <w:t xml:space="preserve">103 EUR predstavljalo doprinos EU. Finansijski </w:t>
          </w:r>
          <w:r>
            <w:t>sporazum</w:t>
          </w:r>
          <w:r w:rsidRPr="00FB048B">
            <w:t xml:space="preserve"> između Evropske komisije i Vlade Crne Gore potpisan je 17. decembra 2018. godine, dok je </w:t>
          </w:r>
          <w:r>
            <w:t>rok</w:t>
          </w:r>
          <w:r w:rsidRPr="00FB048B">
            <w:t xml:space="preserve"> za ugovaranje istekao 17. decembra 2021. godine. Ukupna vrijednost potpisanih ugovora iznosi 15</w:t>
          </w:r>
          <w:r>
            <w:t>.</w:t>
          </w:r>
          <w:r w:rsidRPr="00FB048B">
            <w:t>819</w:t>
          </w:r>
          <w:r>
            <w:t>.</w:t>
          </w:r>
          <w:r w:rsidRPr="00FB048B">
            <w:t>932</w:t>
          </w:r>
          <w:r>
            <w:t>,</w:t>
          </w:r>
          <w:r w:rsidRPr="00FB048B">
            <w:t xml:space="preserve">21 EUR, što predstavlja </w:t>
          </w:r>
          <w:r w:rsidRPr="00560887">
            <w:rPr>
              <w:b/>
            </w:rPr>
            <w:t>93,48% sredstava dostupnih</w:t>
          </w:r>
          <w:r w:rsidRPr="00FB048B">
            <w:t xml:space="preserve"> Crnoj Gori u okviru programa. Isplaćena sredstva iznose 13</w:t>
          </w:r>
          <w:r>
            <w:t>.</w:t>
          </w:r>
          <w:r w:rsidRPr="00FB048B">
            <w:t>707</w:t>
          </w:r>
          <w:r>
            <w:t>.</w:t>
          </w:r>
          <w:r w:rsidRPr="00FB048B">
            <w:t>284</w:t>
          </w:r>
          <w:r>
            <w:t>,</w:t>
          </w:r>
          <w:r w:rsidRPr="00FB048B">
            <w:t xml:space="preserve">07 EUR, tj. </w:t>
          </w:r>
          <w:r w:rsidRPr="00560887">
            <w:rPr>
              <w:b/>
            </w:rPr>
            <w:t>86,65% ugovorenih sredstava</w:t>
          </w:r>
          <w:r w:rsidRPr="00FB048B">
            <w:t xml:space="preserve">. Rok za operativnu implementaciju je decembar 2025. godine.  </w:t>
          </w:r>
        </w:p>
        <w:p w14:paraId="756763EB" w14:textId="77777777" w:rsidR="00091B36" w:rsidRPr="00FB048B" w:rsidRDefault="00091B36" w:rsidP="00091B36">
          <w:r w:rsidRPr="00FB048B">
            <w:t>Program predviđa ugovore</w:t>
          </w:r>
          <w:r>
            <w:t xml:space="preserve"> u indirektnom upravljanju</w:t>
          </w:r>
          <w:r w:rsidRPr="00FB048B">
            <w:t xml:space="preserve"> kao i aktivnosti vezane za programe Unije. Sve aktivnosti vezane za programe Unije su završene.  </w:t>
          </w:r>
        </w:p>
        <w:p w14:paraId="1A711720" w14:textId="77777777" w:rsidR="00091B36" w:rsidRDefault="00091B36" w:rsidP="00091B36">
          <w:r w:rsidRPr="00FB048B">
            <w:t xml:space="preserve">Pokrenuta je procedura </w:t>
          </w:r>
          <w:r>
            <w:t>za povraćaj</w:t>
          </w:r>
          <w:r w:rsidRPr="00FB048B">
            <w:t xml:space="preserve"> sredstava u okviru programa i zatraženi iznos je vraćen.</w:t>
          </w:r>
        </w:p>
        <w:p w14:paraId="7F90D7B3" w14:textId="77777777" w:rsidR="00091B36" w:rsidRDefault="00091B36" w:rsidP="00091B36">
          <w:pPr>
            <w:pStyle w:val="Caption"/>
            <w:jc w:val="left"/>
          </w:pPr>
          <w:r>
            <w:lastRenderedPageBreak/>
            <w:t xml:space="preserve">Grafikon </w:t>
          </w:r>
          <w:fldSimple w:instr=" SEQ Grafikon \* ARABIC ">
            <w:r>
              <w:rPr>
                <w:noProof/>
              </w:rPr>
              <w:t>4</w:t>
            </w:r>
          </w:fldSimple>
          <w:r>
            <w:t>: Finansijski pregled CAP 2017 programa</w:t>
          </w:r>
        </w:p>
        <w:p w14:paraId="72AFED41" w14:textId="77777777" w:rsidR="00091B36" w:rsidRPr="00FC0E29" w:rsidRDefault="00091B36" w:rsidP="00091B36">
          <w:pPr>
            <w:spacing w:before="120"/>
            <w:jc w:val="left"/>
            <w:rPr>
              <w:rFonts w:cs="Arial"/>
              <w:szCs w:val="20"/>
            </w:rPr>
          </w:pPr>
          <w:r>
            <w:rPr>
              <w:noProof/>
            </w:rPr>
            <w:drawing>
              <wp:inline distT="0" distB="0" distL="0" distR="0" wp14:anchorId="4F303415" wp14:editId="074AEBB7">
                <wp:extent cx="5886450" cy="3171825"/>
                <wp:effectExtent l="0" t="0" r="0" b="9525"/>
                <wp:docPr id="895056142" name="Grafikon 1">
                  <a:extLst xmlns:a="http://schemas.openxmlformats.org/drawingml/2006/main">
                    <a:ext uri="{FF2B5EF4-FFF2-40B4-BE49-F238E27FC236}">
                      <a16:creationId xmlns:a16="http://schemas.microsoft.com/office/drawing/2014/main" id="{2DC5E0B3-E016-176C-F715-7FB0CF0989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2DC0EF" w14:textId="77777777" w:rsidR="00091B36" w:rsidRPr="00FC0E29" w:rsidRDefault="00091B36" w:rsidP="00DC3A9D">
          <w:pPr>
            <w:pStyle w:val="Heading3"/>
            <w:numPr>
              <w:ilvl w:val="0"/>
              <w:numId w:val="0"/>
            </w:numPr>
            <w:ind w:left="720" w:hanging="720"/>
          </w:pPr>
          <w:r w:rsidRPr="00655EF8">
            <w:t>Godišnji akcioni program</w:t>
          </w:r>
          <w:r w:rsidRPr="00FC0E29">
            <w:t xml:space="preserve"> 2018</w:t>
          </w:r>
        </w:p>
        <w:p w14:paraId="104F8770" w14:textId="77777777" w:rsidR="00091B36" w:rsidRDefault="00091B36" w:rsidP="00091B36">
          <w:r w:rsidRPr="00560887">
            <w:t xml:space="preserve">Ukupan iznos dostupan za implementaciju </w:t>
          </w:r>
          <w:r w:rsidRPr="004130C4">
            <w:t>IUDK</w:t>
          </w:r>
          <w:r w:rsidRPr="00560887">
            <w:t>-a bio je 37</w:t>
          </w:r>
          <w:r>
            <w:t>.</w:t>
          </w:r>
          <w:r w:rsidRPr="00560887">
            <w:t>816</w:t>
          </w:r>
          <w:r>
            <w:t>.</w:t>
          </w:r>
          <w:r w:rsidRPr="00560887">
            <w:t>014</w:t>
          </w:r>
          <w:r>
            <w:t>,</w:t>
          </w:r>
          <w:r w:rsidRPr="00560887">
            <w:t>34 EUR, od čega je 24</w:t>
          </w:r>
          <w:r>
            <w:t>.</w:t>
          </w:r>
          <w:r w:rsidRPr="00560887">
            <w:t>539</w:t>
          </w:r>
          <w:r>
            <w:t>.</w:t>
          </w:r>
          <w:r w:rsidRPr="00560887">
            <w:t xml:space="preserve">137 EUR predstavljalo doprinos EU. Finansijski </w:t>
          </w:r>
          <w:r>
            <w:t>sporazuma</w:t>
          </w:r>
          <w:r w:rsidRPr="00560887">
            <w:t xml:space="preserve"> između Evropske komisije i Vlade Crne Gore potpisan je 2. decembra 2019. godine, dok je </w:t>
          </w:r>
          <w:r>
            <w:t>rok</w:t>
          </w:r>
          <w:r w:rsidRPr="00560887">
            <w:t xml:space="preserve"> za ugovaranje istekao 2. decembra 2022. godine. Ukupna vrijednost potpisanih ugovora iznosi 38</w:t>
          </w:r>
          <w:r>
            <w:t>.</w:t>
          </w:r>
          <w:r w:rsidRPr="00560887">
            <w:t>927</w:t>
          </w:r>
          <w:r>
            <w:t>.</w:t>
          </w:r>
          <w:r w:rsidRPr="00560887">
            <w:t>493</w:t>
          </w:r>
          <w:r>
            <w:t>,</w:t>
          </w:r>
          <w:r w:rsidRPr="00560887">
            <w:t xml:space="preserve">03 EUR, što premašuje </w:t>
          </w:r>
          <w:r w:rsidRPr="00560887">
            <w:rPr>
              <w:b/>
            </w:rPr>
            <w:t>100% sredstava dostupnih</w:t>
          </w:r>
          <w:r w:rsidRPr="00560887">
            <w:t xml:space="preserve"> Crnoj Gori u okviru programa (zbog dodatnog nacionalnog doprinosa). Isplaćena sredstva iznose 30</w:t>
          </w:r>
          <w:r>
            <w:t>.</w:t>
          </w:r>
          <w:r w:rsidRPr="00560887">
            <w:t>080</w:t>
          </w:r>
          <w:r>
            <w:t>.</w:t>
          </w:r>
          <w:r w:rsidRPr="00560887">
            <w:t>571</w:t>
          </w:r>
          <w:r>
            <w:t>,</w:t>
          </w:r>
          <w:r w:rsidRPr="00560887">
            <w:t xml:space="preserve">55 EUR, tj. </w:t>
          </w:r>
          <w:r w:rsidRPr="00560887">
            <w:rPr>
              <w:b/>
            </w:rPr>
            <w:t>77,27% ugovorenih sredstava</w:t>
          </w:r>
          <w:r w:rsidRPr="00560887">
            <w:t xml:space="preserve">. Rok za operativnu implementaciju je decembar 2025. godine.  </w:t>
          </w:r>
        </w:p>
        <w:p w14:paraId="560B9BC4" w14:textId="77777777" w:rsidR="00091B36" w:rsidRDefault="00091B36" w:rsidP="00091B36">
          <w:r w:rsidRPr="00560887">
            <w:t>Program predviđa ugovore</w:t>
          </w:r>
          <w:r>
            <w:t xml:space="preserve"> u indirektnom upravljanju</w:t>
          </w:r>
          <w:r w:rsidRPr="00560887">
            <w:t xml:space="preserve"> kao i aktivnosti vezane za programe Unije. Sve aktivnosti vezane za programe Unije su završene.  </w:t>
          </w:r>
        </w:p>
        <w:p w14:paraId="1663A45E" w14:textId="77777777" w:rsidR="00091B36" w:rsidRDefault="00091B36" w:rsidP="00091B36">
          <w:r w:rsidRPr="00560887">
            <w:t>Treba napomenuti da je ugovor vezan za nadzor dva ugovora o rad</w:t>
          </w:r>
          <w:r>
            <w:t>u</w:t>
          </w:r>
          <w:r w:rsidRPr="00560887">
            <w:t xml:space="preserve"> finansiranih u okviru CAP 2018, 100% finansiran iz kapitalnog budžeta. Za ugovore o rad</w:t>
          </w:r>
          <w:r>
            <w:t>u</w:t>
          </w:r>
          <w:r w:rsidRPr="00560887">
            <w:t>, vrijednost ugovora je povećana zbog promjena c</w:t>
          </w:r>
          <w:r>
            <w:t>ij</w:t>
          </w:r>
          <w:r w:rsidRPr="00560887">
            <w:t xml:space="preserve">ena i dodatnih radova, zbog čega je nacionalno sufinansiranje u okviru programa veće nego što je prvobitno predviđeno. Nije pokrenuta procedura </w:t>
          </w:r>
          <w:r>
            <w:t>za povraćaj</w:t>
          </w:r>
          <w:r w:rsidRPr="00560887">
            <w:t xml:space="preserve"> sredstava u okviru programa.</w:t>
          </w:r>
        </w:p>
        <w:p w14:paraId="07A56EC9" w14:textId="77777777" w:rsidR="00091B36" w:rsidRDefault="00091B36" w:rsidP="00091B36">
          <w:pPr>
            <w:pStyle w:val="Caption"/>
          </w:pPr>
          <w:r>
            <w:lastRenderedPageBreak/>
            <w:t xml:space="preserve">Grafikon </w:t>
          </w:r>
          <w:fldSimple w:instr=" SEQ Grafikon \* ARABIC ">
            <w:r>
              <w:rPr>
                <w:noProof/>
              </w:rPr>
              <w:t>5</w:t>
            </w:r>
          </w:fldSimple>
          <w:r>
            <w:t>: Finansijski pregled CAP 2018 programa</w:t>
          </w:r>
        </w:p>
        <w:p w14:paraId="7097D72E" w14:textId="77777777" w:rsidR="00091B36" w:rsidRPr="00FC0E29" w:rsidRDefault="00091B36" w:rsidP="00091B36">
          <w:pPr>
            <w:spacing w:before="120"/>
            <w:rPr>
              <w:rFonts w:cs="Arial"/>
              <w:i/>
              <w:szCs w:val="20"/>
            </w:rPr>
          </w:pPr>
          <w:r>
            <w:rPr>
              <w:noProof/>
            </w:rPr>
            <w:drawing>
              <wp:inline distT="0" distB="0" distL="0" distR="0" wp14:anchorId="6041760A" wp14:editId="4A5A3E11">
                <wp:extent cx="4572000" cy="2743200"/>
                <wp:effectExtent l="0" t="0" r="0" b="0"/>
                <wp:docPr id="1083661613" name="Grafikon 1">
                  <a:extLst xmlns:a="http://schemas.openxmlformats.org/drawingml/2006/main">
                    <a:ext uri="{FF2B5EF4-FFF2-40B4-BE49-F238E27FC236}">
                      <a16:creationId xmlns:a16="http://schemas.microsoft.com/office/drawing/2014/main" id="{ECDFBBB5-B31D-80B9-855C-4C072E2FA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26E877" w14:textId="77777777" w:rsidR="00091B36" w:rsidRPr="00FC0E29" w:rsidRDefault="00091B36" w:rsidP="00DC3A9D">
          <w:pPr>
            <w:pStyle w:val="Heading3"/>
            <w:numPr>
              <w:ilvl w:val="0"/>
              <w:numId w:val="0"/>
            </w:numPr>
            <w:ind w:left="720" w:hanging="720"/>
          </w:pPr>
          <w:r w:rsidRPr="00655EF8">
            <w:t>Godišnji akcioni program</w:t>
          </w:r>
          <w:r w:rsidRPr="00FC0E29">
            <w:t xml:space="preserve"> 2020</w:t>
          </w:r>
        </w:p>
        <w:p w14:paraId="4BB0CE4F" w14:textId="77777777" w:rsidR="00091B36" w:rsidRDefault="00091B36" w:rsidP="00091B36">
          <w:r w:rsidRPr="00560887">
            <w:t xml:space="preserve">Ukupan iznos dostupan za implementaciju </w:t>
          </w:r>
          <w:r w:rsidRPr="004130C4">
            <w:t>IUDK</w:t>
          </w:r>
          <w:r w:rsidRPr="00560887">
            <w:t>-a bio je 11</w:t>
          </w:r>
          <w:r>
            <w:t>.</w:t>
          </w:r>
          <w:r w:rsidRPr="00560887">
            <w:t>238</w:t>
          </w:r>
          <w:r>
            <w:t>.</w:t>
          </w:r>
          <w:r w:rsidRPr="00560887">
            <w:t>234</w:t>
          </w:r>
          <w:r>
            <w:t>,</w:t>
          </w:r>
          <w:r w:rsidRPr="00560887">
            <w:t>94 EUR, od čega je 8</w:t>
          </w:r>
          <w:r>
            <w:t>.</w:t>
          </w:r>
          <w:r w:rsidRPr="00560887">
            <w:t>852</w:t>
          </w:r>
          <w:r>
            <w:t>.</w:t>
          </w:r>
          <w:r w:rsidRPr="00560887">
            <w:t xml:space="preserve">500 EUR predstavljalo doprinos EU. Finansijski </w:t>
          </w:r>
          <w:r>
            <w:t>sporazum</w:t>
          </w:r>
          <w:r w:rsidRPr="00560887">
            <w:t xml:space="preserve"> između Evropske komisije i Vlade Crne Gore potpisan je 28. avgusta 2020. godine, dok je </w:t>
          </w:r>
          <w:r>
            <w:t>rok</w:t>
          </w:r>
          <w:r w:rsidRPr="00560887">
            <w:t xml:space="preserve"> za ugovaranje istekao 28. avgusta 2023. godine. Ukupna vrijednost potpisanih ugovora iznosi 9</w:t>
          </w:r>
          <w:r>
            <w:t>.</w:t>
          </w:r>
          <w:r w:rsidRPr="00560887">
            <w:t>294</w:t>
          </w:r>
          <w:r>
            <w:t>.</w:t>
          </w:r>
          <w:r w:rsidRPr="00560887">
            <w:t>523</w:t>
          </w:r>
          <w:r>
            <w:t>,</w:t>
          </w:r>
          <w:r w:rsidRPr="00560887">
            <w:t xml:space="preserve">81 EUR, što predstavlja </w:t>
          </w:r>
          <w:r w:rsidRPr="00854337">
            <w:rPr>
              <w:b/>
            </w:rPr>
            <w:t>82,70% sredstava dostupnih</w:t>
          </w:r>
          <w:r w:rsidRPr="00560887">
            <w:t xml:space="preserve"> Crnoj Gori u okviru programa. Isplaćena sredstva iznose 7</w:t>
          </w:r>
          <w:r>
            <w:t>.</w:t>
          </w:r>
          <w:r w:rsidRPr="00560887">
            <w:t>741</w:t>
          </w:r>
          <w:r>
            <w:t>.</w:t>
          </w:r>
          <w:r w:rsidRPr="00560887">
            <w:t>187</w:t>
          </w:r>
          <w:r>
            <w:t>,</w:t>
          </w:r>
          <w:r w:rsidRPr="00560887">
            <w:t xml:space="preserve">18 EUR, tj. </w:t>
          </w:r>
          <w:r w:rsidRPr="00854337">
            <w:rPr>
              <w:b/>
            </w:rPr>
            <w:t>83,29% ugovorenih sredstava</w:t>
          </w:r>
          <w:r w:rsidRPr="00560887">
            <w:t xml:space="preserve">. Rok za operativnu implementaciju je avgust 2026. godine prema potpisanom Finansijskom </w:t>
          </w:r>
          <w:r>
            <w:t>sporazumu</w:t>
          </w:r>
          <w:r w:rsidRPr="00560887">
            <w:t>.</w:t>
          </w:r>
        </w:p>
        <w:p w14:paraId="58E78590" w14:textId="77777777" w:rsidR="00091B36" w:rsidRDefault="00091B36" w:rsidP="00091B36">
          <w:r w:rsidRPr="00560887">
            <w:t>Program predviđa ugovore</w:t>
          </w:r>
          <w:r>
            <w:t xml:space="preserve"> u indirektnom upravljanju</w:t>
          </w:r>
          <w:r w:rsidRPr="00560887">
            <w:t xml:space="preserve"> kao i </w:t>
          </w:r>
          <w:r>
            <w:t xml:space="preserve">aktivnosti </w:t>
          </w:r>
          <w:r w:rsidRPr="00560887">
            <w:t>vezane za programe Unije. Sve aktivnosti vezane za programe Unije su završene.</w:t>
          </w:r>
        </w:p>
        <w:p w14:paraId="44FBCF7C" w14:textId="77777777" w:rsidR="00091B36" w:rsidRDefault="00091B36" w:rsidP="00091B36">
          <w:r w:rsidRPr="00560887">
            <w:t xml:space="preserve">Dva potpisana ugovora su otkazana. </w:t>
          </w:r>
        </w:p>
        <w:p w14:paraId="0B53B0A6" w14:textId="77777777" w:rsidR="00091B36" w:rsidRDefault="00091B36" w:rsidP="00091B36">
          <w:r w:rsidRPr="00560887">
            <w:t xml:space="preserve">Nije pokrenuta procedura </w:t>
          </w:r>
          <w:r>
            <w:t xml:space="preserve">za </w:t>
          </w:r>
          <w:r w:rsidRPr="00560887">
            <w:t>povra</w:t>
          </w:r>
          <w:r>
            <w:t>ćaj</w:t>
          </w:r>
          <w:r w:rsidRPr="00560887">
            <w:t xml:space="preserve"> sredstava u okviru programa.</w:t>
          </w:r>
        </w:p>
        <w:p w14:paraId="24AC99A9" w14:textId="77777777" w:rsidR="00091B36" w:rsidRDefault="00091B36" w:rsidP="00091B36">
          <w:pPr>
            <w:pStyle w:val="Caption"/>
          </w:pPr>
          <w:r>
            <w:t xml:space="preserve">Grafikon </w:t>
          </w:r>
          <w:fldSimple w:instr=" SEQ Grafikon \* ARABIC ">
            <w:r>
              <w:rPr>
                <w:noProof/>
              </w:rPr>
              <w:t>6</w:t>
            </w:r>
          </w:fldSimple>
          <w:r>
            <w:t>: Finansijski pregled CAP 2020 programa</w:t>
          </w:r>
        </w:p>
        <w:p w14:paraId="0C8FBB92" w14:textId="77777777" w:rsidR="00091B36" w:rsidRPr="00FC0E29" w:rsidRDefault="00091B36" w:rsidP="00091B36">
          <w:pPr>
            <w:spacing w:before="120"/>
            <w:rPr>
              <w:rFonts w:cs="Arial"/>
              <w:szCs w:val="20"/>
            </w:rPr>
          </w:pPr>
          <w:r>
            <w:rPr>
              <w:noProof/>
            </w:rPr>
            <w:drawing>
              <wp:inline distT="0" distB="0" distL="0" distR="0" wp14:anchorId="030BE341" wp14:editId="7A19D641">
                <wp:extent cx="5915025" cy="2667000"/>
                <wp:effectExtent l="0" t="0" r="9525" b="0"/>
                <wp:docPr id="1609436384" name="Grafikon 1">
                  <a:extLst xmlns:a="http://schemas.openxmlformats.org/drawingml/2006/main">
                    <a:ext uri="{FF2B5EF4-FFF2-40B4-BE49-F238E27FC236}">
                      <a16:creationId xmlns:a16="http://schemas.microsoft.com/office/drawing/2014/main" id="{F59C91D3-8339-8BE4-5002-EEACC5B575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1B74FC" w14:textId="77777777" w:rsidR="00091B36" w:rsidRPr="00FC0E29" w:rsidRDefault="00091B36" w:rsidP="00DC3A9D">
          <w:pPr>
            <w:pStyle w:val="Heading3"/>
            <w:numPr>
              <w:ilvl w:val="0"/>
              <w:numId w:val="0"/>
            </w:numPr>
            <w:ind w:left="720" w:hanging="720"/>
          </w:pPr>
          <w:r w:rsidRPr="00FC0E29">
            <w:lastRenderedPageBreak/>
            <w:t>Se</w:t>
          </w:r>
          <w:r>
            <w:t xml:space="preserve">ktorski operativni programi za obrazovanje, zapošljavanje i socijalnu politiku </w:t>
          </w:r>
          <w:r w:rsidRPr="00FC0E29">
            <w:t>(SOPEES 2015</w:t>
          </w:r>
          <w:r>
            <w:t>-</w:t>
          </w:r>
          <w:r w:rsidRPr="00FC0E29">
            <w:t>2017)</w:t>
          </w:r>
        </w:p>
        <w:p w14:paraId="156389B8" w14:textId="77777777" w:rsidR="00091B36" w:rsidRDefault="00091B36" w:rsidP="00091B36">
          <w:r w:rsidRPr="00854337">
            <w:t xml:space="preserve">Ukupan iznos dostupan za implementaciju </w:t>
          </w:r>
          <w:r w:rsidRPr="004130C4">
            <w:t>IUDK</w:t>
          </w:r>
          <w:r w:rsidRPr="00854337">
            <w:t>-a bio je 18</w:t>
          </w:r>
          <w:r>
            <w:t>.</w:t>
          </w:r>
          <w:r w:rsidRPr="00854337">
            <w:t>000</w:t>
          </w:r>
          <w:r>
            <w:t>.</w:t>
          </w:r>
          <w:r w:rsidRPr="00854337">
            <w:t>000 EUR, od čega je 15</w:t>
          </w:r>
          <w:r>
            <w:t>.</w:t>
          </w:r>
          <w:r w:rsidRPr="00854337">
            <w:t>300</w:t>
          </w:r>
          <w:r>
            <w:t>.</w:t>
          </w:r>
          <w:r w:rsidRPr="00854337">
            <w:t xml:space="preserve">000 EUR predstavljalo doprinos EU. Prema Finansijskom </w:t>
          </w:r>
          <w:r>
            <w:t>sporazumu</w:t>
          </w:r>
          <w:r w:rsidRPr="00854337">
            <w:t xml:space="preserve">, </w:t>
          </w:r>
          <w:r>
            <w:t>rok za ugovaranje je istekao</w:t>
          </w:r>
          <w:r w:rsidRPr="00854337">
            <w:t xml:space="preserve"> </w:t>
          </w:r>
          <w:r>
            <w:t>u decembru</w:t>
          </w:r>
          <w:r w:rsidRPr="00854337">
            <w:t xml:space="preserve"> 2023. godine. Ukupna vrijednost ugovora predstavlja </w:t>
          </w:r>
          <w:r w:rsidRPr="00C74942">
            <w:rPr>
              <w:b/>
            </w:rPr>
            <w:t>96</w:t>
          </w:r>
          <w:r>
            <w:rPr>
              <w:b/>
            </w:rPr>
            <w:t>,</w:t>
          </w:r>
          <w:r w:rsidRPr="00C74942">
            <w:rPr>
              <w:b/>
            </w:rPr>
            <w:t>09% sredstava dostupnih</w:t>
          </w:r>
          <w:r w:rsidRPr="00854337">
            <w:t xml:space="preserve"> Crnoj Gori u okviru programa, dok isplaćena sredstva čine </w:t>
          </w:r>
          <w:r w:rsidRPr="00C74942">
            <w:rPr>
              <w:b/>
            </w:rPr>
            <w:t>81,50% ugovorenih sredstava</w:t>
          </w:r>
          <w:r w:rsidRPr="00854337">
            <w:t xml:space="preserve">.  </w:t>
          </w:r>
        </w:p>
        <w:p w14:paraId="26A704BB" w14:textId="77777777" w:rsidR="00091B36" w:rsidRPr="00854337" w:rsidRDefault="00091B36" w:rsidP="00091B36">
          <w:r w:rsidRPr="00854337">
            <w:t xml:space="preserve">Što se tiče jednog ugovora kojim </w:t>
          </w:r>
          <w:r>
            <w:t xml:space="preserve">je </w:t>
          </w:r>
          <w:r w:rsidRPr="00854337">
            <w:t>upravlja</w:t>
          </w:r>
          <w:r>
            <w:t>la</w:t>
          </w:r>
          <w:r w:rsidRPr="00854337">
            <w:t xml:space="preserve"> </w:t>
          </w:r>
          <w:r w:rsidRPr="00C37EEC">
            <w:t>UKP</w:t>
          </w:r>
          <w:r w:rsidRPr="00854337">
            <w:t>, treba napomenuti</w:t>
          </w:r>
          <w:r>
            <w:t xml:space="preserve"> sljedeće:</w:t>
          </w:r>
          <w:r w:rsidRPr="00854337">
            <w:t xml:space="preserve"> ugovor o rad</w:t>
          </w:r>
          <w:r>
            <w:t>u</w:t>
          </w:r>
          <w:r w:rsidRPr="00854337">
            <w:t xml:space="preserve"> "Adaptacija školske infrastrukture za uklanjanje arhitektonskih barijera" </w:t>
          </w:r>
          <w:r>
            <w:t xml:space="preserve">je </w:t>
          </w:r>
          <w:r w:rsidRPr="00854337">
            <w:t xml:space="preserve">otkazan u januaru 2025. godine. Preostali radovi biće završeni 2025. godine i finansirani iz kapitalnog budžeta.  </w:t>
          </w:r>
        </w:p>
        <w:p w14:paraId="706D3157" w14:textId="77777777" w:rsidR="00091B36" w:rsidRDefault="00091B36" w:rsidP="00091B36">
          <w:r w:rsidRPr="00854337">
            <w:t xml:space="preserve">Pokrenut je postupak </w:t>
          </w:r>
          <w:r>
            <w:t xml:space="preserve">za </w:t>
          </w:r>
          <w:r w:rsidRPr="00854337">
            <w:t>povra</w:t>
          </w:r>
          <w:r>
            <w:t>ćaj</w:t>
          </w:r>
          <w:r w:rsidRPr="00854337">
            <w:t xml:space="preserve"> </w:t>
          </w:r>
          <w:r>
            <w:t xml:space="preserve">u </w:t>
          </w:r>
          <w:r w:rsidRPr="00854337">
            <w:t>sedam slučajeva u okviru programa, od kojih su četiri završena, dok tri još uv</w:t>
          </w:r>
          <w:r>
            <w:t>ij</w:t>
          </w:r>
          <w:r w:rsidRPr="00854337">
            <w:t>ek čekaju isplatu.</w:t>
          </w:r>
        </w:p>
        <w:p w14:paraId="280AD007" w14:textId="77777777" w:rsidR="00091B36" w:rsidRDefault="00091B36" w:rsidP="00091B36">
          <w:pPr>
            <w:pStyle w:val="Caption"/>
          </w:pPr>
          <w:r>
            <w:t xml:space="preserve">Grafikon </w:t>
          </w:r>
          <w:fldSimple w:instr=" SEQ Grafikon \* ARABIC ">
            <w:r>
              <w:rPr>
                <w:noProof/>
              </w:rPr>
              <w:t>7</w:t>
            </w:r>
          </w:fldSimple>
          <w:r>
            <w:t>: Finansijski pregled SOPEES programa</w:t>
          </w:r>
        </w:p>
        <w:p w14:paraId="41DB70B0" w14:textId="77777777" w:rsidR="00091B36" w:rsidRPr="00FC0E29" w:rsidRDefault="00091B36" w:rsidP="00091B36">
          <w:pPr>
            <w:pStyle w:val="ListParagraph"/>
            <w:spacing w:before="120"/>
            <w:ind w:left="0"/>
            <w:contextualSpacing w:val="0"/>
            <w:jc w:val="left"/>
            <w:rPr>
              <w:rFonts w:cs="Arial"/>
              <w:b/>
              <w:szCs w:val="20"/>
            </w:rPr>
          </w:pPr>
          <w:r>
            <w:rPr>
              <w:noProof/>
            </w:rPr>
            <w:drawing>
              <wp:inline distT="0" distB="0" distL="0" distR="0" wp14:anchorId="4C3D6ACF" wp14:editId="6B376708">
                <wp:extent cx="5924550" cy="2743200"/>
                <wp:effectExtent l="0" t="0" r="0" b="0"/>
                <wp:docPr id="80587242" name="Grafikon 1">
                  <a:extLst xmlns:a="http://schemas.openxmlformats.org/drawingml/2006/main">
                    <a:ext uri="{FF2B5EF4-FFF2-40B4-BE49-F238E27FC236}">
                      <a16:creationId xmlns:a16="http://schemas.microsoft.com/office/drawing/2014/main" id="{D25B4086-106F-006A-7C01-C2A0F758C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7EE91B" w14:textId="77777777" w:rsidR="00091B36" w:rsidRPr="00FC0E29" w:rsidRDefault="00091B36" w:rsidP="00DC3A9D">
          <w:pPr>
            <w:pStyle w:val="Heading3"/>
            <w:numPr>
              <w:ilvl w:val="0"/>
              <w:numId w:val="0"/>
            </w:numPr>
            <w:ind w:left="720" w:hanging="720"/>
          </w:pPr>
          <w:r w:rsidRPr="001F0C0C">
            <w:t>Programi prekogranične saradnje Crna Gora</w:t>
          </w:r>
          <w:r w:rsidRPr="00FC0E29">
            <w:t>-Albani</w:t>
          </w:r>
          <w:r>
            <w:t>j</w:t>
          </w:r>
          <w:r w:rsidRPr="00FC0E29">
            <w:t>a 2014-2020</w:t>
          </w:r>
        </w:p>
        <w:p w14:paraId="11C16A22" w14:textId="77777777" w:rsidR="00091B36" w:rsidRPr="00854337" w:rsidRDefault="00091B36" w:rsidP="00091B36">
          <w:r w:rsidRPr="00C74942">
            <w:t>Ukupna vrijednost ovog programa iznosila je 12</w:t>
          </w:r>
          <w:r>
            <w:t>.</w:t>
          </w:r>
          <w:r w:rsidRPr="00C74942">
            <w:t>600</w:t>
          </w:r>
          <w:r>
            <w:t>.</w:t>
          </w:r>
          <w:r w:rsidRPr="00C74942">
            <w:t>000 EUR, od čega je 10</w:t>
          </w:r>
          <w:r>
            <w:t>.</w:t>
          </w:r>
          <w:r w:rsidRPr="00C74942">
            <w:t>710</w:t>
          </w:r>
          <w:r>
            <w:t>.</w:t>
          </w:r>
          <w:r w:rsidRPr="00C74942">
            <w:t>000 EUR predstavljalo doprinos EU.</w:t>
          </w:r>
          <w:r>
            <w:t xml:space="preserve"> </w:t>
          </w:r>
          <w:r w:rsidRPr="00854337">
            <w:t>Ukupan ugovoreni iznos iznosio je 9</w:t>
          </w:r>
          <w:r>
            <w:t>.</w:t>
          </w:r>
          <w:r w:rsidRPr="00854337">
            <w:t>059</w:t>
          </w:r>
          <w:r>
            <w:t>.</w:t>
          </w:r>
          <w:r w:rsidRPr="00854337">
            <w:t>307</w:t>
          </w:r>
          <w:r>
            <w:t>,</w:t>
          </w:r>
          <w:r w:rsidRPr="00854337">
            <w:t>48 EUR. Važno je napomenuti da je oko 1</w:t>
          </w:r>
          <w:r>
            <w:t>,</w:t>
          </w:r>
          <w:r w:rsidRPr="00854337">
            <w:t>2 miliona EUR vraćeno zbog isteka roka za dodjelu ugovora za alokaciju iz 2019. godine. Ukupna stopa ugovaranja za period 2014-2020. iznosi 84</w:t>
          </w:r>
          <w:r>
            <w:t>,</w:t>
          </w:r>
          <w:r w:rsidRPr="00854337">
            <w:t>59%. Na dan 31.12.2024, isplaćena sredstva u iznosu od 7</w:t>
          </w:r>
          <w:r>
            <w:t>.</w:t>
          </w:r>
          <w:r w:rsidRPr="00854337">
            <w:t>322</w:t>
          </w:r>
          <w:r>
            <w:t>.</w:t>
          </w:r>
          <w:r w:rsidRPr="00854337">
            <w:t>101</w:t>
          </w:r>
          <w:r>
            <w:t>,</w:t>
          </w:r>
          <w:r w:rsidRPr="00854337">
            <w:t xml:space="preserve">76 EUR predstavljaju </w:t>
          </w:r>
          <w:r w:rsidRPr="00C74942">
            <w:t>80.82% od ugovorenih sredstava</w:t>
          </w:r>
          <w:r w:rsidRPr="00854337">
            <w:t>.</w:t>
          </w:r>
          <w:r>
            <w:t xml:space="preserve"> </w:t>
          </w:r>
          <w:r w:rsidRPr="00854337">
            <w:t xml:space="preserve">Za programe </w:t>
          </w:r>
          <w:r>
            <w:t>PGS</w:t>
          </w:r>
          <w:r w:rsidRPr="00854337">
            <w:t xml:space="preserve"> MNE-ALB 2014. i </w:t>
          </w:r>
          <w:r>
            <w:t>PGS</w:t>
          </w:r>
          <w:r w:rsidRPr="00854337">
            <w:t xml:space="preserve"> MNE-ALB 2015, konačne izjave su podnesene Evropskoj komisiji 2023. godine. Svi ugovori za programe </w:t>
          </w:r>
          <w:r>
            <w:t>PGS</w:t>
          </w:r>
          <w:r w:rsidRPr="00854337">
            <w:t xml:space="preserve"> MNE-ALB 2016. i </w:t>
          </w:r>
          <w:r>
            <w:t>PGS</w:t>
          </w:r>
          <w:r w:rsidRPr="00854337">
            <w:t xml:space="preserve"> MNE-ALB 2017. su završeni. Međutim, za programe </w:t>
          </w:r>
          <w:r>
            <w:t>PGS</w:t>
          </w:r>
          <w:r w:rsidRPr="00854337">
            <w:t xml:space="preserve"> MNE-ALB 2018, </w:t>
          </w:r>
          <w:r>
            <w:t>PGS</w:t>
          </w:r>
          <w:r w:rsidRPr="00854337">
            <w:t xml:space="preserve"> MNE-ALB 2019. i </w:t>
          </w:r>
          <w:r>
            <w:t>PGS</w:t>
          </w:r>
          <w:r w:rsidRPr="00854337">
            <w:t xml:space="preserve"> MNE-ALB 2020, još ni</w:t>
          </w:r>
          <w:r>
            <w:t>je</w:t>
          </w:r>
          <w:r w:rsidRPr="00854337">
            <w:t>su završeni svi ugovori.</w:t>
          </w:r>
        </w:p>
        <w:p w14:paraId="44114C1B" w14:textId="77777777" w:rsidR="00091B36" w:rsidRPr="00854337" w:rsidRDefault="00091B36" w:rsidP="00091B36">
          <w:r w:rsidRPr="00854337">
            <w:t xml:space="preserve">Ugovaranje u okviru programa </w:t>
          </w:r>
          <w:r>
            <w:t>PGS</w:t>
          </w:r>
          <w:r w:rsidRPr="00854337">
            <w:t xml:space="preserve"> MNE-ALB 2014-2020 sprovedeno je kroz četiri javna poziva (1. poziv - alokacije iz 2014-2015; 2. poziv - alokacije iz 2016-2017; 3. poziv - alokacije iz 2018-2020; i 4. poziv - alokacije iz 2018-2020).</w:t>
          </w:r>
        </w:p>
        <w:p w14:paraId="66A172A9" w14:textId="77777777" w:rsidR="00091B36" w:rsidRPr="00854337" w:rsidRDefault="00091B36" w:rsidP="00091B36">
          <w:r w:rsidRPr="00854337">
            <w:t xml:space="preserve">Rok za operativnu implementaciju prema Finansijskom </w:t>
          </w:r>
          <w:r>
            <w:t>sporazumu</w:t>
          </w:r>
          <w:r w:rsidRPr="00854337">
            <w:t xml:space="preserve"> za program </w:t>
          </w:r>
          <w:r>
            <w:t>PGS</w:t>
          </w:r>
          <w:r w:rsidRPr="00854337">
            <w:t xml:space="preserve"> MNE-ALB 2018 ističe u decembru 2025. godine.</w:t>
          </w:r>
        </w:p>
        <w:p w14:paraId="5AB8A8D7" w14:textId="77777777" w:rsidR="00091B36" w:rsidRDefault="00091B36" w:rsidP="00091B36">
          <w:r w:rsidRPr="00854337">
            <w:t xml:space="preserve">Nije pokrenuta procedura </w:t>
          </w:r>
          <w:r>
            <w:t>za povraćaj</w:t>
          </w:r>
          <w:r w:rsidRPr="00854337">
            <w:t xml:space="preserve"> sredstava u okviru programa </w:t>
          </w:r>
          <w:r>
            <w:t>PGS</w:t>
          </w:r>
          <w:r w:rsidRPr="00854337">
            <w:t xml:space="preserve"> MNE-ALB 2016-2020.</w:t>
          </w:r>
        </w:p>
        <w:p w14:paraId="79322C13" w14:textId="77777777" w:rsidR="00091B36" w:rsidRPr="00FC0E29" w:rsidRDefault="00091B36" w:rsidP="00091B36">
          <w:pPr>
            <w:spacing w:before="120"/>
            <w:rPr>
              <w:rFonts w:cs="Arial"/>
              <w:i/>
              <w:szCs w:val="20"/>
            </w:rPr>
          </w:pPr>
          <w:r w:rsidRPr="001F0C0C">
            <w:rPr>
              <w:rFonts w:cs="Arial"/>
              <w:i/>
              <w:szCs w:val="20"/>
              <w:u w:val="single"/>
            </w:rPr>
            <w:t>Grafikon</w:t>
          </w:r>
          <w:r w:rsidRPr="00FC0E29">
            <w:rPr>
              <w:rFonts w:cs="Arial"/>
              <w:i/>
              <w:szCs w:val="20"/>
              <w:u w:val="single"/>
            </w:rPr>
            <w:t xml:space="preserve"> 8:</w:t>
          </w:r>
          <w:r w:rsidRPr="00FC0E29">
            <w:rPr>
              <w:rFonts w:cs="Arial"/>
              <w:i/>
              <w:szCs w:val="20"/>
            </w:rPr>
            <w:t xml:space="preserve"> Finan</w:t>
          </w:r>
          <w:r>
            <w:rPr>
              <w:rFonts w:cs="Arial"/>
              <w:i/>
              <w:szCs w:val="20"/>
            </w:rPr>
            <w:t>sijski pregled</w:t>
          </w:r>
          <w:r w:rsidRPr="00FC0E29">
            <w:rPr>
              <w:rFonts w:cs="Arial"/>
              <w:i/>
              <w:szCs w:val="20"/>
            </w:rPr>
            <w:t xml:space="preserve"> </w:t>
          </w:r>
          <w:r>
            <w:rPr>
              <w:rFonts w:cs="Arial"/>
              <w:i/>
              <w:szCs w:val="20"/>
            </w:rPr>
            <w:t>PGS</w:t>
          </w:r>
          <w:r w:rsidRPr="00FC0E29">
            <w:rPr>
              <w:rFonts w:cs="Arial"/>
              <w:i/>
              <w:szCs w:val="20"/>
            </w:rPr>
            <w:t xml:space="preserve"> MNE-ALB 201</w:t>
          </w:r>
          <w:r>
            <w:rPr>
              <w:rFonts w:cs="Arial"/>
              <w:i/>
              <w:szCs w:val="20"/>
            </w:rPr>
            <w:t>4</w:t>
          </w:r>
          <w:r w:rsidRPr="00FC0E29">
            <w:rPr>
              <w:rFonts w:cs="Arial"/>
              <w:i/>
              <w:szCs w:val="20"/>
            </w:rPr>
            <w:t>-2020 program</w:t>
          </w:r>
          <w:r>
            <w:rPr>
              <w:rFonts w:cs="Arial"/>
              <w:i/>
              <w:szCs w:val="20"/>
            </w:rPr>
            <w:t>a</w:t>
          </w:r>
          <w:r w:rsidRPr="00FC0E29">
            <w:rPr>
              <w:rStyle w:val="FootnoteReference"/>
              <w:rFonts w:cs="Arial"/>
              <w:i/>
              <w:szCs w:val="20"/>
            </w:rPr>
            <w:footnoteReference w:id="274"/>
          </w:r>
        </w:p>
        <w:p w14:paraId="14D1CB4B" w14:textId="77777777" w:rsidR="00091B36" w:rsidRPr="00FC0E29" w:rsidRDefault="00091B36" w:rsidP="00091B36">
          <w:pPr>
            <w:spacing w:before="120"/>
            <w:rPr>
              <w:rFonts w:cs="Arial"/>
              <w:szCs w:val="20"/>
            </w:rPr>
          </w:pPr>
        </w:p>
        <w:p w14:paraId="4F70AF6C" w14:textId="77777777" w:rsidR="00091B36" w:rsidRPr="00FC0E29" w:rsidRDefault="00091B36" w:rsidP="00091B36">
          <w:pPr>
            <w:spacing w:before="120"/>
            <w:rPr>
              <w:rFonts w:cs="Arial"/>
              <w:szCs w:val="20"/>
            </w:rPr>
          </w:pPr>
          <w:r w:rsidRPr="00FC0E29">
            <w:rPr>
              <w:rFonts w:ascii="Garamond" w:hAnsi="Garamond"/>
              <w:noProof/>
              <w:color w:val="000000"/>
            </w:rPr>
            <w:drawing>
              <wp:inline distT="0" distB="0" distL="0" distR="0" wp14:anchorId="477883F5" wp14:editId="756B3720">
                <wp:extent cx="5985803" cy="3094892"/>
                <wp:effectExtent l="0" t="0" r="15240" b="10795"/>
                <wp:docPr id="172580443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069E66" w14:textId="77777777" w:rsidR="00091B36" w:rsidRPr="00FC0E29" w:rsidRDefault="00B54ABB" w:rsidP="00091B36">
          <w:pPr>
            <w:spacing w:before="120"/>
            <w:rPr>
              <w:rFonts w:cs="Arial"/>
              <w:szCs w:val="20"/>
              <w:u w:val="single"/>
            </w:rPr>
          </w:pPr>
        </w:p>
      </w:sdtContent>
    </w:sdt>
    <w:p w14:paraId="65F77290" w14:textId="77777777" w:rsidR="00091B36" w:rsidRPr="00FC0E29" w:rsidRDefault="00091B36" w:rsidP="00DC3A9D">
      <w:pPr>
        <w:pStyle w:val="Heading3"/>
        <w:numPr>
          <w:ilvl w:val="0"/>
          <w:numId w:val="0"/>
        </w:numPr>
        <w:ind w:left="720" w:hanging="720"/>
      </w:pPr>
      <w:r w:rsidRPr="001F0C0C">
        <w:t>Programi prekogranične saradnje Crna Gora</w:t>
      </w:r>
      <w:r w:rsidRPr="00FC0E29">
        <w:t>-Kosovo 2014-2020</w:t>
      </w:r>
    </w:p>
    <w:p w14:paraId="60F2F167" w14:textId="77777777" w:rsidR="00091B36" w:rsidRPr="00C74942" w:rsidRDefault="00091B36" w:rsidP="00091B36">
      <w:bookmarkStart w:id="229" w:name="_Hlk193708594"/>
      <w:r w:rsidRPr="00C74942">
        <w:t>Ukupna vrijednost ovog programa iznosi 8</w:t>
      </w:r>
      <w:r>
        <w:t>.</w:t>
      </w:r>
      <w:r w:rsidRPr="00C74942">
        <w:t>894</w:t>
      </w:r>
      <w:r>
        <w:t>.</w:t>
      </w:r>
      <w:r w:rsidRPr="00C74942">
        <w:t>116</w:t>
      </w:r>
      <w:r>
        <w:t>,</w:t>
      </w:r>
      <w:r w:rsidRPr="00C74942">
        <w:t>30 EUR, od čega je 7</w:t>
      </w:r>
      <w:r>
        <w:t>.</w:t>
      </w:r>
      <w:r w:rsidRPr="00C74942">
        <w:t>560</w:t>
      </w:r>
      <w:r>
        <w:t>.</w:t>
      </w:r>
      <w:r w:rsidRPr="00C74942">
        <w:t>000 EUR predstavljalo doprinos EU. Ukupni iznos ugovaranja za period 2014-2020 iznosio je 7</w:t>
      </w:r>
      <w:r>
        <w:t>.</w:t>
      </w:r>
      <w:r w:rsidRPr="00C74942">
        <w:t>514</w:t>
      </w:r>
      <w:r>
        <w:t>.</w:t>
      </w:r>
      <w:r w:rsidRPr="00C74942">
        <w:t>147</w:t>
      </w:r>
      <w:r>
        <w:t>,</w:t>
      </w:r>
      <w:r w:rsidRPr="00C74942">
        <w:t>77 EUR, što predstavlja 99</w:t>
      </w:r>
      <w:r>
        <w:t>,</w:t>
      </w:r>
      <w:r w:rsidRPr="00C74942">
        <w:t>39% dostupnih sredstava. Na dan 31.12.2024, isplaćena sredstva u iznosu od 6</w:t>
      </w:r>
      <w:r>
        <w:t>.</w:t>
      </w:r>
      <w:r w:rsidRPr="00C74942">
        <w:t>433</w:t>
      </w:r>
      <w:r>
        <w:t>.</w:t>
      </w:r>
      <w:r w:rsidRPr="00C74942">
        <w:t>824</w:t>
      </w:r>
      <w:r>
        <w:t>,</w:t>
      </w:r>
      <w:r w:rsidRPr="00C74942">
        <w:t>70 EUR predstavljaju 85</w:t>
      </w:r>
      <w:r>
        <w:t>,</w:t>
      </w:r>
      <w:r w:rsidRPr="00C74942">
        <w:t>62% ugovorenih sredstava.</w:t>
      </w:r>
    </w:p>
    <w:p w14:paraId="6323D641" w14:textId="77777777" w:rsidR="00091B36" w:rsidRDefault="00091B36" w:rsidP="00091B36">
      <w:r w:rsidRPr="00C74942">
        <w:t xml:space="preserve">Svi ugovori za programe </w:t>
      </w:r>
      <w:r>
        <w:t>PGS</w:t>
      </w:r>
      <w:r w:rsidRPr="00C74942">
        <w:t xml:space="preserve"> MNE-KOS 2016 i </w:t>
      </w:r>
      <w:r>
        <w:t>PGS</w:t>
      </w:r>
      <w:r w:rsidRPr="00C74942">
        <w:t xml:space="preserve"> MNE-KOS 2017 su završeni. Međutim, ugovori za programe </w:t>
      </w:r>
      <w:r>
        <w:t>PGS</w:t>
      </w:r>
      <w:r w:rsidRPr="00C74942">
        <w:t xml:space="preserve"> MNE-KOS 2018, </w:t>
      </w:r>
      <w:r>
        <w:t>PGS</w:t>
      </w:r>
      <w:r w:rsidRPr="00C74942">
        <w:t xml:space="preserve"> MNE-KOS 2019 i </w:t>
      </w:r>
      <w:r>
        <w:t>PGS</w:t>
      </w:r>
      <w:r w:rsidRPr="00C74942">
        <w:t xml:space="preserve"> MNE-KOS 2020 još ni</w:t>
      </w:r>
      <w:r>
        <w:t>je</w:t>
      </w:r>
      <w:r w:rsidRPr="00C74942">
        <w:t xml:space="preserve">su </w:t>
      </w:r>
      <w:r>
        <w:t>za</w:t>
      </w:r>
      <w:r w:rsidRPr="00C74942">
        <w:t xml:space="preserve">vršeni. Aktivnosti ugovaranja u okviru programa </w:t>
      </w:r>
      <w:r>
        <w:t>PGS</w:t>
      </w:r>
      <w:r w:rsidRPr="00C74942">
        <w:t xml:space="preserve"> MNE-KOS 2014-2020 sprovedene su kroz tri javna poziva (1. poziv: alokacije iz 2014-2015; 2. poziv: alokacije iz 2016-2017; 3. poziv: alokacije iz 2016-2017).</w:t>
      </w:r>
      <w:r>
        <w:t xml:space="preserve"> </w:t>
      </w:r>
      <w:r w:rsidRPr="00C74942">
        <w:t xml:space="preserve">Za programe </w:t>
      </w:r>
      <w:r>
        <w:t>PGS</w:t>
      </w:r>
      <w:r w:rsidRPr="00C74942">
        <w:t xml:space="preserve"> MNE-KOS 2014 i </w:t>
      </w:r>
      <w:r>
        <w:t>PGS</w:t>
      </w:r>
      <w:r w:rsidRPr="00C74942">
        <w:t xml:space="preserve"> MNE-KOS 2015, konačne izjave su podnesene Evropskoj komisiji 2024. godine.</w:t>
      </w:r>
      <w:r>
        <w:t xml:space="preserve"> </w:t>
      </w:r>
    </w:p>
    <w:p w14:paraId="70DF73A5" w14:textId="77777777" w:rsidR="00091B36" w:rsidRDefault="00091B36" w:rsidP="00091B36">
      <w:r w:rsidRPr="00C74942">
        <w:t xml:space="preserve">Postupak </w:t>
      </w:r>
      <w:r>
        <w:t>za povraćaj sredstava</w:t>
      </w:r>
      <w:r w:rsidRPr="00C74942">
        <w:t xml:space="preserve"> pokrenut je za program </w:t>
      </w:r>
      <w:r>
        <w:t>PGS</w:t>
      </w:r>
      <w:r w:rsidRPr="00C74942">
        <w:t xml:space="preserve"> MNE-KOS 2017 i još je u toku.</w:t>
      </w:r>
      <w:r>
        <w:t xml:space="preserve"> </w:t>
      </w:r>
      <w:r w:rsidRPr="00C74942">
        <w:t xml:space="preserve">Treba napomenuti da rok za operativnu implementaciju prema potpisanom Finansijskom </w:t>
      </w:r>
      <w:r>
        <w:t>sporazumu</w:t>
      </w:r>
      <w:r w:rsidRPr="00C74942">
        <w:t xml:space="preserve"> za program </w:t>
      </w:r>
      <w:r>
        <w:t>PGS</w:t>
      </w:r>
      <w:r w:rsidRPr="00C74942">
        <w:t xml:space="preserve"> MNE-KOS 2018 ističe u decembru 2025. godine.</w:t>
      </w:r>
    </w:p>
    <w:bookmarkEnd w:id="229"/>
    <w:p w14:paraId="476480B2" w14:textId="77777777" w:rsidR="00091B36" w:rsidRDefault="00091B36" w:rsidP="00091B36">
      <w:pPr>
        <w:pStyle w:val="Caption"/>
      </w:pPr>
      <w:r>
        <w:lastRenderedPageBreak/>
        <w:t xml:space="preserve">Grafikon </w:t>
      </w:r>
      <w:fldSimple w:instr=" SEQ Grafikon \* ARABIC ">
        <w:r>
          <w:rPr>
            <w:noProof/>
          </w:rPr>
          <w:t>8</w:t>
        </w:r>
      </w:fldSimple>
      <w:r>
        <w:t>: Finansijski pregled PGS MNE-KOS 2014-2020</w:t>
      </w:r>
    </w:p>
    <w:p w14:paraId="75A9FAF6" w14:textId="77777777" w:rsidR="00091B36" w:rsidRPr="00FC0E29" w:rsidRDefault="00091B36" w:rsidP="00091B36">
      <w:pPr>
        <w:tabs>
          <w:tab w:val="left" w:pos="284"/>
        </w:tabs>
        <w:spacing w:after="0"/>
        <w:rPr>
          <w:rFonts w:cs="Arial"/>
          <w:szCs w:val="20"/>
        </w:rPr>
      </w:pPr>
      <w:r w:rsidRPr="00FC0E29">
        <w:rPr>
          <w:rFonts w:ascii="Garamond" w:hAnsi="Garamond"/>
          <w:noProof/>
          <w:color w:val="000000"/>
        </w:rPr>
        <w:drawing>
          <wp:inline distT="0" distB="0" distL="0" distR="0" wp14:anchorId="2D2EC0C2" wp14:editId="75A5AF4F">
            <wp:extent cx="5486400" cy="3200400"/>
            <wp:effectExtent l="0" t="0" r="0" b="0"/>
            <wp:docPr id="98529197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0DA874" w14:textId="77777777" w:rsidR="00091B36" w:rsidRPr="00FC0E29" w:rsidRDefault="00091B36" w:rsidP="00091B36">
      <w:pPr>
        <w:tabs>
          <w:tab w:val="left" w:pos="284"/>
        </w:tabs>
        <w:spacing w:after="0"/>
        <w:rPr>
          <w:rFonts w:cs="Arial"/>
          <w:szCs w:val="20"/>
        </w:rPr>
      </w:pPr>
    </w:p>
    <w:p w14:paraId="480431FF" w14:textId="77777777" w:rsidR="00091B36" w:rsidRDefault="00091B36" w:rsidP="00091B36">
      <w:pPr>
        <w:spacing w:before="120"/>
        <w:rPr>
          <w:rFonts w:cs="Arial"/>
          <w:color w:val="000000" w:themeColor="text1"/>
          <w:szCs w:val="20"/>
        </w:rPr>
      </w:pPr>
      <w:r w:rsidRPr="004B13B9">
        <w:rPr>
          <w:rFonts w:cs="Arial"/>
          <w:color w:val="000000" w:themeColor="text1"/>
          <w:szCs w:val="20"/>
        </w:rPr>
        <w:t>U okviru IPA II finansijske perspektive, ob</w:t>
      </w:r>
      <w:r>
        <w:rPr>
          <w:rFonts w:cs="Arial"/>
          <w:color w:val="000000" w:themeColor="text1"/>
          <w:szCs w:val="20"/>
        </w:rPr>
        <w:t>a</w:t>
      </w:r>
      <w:r w:rsidRPr="004B13B9">
        <w:rPr>
          <w:rFonts w:cs="Arial"/>
          <w:color w:val="000000" w:themeColor="text1"/>
          <w:szCs w:val="20"/>
        </w:rPr>
        <w:t xml:space="preserve"> ugovorn</w:t>
      </w:r>
      <w:r>
        <w:rPr>
          <w:rFonts w:cs="Arial"/>
          <w:color w:val="000000" w:themeColor="text1"/>
          <w:szCs w:val="20"/>
        </w:rPr>
        <w:t>a</w:t>
      </w:r>
      <w:r w:rsidRPr="004B13B9">
        <w:rPr>
          <w:rFonts w:cs="Arial"/>
          <w:color w:val="000000" w:themeColor="text1"/>
          <w:szCs w:val="20"/>
        </w:rPr>
        <w:t xml:space="preserve"> </w:t>
      </w:r>
      <w:r>
        <w:rPr>
          <w:rFonts w:cs="Arial"/>
          <w:color w:val="000000" w:themeColor="text1"/>
          <w:szCs w:val="20"/>
        </w:rPr>
        <w:t>tijela</w:t>
      </w:r>
      <w:r w:rsidRPr="004B13B9">
        <w:rPr>
          <w:rFonts w:cs="Arial"/>
          <w:color w:val="000000" w:themeColor="text1"/>
          <w:szCs w:val="20"/>
        </w:rPr>
        <w:t xml:space="preserve"> (CFCU i Uprava za kapitalne projekte - </w:t>
      </w:r>
      <w:r w:rsidRPr="00C37EEC">
        <w:rPr>
          <w:rFonts w:cs="Arial"/>
          <w:color w:val="000000" w:themeColor="text1"/>
          <w:szCs w:val="20"/>
        </w:rPr>
        <w:t>UKP</w:t>
      </w:r>
      <w:r w:rsidRPr="004B13B9">
        <w:rPr>
          <w:rFonts w:cs="Arial"/>
          <w:color w:val="000000" w:themeColor="text1"/>
          <w:szCs w:val="20"/>
        </w:rPr>
        <w:t>) implementiral</w:t>
      </w:r>
      <w:r>
        <w:rPr>
          <w:rFonts w:cs="Arial"/>
          <w:color w:val="000000" w:themeColor="text1"/>
          <w:szCs w:val="20"/>
        </w:rPr>
        <w:t>i</w:t>
      </w:r>
      <w:r w:rsidRPr="004B13B9">
        <w:rPr>
          <w:rFonts w:cs="Arial"/>
          <w:color w:val="000000" w:themeColor="text1"/>
          <w:szCs w:val="20"/>
        </w:rPr>
        <w:t xml:space="preserve"> su ugovore o dodjeli grantova, iako CFCU ima više iskustva u tom pogledu s obzirom na broj grant programa/ugovora za koje je odgovoran.</w:t>
      </w:r>
    </w:p>
    <w:p w14:paraId="63FEE4E4" w14:textId="0B330663" w:rsidR="00091B36" w:rsidRPr="00FC0E29" w:rsidRDefault="00091B36" w:rsidP="00DC3A9D">
      <w:pPr>
        <w:pStyle w:val="Heading2"/>
        <w:numPr>
          <w:ilvl w:val="0"/>
          <w:numId w:val="0"/>
        </w:numPr>
        <w:ind w:left="576" w:hanging="576"/>
      </w:pPr>
      <w:r>
        <w:t>Prosječno vrijeme potrebno za dodjelu grant šema/ugovora</w:t>
      </w:r>
    </w:p>
    <w:p w14:paraId="449FF630" w14:textId="77777777" w:rsidR="00091B36" w:rsidRPr="004B13B9" w:rsidRDefault="00091B36" w:rsidP="00091B36">
      <w:r w:rsidRPr="004B13B9">
        <w:t>U okviru finansijske perspektive IPA II, CFCU je implementirao grant</w:t>
      </w:r>
      <w:r>
        <w:t xml:space="preserve"> šeme</w:t>
      </w:r>
      <w:r w:rsidRPr="004B13B9">
        <w:t>/ugovore o grantovima u okviru Godišnjeg akcionog programa 2020 (CAP 2020), Višegodišnjih operativnih programa za zapošljavanje, obrazovanje i socijalnu politiku (SOPEES 2015-2017), Programa prekogranične saradnje Crna Gora-Albanija i Programa prekogranične saradnje Crna Gora-Kosovo. Prosječno vrijeme</w:t>
      </w:r>
      <w:r>
        <w:t xml:space="preserve"> potrebno</w:t>
      </w:r>
      <w:r w:rsidRPr="004B13B9">
        <w:t xml:space="preserve"> za dodjelu ugovora o grantovima od strane CFCU-a bilo je 27 dana.</w:t>
      </w:r>
    </w:p>
    <w:p w14:paraId="47B476D7" w14:textId="77777777" w:rsidR="00091B36" w:rsidRDefault="00091B36" w:rsidP="00091B36">
      <w:r w:rsidRPr="004B13B9">
        <w:t>Uprava za kapitalne projekte (</w:t>
      </w:r>
      <w:r w:rsidRPr="00C37EEC">
        <w:t>UKP</w:t>
      </w:r>
      <w:r w:rsidRPr="004B13B9">
        <w:t xml:space="preserve">), s druge strane, implementirala je samo jedan grant program i ukupno 10 ugovora o grantovima. Smjernice za aplikante odobrene su ex-ante od strane </w:t>
      </w:r>
      <w:r>
        <w:t>Delegacije EU</w:t>
      </w:r>
      <w:r w:rsidRPr="004B13B9">
        <w:t xml:space="preserve"> 10.02.2020, Izvještaj o </w:t>
      </w:r>
      <w:r>
        <w:t>sažetku projekta</w:t>
      </w:r>
      <w:r w:rsidRPr="004B13B9">
        <w:t xml:space="preserve"> odobren je od strane </w:t>
      </w:r>
      <w:r>
        <w:t>Delegacije EU</w:t>
      </w:r>
      <w:r w:rsidRPr="004B13B9">
        <w:t xml:space="preserve"> 04.09.2020, dok su svi</w:t>
      </w:r>
      <w:r>
        <w:t>h</w:t>
      </w:r>
      <w:r w:rsidRPr="004B13B9">
        <w:t xml:space="preserve"> </w:t>
      </w:r>
      <w:r>
        <w:t>10</w:t>
      </w:r>
      <w:r w:rsidRPr="004B13B9">
        <w:t xml:space="preserve"> </w:t>
      </w:r>
      <w:r>
        <w:t xml:space="preserve">ugovora </w:t>
      </w:r>
      <w:r w:rsidRPr="004B13B9">
        <w:t>potpisani 21.12.2020.</w:t>
      </w:r>
    </w:p>
    <w:p w14:paraId="713FE30E" w14:textId="5204682C" w:rsidR="00091B36" w:rsidRPr="00FC0E29" w:rsidRDefault="00091B36" w:rsidP="00DC3A9D">
      <w:pPr>
        <w:pStyle w:val="Heading3"/>
        <w:numPr>
          <w:ilvl w:val="0"/>
          <w:numId w:val="0"/>
        </w:numPr>
        <w:ind w:left="720" w:hanging="720"/>
      </w:pPr>
      <w:r>
        <w:t>Provjere na licu mjesta</w:t>
      </w:r>
      <w:r w:rsidRPr="00FC0E29">
        <w:t xml:space="preserve"> (OTSC)</w:t>
      </w:r>
      <w:r>
        <w:t xml:space="preserve"> za grant ugovore</w:t>
      </w:r>
    </w:p>
    <w:p w14:paraId="3AF67ED5" w14:textId="77777777" w:rsidR="00091B36" w:rsidRPr="004B13B9" w:rsidRDefault="00091B36" w:rsidP="00091B36">
      <w:r w:rsidRPr="004B13B9">
        <w:t xml:space="preserve">U 2024. godini, CFCU je izvršio 50 OTSC-a od ukupno 59 planiranih OTSC-a, što predstavlja 85% od ukupno planiranih OTSC-a.  </w:t>
      </w:r>
    </w:p>
    <w:p w14:paraId="1D6C76D7" w14:textId="77777777" w:rsidR="00091B36" w:rsidRDefault="00091B36" w:rsidP="00091B36">
      <w:r w:rsidRPr="004B13B9">
        <w:t>Uprava za kapitalne projekte (</w:t>
      </w:r>
      <w:r w:rsidRPr="00C37EEC">
        <w:t>UKP</w:t>
      </w:r>
      <w:r w:rsidRPr="004B13B9">
        <w:t>) izvršila je 10 kontrola na terenu tokom 2023. godine, što predstavlja 100% od ukupno planiranih OTSC-a, sa ciljem izvršenja finalnih plaćanja na osnovu ugovora o grantovima. Tokom 2024. godine, nijedan OTSC nije bio planiran ni izvršen, imajući u vidu da su svi ugovori o grantovima završeni u 2023. godini.</w:t>
      </w:r>
    </w:p>
    <w:p w14:paraId="6517D831" w14:textId="77777777" w:rsidR="00091B36" w:rsidRPr="00FC0E29" w:rsidRDefault="00091B36" w:rsidP="00DC3A9D">
      <w:pPr>
        <w:pStyle w:val="Heading2"/>
        <w:numPr>
          <w:ilvl w:val="0"/>
          <w:numId w:val="0"/>
        </w:numPr>
        <w:ind w:left="576" w:hanging="576"/>
      </w:pPr>
      <w:r w:rsidRPr="00FC0E29">
        <w:t xml:space="preserve">II.4. </w:t>
      </w:r>
      <w:r>
        <w:t>Nepravilnosti i povraćaji</w:t>
      </w:r>
    </w:p>
    <w:p w14:paraId="5ECDB195" w14:textId="77777777" w:rsidR="00091B36" w:rsidRPr="004B13B9" w:rsidRDefault="00091B36" w:rsidP="00091B36">
      <w:r w:rsidRPr="004B13B9">
        <w:t>Nepravilnosti se prijavljuju Komisiji putem interneta</w:t>
      </w:r>
      <w:r>
        <w:t>,</w:t>
      </w:r>
      <w:r w:rsidRPr="004B13B9">
        <w:t xml:space="preserve"> od strane ovlašćenih crnogorskih struktura</w:t>
      </w:r>
      <w:r>
        <w:t>,</w:t>
      </w:r>
      <w:r w:rsidRPr="004B13B9">
        <w:t xml:space="preserve"> putem </w:t>
      </w:r>
      <w:r w:rsidRPr="00E02A8B">
        <w:rPr>
          <w:b/>
        </w:rPr>
        <w:t>Sistema za upravljanje nepravilnostima (IMS) kojim upravlja OLAF</w:t>
      </w:r>
      <w:r w:rsidRPr="004B13B9">
        <w:t xml:space="preserve">. Svi otvoreni slučajevi redovno se ažuriraju kada se pojave nove informacije i činjenice.  </w:t>
      </w:r>
    </w:p>
    <w:p w14:paraId="14227C8B" w14:textId="77777777" w:rsidR="00091B36" w:rsidRPr="004B13B9" w:rsidRDefault="00091B36" w:rsidP="00091B36">
      <w:pPr>
        <w:pStyle w:val="CommentText"/>
        <w:rPr>
          <w:rFonts w:cs="Arial"/>
          <w:color w:val="000000" w:themeColor="text1"/>
        </w:rPr>
      </w:pPr>
      <w:r w:rsidRPr="004B13B9">
        <w:rPr>
          <w:rFonts w:cs="Arial"/>
          <w:color w:val="000000" w:themeColor="text1"/>
        </w:rPr>
        <w:lastRenderedPageBreak/>
        <w:t>Podaci za svaki program predstavljeni su u okviru sistema izv</w:t>
      </w:r>
      <w:r>
        <w:rPr>
          <w:rFonts w:cs="Arial"/>
          <w:color w:val="000000" w:themeColor="text1"/>
        </w:rPr>
        <w:t>j</w:t>
      </w:r>
      <w:r w:rsidRPr="004B13B9">
        <w:rPr>
          <w:rFonts w:cs="Arial"/>
          <w:color w:val="000000" w:themeColor="text1"/>
        </w:rPr>
        <w:t xml:space="preserve">eštavanja o Ključnim indikatorima </w:t>
      </w:r>
      <w:r>
        <w:rPr>
          <w:rFonts w:cs="Arial"/>
          <w:color w:val="000000" w:themeColor="text1"/>
        </w:rPr>
        <w:t xml:space="preserve">učinka </w:t>
      </w:r>
      <w:r w:rsidRPr="004B13B9">
        <w:rPr>
          <w:rFonts w:cs="Arial"/>
          <w:color w:val="000000" w:themeColor="text1"/>
        </w:rPr>
        <w:t xml:space="preserve">(vidi odeljak III ovog dokumenta).  </w:t>
      </w:r>
    </w:p>
    <w:p w14:paraId="0A10AB0E" w14:textId="77777777" w:rsidR="00091B36" w:rsidRDefault="00091B36" w:rsidP="00091B36">
      <w:pPr>
        <w:pStyle w:val="CommentText"/>
        <w:rPr>
          <w:rFonts w:cs="Arial"/>
          <w:color w:val="000000" w:themeColor="text1"/>
        </w:rPr>
      </w:pPr>
      <w:r w:rsidRPr="004B13B9">
        <w:rPr>
          <w:rFonts w:cs="Arial"/>
          <w:color w:val="000000" w:themeColor="text1"/>
        </w:rPr>
        <w:t xml:space="preserve">Statistički podaci o nepravilnostima u okviru IPA II perspektive 2014-2020 (programi kojima se upravlja indirektno, akcioni i </w:t>
      </w:r>
      <w:r>
        <w:rPr>
          <w:rFonts w:cs="Arial"/>
          <w:color w:val="000000" w:themeColor="text1"/>
        </w:rPr>
        <w:t>PGS</w:t>
      </w:r>
      <w:r w:rsidRPr="004B13B9">
        <w:rPr>
          <w:rFonts w:cs="Arial"/>
          <w:color w:val="000000" w:themeColor="text1"/>
        </w:rPr>
        <w:t xml:space="preserve"> programi – IPARD nije uključen) za kalendarsku 2024. godinu su sljedeći:  </w:t>
      </w:r>
    </w:p>
    <w:p w14:paraId="3C7EE14C" w14:textId="77777777" w:rsidR="00091B36" w:rsidRPr="0035145C" w:rsidRDefault="00091B36" w:rsidP="00091B36">
      <w:pPr>
        <w:spacing w:before="120"/>
        <w:rPr>
          <w:rFonts w:cs="Arial"/>
          <w:color w:val="000000" w:themeColor="text1"/>
          <w:szCs w:val="20"/>
        </w:rPr>
      </w:pPr>
    </w:p>
    <w:p w14:paraId="6A95F6B3" w14:textId="77777777" w:rsidR="00091B36" w:rsidRPr="0035145C" w:rsidRDefault="00091B36" w:rsidP="00091B36">
      <w:pPr>
        <w:spacing w:before="120"/>
        <w:rPr>
          <w:rFonts w:cs="Arial"/>
          <w:b/>
          <w:bCs/>
          <w:color w:val="000000" w:themeColor="text1"/>
          <w:szCs w:val="20"/>
        </w:rPr>
      </w:pPr>
      <w:bookmarkStart w:id="230" w:name="_Hlk193089179"/>
      <w:r w:rsidRPr="001F0C0C">
        <w:rPr>
          <w:rFonts w:cs="Arial"/>
          <w:b/>
          <w:bCs/>
          <w:color w:val="000000" w:themeColor="text1"/>
          <w:szCs w:val="20"/>
        </w:rPr>
        <w:t>Tabela</w:t>
      </w:r>
      <w:r w:rsidRPr="0035145C">
        <w:rPr>
          <w:rFonts w:cs="Arial"/>
          <w:b/>
          <w:bCs/>
          <w:color w:val="000000" w:themeColor="text1"/>
          <w:szCs w:val="20"/>
        </w:rPr>
        <w:t xml:space="preserve"> 5: </w:t>
      </w:r>
      <w:r>
        <w:rPr>
          <w:rFonts w:cs="Arial"/>
          <w:b/>
          <w:bCs/>
          <w:color w:val="000000" w:themeColor="text1"/>
          <w:szCs w:val="20"/>
        </w:rPr>
        <w:t>Broj i vrijednost nepravilnosti u okviru</w:t>
      </w:r>
      <w:r w:rsidRPr="0035145C">
        <w:rPr>
          <w:rFonts w:cs="Arial"/>
          <w:b/>
          <w:bCs/>
          <w:color w:val="000000" w:themeColor="text1"/>
          <w:szCs w:val="20"/>
        </w:rPr>
        <w:t xml:space="preserve"> IPA II program</w:t>
      </w:r>
      <w:r>
        <w:rPr>
          <w:rFonts w:cs="Arial"/>
          <w:b/>
          <w:bCs/>
          <w:color w:val="000000" w:themeColor="text1"/>
          <w:szCs w:val="20"/>
        </w:rPr>
        <w:t>a</w:t>
      </w:r>
      <w:r w:rsidRPr="0035145C">
        <w:rPr>
          <w:rFonts w:cs="Arial"/>
          <w:b/>
          <w:bCs/>
          <w:color w:val="000000" w:themeColor="text1"/>
          <w:szCs w:val="20"/>
        </w:rPr>
        <w:t xml:space="preserve"> </w:t>
      </w:r>
      <w:r>
        <w:rPr>
          <w:rFonts w:cs="Arial"/>
          <w:b/>
          <w:bCs/>
          <w:color w:val="000000" w:themeColor="text1"/>
          <w:szCs w:val="20"/>
        </w:rPr>
        <w:t>tokom</w:t>
      </w:r>
      <w:r w:rsidRPr="0035145C">
        <w:rPr>
          <w:rFonts w:cs="Arial"/>
          <w:b/>
          <w:bCs/>
          <w:color w:val="000000" w:themeColor="text1"/>
          <w:szCs w:val="20"/>
        </w:rPr>
        <w:t xml:space="preserve"> 2024</w:t>
      </w:r>
    </w:p>
    <w:tbl>
      <w:tblPr>
        <w:tblStyle w:val="TableGrid"/>
        <w:tblW w:w="0" w:type="auto"/>
        <w:tblLook w:val="04A0" w:firstRow="1" w:lastRow="0" w:firstColumn="1" w:lastColumn="0" w:noHBand="0" w:noVBand="1"/>
      </w:tblPr>
      <w:tblGrid>
        <w:gridCol w:w="2065"/>
        <w:gridCol w:w="1800"/>
        <w:gridCol w:w="2097"/>
        <w:gridCol w:w="1532"/>
        <w:gridCol w:w="1856"/>
      </w:tblGrid>
      <w:tr w:rsidR="00091B36" w:rsidRPr="0035145C" w14:paraId="27A765C2" w14:textId="77777777" w:rsidTr="00936D1D">
        <w:trPr>
          <w:tblHeader/>
        </w:trPr>
        <w:tc>
          <w:tcPr>
            <w:tcW w:w="2065" w:type="dxa"/>
            <w:vAlign w:val="center"/>
          </w:tcPr>
          <w:p w14:paraId="162625EB" w14:textId="77777777" w:rsidR="00091B36" w:rsidRPr="0035145C" w:rsidRDefault="00091B36" w:rsidP="00936D1D">
            <w:pPr>
              <w:spacing w:after="0"/>
              <w:contextualSpacing/>
              <w:jc w:val="center"/>
              <w:rPr>
                <w:rFonts w:cs="Arial"/>
                <w:b/>
                <w:bCs/>
                <w:color w:val="000000" w:themeColor="text1"/>
                <w:szCs w:val="20"/>
              </w:rPr>
            </w:pPr>
            <w:bookmarkStart w:id="231" w:name="_Hlk193279744"/>
            <w:bookmarkEnd w:id="230"/>
            <w:r w:rsidRPr="00C06A42">
              <w:rPr>
                <w:rFonts w:cs="Arial"/>
                <w:b/>
                <w:bCs/>
                <w:color w:val="000000" w:themeColor="text1"/>
                <w:szCs w:val="20"/>
              </w:rPr>
              <w:t>Program</w:t>
            </w:r>
          </w:p>
        </w:tc>
        <w:tc>
          <w:tcPr>
            <w:tcW w:w="1800" w:type="dxa"/>
            <w:vAlign w:val="center"/>
          </w:tcPr>
          <w:p w14:paraId="508969A2"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Br. nepravilnosti sa finansijskim uticajem</w:t>
            </w:r>
          </w:p>
        </w:tc>
        <w:tc>
          <w:tcPr>
            <w:tcW w:w="2097" w:type="dxa"/>
            <w:vAlign w:val="center"/>
          </w:tcPr>
          <w:p w14:paraId="42A64DB5"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Br. nepravilnosti bez finansijskog uticaja</w:t>
            </w:r>
          </w:p>
        </w:tc>
        <w:tc>
          <w:tcPr>
            <w:tcW w:w="0" w:type="auto"/>
            <w:vAlign w:val="center"/>
          </w:tcPr>
          <w:p w14:paraId="00FFFB24"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Ukupan br. nepravilnosti</w:t>
            </w:r>
          </w:p>
        </w:tc>
        <w:tc>
          <w:tcPr>
            <w:tcW w:w="0" w:type="auto"/>
            <w:vAlign w:val="center"/>
          </w:tcPr>
          <w:p w14:paraId="77523425"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Ukupna vrijednost nepravilnosti sa finansijskim uticajem, EUR, EU doprinosi</w:t>
            </w:r>
          </w:p>
        </w:tc>
      </w:tr>
      <w:tr w:rsidR="00091B36" w:rsidRPr="0035145C" w14:paraId="71D36D77" w14:textId="77777777" w:rsidTr="00936D1D">
        <w:trPr>
          <w:trHeight w:val="50"/>
        </w:trPr>
        <w:tc>
          <w:tcPr>
            <w:tcW w:w="2065" w:type="dxa"/>
            <w:vAlign w:val="center"/>
          </w:tcPr>
          <w:p w14:paraId="5BF77B4C" w14:textId="77777777" w:rsidR="00091B36" w:rsidRPr="0035145C" w:rsidRDefault="00091B36" w:rsidP="00936D1D">
            <w:pPr>
              <w:spacing w:after="0"/>
              <w:contextualSpacing/>
              <w:rPr>
                <w:rFonts w:cs="Arial"/>
                <w:b/>
                <w:bCs/>
                <w:color w:val="000000" w:themeColor="text1"/>
                <w:szCs w:val="20"/>
              </w:rPr>
            </w:pPr>
            <w:r w:rsidRPr="0035145C">
              <w:rPr>
                <w:rFonts w:cs="Arial"/>
                <w:b/>
                <w:bCs/>
                <w:color w:val="000000" w:themeColor="text1"/>
                <w:szCs w:val="20"/>
              </w:rPr>
              <w:t>SOPEES 2015-2017: CFCU</w:t>
            </w:r>
          </w:p>
        </w:tc>
        <w:tc>
          <w:tcPr>
            <w:tcW w:w="1800" w:type="dxa"/>
            <w:vAlign w:val="center"/>
          </w:tcPr>
          <w:p w14:paraId="4041F8D0"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2097" w:type="dxa"/>
            <w:vAlign w:val="center"/>
          </w:tcPr>
          <w:p w14:paraId="3DF3141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0" w:type="auto"/>
            <w:vAlign w:val="center"/>
          </w:tcPr>
          <w:p w14:paraId="31575A21"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0" w:type="auto"/>
            <w:vAlign w:val="center"/>
          </w:tcPr>
          <w:p w14:paraId="7F29634D"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89.203,76</w:t>
            </w:r>
          </w:p>
        </w:tc>
      </w:tr>
      <w:tr w:rsidR="00091B36" w:rsidRPr="0035145C" w14:paraId="5A38AF1E" w14:textId="77777777" w:rsidTr="00936D1D">
        <w:tc>
          <w:tcPr>
            <w:tcW w:w="2065" w:type="dxa"/>
            <w:vAlign w:val="center"/>
          </w:tcPr>
          <w:p w14:paraId="571B6F08" w14:textId="77777777" w:rsidR="00091B36" w:rsidRPr="0035145C" w:rsidRDefault="00091B36" w:rsidP="00936D1D">
            <w:pPr>
              <w:spacing w:after="0"/>
              <w:contextualSpacing/>
              <w:rPr>
                <w:rFonts w:cs="Arial"/>
                <w:b/>
                <w:bCs/>
                <w:color w:val="000000" w:themeColor="text1"/>
                <w:szCs w:val="20"/>
              </w:rPr>
            </w:pPr>
            <w:r>
              <w:rPr>
                <w:rFonts w:cs="Arial"/>
                <w:b/>
                <w:bCs/>
                <w:color w:val="000000" w:themeColor="text1"/>
                <w:szCs w:val="20"/>
              </w:rPr>
              <w:t>PGS</w:t>
            </w:r>
            <w:r w:rsidRPr="0035145C">
              <w:rPr>
                <w:rFonts w:cs="Arial"/>
                <w:b/>
                <w:bCs/>
                <w:color w:val="000000" w:themeColor="text1"/>
                <w:szCs w:val="20"/>
              </w:rPr>
              <w:t xml:space="preserve"> MNE-AL</w:t>
            </w:r>
          </w:p>
          <w:p w14:paraId="527F6909" w14:textId="77777777" w:rsidR="00091B36" w:rsidRPr="0035145C" w:rsidRDefault="00091B36" w:rsidP="00936D1D">
            <w:pPr>
              <w:spacing w:after="0"/>
              <w:contextualSpacing/>
              <w:rPr>
                <w:rFonts w:cs="Arial"/>
                <w:b/>
                <w:bCs/>
                <w:color w:val="000000" w:themeColor="text1"/>
                <w:szCs w:val="20"/>
              </w:rPr>
            </w:pPr>
            <w:r w:rsidRPr="0035145C">
              <w:rPr>
                <w:rFonts w:cs="Arial"/>
                <w:b/>
                <w:bCs/>
                <w:color w:val="000000" w:themeColor="text1"/>
                <w:szCs w:val="20"/>
              </w:rPr>
              <w:t>2014-2020: CFCU</w:t>
            </w:r>
          </w:p>
        </w:tc>
        <w:tc>
          <w:tcPr>
            <w:tcW w:w="1800" w:type="dxa"/>
            <w:vAlign w:val="center"/>
          </w:tcPr>
          <w:p w14:paraId="7CED6405"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2097" w:type="dxa"/>
            <w:vAlign w:val="center"/>
          </w:tcPr>
          <w:p w14:paraId="3A230748"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0" w:type="auto"/>
            <w:vAlign w:val="center"/>
          </w:tcPr>
          <w:p w14:paraId="6CDB2B8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2</w:t>
            </w:r>
          </w:p>
        </w:tc>
        <w:tc>
          <w:tcPr>
            <w:tcW w:w="0" w:type="auto"/>
            <w:vAlign w:val="center"/>
          </w:tcPr>
          <w:p w14:paraId="2F228442" w14:textId="77777777" w:rsidR="00091B36" w:rsidRPr="0035145C" w:rsidRDefault="00091B36" w:rsidP="00936D1D">
            <w:pPr>
              <w:spacing w:after="0"/>
              <w:contextualSpacing/>
              <w:jc w:val="center"/>
              <w:rPr>
                <w:rFonts w:cs="Arial"/>
                <w:color w:val="000000" w:themeColor="text1"/>
                <w:szCs w:val="20"/>
              </w:rPr>
            </w:pPr>
            <w:r w:rsidRPr="0035145C">
              <w:rPr>
                <w:rFonts w:cs="Arial"/>
                <w:bCs/>
                <w:color w:val="000000" w:themeColor="text1"/>
                <w:szCs w:val="20"/>
              </w:rPr>
              <w:t>88,08</w:t>
            </w:r>
          </w:p>
        </w:tc>
      </w:tr>
      <w:tr w:rsidR="00091B36" w:rsidRPr="0035145C" w14:paraId="12C1F152" w14:textId="77777777" w:rsidTr="00936D1D">
        <w:tc>
          <w:tcPr>
            <w:tcW w:w="2065" w:type="dxa"/>
            <w:vAlign w:val="center"/>
          </w:tcPr>
          <w:p w14:paraId="4BA2F541" w14:textId="77777777" w:rsidR="00091B36" w:rsidRPr="0035145C" w:rsidRDefault="00091B36" w:rsidP="00936D1D">
            <w:pPr>
              <w:spacing w:after="0"/>
              <w:contextualSpacing/>
              <w:rPr>
                <w:rFonts w:cs="Arial"/>
                <w:b/>
                <w:bCs/>
                <w:color w:val="000000" w:themeColor="text1"/>
                <w:szCs w:val="20"/>
              </w:rPr>
            </w:pPr>
            <w:r>
              <w:rPr>
                <w:rFonts w:cs="Arial"/>
                <w:b/>
                <w:bCs/>
                <w:color w:val="000000" w:themeColor="text1"/>
                <w:szCs w:val="20"/>
              </w:rPr>
              <w:t>PGS</w:t>
            </w:r>
            <w:r w:rsidRPr="0035145C">
              <w:rPr>
                <w:rFonts w:cs="Arial"/>
                <w:b/>
                <w:bCs/>
                <w:color w:val="000000" w:themeColor="text1"/>
                <w:szCs w:val="20"/>
              </w:rPr>
              <w:t xml:space="preserve"> MNE-KOS </w:t>
            </w:r>
          </w:p>
          <w:p w14:paraId="45A792E8" w14:textId="77777777" w:rsidR="00091B36" w:rsidRPr="0035145C" w:rsidRDefault="00091B36" w:rsidP="00936D1D">
            <w:pPr>
              <w:spacing w:after="0"/>
              <w:contextualSpacing/>
              <w:rPr>
                <w:rFonts w:cs="Arial"/>
                <w:b/>
                <w:bCs/>
                <w:color w:val="000000" w:themeColor="text1"/>
                <w:szCs w:val="20"/>
              </w:rPr>
            </w:pPr>
            <w:r w:rsidRPr="0035145C">
              <w:rPr>
                <w:rFonts w:cs="Arial"/>
                <w:b/>
                <w:bCs/>
                <w:color w:val="000000" w:themeColor="text1"/>
                <w:szCs w:val="20"/>
              </w:rPr>
              <w:t>2014-2020: CFCU</w:t>
            </w:r>
          </w:p>
        </w:tc>
        <w:tc>
          <w:tcPr>
            <w:tcW w:w="1800" w:type="dxa"/>
            <w:vAlign w:val="center"/>
          </w:tcPr>
          <w:p w14:paraId="48BBB562"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2097" w:type="dxa"/>
            <w:vAlign w:val="center"/>
          </w:tcPr>
          <w:p w14:paraId="642A480A"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0" w:type="auto"/>
            <w:vAlign w:val="center"/>
          </w:tcPr>
          <w:p w14:paraId="451AA6D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0" w:type="auto"/>
            <w:vAlign w:val="center"/>
          </w:tcPr>
          <w:p w14:paraId="2A803019" w14:textId="77777777" w:rsidR="00091B36" w:rsidRPr="0035145C" w:rsidRDefault="00091B36" w:rsidP="00936D1D">
            <w:pPr>
              <w:spacing w:after="0"/>
              <w:contextualSpacing/>
              <w:jc w:val="center"/>
              <w:rPr>
                <w:rFonts w:cs="Arial"/>
                <w:color w:val="000000" w:themeColor="text1"/>
                <w:szCs w:val="20"/>
              </w:rPr>
            </w:pPr>
            <w:r w:rsidRPr="0035145C">
              <w:rPr>
                <w:rFonts w:cs="Arial"/>
                <w:bCs/>
                <w:color w:val="000000" w:themeColor="text1"/>
                <w:szCs w:val="20"/>
              </w:rPr>
              <w:t>4.629,40</w:t>
            </w:r>
          </w:p>
        </w:tc>
      </w:tr>
      <w:tr w:rsidR="00091B36" w:rsidRPr="0035145C" w14:paraId="681936A3" w14:textId="77777777" w:rsidTr="00936D1D">
        <w:trPr>
          <w:trHeight w:val="80"/>
        </w:trPr>
        <w:tc>
          <w:tcPr>
            <w:tcW w:w="2065" w:type="dxa"/>
            <w:vAlign w:val="center"/>
          </w:tcPr>
          <w:p w14:paraId="3553A025" w14:textId="77777777" w:rsidR="00091B36" w:rsidRPr="0035145C" w:rsidRDefault="00091B36" w:rsidP="00936D1D">
            <w:pPr>
              <w:spacing w:after="0"/>
              <w:contextualSpacing/>
              <w:rPr>
                <w:rFonts w:cs="Arial"/>
                <w:b/>
                <w:bCs/>
                <w:color w:val="000000" w:themeColor="text1"/>
                <w:szCs w:val="20"/>
              </w:rPr>
            </w:pPr>
            <w:r w:rsidRPr="0035145C">
              <w:rPr>
                <w:rFonts w:cs="Arial"/>
                <w:b/>
                <w:bCs/>
                <w:color w:val="000000" w:themeColor="text1"/>
                <w:szCs w:val="20"/>
              </w:rPr>
              <w:t xml:space="preserve"> </w:t>
            </w:r>
            <w:r w:rsidRPr="00C06A42">
              <w:rPr>
                <w:rFonts w:cs="Arial"/>
                <w:b/>
                <w:bCs/>
                <w:color w:val="000000" w:themeColor="text1"/>
                <w:szCs w:val="20"/>
              </w:rPr>
              <w:t>Ukupno</w:t>
            </w:r>
          </w:p>
        </w:tc>
        <w:tc>
          <w:tcPr>
            <w:tcW w:w="1800" w:type="dxa"/>
            <w:vAlign w:val="center"/>
          </w:tcPr>
          <w:p w14:paraId="64337E9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3</w:t>
            </w:r>
          </w:p>
        </w:tc>
        <w:tc>
          <w:tcPr>
            <w:tcW w:w="2097" w:type="dxa"/>
            <w:vAlign w:val="center"/>
          </w:tcPr>
          <w:p w14:paraId="268D1857"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0" w:type="auto"/>
            <w:vAlign w:val="center"/>
          </w:tcPr>
          <w:p w14:paraId="0DEB8A24"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4</w:t>
            </w:r>
          </w:p>
        </w:tc>
        <w:tc>
          <w:tcPr>
            <w:tcW w:w="0" w:type="auto"/>
            <w:vAlign w:val="center"/>
          </w:tcPr>
          <w:p w14:paraId="201F33F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93.921,24</w:t>
            </w:r>
          </w:p>
        </w:tc>
      </w:tr>
    </w:tbl>
    <w:p w14:paraId="2A51F5FD" w14:textId="77777777" w:rsidR="00091B36" w:rsidRPr="004B13B9" w:rsidRDefault="00091B36" w:rsidP="00091B36">
      <w:pPr>
        <w:spacing w:before="120"/>
        <w:rPr>
          <w:rFonts w:cs="Arial"/>
          <w:color w:val="000000" w:themeColor="text1"/>
          <w:szCs w:val="20"/>
        </w:rPr>
      </w:pPr>
      <w:r w:rsidRPr="004B13B9">
        <w:rPr>
          <w:rFonts w:cs="Arial"/>
          <w:color w:val="000000" w:themeColor="text1"/>
          <w:szCs w:val="20"/>
        </w:rPr>
        <w:t xml:space="preserve">Treba uzeti u obzir da nisu svi IPA II </w:t>
      </w:r>
      <w:r w:rsidRPr="004130C4">
        <w:rPr>
          <w:rFonts w:cs="Arial"/>
          <w:color w:val="000000" w:themeColor="text1"/>
          <w:szCs w:val="20"/>
        </w:rPr>
        <w:t>IUDK</w:t>
      </w:r>
      <w:r w:rsidRPr="004B13B9">
        <w:rPr>
          <w:rFonts w:cs="Arial"/>
          <w:color w:val="000000" w:themeColor="text1"/>
          <w:szCs w:val="20"/>
        </w:rPr>
        <w:t xml:space="preserve"> ugovori još završeni.  </w:t>
      </w:r>
    </w:p>
    <w:p w14:paraId="2556BE88" w14:textId="77777777" w:rsidR="00091B36" w:rsidRDefault="00091B36" w:rsidP="00091B36">
      <w:pPr>
        <w:spacing w:before="120"/>
        <w:rPr>
          <w:rFonts w:cs="Arial"/>
          <w:color w:val="000000" w:themeColor="text1"/>
          <w:szCs w:val="20"/>
        </w:rPr>
      </w:pPr>
      <w:r w:rsidRPr="004B13B9">
        <w:rPr>
          <w:rFonts w:cs="Arial"/>
          <w:color w:val="000000" w:themeColor="text1"/>
          <w:szCs w:val="20"/>
        </w:rPr>
        <w:t>Statistički podaci o povra</w:t>
      </w:r>
      <w:r>
        <w:rPr>
          <w:rFonts w:cs="Arial"/>
          <w:color w:val="000000" w:themeColor="text1"/>
          <w:szCs w:val="20"/>
        </w:rPr>
        <w:t>ćaju sredstava</w:t>
      </w:r>
      <w:r w:rsidRPr="004B13B9">
        <w:rPr>
          <w:rFonts w:cs="Arial"/>
          <w:color w:val="000000" w:themeColor="text1"/>
          <w:szCs w:val="20"/>
        </w:rPr>
        <w:t xml:space="preserve"> (</w:t>
      </w:r>
      <w:r>
        <w:rPr>
          <w:rFonts w:cs="Arial"/>
          <w:color w:val="000000" w:themeColor="text1"/>
          <w:szCs w:val="20"/>
        </w:rPr>
        <w:t>u toku</w:t>
      </w:r>
      <w:r w:rsidRPr="004B13B9">
        <w:rPr>
          <w:rFonts w:cs="Arial"/>
          <w:color w:val="000000" w:themeColor="text1"/>
          <w:szCs w:val="20"/>
        </w:rPr>
        <w:t xml:space="preserve"> i završenim) u okviru IPA II perspektive 2014-2020 (programi kojima se upravlja indirektno, akcioni i </w:t>
      </w:r>
      <w:r>
        <w:rPr>
          <w:rFonts w:cs="Arial"/>
          <w:color w:val="000000" w:themeColor="text1"/>
          <w:szCs w:val="20"/>
        </w:rPr>
        <w:t>PGS</w:t>
      </w:r>
      <w:r w:rsidRPr="004B13B9">
        <w:rPr>
          <w:rFonts w:cs="Arial"/>
          <w:color w:val="000000" w:themeColor="text1"/>
          <w:szCs w:val="20"/>
        </w:rPr>
        <w:t xml:space="preserve"> programi – IPARD nije uključen) za cijeli IPA II period su sljedeći:</w:t>
      </w:r>
    </w:p>
    <w:bookmarkEnd w:id="231"/>
    <w:p w14:paraId="0BD83629" w14:textId="77777777" w:rsidR="00091B36" w:rsidRPr="0035145C" w:rsidRDefault="00091B36" w:rsidP="00091B36">
      <w:pPr>
        <w:spacing w:before="120"/>
        <w:rPr>
          <w:rFonts w:cs="Arial"/>
          <w:b/>
          <w:bCs/>
          <w:color w:val="000000" w:themeColor="text1"/>
          <w:szCs w:val="20"/>
        </w:rPr>
      </w:pPr>
      <w:r w:rsidRPr="001F0C0C">
        <w:rPr>
          <w:rFonts w:cs="Arial"/>
          <w:b/>
          <w:bCs/>
          <w:color w:val="000000" w:themeColor="text1"/>
          <w:szCs w:val="20"/>
        </w:rPr>
        <w:t>Tabela</w:t>
      </w:r>
      <w:r w:rsidRPr="0035145C">
        <w:rPr>
          <w:rFonts w:cs="Arial"/>
          <w:b/>
          <w:bCs/>
          <w:color w:val="000000" w:themeColor="text1"/>
          <w:szCs w:val="20"/>
        </w:rPr>
        <w:t xml:space="preserve"> 6: </w:t>
      </w:r>
      <w:r>
        <w:rPr>
          <w:rFonts w:cs="Arial"/>
          <w:b/>
          <w:bCs/>
          <w:color w:val="000000" w:themeColor="text1"/>
          <w:szCs w:val="20"/>
        </w:rPr>
        <w:t>Broj i vrijednost povraćaja u okviru IPA II programa</w:t>
      </w:r>
      <w:r w:rsidRPr="0035145C">
        <w:rPr>
          <w:rFonts w:cs="Arial"/>
          <w:b/>
          <w:bCs/>
          <w:color w:val="000000" w:themeColor="text1"/>
          <w:szCs w:val="20"/>
        </w:rPr>
        <w:t xml:space="preserve"> </w:t>
      </w:r>
    </w:p>
    <w:tbl>
      <w:tblPr>
        <w:tblStyle w:val="TableGrid"/>
        <w:tblW w:w="0" w:type="auto"/>
        <w:tblLook w:val="04A0" w:firstRow="1" w:lastRow="0" w:firstColumn="1" w:lastColumn="0" w:noHBand="0" w:noVBand="1"/>
      </w:tblPr>
      <w:tblGrid>
        <w:gridCol w:w="1575"/>
        <w:gridCol w:w="1342"/>
        <w:gridCol w:w="1217"/>
        <w:gridCol w:w="1407"/>
        <w:gridCol w:w="1301"/>
        <w:gridCol w:w="1291"/>
        <w:gridCol w:w="1217"/>
      </w:tblGrid>
      <w:tr w:rsidR="00091B36" w:rsidRPr="0035145C" w14:paraId="0F0CA9CC" w14:textId="77777777" w:rsidTr="00936D1D">
        <w:trPr>
          <w:tblHeader/>
        </w:trPr>
        <w:tc>
          <w:tcPr>
            <w:tcW w:w="1575" w:type="dxa"/>
            <w:vAlign w:val="center"/>
          </w:tcPr>
          <w:p w14:paraId="00A272B4" w14:textId="77777777" w:rsidR="00091B36" w:rsidRPr="0035145C" w:rsidRDefault="00091B36" w:rsidP="00936D1D">
            <w:pPr>
              <w:spacing w:after="0"/>
              <w:contextualSpacing/>
              <w:rPr>
                <w:rFonts w:cs="Arial"/>
                <w:b/>
                <w:bCs/>
                <w:color w:val="000000" w:themeColor="text1"/>
                <w:szCs w:val="20"/>
              </w:rPr>
            </w:pPr>
            <w:r w:rsidRPr="00C06A42">
              <w:rPr>
                <w:rFonts w:cs="Arial"/>
                <w:b/>
                <w:bCs/>
                <w:color w:val="000000" w:themeColor="text1"/>
                <w:szCs w:val="20"/>
              </w:rPr>
              <w:t>Program</w:t>
            </w:r>
          </w:p>
        </w:tc>
        <w:tc>
          <w:tcPr>
            <w:tcW w:w="1342" w:type="dxa"/>
            <w:vAlign w:val="center"/>
          </w:tcPr>
          <w:p w14:paraId="73171285"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Br. započetih povraćaja</w:t>
            </w:r>
          </w:p>
        </w:tc>
        <w:tc>
          <w:tcPr>
            <w:tcW w:w="1217" w:type="dxa"/>
            <w:vAlign w:val="center"/>
          </w:tcPr>
          <w:p w14:paraId="572E5BD2"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Iznosi započetih povraćaja</w:t>
            </w:r>
          </w:p>
        </w:tc>
        <w:tc>
          <w:tcPr>
            <w:tcW w:w="1407" w:type="dxa"/>
            <w:vAlign w:val="center"/>
          </w:tcPr>
          <w:p w14:paraId="28857510"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Br. izvršenih povraćaja</w:t>
            </w:r>
            <w:r w:rsidRPr="0035145C">
              <w:rPr>
                <w:rFonts w:cs="Arial"/>
                <w:b/>
                <w:bCs/>
                <w:color w:val="000000" w:themeColor="text1"/>
                <w:szCs w:val="20"/>
              </w:rPr>
              <w:t xml:space="preserve"> </w:t>
            </w:r>
          </w:p>
        </w:tc>
        <w:tc>
          <w:tcPr>
            <w:tcW w:w="1301" w:type="dxa"/>
            <w:vAlign w:val="center"/>
          </w:tcPr>
          <w:p w14:paraId="22E89E43"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Iznosi izvršenih povraćaja</w:t>
            </w:r>
            <w:r w:rsidRPr="0035145C">
              <w:rPr>
                <w:rFonts w:cs="Arial"/>
                <w:b/>
                <w:bCs/>
                <w:color w:val="000000" w:themeColor="text1"/>
                <w:szCs w:val="20"/>
              </w:rPr>
              <w:t xml:space="preserve"> </w:t>
            </w:r>
          </w:p>
        </w:tc>
        <w:tc>
          <w:tcPr>
            <w:tcW w:w="1291" w:type="dxa"/>
            <w:vAlign w:val="center"/>
          </w:tcPr>
          <w:p w14:paraId="510C33B3"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Br. povraćaja u toku</w:t>
            </w:r>
          </w:p>
        </w:tc>
        <w:tc>
          <w:tcPr>
            <w:tcW w:w="1217" w:type="dxa"/>
            <w:vAlign w:val="center"/>
          </w:tcPr>
          <w:p w14:paraId="5C283F2E" w14:textId="77777777" w:rsidR="00091B36" w:rsidRPr="0035145C" w:rsidRDefault="00091B36" w:rsidP="00936D1D">
            <w:pPr>
              <w:spacing w:after="0"/>
              <w:contextualSpacing/>
              <w:jc w:val="center"/>
              <w:rPr>
                <w:rFonts w:cs="Arial"/>
                <w:b/>
                <w:bCs/>
                <w:color w:val="000000" w:themeColor="text1"/>
                <w:szCs w:val="20"/>
              </w:rPr>
            </w:pPr>
            <w:r w:rsidRPr="00C06A42">
              <w:rPr>
                <w:rFonts w:cs="Arial"/>
                <w:b/>
                <w:bCs/>
                <w:color w:val="000000" w:themeColor="text1"/>
                <w:szCs w:val="20"/>
              </w:rPr>
              <w:t>Iznosi povraćaja u toku</w:t>
            </w:r>
          </w:p>
        </w:tc>
      </w:tr>
      <w:tr w:rsidR="00091B36" w:rsidRPr="0035145C" w14:paraId="0AA156C5" w14:textId="77777777" w:rsidTr="00936D1D">
        <w:trPr>
          <w:trHeight w:val="143"/>
        </w:trPr>
        <w:tc>
          <w:tcPr>
            <w:tcW w:w="1575" w:type="dxa"/>
            <w:vAlign w:val="center"/>
          </w:tcPr>
          <w:p w14:paraId="73DAA1AA"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CAP 2014: CFCU</w:t>
            </w:r>
          </w:p>
        </w:tc>
        <w:tc>
          <w:tcPr>
            <w:tcW w:w="1342" w:type="dxa"/>
            <w:vAlign w:val="center"/>
          </w:tcPr>
          <w:p w14:paraId="2578FD8E"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3</w:t>
            </w:r>
          </w:p>
        </w:tc>
        <w:tc>
          <w:tcPr>
            <w:tcW w:w="1217" w:type="dxa"/>
            <w:vAlign w:val="center"/>
          </w:tcPr>
          <w:p w14:paraId="2DA401B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488.586,85 (EU)</w:t>
            </w:r>
          </w:p>
        </w:tc>
        <w:tc>
          <w:tcPr>
            <w:tcW w:w="1407" w:type="dxa"/>
            <w:vAlign w:val="center"/>
          </w:tcPr>
          <w:p w14:paraId="07E3584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3</w:t>
            </w:r>
          </w:p>
        </w:tc>
        <w:tc>
          <w:tcPr>
            <w:tcW w:w="1301" w:type="dxa"/>
            <w:vAlign w:val="center"/>
          </w:tcPr>
          <w:p w14:paraId="37BE3A24"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488.586,85 (EU)</w:t>
            </w:r>
          </w:p>
        </w:tc>
        <w:tc>
          <w:tcPr>
            <w:tcW w:w="1291" w:type="dxa"/>
            <w:vAlign w:val="center"/>
          </w:tcPr>
          <w:p w14:paraId="17C9403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1EB115E3"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18D203DB" w14:textId="77777777" w:rsidTr="00936D1D">
        <w:trPr>
          <w:trHeight w:val="243"/>
        </w:trPr>
        <w:tc>
          <w:tcPr>
            <w:tcW w:w="1575" w:type="dxa"/>
            <w:vAlign w:val="center"/>
          </w:tcPr>
          <w:p w14:paraId="6A8A8AF9"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 xml:space="preserve">CAP 2014: </w:t>
            </w:r>
            <w:r w:rsidRPr="00C37EEC">
              <w:rPr>
                <w:rFonts w:cs="Arial"/>
                <w:b/>
                <w:bCs/>
                <w:color w:val="000000" w:themeColor="text1"/>
                <w:szCs w:val="20"/>
              </w:rPr>
              <w:t>UKP</w:t>
            </w:r>
          </w:p>
        </w:tc>
        <w:tc>
          <w:tcPr>
            <w:tcW w:w="1342" w:type="dxa"/>
            <w:vAlign w:val="center"/>
          </w:tcPr>
          <w:p w14:paraId="60025044"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53CE2A6D"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407" w:type="dxa"/>
            <w:vAlign w:val="center"/>
          </w:tcPr>
          <w:p w14:paraId="273E7CC1"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301" w:type="dxa"/>
            <w:vAlign w:val="center"/>
          </w:tcPr>
          <w:p w14:paraId="2344B3D5"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291" w:type="dxa"/>
            <w:vAlign w:val="center"/>
          </w:tcPr>
          <w:p w14:paraId="1DB3C34E"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14584169"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469CD613" w14:textId="77777777" w:rsidTr="00936D1D">
        <w:tc>
          <w:tcPr>
            <w:tcW w:w="1575" w:type="dxa"/>
            <w:vAlign w:val="center"/>
          </w:tcPr>
          <w:p w14:paraId="4BEAB090"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 xml:space="preserve">CAP 2015: </w:t>
            </w:r>
            <w:r>
              <w:rPr>
                <w:rFonts w:cs="Arial"/>
                <w:b/>
                <w:bCs/>
                <w:color w:val="000000" w:themeColor="text1"/>
                <w:szCs w:val="20"/>
              </w:rPr>
              <w:t>Programi EU</w:t>
            </w:r>
          </w:p>
        </w:tc>
        <w:tc>
          <w:tcPr>
            <w:tcW w:w="1342" w:type="dxa"/>
            <w:vAlign w:val="center"/>
          </w:tcPr>
          <w:p w14:paraId="05847383"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45500AFB"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407" w:type="dxa"/>
            <w:vAlign w:val="center"/>
          </w:tcPr>
          <w:p w14:paraId="2AC2275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301" w:type="dxa"/>
            <w:vAlign w:val="center"/>
          </w:tcPr>
          <w:p w14:paraId="756BD42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291" w:type="dxa"/>
            <w:vAlign w:val="center"/>
          </w:tcPr>
          <w:p w14:paraId="44B6A1B4"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2D663F72"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7A2C9EFD" w14:textId="77777777" w:rsidTr="00936D1D">
        <w:tc>
          <w:tcPr>
            <w:tcW w:w="1575" w:type="dxa"/>
            <w:vAlign w:val="center"/>
          </w:tcPr>
          <w:p w14:paraId="09CD72B1"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CAP 2016: CFCU</w:t>
            </w:r>
          </w:p>
        </w:tc>
        <w:tc>
          <w:tcPr>
            <w:tcW w:w="1342" w:type="dxa"/>
            <w:vAlign w:val="center"/>
          </w:tcPr>
          <w:p w14:paraId="29B5B75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3B47193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407" w:type="dxa"/>
            <w:vAlign w:val="center"/>
          </w:tcPr>
          <w:p w14:paraId="319F049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301" w:type="dxa"/>
            <w:vAlign w:val="center"/>
          </w:tcPr>
          <w:p w14:paraId="3C7FAB69"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291" w:type="dxa"/>
            <w:vAlign w:val="center"/>
          </w:tcPr>
          <w:p w14:paraId="08DFA879"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074EEED2"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5B658154" w14:textId="77777777" w:rsidTr="00936D1D">
        <w:tc>
          <w:tcPr>
            <w:tcW w:w="1575" w:type="dxa"/>
            <w:vAlign w:val="center"/>
          </w:tcPr>
          <w:p w14:paraId="1CDC52AA"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 xml:space="preserve">CAP 2016: </w:t>
            </w:r>
            <w:r w:rsidRPr="00C37EEC">
              <w:rPr>
                <w:rFonts w:cs="Arial"/>
                <w:b/>
                <w:bCs/>
                <w:color w:val="000000" w:themeColor="text1"/>
                <w:szCs w:val="20"/>
              </w:rPr>
              <w:t>UKP</w:t>
            </w:r>
          </w:p>
        </w:tc>
        <w:tc>
          <w:tcPr>
            <w:tcW w:w="1342" w:type="dxa"/>
            <w:vAlign w:val="center"/>
          </w:tcPr>
          <w:p w14:paraId="4B5BF5E2"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1217" w:type="dxa"/>
            <w:vAlign w:val="center"/>
          </w:tcPr>
          <w:p w14:paraId="21F4CCC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4.900,25 (EU)</w:t>
            </w:r>
          </w:p>
        </w:tc>
        <w:tc>
          <w:tcPr>
            <w:tcW w:w="1407" w:type="dxa"/>
            <w:vAlign w:val="center"/>
          </w:tcPr>
          <w:p w14:paraId="476184F3"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1301" w:type="dxa"/>
            <w:vAlign w:val="center"/>
          </w:tcPr>
          <w:p w14:paraId="03364C20"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4.900,25 (EU)</w:t>
            </w:r>
          </w:p>
        </w:tc>
        <w:tc>
          <w:tcPr>
            <w:tcW w:w="1291" w:type="dxa"/>
            <w:vAlign w:val="center"/>
          </w:tcPr>
          <w:p w14:paraId="5513260A"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5AA7333D"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193277A1" w14:textId="77777777" w:rsidTr="00936D1D">
        <w:tc>
          <w:tcPr>
            <w:tcW w:w="1575" w:type="dxa"/>
            <w:vAlign w:val="center"/>
          </w:tcPr>
          <w:p w14:paraId="601F4902"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CAP 2017: CFCU</w:t>
            </w:r>
          </w:p>
        </w:tc>
        <w:tc>
          <w:tcPr>
            <w:tcW w:w="1342" w:type="dxa"/>
            <w:vAlign w:val="center"/>
          </w:tcPr>
          <w:p w14:paraId="2B40B53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1217" w:type="dxa"/>
            <w:vAlign w:val="center"/>
          </w:tcPr>
          <w:p w14:paraId="6C757AAA"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20.064,22 (EU)</w:t>
            </w:r>
          </w:p>
        </w:tc>
        <w:tc>
          <w:tcPr>
            <w:tcW w:w="1407" w:type="dxa"/>
            <w:vAlign w:val="center"/>
          </w:tcPr>
          <w:p w14:paraId="71EFAA9D"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1301" w:type="dxa"/>
            <w:vAlign w:val="center"/>
          </w:tcPr>
          <w:p w14:paraId="127147BE"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20.064,22 (EU)</w:t>
            </w:r>
          </w:p>
        </w:tc>
        <w:tc>
          <w:tcPr>
            <w:tcW w:w="1291" w:type="dxa"/>
            <w:vAlign w:val="center"/>
          </w:tcPr>
          <w:p w14:paraId="1ED9FD7F"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2BDEB0D4"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1E041ED5" w14:textId="77777777" w:rsidTr="00936D1D">
        <w:tc>
          <w:tcPr>
            <w:tcW w:w="1575" w:type="dxa"/>
            <w:vAlign w:val="center"/>
          </w:tcPr>
          <w:p w14:paraId="40242152"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 xml:space="preserve">CAP 2017: </w:t>
            </w:r>
            <w:r w:rsidRPr="00C37EEC">
              <w:rPr>
                <w:rFonts w:cs="Arial"/>
                <w:b/>
                <w:bCs/>
                <w:color w:val="000000" w:themeColor="text1"/>
                <w:szCs w:val="20"/>
              </w:rPr>
              <w:t>UKP</w:t>
            </w:r>
          </w:p>
        </w:tc>
        <w:tc>
          <w:tcPr>
            <w:tcW w:w="1342" w:type="dxa"/>
            <w:vAlign w:val="center"/>
          </w:tcPr>
          <w:p w14:paraId="451F2BB8"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57DCFF05"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407" w:type="dxa"/>
            <w:vAlign w:val="center"/>
          </w:tcPr>
          <w:p w14:paraId="5430401A"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301" w:type="dxa"/>
            <w:vAlign w:val="center"/>
          </w:tcPr>
          <w:p w14:paraId="5A1804C1"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291" w:type="dxa"/>
            <w:vAlign w:val="center"/>
          </w:tcPr>
          <w:p w14:paraId="667B3BC0"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20B0143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5EE1040F" w14:textId="77777777" w:rsidTr="00936D1D">
        <w:tc>
          <w:tcPr>
            <w:tcW w:w="1575" w:type="dxa"/>
            <w:vAlign w:val="center"/>
          </w:tcPr>
          <w:p w14:paraId="1F1F823C"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CAP 2018: CFCU</w:t>
            </w:r>
          </w:p>
        </w:tc>
        <w:tc>
          <w:tcPr>
            <w:tcW w:w="1342" w:type="dxa"/>
            <w:vAlign w:val="center"/>
          </w:tcPr>
          <w:p w14:paraId="16D3FBC2"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5D6E11A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407" w:type="dxa"/>
            <w:vAlign w:val="center"/>
          </w:tcPr>
          <w:p w14:paraId="62A7F4C7"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301" w:type="dxa"/>
            <w:vAlign w:val="center"/>
          </w:tcPr>
          <w:p w14:paraId="60667093"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291" w:type="dxa"/>
            <w:vAlign w:val="center"/>
          </w:tcPr>
          <w:p w14:paraId="54F9A20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07C9AC3B"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4001DB8C" w14:textId="77777777" w:rsidTr="00936D1D">
        <w:tc>
          <w:tcPr>
            <w:tcW w:w="1575" w:type="dxa"/>
            <w:vAlign w:val="center"/>
          </w:tcPr>
          <w:p w14:paraId="7965AF3A" w14:textId="77777777" w:rsidR="00091B36" w:rsidRPr="0035145C" w:rsidRDefault="00091B36" w:rsidP="00936D1D">
            <w:pPr>
              <w:spacing w:after="0"/>
              <w:contextualSpacing/>
              <w:rPr>
                <w:rFonts w:cs="Arial"/>
                <w:b/>
                <w:bCs/>
                <w:color w:val="000000" w:themeColor="text1"/>
                <w:szCs w:val="20"/>
              </w:rPr>
            </w:pPr>
            <w:r w:rsidRPr="0035145C">
              <w:rPr>
                <w:rFonts w:cs="Arial"/>
                <w:b/>
                <w:bCs/>
                <w:color w:val="000000" w:themeColor="text1"/>
                <w:szCs w:val="20"/>
              </w:rPr>
              <w:t xml:space="preserve">CAP 2018: </w:t>
            </w:r>
            <w:r w:rsidRPr="00C37EEC">
              <w:rPr>
                <w:rFonts w:cs="Arial"/>
                <w:b/>
                <w:bCs/>
                <w:color w:val="000000" w:themeColor="text1"/>
                <w:szCs w:val="20"/>
              </w:rPr>
              <w:t>UKP</w:t>
            </w:r>
          </w:p>
        </w:tc>
        <w:tc>
          <w:tcPr>
            <w:tcW w:w="1342" w:type="dxa"/>
            <w:vAlign w:val="center"/>
          </w:tcPr>
          <w:p w14:paraId="4D0046F8"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1EAF7E8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407" w:type="dxa"/>
            <w:vAlign w:val="center"/>
          </w:tcPr>
          <w:p w14:paraId="4D9599C5"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301" w:type="dxa"/>
            <w:vAlign w:val="center"/>
          </w:tcPr>
          <w:p w14:paraId="7F38F227"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291" w:type="dxa"/>
            <w:vAlign w:val="center"/>
          </w:tcPr>
          <w:p w14:paraId="46AECF55"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3B54D1D0"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0070851E" w14:textId="77777777" w:rsidTr="00936D1D">
        <w:tc>
          <w:tcPr>
            <w:tcW w:w="1575" w:type="dxa"/>
            <w:vAlign w:val="center"/>
          </w:tcPr>
          <w:p w14:paraId="22507289"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CAP 2020: CFCU</w:t>
            </w:r>
          </w:p>
        </w:tc>
        <w:tc>
          <w:tcPr>
            <w:tcW w:w="1342" w:type="dxa"/>
            <w:vAlign w:val="center"/>
          </w:tcPr>
          <w:p w14:paraId="0346C219"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4C90E1C5"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407" w:type="dxa"/>
            <w:vAlign w:val="center"/>
          </w:tcPr>
          <w:p w14:paraId="6D320E3E"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301" w:type="dxa"/>
            <w:vAlign w:val="center"/>
          </w:tcPr>
          <w:p w14:paraId="345962E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c>
          <w:tcPr>
            <w:tcW w:w="1291" w:type="dxa"/>
            <w:vAlign w:val="center"/>
          </w:tcPr>
          <w:p w14:paraId="6433ED7D"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372ACFBE"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54E5B4BF" w14:textId="77777777" w:rsidTr="00936D1D">
        <w:tc>
          <w:tcPr>
            <w:tcW w:w="1575" w:type="dxa"/>
            <w:vAlign w:val="center"/>
          </w:tcPr>
          <w:p w14:paraId="77AF823F"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t>SOPEES 2015-2017: CFCU</w:t>
            </w:r>
          </w:p>
        </w:tc>
        <w:tc>
          <w:tcPr>
            <w:tcW w:w="1342" w:type="dxa"/>
            <w:vAlign w:val="center"/>
          </w:tcPr>
          <w:p w14:paraId="2324AD7D"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7</w:t>
            </w:r>
          </w:p>
        </w:tc>
        <w:tc>
          <w:tcPr>
            <w:tcW w:w="1217" w:type="dxa"/>
            <w:vAlign w:val="center"/>
          </w:tcPr>
          <w:p w14:paraId="51206A81"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247.241,44 (EU)</w:t>
            </w:r>
          </w:p>
        </w:tc>
        <w:tc>
          <w:tcPr>
            <w:tcW w:w="1407" w:type="dxa"/>
            <w:vAlign w:val="center"/>
          </w:tcPr>
          <w:p w14:paraId="63A2A563"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4</w:t>
            </w:r>
          </w:p>
        </w:tc>
        <w:tc>
          <w:tcPr>
            <w:tcW w:w="1301" w:type="dxa"/>
            <w:vAlign w:val="center"/>
          </w:tcPr>
          <w:p w14:paraId="71AFAE97"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74.136,26 (EU)</w:t>
            </w:r>
          </w:p>
        </w:tc>
        <w:tc>
          <w:tcPr>
            <w:tcW w:w="1291" w:type="dxa"/>
            <w:vAlign w:val="center"/>
          </w:tcPr>
          <w:p w14:paraId="7BC9B8B5"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3</w:t>
            </w:r>
          </w:p>
        </w:tc>
        <w:tc>
          <w:tcPr>
            <w:tcW w:w="1217" w:type="dxa"/>
            <w:vAlign w:val="center"/>
          </w:tcPr>
          <w:p w14:paraId="04C000A7"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173.105,18 (EU)</w:t>
            </w:r>
          </w:p>
        </w:tc>
      </w:tr>
      <w:tr w:rsidR="00091B36" w:rsidRPr="0035145C" w14:paraId="7F506C3F" w14:textId="77777777" w:rsidTr="00936D1D">
        <w:tc>
          <w:tcPr>
            <w:tcW w:w="1575" w:type="dxa"/>
            <w:vAlign w:val="center"/>
          </w:tcPr>
          <w:p w14:paraId="0B53F86E" w14:textId="77777777" w:rsidR="00091B36" w:rsidRPr="0035145C" w:rsidRDefault="00091B36" w:rsidP="00936D1D">
            <w:pPr>
              <w:spacing w:after="0"/>
              <w:contextualSpacing/>
              <w:jc w:val="left"/>
              <w:rPr>
                <w:rFonts w:cs="Arial"/>
                <w:b/>
                <w:bCs/>
                <w:color w:val="000000" w:themeColor="text1"/>
                <w:szCs w:val="20"/>
              </w:rPr>
            </w:pPr>
            <w:r w:rsidRPr="0035145C">
              <w:rPr>
                <w:rFonts w:cs="Arial"/>
                <w:b/>
                <w:bCs/>
                <w:color w:val="000000" w:themeColor="text1"/>
                <w:szCs w:val="20"/>
              </w:rPr>
              <w:lastRenderedPageBreak/>
              <w:t xml:space="preserve">SOPEES 2015-2017: </w:t>
            </w:r>
            <w:r w:rsidRPr="00C37EEC">
              <w:rPr>
                <w:rFonts w:cs="Arial"/>
                <w:b/>
                <w:bCs/>
                <w:color w:val="000000" w:themeColor="text1"/>
                <w:szCs w:val="20"/>
              </w:rPr>
              <w:t>UKP</w:t>
            </w:r>
          </w:p>
        </w:tc>
        <w:tc>
          <w:tcPr>
            <w:tcW w:w="1342" w:type="dxa"/>
            <w:vAlign w:val="center"/>
          </w:tcPr>
          <w:p w14:paraId="2F6E3CC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1217" w:type="dxa"/>
            <w:vAlign w:val="center"/>
          </w:tcPr>
          <w:p w14:paraId="331F37BA"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61.071,83 (EU)</w:t>
            </w:r>
          </w:p>
        </w:tc>
        <w:tc>
          <w:tcPr>
            <w:tcW w:w="1407" w:type="dxa"/>
            <w:vAlign w:val="center"/>
          </w:tcPr>
          <w:p w14:paraId="4FA9975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w:t>
            </w:r>
          </w:p>
        </w:tc>
        <w:tc>
          <w:tcPr>
            <w:tcW w:w="1301" w:type="dxa"/>
            <w:vAlign w:val="center"/>
          </w:tcPr>
          <w:p w14:paraId="381FA3FF"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61.071,83 (EU)</w:t>
            </w:r>
          </w:p>
        </w:tc>
        <w:tc>
          <w:tcPr>
            <w:tcW w:w="1291" w:type="dxa"/>
            <w:vAlign w:val="center"/>
          </w:tcPr>
          <w:p w14:paraId="30E33ABD"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18513AFB"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450F51CC" w14:textId="77777777" w:rsidTr="00936D1D">
        <w:tc>
          <w:tcPr>
            <w:tcW w:w="1575" w:type="dxa"/>
            <w:vAlign w:val="center"/>
          </w:tcPr>
          <w:p w14:paraId="4B55AE83" w14:textId="77777777" w:rsidR="00091B36" w:rsidRPr="0035145C" w:rsidRDefault="00091B36" w:rsidP="00936D1D">
            <w:pPr>
              <w:spacing w:after="0"/>
              <w:contextualSpacing/>
              <w:rPr>
                <w:rFonts w:cs="Arial"/>
                <w:b/>
                <w:bCs/>
                <w:color w:val="000000" w:themeColor="text1"/>
                <w:szCs w:val="20"/>
              </w:rPr>
            </w:pPr>
            <w:r>
              <w:rPr>
                <w:rFonts w:cs="Arial"/>
                <w:b/>
                <w:bCs/>
                <w:color w:val="000000" w:themeColor="text1"/>
                <w:szCs w:val="20"/>
              </w:rPr>
              <w:t>PGS</w:t>
            </w:r>
            <w:r w:rsidRPr="0035145C">
              <w:rPr>
                <w:rFonts w:cs="Arial"/>
                <w:b/>
                <w:bCs/>
                <w:color w:val="000000" w:themeColor="text1"/>
                <w:szCs w:val="20"/>
              </w:rPr>
              <w:t xml:space="preserve"> MNE-AL</w:t>
            </w:r>
          </w:p>
          <w:p w14:paraId="3114BAB9" w14:textId="77777777" w:rsidR="00091B36" w:rsidRPr="0035145C" w:rsidRDefault="00091B36" w:rsidP="00936D1D">
            <w:pPr>
              <w:spacing w:after="0"/>
              <w:contextualSpacing/>
              <w:rPr>
                <w:rFonts w:cs="Arial"/>
                <w:b/>
                <w:bCs/>
                <w:color w:val="000000" w:themeColor="text1"/>
                <w:szCs w:val="20"/>
              </w:rPr>
            </w:pPr>
            <w:r w:rsidRPr="0035145C">
              <w:rPr>
                <w:rFonts w:cs="Arial"/>
                <w:b/>
                <w:bCs/>
                <w:color w:val="000000" w:themeColor="text1"/>
                <w:szCs w:val="20"/>
              </w:rPr>
              <w:t>2014-2020: CFCU</w:t>
            </w:r>
          </w:p>
        </w:tc>
        <w:tc>
          <w:tcPr>
            <w:tcW w:w="1342" w:type="dxa"/>
            <w:vAlign w:val="center"/>
          </w:tcPr>
          <w:p w14:paraId="034C0A9A"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6</w:t>
            </w:r>
          </w:p>
        </w:tc>
        <w:tc>
          <w:tcPr>
            <w:tcW w:w="1217" w:type="dxa"/>
            <w:vAlign w:val="center"/>
          </w:tcPr>
          <w:p w14:paraId="173F5CB0"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42.186,45 (EU)</w:t>
            </w:r>
          </w:p>
        </w:tc>
        <w:tc>
          <w:tcPr>
            <w:tcW w:w="1407" w:type="dxa"/>
            <w:vAlign w:val="center"/>
          </w:tcPr>
          <w:p w14:paraId="74D37BE4"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6</w:t>
            </w:r>
          </w:p>
        </w:tc>
        <w:tc>
          <w:tcPr>
            <w:tcW w:w="1301" w:type="dxa"/>
            <w:vAlign w:val="center"/>
          </w:tcPr>
          <w:p w14:paraId="7044D442"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42.186,45 (EU)</w:t>
            </w:r>
          </w:p>
        </w:tc>
        <w:tc>
          <w:tcPr>
            <w:tcW w:w="1291" w:type="dxa"/>
            <w:vAlign w:val="center"/>
          </w:tcPr>
          <w:p w14:paraId="1B8FE0B0"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17" w:type="dxa"/>
            <w:vAlign w:val="center"/>
          </w:tcPr>
          <w:p w14:paraId="79AB8B63"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0.00</w:t>
            </w:r>
          </w:p>
        </w:tc>
      </w:tr>
      <w:tr w:rsidR="00091B36" w:rsidRPr="0035145C" w14:paraId="7685CD2E" w14:textId="77777777" w:rsidTr="00936D1D">
        <w:tc>
          <w:tcPr>
            <w:tcW w:w="1575" w:type="dxa"/>
            <w:vAlign w:val="center"/>
          </w:tcPr>
          <w:p w14:paraId="77C1CA42" w14:textId="77777777" w:rsidR="00091B36" w:rsidRPr="0035145C" w:rsidRDefault="00091B36" w:rsidP="00936D1D">
            <w:pPr>
              <w:spacing w:after="0"/>
              <w:contextualSpacing/>
              <w:jc w:val="left"/>
              <w:rPr>
                <w:rFonts w:cs="Arial"/>
                <w:b/>
                <w:bCs/>
                <w:color w:val="000000" w:themeColor="text1"/>
                <w:szCs w:val="20"/>
              </w:rPr>
            </w:pPr>
            <w:r>
              <w:rPr>
                <w:rFonts w:cs="Arial"/>
                <w:b/>
                <w:bCs/>
                <w:color w:val="000000" w:themeColor="text1"/>
                <w:szCs w:val="20"/>
              </w:rPr>
              <w:t>PGS</w:t>
            </w:r>
            <w:r w:rsidRPr="0035145C">
              <w:rPr>
                <w:rFonts w:cs="Arial"/>
                <w:b/>
                <w:bCs/>
                <w:color w:val="000000" w:themeColor="text1"/>
                <w:szCs w:val="20"/>
              </w:rPr>
              <w:t xml:space="preserve"> MNE-KOS </w:t>
            </w:r>
          </w:p>
          <w:p w14:paraId="60794D4C" w14:textId="77777777" w:rsidR="00091B36" w:rsidRPr="0035145C" w:rsidRDefault="00091B36" w:rsidP="00936D1D">
            <w:pPr>
              <w:spacing w:after="0"/>
              <w:contextualSpacing/>
              <w:rPr>
                <w:rFonts w:cs="Arial"/>
                <w:b/>
                <w:bCs/>
                <w:color w:val="000000" w:themeColor="text1"/>
                <w:szCs w:val="20"/>
              </w:rPr>
            </w:pPr>
            <w:r w:rsidRPr="0035145C">
              <w:rPr>
                <w:rFonts w:cs="Arial"/>
                <w:b/>
                <w:bCs/>
                <w:color w:val="000000" w:themeColor="text1"/>
                <w:szCs w:val="20"/>
              </w:rPr>
              <w:t>2014-2020: CFCU</w:t>
            </w:r>
          </w:p>
        </w:tc>
        <w:tc>
          <w:tcPr>
            <w:tcW w:w="1342" w:type="dxa"/>
            <w:vAlign w:val="center"/>
          </w:tcPr>
          <w:p w14:paraId="28973840"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2</w:t>
            </w:r>
          </w:p>
        </w:tc>
        <w:tc>
          <w:tcPr>
            <w:tcW w:w="1217" w:type="dxa"/>
            <w:vAlign w:val="center"/>
          </w:tcPr>
          <w:p w14:paraId="4C55A858"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101.790,09 (EU)</w:t>
            </w:r>
          </w:p>
        </w:tc>
        <w:tc>
          <w:tcPr>
            <w:tcW w:w="1407" w:type="dxa"/>
            <w:vAlign w:val="center"/>
          </w:tcPr>
          <w:p w14:paraId="0D28218C"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301" w:type="dxa"/>
            <w:vAlign w:val="center"/>
          </w:tcPr>
          <w:p w14:paraId="579BA8B6"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0</w:t>
            </w:r>
          </w:p>
        </w:tc>
        <w:tc>
          <w:tcPr>
            <w:tcW w:w="1291" w:type="dxa"/>
            <w:vAlign w:val="center"/>
          </w:tcPr>
          <w:p w14:paraId="09A43872"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2</w:t>
            </w:r>
          </w:p>
        </w:tc>
        <w:tc>
          <w:tcPr>
            <w:tcW w:w="1217" w:type="dxa"/>
            <w:vAlign w:val="center"/>
          </w:tcPr>
          <w:p w14:paraId="7C161739"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101.790,09 (EU)</w:t>
            </w:r>
          </w:p>
        </w:tc>
      </w:tr>
      <w:tr w:rsidR="00091B36" w:rsidRPr="0035145C" w14:paraId="75A227C0" w14:textId="77777777" w:rsidTr="00936D1D">
        <w:trPr>
          <w:trHeight w:val="80"/>
        </w:trPr>
        <w:tc>
          <w:tcPr>
            <w:tcW w:w="1575" w:type="dxa"/>
            <w:vAlign w:val="center"/>
          </w:tcPr>
          <w:p w14:paraId="061D5813" w14:textId="77777777" w:rsidR="00091B36" w:rsidRPr="0035145C" w:rsidRDefault="00091B36" w:rsidP="00936D1D">
            <w:pPr>
              <w:spacing w:after="0"/>
              <w:contextualSpacing/>
              <w:jc w:val="right"/>
              <w:rPr>
                <w:rFonts w:cs="Arial"/>
                <w:b/>
                <w:bCs/>
                <w:color w:val="000000" w:themeColor="text1"/>
                <w:szCs w:val="20"/>
              </w:rPr>
            </w:pPr>
            <w:r>
              <w:rPr>
                <w:rFonts w:cs="Arial"/>
                <w:b/>
                <w:bCs/>
                <w:color w:val="000000" w:themeColor="text1"/>
                <w:szCs w:val="20"/>
              </w:rPr>
              <w:t>Ukupno</w:t>
            </w:r>
          </w:p>
        </w:tc>
        <w:tc>
          <w:tcPr>
            <w:tcW w:w="1342" w:type="dxa"/>
            <w:vAlign w:val="center"/>
          </w:tcPr>
          <w:p w14:paraId="2EC875D8"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21</w:t>
            </w:r>
          </w:p>
        </w:tc>
        <w:tc>
          <w:tcPr>
            <w:tcW w:w="1217" w:type="dxa"/>
            <w:vAlign w:val="center"/>
          </w:tcPr>
          <w:p w14:paraId="5B5DA7FF"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965.841,13</w:t>
            </w:r>
          </w:p>
        </w:tc>
        <w:tc>
          <w:tcPr>
            <w:tcW w:w="1407" w:type="dxa"/>
            <w:vAlign w:val="center"/>
          </w:tcPr>
          <w:p w14:paraId="3302DB3F"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16</w:t>
            </w:r>
          </w:p>
        </w:tc>
        <w:tc>
          <w:tcPr>
            <w:tcW w:w="1301" w:type="dxa"/>
            <w:vAlign w:val="center"/>
          </w:tcPr>
          <w:p w14:paraId="0FA1D229"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690.945,90</w:t>
            </w:r>
          </w:p>
        </w:tc>
        <w:tc>
          <w:tcPr>
            <w:tcW w:w="1291" w:type="dxa"/>
            <w:vAlign w:val="center"/>
          </w:tcPr>
          <w:p w14:paraId="4E08334E"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5</w:t>
            </w:r>
          </w:p>
        </w:tc>
        <w:tc>
          <w:tcPr>
            <w:tcW w:w="1217" w:type="dxa"/>
            <w:vAlign w:val="center"/>
          </w:tcPr>
          <w:p w14:paraId="2BA50AF5" w14:textId="77777777" w:rsidR="00091B36" w:rsidRPr="0035145C" w:rsidRDefault="00091B36" w:rsidP="00936D1D">
            <w:pPr>
              <w:spacing w:after="0"/>
              <w:contextualSpacing/>
              <w:jc w:val="center"/>
              <w:rPr>
                <w:rFonts w:cs="Arial"/>
                <w:color w:val="000000" w:themeColor="text1"/>
                <w:szCs w:val="20"/>
              </w:rPr>
            </w:pPr>
            <w:r w:rsidRPr="0035145C">
              <w:rPr>
                <w:rFonts w:cs="Arial"/>
                <w:color w:val="000000" w:themeColor="text1"/>
                <w:szCs w:val="20"/>
              </w:rPr>
              <w:t>274.895,30</w:t>
            </w:r>
          </w:p>
        </w:tc>
      </w:tr>
    </w:tbl>
    <w:p w14:paraId="68DBED47" w14:textId="77777777" w:rsidR="00091B36" w:rsidRPr="0035145C" w:rsidRDefault="00091B36" w:rsidP="00091B36">
      <w:pPr>
        <w:spacing w:before="120"/>
        <w:rPr>
          <w:rFonts w:eastAsia="Times New Roman" w:cs="Arial"/>
          <w:color w:val="000000" w:themeColor="text1"/>
          <w:kern w:val="0"/>
          <w:szCs w:val="20"/>
          <w14:ligatures w14:val="none"/>
        </w:rPr>
      </w:pPr>
    </w:p>
    <w:p w14:paraId="582AB8CC" w14:textId="77777777" w:rsidR="00091B36" w:rsidRPr="0035145C" w:rsidRDefault="00091B36" w:rsidP="00091B36">
      <w:pPr>
        <w:spacing w:after="160" w:line="259" w:lineRule="auto"/>
        <w:jc w:val="left"/>
        <w:rPr>
          <w:rFonts w:eastAsia="Times New Roman" w:cs="Arial"/>
          <w:color w:val="000000" w:themeColor="text1"/>
          <w:kern w:val="0"/>
          <w:szCs w:val="20"/>
          <w14:ligatures w14:val="none"/>
        </w:rPr>
      </w:pPr>
      <w:r w:rsidRPr="0035145C">
        <w:rPr>
          <w:rFonts w:eastAsia="Times New Roman" w:cs="Arial"/>
          <w:color w:val="000000" w:themeColor="text1"/>
          <w:kern w:val="0"/>
          <w:szCs w:val="20"/>
          <w14:ligatures w14:val="none"/>
        </w:rPr>
        <w:br w:type="page"/>
      </w:r>
    </w:p>
    <w:p w14:paraId="7A005B8C" w14:textId="77777777" w:rsidR="00091B36" w:rsidRPr="00FC0E29" w:rsidRDefault="00091B36" w:rsidP="00091B36">
      <w:pPr>
        <w:pBdr>
          <w:top w:val="single" w:sz="4" w:space="1" w:color="auto"/>
          <w:left w:val="single" w:sz="4" w:space="4" w:color="auto"/>
          <w:bottom w:val="single" w:sz="4" w:space="1" w:color="auto"/>
          <w:right w:val="single" w:sz="4" w:space="4" w:color="auto"/>
        </w:pBdr>
        <w:spacing w:before="120"/>
        <w:rPr>
          <w:rFonts w:cs="Arial"/>
          <w:b/>
          <w:bCs/>
          <w:sz w:val="22"/>
        </w:rPr>
      </w:pPr>
      <w:r w:rsidRPr="00FC0E29">
        <w:rPr>
          <w:rFonts w:cs="Arial"/>
          <w:b/>
          <w:bCs/>
          <w:sz w:val="22"/>
        </w:rPr>
        <w:lastRenderedPageBreak/>
        <w:t>III. Finan</w:t>
      </w:r>
      <w:r>
        <w:rPr>
          <w:rFonts w:cs="Arial"/>
          <w:b/>
          <w:bCs/>
          <w:sz w:val="22"/>
        </w:rPr>
        <w:t>sijski i operativni Ključni indikatori učinka</w:t>
      </w:r>
    </w:p>
    <w:p w14:paraId="7AC50A35" w14:textId="77777777" w:rsidR="00091B36" w:rsidRDefault="00091B36" w:rsidP="00091B36">
      <w:pPr>
        <w:spacing w:before="120"/>
        <w:rPr>
          <w:rFonts w:cs="Arial"/>
          <w:color w:val="000000" w:themeColor="text1"/>
          <w:szCs w:val="20"/>
        </w:rPr>
      </w:pPr>
      <w:r w:rsidRPr="00DA026F">
        <w:rPr>
          <w:rFonts w:cs="Arial"/>
          <w:color w:val="000000" w:themeColor="text1"/>
          <w:szCs w:val="20"/>
        </w:rPr>
        <w:t xml:space="preserve">Finansijski i operativni ciljevi učinka postavljeni su i prijavljuju se NAO-u za aktivne programe putem </w:t>
      </w:r>
      <w:r w:rsidRPr="00E02A8B">
        <w:rPr>
          <w:rFonts w:cs="Arial"/>
          <w:b/>
          <w:color w:val="000000" w:themeColor="text1"/>
          <w:szCs w:val="20"/>
        </w:rPr>
        <w:t>Ključnih indikatora učinka (</w:t>
      </w:r>
      <w:r w:rsidRPr="00C37EEC">
        <w:rPr>
          <w:rFonts w:cs="Arial"/>
          <w:b/>
          <w:color w:val="000000" w:themeColor="text1"/>
          <w:szCs w:val="20"/>
        </w:rPr>
        <w:t>KIU</w:t>
      </w:r>
      <w:r w:rsidRPr="00E02A8B">
        <w:rPr>
          <w:rFonts w:cs="Arial"/>
          <w:b/>
          <w:color w:val="000000" w:themeColor="text1"/>
          <w:szCs w:val="20"/>
        </w:rPr>
        <w:t>)</w:t>
      </w:r>
      <w:r w:rsidRPr="00DA026F">
        <w:rPr>
          <w:rFonts w:cs="Arial"/>
          <w:color w:val="000000" w:themeColor="text1"/>
          <w:szCs w:val="20"/>
        </w:rPr>
        <w:t xml:space="preserve"> od strane </w:t>
      </w:r>
      <w:r w:rsidRPr="00E02A8B">
        <w:rPr>
          <w:rFonts w:cs="Arial"/>
          <w:b/>
          <w:color w:val="000000" w:themeColor="text1"/>
          <w:szCs w:val="20"/>
        </w:rPr>
        <w:t xml:space="preserve">dva ugovorna </w:t>
      </w:r>
      <w:r>
        <w:rPr>
          <w:rFonts w:cs="Arial"/>
          <w:b/>
          <w:color w:val="000000" w:themeColor="text1"/>
          <w:szCs w:val="20"/>
        </w:rPr>
        <w:t>tijela</w:t>
      </w:r>
      <w:r w:rsidRPr="00E02A8B">
        <w:rPr>
          <w:rFonts w:cs="Arial"/>
          <w:b/>
          <w:color w:val="000000" w:themeColor="text1"/>
          <w:szCs w:val="20"/>
        </w:rPr>
        <w:t xml:space="preserve">, CFCU i </w:t>
      </w:r>
      <w:r w:rsidRPr="00C37EEC">
        <w:rPr>
          <w:rFonts w:cs="Arial"/>
          <w:b/>
          <w:color w:val="000000" w:themeColor="text1"/>
          <w:szCs w:val="20"/>
        </w:rPr>
        <w:t>UKP</w:t>
      </w:r>
      <w:r w:rsidRPr="00DA026F">
        <w:rPr>
          <w:rFonts w:cs="Arial"/>
          <w:color w:val="000000" w:themeColor="text1"/>
          <w:szCs w:val="20"/>
        </w:rPr>
        <w:t xml:space="preserve">. </w:t>
      </w:r>
      <w:r>
        <w:rPr>
          <w:rFonts w:cs="Arial"/>
          <w:color w:val="000000" w:themeColor="text1"/>
          <w:szCs w:val="20"/>
        </w:rPr>
        <w:t>Z</w:t>
      </w:r>
      <w:r w:rsidRPr="00DA026F">
        <w:rPr>
          <w:rFonts w:cs="Arial"/>
          <w:color w:val="000000" w:themeColor="text1"/>
          <w:szCs w:val="20"/>
        </w:rPr>
        <w:t>avod za zapošljavanje još ne izv</w:t>
      </w:r>
      <w:r>
        <w:rPr>
          <w:rFonts w:cs="Arial"/>
          <w:color w:val="000000" w:themeColor="text1"/>
          <w:szCs w:val="20"/>
        </w:rPr>
        <w:t>j</w:t>
      </w:r>
      <w:r w:rsidRPr="00DA026F">
        <w:rPr>
          <w:rFonts w:cs="Arial"/>
          <w:color w:val="000000" w:themeColor="text1"/>
          <w:szCs w:val="20"/>
        </w:rPr>
        <w:t xml:space="preserve">eštava o Ključnim </w:t>
      </w:r>
      <w:r>
        <w:rPr>
          <w:rFonts w:cs="Arial"/>
          <w:color w:val="000000" w:themeColor="text1"/>
          <w:szCs w:val="20"/>
        </w:rPr>
        <w:t>indikatorima učinka</w:t>
      </w:r>
      <w:r w:rsidRPr="00DA026F">
        <w:rPr>
          <w:rFonts w:cs="Arial"/>
          <w:color w:val="000000" w:themeColor="text1"/>
          <w:szCs w:val="20"/>
        </w:rPr>
        <w:t xml:space="preserve">, jer Finansijski </w:t>
      </w:r>
      <w:r>
        <w:rPr>
          <w:rFonts w:cs="Arial"/>
          <w:color w:val="000000" w:themeColor="text1"/>
          <w:szCs w:val="20"/>
        </w:rPr>
        <w:t>sporazum</w:t>
      </w:r>
      <w:r w:rsidRPr="00DA026F">
        <w:rPr>
          <w:rFonts w:cs="Arial"/>
          <w:color w:val="000000" w:themeColor="text1"/>
          <w:szCs w:val="20"/>
        </w:rPr>
        <w:t xml:space="preserve"> za Operativni program za zapošljavanje i socijalnu inkluziju 2025-2027 još nije potpisan.</w:t>
      </w:r>
    </w:p>
    <w:p w14:paraId="7425994C" w14:textId="77777777" w:rsidR="00091B36" w:rsidRPr="00FC0E29" w:rsidRDefault="00091B36" w:rsidP="00091B36">
      <w:pPr>
        <w:spacing w:before="120"/>
        <w:rPr>
          <w:rFonts w:cs="Arial"/>
          <w:color w:val="000000" w:themeColor="text1"/>
          <w:szCs w:val="20"/>
        </w:rPr>
      </w:pPr>
      <w:r>
        <w:rPr>
          <w:rFonts w:cs="Arial"/>
          <w:color w:val="000000" w:themeColor="text1"/>
          <w:szCs w:val="20"/>
        </w:rPr>
        <w:t>Trenutno su postavljeni ciljevi za sljedeće programe:</w:t>
      </w:r>
    </w:p>
    <w:p w14:paraId="6176F729" w14:textId="77777777" w:rsidR="00091B36" w:rsidRPr="00FC0E29" w:rsidRDefault="00091B36" w:rsidP="00D15218">
      <w:pPr>
        <w:pStyle w:val="ListParagraph"/>
        <w:numPr>
          <w:ilvl w:val="0"/>
          <w:numId w:val="64"/>
        </w:numPr>
        <w:spacing w:after="0"/>
        <w:rPr>
          <w:rFonts w:cs="Arial"/>
          <w:szCs w:val="20"/>
        </w:rPr>
      </w:pPr>
      <w:r w:rsidRPr="00FC0E29">
        <w:rPr>
          <w:rFonts w:cs="Arial"/>
          <w:szCs w:val="20"/>
        </w:rPr>
        <w:t>CAP 2016</w:t>
      </w:r>
    </w:p>
    <w:p w14:paraId="2BF4D828" w14:textId="77777777" w:rsidR="00091B36" w:rsidRPr="00FC0E29" w:rsidRDefault="00091B36" w:rsidP="00D15218">
      <w:pPr>
        <w:pStyle w:val="ListParagraph"/>
        <w:numPr>
          <w:ilvl w:val="0"/>
          <w:numId w:val="64"/>
        </w:numPr>
        <w:spacing w:after="0"/>
        <w:rPr>
          <w:rFonts w:cs="Arial"/>
          <w:szCs w:val="20"/>
        </w:rPr>
      </w:pPr>
      <w:r w:rsidRPr="00FC0E29">
        <w:rPr>
          <w:rFonts w:cs="Arial"/>
          <w:szCs w:val="20"/>
        </w:rPr>
        <w:t>CAP 2017</w:t>
      </w:r>
    </w:p>
    <w:p w14:paraId="6B153E76" w14:textId="77777777" w:rsidR="00091B36" w:rsidRPr="00FC0E29" w:rsidRDefault="00091B36" w:rsidP="00D15218">
      <w:pPr>
        <w:pStyle w:val="ListParagraph"/>
        <w:numPr>
          <w:ilvl w:val="0"/>
          <w:numId w:val="64"/>
        </w:numPr>
        <w:spacing w:after="0"/>
        <w:rPr>
          <w:rFonts w:cs="Arial"/>
          <w:szCs w:val="20"/>
        </w:rPr>
      </w:pPr>
      <w:r w:rsidRPr="00FC0E29">
        <w:rPr>
          <w:rFonts w:cs="Arial"/>
          <w:szCs w:val="20"/>
        </w:rPr>
        <w:t>CAP 2018</w:t>
      </w:r>
    </w:p>
    <w:p w14:paraId="290A1D18" w14:textId="77777777" w:rsidR="00091B36" w:rsidRPr="00FC0E29" w:rsidRDefault="00091B36" w:rsidP="00D15218">
      <w:pPr>
        <w:pStyle w:val="ListParagraph"/>
        <w:numPr>
          <w:ilvl w:val="0"/>
          <w:numId w:val="64"/>
        </w:numPr>
        <w:spacing w:after="0"/>
        <w:rPr>
          <w:rFonts w:cs="Arial"/>
          <w:szCs w:val="20"/>
        </w:rPr>
      </w:pPr>
      <w:r w:rsidRPr="00FC0E29">
        <w:rPr>
          <w:rFonts w:cs="Arial"/>
          <w:szCs w:val="20"/>
        </w:rPr>
        <w:t>CAP 2020</w:t>
      </w:r>
    </w:p>
    <w:p w14:paraId="040AEEAD" w14:textId="77777777" w:rsidR="00091B36" w:rsidRPr="00FC0E29" w:rsidRDefault="00091B36" w:rsidP="00D15218">
      <w:pPr>
        <w:pStyle w:val="ListParagraph"/>
        <w:numPr>
          <w:ilvl w:val="0"/>
          <w:numId w:val="64"/>
        </w:numPr>
        <w:spacing w:after="0"/>
        <w:rPr>
          <w:rFonts w:cs="Arial"/>
          <w:szCs w:val="20"/>
        </w:rPr>
      </w:pPr>
      <w:r>
        <w:rPr>
          <w:rFonts w:cs="Arial"/>
          <w:szCs w:val="20"/>
        </w:rPr>
        <w:t>PGS</w:t>
      </w:r>
      <w:r w:rsidRPr="00FC0E29">
        <w:rPr>
          <w:rFonts w:cs="Arial"/>
          <w:szCs w:val="20"/>
        </w:rPr>
        <w:t xml:space="preserve"> MNE-ALB 2016-2017</w:t>
      </w:r>
    </w:p>
    <w:p w14:paraId="327304DE" w14:textId="77777777" w:rsidR="00091B36" w:rsidRPr="00FC0E29" w:rsidRDefault="00091B36" w:rsidP="00D15218">
      <w:pPr>
        <w:pStyle w:val="ListParagraph"/>
        <w:numPr>
          <w:ilvl w:val="0"/>
          <w:numId w:val="64"/>
        </w:numPr>
        <w:spacing w:after="0"/>
        <w:rPr>
          <w:rFonts w:cs="Arial"/>
          <w:szCs w:val="20"/>
        </w:rPr>
      </w:pPr>
      <w:r>
        <w:rPr>
          <w:rFonts w:cs="Arial"/>
          <w:szCs w:val="20"/>
        </w:rPr>
        <w:t>PGS</w:t>
      </w:r>
      <w:r w:rsidRPr="00FC0E29">
        <w:rPr>
          <w:rFonts w:cs="Arial"/>
          <w:szCs w:val="20"/>
        </w:rPr>
        <w:t xml:space="preserve"> MNE-KOS 2016-2017</w:t>
      </w:r>
    </w:p>
    <w:p w14:paraId="018E7DF6" w14:textId="77777777" w:rsidR="00091B36" w:rsidRPr="00FC0E29" w:rsidRDefault="00091B36" w:rsidP="00D15218">
      <w:pPr>
        <w:pStyle w:val="ListParagraph"/>
        <w:numPr>
          <w:ilvl w:val="0"/>
          <w:numId w:val="64"/>
        </w:numPr>
        <w:spacing w:after="0"/>
        <w:rPr>
          <w:rFonts w:cs="Arial"/>
          <w:szCs w:val="20"/>
        </w:rPr>
      </w:pPr>
      <w:r>
        <w:rPr>
          <w:rFonts w:cs="Arial"/>
          <w:szCs w:val="20"/>
        </w:rPr>
        <w:t>PGS</w:t>
      </w:r>
      <w:r w:rsidRPr="00FC0E29">
        <w:rPr>
          <w:rFonts w:cs="Arial"/>
          <w:szCs w:val="20"/>
        </w:rPr>
        <w:t xml:space="preserve"> MNE-ALB 2018-2020</w:t>
      </w:r>
    </w:p>
    <w:p w14:paraId="5282FA84" w14:textId="77777777" w:rsidR="00091B36" w:rsidRPr="00FC0E29" w:rsidRDefault="00091B36" w:rsidP="00D15218">
      <w:pPr>
        <w:pStyle w:val="ListParagraph"/>
        <w:numPr>
          <w:ilvl w:val="0"/>
          <w:numId w:val="64"/>
        </w:numPr>
        <w:spacing w:after="0"/>
        <w:rPr>
          <w:rFonts w:cs="Arial"/>
          <w:szCs w:val="20"/>
        </w:rPr>
      </w:pPr>
      <w:r>
        <w:rPr>
          <w:rFonts w:cs="Arial"/>
          <w:szCs w:val="20"/>
        </w:rPr>
        <w:t>PGS</w:t>
      </w:r>
      <w:r w:rsidRPr="00FC0E29">
        <w:rPr>
          <w:rFonts w:cs="Arial"/>
          <w:szCs w:val="20"/>
        </w:rPr>
        <w:t xml:space="preserve"> MNE-KOS 2018-2020</w:t>
      </w:r>
    </w:p>
    <w:p w14:paraId="05D183FB" w14:textId="77777777" w:rsidR="00091B36" w:rsidRDefault="00091B36" w:rsidP="00091B36">
      <w:pPr>
        <w:spacing w:before="120"/>
        <w:rPr>
          <w:rFonts w:cs="Arial"/>
          <w:szCs w:val="20"/>
        </w:rPr>
      </w:pPr>
    </w:p>
    <w:p w14:paraId="51C0F3F2" w14:textId="77777777" w:rsidR="00091B36" w:rsidRPr="00FC0E29" w:rsidRDefault="00091B36" w:rsidP="00091B36">
      <w:pPr>
        <w:spacing w:before="120"/>
        <w:rPr>
          <w:rFonts w:cs="Arial"/>
          <w:szCs w:val="20"/>
        </w:rPr>
      </w:pPr>
      <w:r w:rsidRPr="00C37EEC">
        <w:rPr>
          <w:rFonts w:cs="Arial"/>
          <w:szCs w:val="20"/>
        </w:rPr>
        <w:t>KIU</w:t>
      </w:r>
      <w:r>
        <w:rPr>
          <w:rFonts w:cs="Arial"/>
          <w:szCs w:val="20"/>
        </w:rPr>
        <w:t xml:space="preserve"> prate sljedeće finansijske i operativne funkcije:</w:t>
      </w:r>
      <w:r w:rsidRPr="00FC0E29">
        <w:rPr>
          <w:rFonts w:cs="Arial"/>
          <w:szCs w:val="20"/>
        </w:rPr>
        <w:t xml:space="preserve"> </w:t>
      </w:r>
    </w:p>
    <w:p w14:paraId="725B7ADB" w14:textId="77777777" w:rsidR="00091B36" w:rsidRPr="00DA026F" w:rsidRDefault="00091B36" w:rsidP="00091B36">
      <w:pPr>
        <w:spacing w:before="120"/>
        <w:rPr>
          <w:rFonts w:cs="Arial"/>
          <w:szCs w:val="20"/>
          <w:u w:val="single"/>
        </w:rPr>
      </w:pPr>
      <w:r w:rsidRPr="00DA026F">
        <w:rPr>
          <w:rFonts w:cs="Arial"/>
          <w:szCs w:val="20"/>
          <w:u w:val="single"/>
        </w:rPr>
        <w:t>Ugovaranje</w:t>
      </w:r>
    </w:p>
    <w:p w14:paraId="3A850BA2" w14:textId="77777777" w:rsidR="00091B36" w:rsidRPr="0024714B" w:rsidRDefault="00091B36" w:rsidP="00091B36">
      <w:pPr>
        <w:spacing w:before="120"/>
        <w:rPr>
          <w:rFonts w:cs="Arial"/>
          <w:szCs w:val="20"/>
        </w:rPr>
      </w:pPr>
      <w:r w:rsidRPr="0024714B">
        <w:rPr>
          <w:rFonts w:cs="Arial"/>
          <w:b/>
          <w:szCs w:val="20"/>
        </w:rPr>
        <w:t>Opšta stopa ugovaranja</w:t>
      </w:r>
      <w:r w:rsidRPr="0024714B">
        <w:rPr>
          <w:rFonts w:cs="Arial"/>
          <w:szCs w:val="20"/>
        </w:rPr>
        <w:t xml:space="preserve"> = Ugovoreni iznos do </w:t>
      </w:r>
      <w:r>
        <w:rPr>
          <w:rFonts w:cs="Arial"/>
          <w:szCs w:val="20"/>
        </w:rPr>
        <w:t xml:space="preserve">krajnjeg </w:t>
      </w:r>
      <w:r w:rsidRPr="0024714B">
        <w:rPr>
          <w:rFonts w:cs="Arial"/>
          <w:szCs w:val="20"/>
        </w:rPr>
        <w:t>datuma / Dostupan iznos za program * 100</w:t>
      </w:r>
    </w:p>
    <w:p w14:paraId="1D1C2B3B" w14:textId="77777777" w:rsidR="00091B36" w:rsidRPr="00DA026F" w:rsidRDefault="00091B36" w:rsidP="00091B36">
      <w:pPr>
        <w:spacing w:before="120"/>
        <w:rPr>
          <w:rFonts w:cs="Arial"/>
          <w:szCs w:val="20"/>
          <w:u w:val="single"/>
        </w:rPr>
      </w:pPr>
      <w:r w:rsidRPr="00DA026F">
        <w:rPr>
          <w:rFonts w:cs="Arial"/>
          <w:szCs w:val="20"/>
          <w:u w:val="single"/>
        </w:rPr>
        <w:t>Plaćanja</w:t>
      </w:r>
    </w:p>
    <w:p w14:paraId="5CB3470E" w14:textId="77777777" w:rsidR="00091B36" w:rsidRPr="0024714B" w:rsidRDefault="00091B36" w:rsidP="00091B36">
      <w:pPr>
        <w:spacing w:before="120"/>
        <w:rPr>
          <w:rFonts w:cs="Arial"/>
          <w:szCs w:val="20"/>
        </w:rPr>
      </w:pPr>
      <w:r w:rsidRPr="0024714B">
        <w:rPr>
          <w:rFonts w:cs="Arial"/>
          <w:b/>
          <w:szCs w:val="20"/>
        </w:rPr>
        <w:t>Opšta stopa plaćanja</w:t>
      </w:r>
      <w:r w:rsidRPr="0024714B">
        <w:rPr>
          <w:rFonts w:cs="Arial"/>
          <w:szCs w:val="20"/>
        </w:rPr>
        <w:t xml:space="preserve"> = Plaćeni iznos do </w:t>
      </w:r>
      <w:r>
        <w:rPr>
          <w:rFonts w:cs="Arial"/>
          <w:szCs w:val="20"/>
        </w:rPr>
        <w:t xml:space="preserve">krajnjeg </w:t>
      </w:r>
      <w:r w:rsidRPr="0024714B">
        <w:rPr>
          <w:rFonts w:cs="Arial"/>
          <w:szCs w:val="20"/>
        </w:rPr>
        <w:t>datuma / Dostupan iznos za program * 100</w:t>
      </w:r>
    </w:p>
    <w:p w14:paraId="64B9CF02" w14:textId="77777777" w:rsidR="00091B36" w:rsidRPr="0024714B" w:rsidRDefault="00091B36" w:rsidP="00091B36">
      <w:pPr>
        <w:spacing w:before="120"/>
        <w:rPr>
          <w:rFonts w:cs="Arial"/>
          <w:szCs w:val="20"/>
        </w:rPr>
      </w:pPr>
      <w:r w:rsidRPr="0024714B">
        <w:rPr>
          <w:rFonts w:cs="Arial"/>
          <w:b/>
          <w:szCs w:val="20"/>
        </w:rPr>
        <w:t>Opšta stopa plaćanja</w:t>
      </w:r>
      <w:r w:rsidRPr="0024714B">
        <w:rPr>
          <w:rFonts w:cs="Arial"/>
          <w:szCs w:val="20"/>
        </w:rPr>
        <w:t xml:space="preserve"> = Plaćeni iznos do </w:t>
      </w:r>
      <w:r>
        <w:rPr>
          <w:rFonts w:cs="Arial"/>
          <w:szCs w:val="20"/>
        </w:rPr>
        <w:t xml:space="preserve">krajnjeg </w:t>
      </w:r>
      <w:r w:rsidRPr="0024714B">
        <w:rPr>
          <w:rFonts w:cs="Arial"/>
          <w:szCs w:val="20"/>
        </w:rPr>
        <w:t>datuma / Ugovoreni iznos za program * 100</w:t>
      </w:r>
    </w:p>
    <w:p w14:paraId="47476148" w14:textId="77777777" w:rsidR="00091B36" w:rsidRPr="0024714B" w:rsidRDefault="00091B36" w:rsidP="00091B36">
      <w:pPr>
        <w:spacing w:before="120"/>
        <w:rPr>
          <w:rFonts w:cs="Arial"/>
          <w:szCs w:val="20"/>
        </w:rPr>
      </w:pPr>
      <w:r w:rsidRPr="0024714B">
        <w:rPr>
          <w:rFonts w:cs="Arial"/>
          <w:b/>
          <w:szCs w:val="20"/>
        </w:rPr>
        <w:t>Stopa plaćanja za tekuću godinu</w:t>
      </w:r>
      <w:r w:rsidRPr="0024714B">
        <w:rPr>
          <w:rFonts w:cs="Arial"/>
          <w:szCs w:val="20"/>
        </w:rPr>
        <w:t xml:space="preserve"> = Plaćanja izvršena do </w:t>
      </w:r>
      <w:r>
        <w:rPr>
          <w:rFonts w:cs="Arial"/>
          <w:szCs w:val="20"/>
        </w:rPr>
        <w:t xml:space="preserve">krajnjeg </w:t>
      </w:r>
      <w:r w:rsidRPr="0024714B">
        <w:rPr>
          <w:rFonts w:cs="Arial"/>
          <w:szCs w:val="20"/>
        </w:rPr>
        <w:t>datuma / Plaćanja planirana za tekuću godinu * 100</w:t>
      </w:r>
    </w:p>
    <w:p w14:paraId="186BF408" w14:textId="77777777" w:rsidR="00091B36" w:rsidRPr="0024714B" w:rsidRDefault="00091B36" w:rsidP="00091B36">
      <w:pPr>
        <w:spacing w:before="120"/>
        <w:rPr>
          <w:rFonts w:cs="Arial"/>
          <w:szCs w:val="20"/>
        </w:rPr>
      </w:pPr>
      <w:r w:rsidRPr="0024714B">
        <w:rPr>
          <w:rFonts w:cs="Arial"/>
          <w:b/>
          <w:szCs w:val="20"/>
        </w:rPr>
        <w:t xml:space="preserve">Stopa kasnih plaćanja </w:t>
      </w:r>
      <w:r>
        <w:rPr>
          <w:rFonts w:cs="Arial"/>
          <w:b/>
          <w:szCs w:val="20"/>
        </w:rPr>
        <w:t>izvođačima</w:t>
      </w:r>
      <w:r w:rsidRPr="0024714B">
        <w:rPr>
          <w:rFonts w:cs="Arial"/>
          <w:szCs w:val="20"/>
        </w:rPr>
        <w:t xml:space="preserve"> = Br. svih kasnih plaćanja </w:t>
      </w:r>
      <w:r>
        <w:rPr>
          <w:rFonts w:cs="Arial"/>
          <w:szCs w:val="20"/>
        </w:rPr>
        <w:t>izvođačima</w:t>
      </w:r>
      <w:r w:rsidRPr="0024714B">
        <w:rPr>
          <w:rFonts w:cs="Arial"/>
          <w:szCs w:val="20"/>
        </w:rPr>
        <w:t xml:space="preserve"> / Br. svih plaćanja </w:t>
      </w:r>
      <w:r>
        <w:rPr>
          <w:rFonts w:cs="Arial"/>
          <w:szCs w:val="20"/>
        </w:rPr>
        <w:t>izvođačima</w:t>
      </w:r>
      <w:r w:rsidRPr="0024714B">
        <w:rPr>
          <w:rFonts w:cs="Arial"/>
          <w:szCs w:val="20"/>
        </w:rPr>
        <w:t xml:space="preserve"> * 100</w:t>
      </w:r>
    </w:p>
    <w:p w14:paraId="007D8777" w14:textId="77777777" w:rsidR="00091B36" w:rsidRPr="00DA026F" w:rsidRDefault="00091B36" w:rsidP="00091B36">
      <w:pPr>
        <w:spacing w:before="120"/>
        <w:rPr>
          <w:rFonts w:cs="Arial"/>
          <w:szCs w:val="20"/>
          <w:u w:val="single"/>
        </w:rPr>
      </w:pPr>
      <w:r w:rsidRPr="00DA026F">
        <w:rPr>
          <w:rFonts w:cs="Arial"/>
          <w:szCs w:val="20"/>
          <w:u w:val="single"/>
        </w:rPr>
        <w:t>Prijavljeni troškovi</w:t>
      </w:r>
    </w:p>
    <w:p w14:paraId="6AC28851" w14:textId="77777777" w:rsidR="00091B36" w:rsidRPr="0024714B" w:rsidRDefault="00091B36" w:rsidP="00091B36">
      <w:pPr>
        <w:spacing w:before="120"/>
        <w:rPr>
          <w:rFonts w:cs="Arial"/>
          <w:szCs w:val="20"/>
        </w:rPr>
      </w:pPr>
      <w:r w:rsidRPr="0024714B">
        <w:rPr>
          <w:rFonts w:cs="Arial"/>
          <w:b/>
          <w:szCs w:val="20"/>
        </w:rPr>
        <w:t>Opšta stopa prijavljenih troškova</w:t>
      </w:r>
      <w:r w:rsidRPr="0024714B">
        <w:rPr>
          <w:rFonts w:cs="Arial"/>
          <w:szCs w:val="20"/>
        </w:rPr>
        <w:t xml:space="preserve"> = Troškovi prijavljeni do </w:t>
      </w:r>
      <w:r>
        <w:rPr>
          <w:rFonts w:cs="Arial"/>
          <w:szCs w:val="20"/>
        </w:rPr>
        <w:t xml:space="preserve">krajnjeg </w:t>
      </w:r>
      <w:r w:rsidRPr="0024714B">
        <w:rPr>
          <w:rFonts w:cs="Arial"/>
          <w:szCs w:val="20"/>
        </w:rPr>
        <w:t>datuma / Dostupan iznos za program * 100</w:t>
      </w:r>
    </w:p>
    <w:p w14:paraId="43F46C16" w14:textId="77777777" w:rsidR="00091B36" w:rsidRPr="0024714B" w:rsidRDefault="00091B36" w:rsidP="00091B36">
      <w:pPr>
        <w:spacing w:before="120"/>
        <w:rPr>
          <w:rFonts w:cs="Arial"/>
          <w:szCs w:val="20"/>
        </w:rPr>
      </w:pPr>
      <w:r w:rsidRPr="0024714B">
        <w:rPr>
          <w:rFonts w:cs="Arial"/>
          <w:b/>
          <w:szCs w:val="20"/>
        </w:rPr>
        <w:t>Opšta stopa prijavljenih troškova</w:t>
      </w:r>
      <w:r w:rsidRPr="0024714B">
        <w:rPr>
          <w:rFonts w:cs="Arial"/>
          <w:szCs w:val="20"/>
        </w:rPr>
        <w:t xml:space="preserve"> = Troškovi prijavljeni do </w:t>
      </w:r>
      <w:r>
        <w:rPr>
          <w:rFonts w:cs="Arial"/>
          <w:szCs w:val="20"/>
        </w:rPr>
        <w:t xml:space="preserve">krajnjeg </w:t>
      </w:r>
      <w:r w:rsidRPr="0024714B">
        <w:rPr>
          <w:rFonts w:cs="Arial"/>
          <w:szCs w:val="20"/>
        </w:rPr>
        <w:t>datuma / Ugovoreni iznos za program * 100</w:t>
      </w:r>
    </w:p>
    <w:p w14:paraId="12E35313" w14:textId="77777777" w:rsidR="00091B36" w:rsidRPr="00DA026F" w:rsidRDefault="00091B36" w:rsidP="00091B36">
      <w:pPr>
        <w:spacing w:before="120"/>
        <w:rPr>
          <w:rFonts w:cs="Arial"/>
          <w:szCs w:val="20"/>
          <w:u w:val="single"/>
        </w:rPr>
      </w:pPr>
      <w:r w:rsidRPr="00DA026F">
        <w:rPr>
          <w:rFonts w:cs="Arial"/>
          <w:szCs w:val="20"/>
          <w:u w:val="single"/>
        </w:rPr>
        <w:t>Tenderi i Pozivi za Prijave (postupci dodjele) uključujući stope odbijanja</w:t>
      </w:r>
    </w:p>
    <w:p w14:paraId="35F6B387" w14:textId="77777777" w:rsidR="00091B36" w:rsidRPr="0024714B" w:rsidRDefault="00091B36" w:rsidP="00091B36">
      <w:pPr>
        <w:spacing w:before="120"/>
        <w:rPr>
          <w:rFonts w:cs="Arial"/>
          <w:szCs w:val="20"/>
        </w:rPr>
      </w:pPr>
      <w:r w:rsidRPr="0024714B">
        <w:rPr>
          <w:rFonts w:cs="Arial"/>
          <w:b/>
          <w:szCs w:val="20"/>
        </w:rPr>
        <w:t>Stopa pokrenutih postupaka dodjele</w:t>
      </w:r>
      <w:r w:rsidRPr="0024714B">
        <w:rPr>
          <w:rFonts w:cs="Arial"/>
          <w:szCs w:val="20"/>
        </w:rPr>
        <w:t xml:space="preserve"> = Br. pokrenutih tendera / Br. tendera planiranih za pokretanje [Obav</w:t>
      </w:r>
      <w:r>
        <w:rPr>
          <w:rFonts w:cs="Arial"/>
          <w:szCs w:val="20"/>
        </w:rPr>
        <w:t>j</w:t>
      </w:r>
      <w:r w:rsidRPr="0024714B">
        <w:rPr>
          <w:rFonts w:cs="Arial"/>
          <w:szCs w:val="20"/>
        </w:rPr>
        <w:t>eštenja o ugovorima, Pozivi za prijave (CfP</w:t>
      </w:r>
      <w:r>
        <w:rPr>
          <w:rFonts w:cs="Arial"/>
          <w:szCs w:val="20"/>
        </w:rPr>
        <w:t>-i</w:t>
      </w:r>
      <w:r w:rsidRPr="0024714B">
        <w:rPr>
          <w:rFonts w:cs="Arial"/>
          <w:szCs w:val="20"/>
        </w:rPr>
        <w:t>)] * 100</w:t>
      </w:r>
    </w:p>
    <w:p w14:paraId="545221A7" w14:textId="77777777" w:rsidR="00091B36" w:rsidRPr="0024714B" w:rsidRDefault="00091B36" w:rsidP="00091B36">
      <w:pPr>
        <w:spacing w:before="120"/>
        <w:rPr>
          <w:rFonts w:cs="Arial"/>
          <w:szCs w:val="20"/>
        </w:rPr>
      </w:pPr>
      <w:r w:rsidRPr="0024714B">
        <w:rPr>
          <w:rFonts w:cs="Arial"/>
          <w:b/>
          <w:szCs w:val="20"/>
        </w:rPr>
        <w:t>Stopa na vr</w:t>
      </w:r>
      <w:r>
        <w:rPr>
          <w:rFonts w:cs="Arial"/>
          <w:b/>
          <w:szCs w:val="20"/>
        </w:rPr>
        <w:t>ij</w:t>
      </w:r>
      <w:r w:rsidRPr="0024714B">
        <w:rPr>
          <w:rFonts w:cs="Arial"/>
          <w:b/>
          <w:szCs w:val="20"/>
        </w:rPr>
        <w:t>eme</w:t>
      </w:r>
      <w:r w:rsidRPr="0024714B">
        <w:rPr>
          <w:rFonts w:cs="Arial"/>
          <w:szCs w:val="20"/>
        </w:rPr>
        <w:t xml:space="preserve"> </w:t>
      </w:r>
      <w:r w:rsidRPr="0024714B">
        <w:rPr>
          <w:rFonts w:cs="Arial"/>
          <w:b/>
          <w:szCs w:val="20"/>
        </w:rPr>
        <w:t xml:space="preserve">pokrenutih postupaka dodjele </w:t>
      </w:r>
      <w:r w:rsidRPr="0024714B">
        <w:rPr>
          <w:rFonts w:cs="Arial"/>
          <w:szCs w:val="20"/>
        </w:rPr>
        <w:t>= Br. tendera pokrenutih na vr</w:t>
      </w:r>
      <w:r>
        <w:rPr>
          <w:rFonts w:cs="Arial"/>
          <w:szCs w:val="20"/>
        </w:rPr>
        <w:t>ij</w:t>
      </w:r>
      <w:r w:rsidRPr="0024714B">
        <w:rPr>
          <w:rFonts w:cs="Arial"/>
          <w:szCs w:val="20"/>
        </w:rPr>
        <w:t>eme / Br. tendera planiranih za pokretanje (Obav</w:t>
      </w:r>
      <w:r>
        <w:rPr>
          <w:rFonts w:cs="Arial"/>
          <w:szCs w:val="20"/>
        </w:rPr>
        <w:t>j</w:t>
      </w:r>
      <w:r w:rsidRPr="0024714B">
        <w:rPr>
          <w:rFonts w:cs="Arial"/>
          <w:szCs w:val="20"/>
        </w:rPr>
        <w:t>eštenja o ugovorima, CfP</w:t>
      </w:r>
      <w:r>
        <w:rPr>
          <w:rFonts w:cs="Arial"/>
          <w:szCs w:val="20"/>
        </w:rPr>
        <w:t>i</w:t>
      </w:r>
      <w:r w:rsidRPr="0024714B">
        <w:rPr>
          <w:rFonts w:cs="Arial"/>
          <w:szCs w:val="20"/>
        </w:rPr>
        <w:t>) * 100</w:t>
      </w:r>
    </w:p>
    <w:p w14:paraId="6DE1D4D0" w14:textId="77777777" w:rsidR="00091B36" w:rsidRPr="0024714B" w:rsidRDefault="00091B36" w:rsidP="00091B36">
      <w:pPr>
        <w:spacing w:before="120"/>
        <w:rPr>
          <w:rFonts w:cs="Arial"/>
          <w:szCs w:val="20"/>
        </w:rPr>
      </w:pPr>
      <w:r w:rsidRPr="0024714B">
        <w:rPr>
          <w:rFonts w:cs="Arial"/>
          <w:b/>
          <w:szCs w:val="20"/>
        </w:rPr>
        <w:t>Stopa odbijanja za podnošenje Smjernica za aplikante (GfA)/paket</w:t>
      </w:r>
      <w:r>
        <w:rPr>
          <w:rFonts w:cs="Arial"/>
          <w:b/>
          <w:szCs w:val="20"/>
        </w:rPr>
        <w:t>e</w:t>
      </w:r>
      <w:r w:rsidRPr="0024714B">
        <w:rPr>
          <w:rFonts w:cs="Arial"/>
          <w:b/>
          <w:szCs w:val="20"/>
        </w:rPr>
        <w:t xml:space="preserve"> prijava</w:t>
      </w:r>
      <w:r w:rsidRPr="0024714B">
        <w:rPr>
          <w:rFonts w:cs="Arial"/>
          <w:szCs w:val="20"/>
        </w:rPr>
        <w:t xml:space="preserve"> = Br. odbijenih GfA -poziva za prijave / Br. GfA - poziva za prijave podn</w:t>
      </w:r>
      <w:r>
        <w:rPr>
          <w:rFonts w:cs="Arial"/>
          <w:szCs w:val="20"/>
        </w:rPr>
        <w:t>ij</w:t>
      </w:r>
      <w:r w:rsidRPr="0024714B">
        <w:rPr>
          <w:rFonts w:cs="Arial"/>
          <w:szCs w:val="20"/>
        </w:rPr>
        <w:t xml:space="preserve">etih </w:t>
      </w:r>
      <w:r>
        <w:rPr>
          <w:rFonts w:cs="Arial"/>
          <w:szCs w:val="20"/>
        </w:rPr>
        <w:t>Delegaciji EU</w:t>
      </w:r>
      <w:r w:rsidRPr="0024714B">
        <w:rPr>
          <w:rFonts w:cs="Arial"/>
          <w:szCs w:val="20"/>
        </w:rPr>
        <w:t xml:space="preserve"> * 100</w:t>
      </w:r>
    </w:p>
    <w:p w14:paraId="0BAE24E7" w14:textId="77777777" w:rsidR="00091B36" w:rsidRPr="0024714B" w:rsidRDefault="00091B36" w:rsidP="00091B36">
      <w:pPr>
        <w:spacing w:before="120"/>
        <w:rPr>
          <w:rFonts w:cs="Arial"/>
          <w:szCs w:val="20"/>
        </w:rPr>
      </w:pPr>
      <w:r w:rsidRPr="0024714B">
        <w:rPr>
          <w:rFonts w:cs="Arial"/>
          <w:b/>
          <w:szCs w:val="20"/>
        </w:rPr>
        <w:t>Stopa odbijanja evaluacionih izveštaja</w:t>
      </w:r>
      <w:r w:rsidRPr="0024714B">
        <w:rPr>
          <w:rFonts w:cs="Arial"/>
          <w:szCs w:val="20"/>
        </w:rPr>
        <w:t xml:space="preserve"> = Br. odbijenih evaluacionih izv</w:t>
      </w:r>
      <w:r>
        <w:rPr>
          <w:rFonts w:cs="Arial"/>
          <w:szCs w:val="20"/>
        </w:rPr>
        <w:t>j</w:t>
      </w:r>
      <w:r w:rsidRPr="0024714B">
        <w:rPr>
          <w:rFonts w:cs="Arial"/>
          <w:szCs w:val="20"/>
        </w:rPr>
        <w:t>eštaja / Br. evaluacionih izv</w:t>
      </w:r>
      <w:r>
        <w:rPr>
          <w:rFonts w:cs="Arial"/>
          <w:szCs w:val="20"/>
        </w:rPr>
        <w:t>j</w:t>
      </w:r>
      <w:r w:rsidRPr="0024714B">
        <w:rPr>
          <w:rFonts w:cs="Arial"/>
          <w:szCs w:val="20"/>
        </w:rPr>
        <w:t>eštaja podn</w:t>
      </w:r>
      <w:r>
        <w:rPr>
          <w:rFonts w:cs="Arial"/>
          <w:szCs w:val="20"/>
        </w:rPr>
        <w:t>ij</w:t>
      </w:r>
      <w:r w:rsidRPr="0024714B">
        <w:rPr>
          <w:rFonts w:cs="Arial"/>
          <w:szCs w:val="20"/>
        </w:rPr>
        <w:t xml:space="preserve">etih </w:t>
      </w:r>
      <w:r>
        <w:rPr>
          <w:rFonts w:cs="Arial"/>
          <w:szCs w:val="20"/>
        </w:rPr>
        <w:t>Delegaciji EU</w:t>
      </w:r>
      <w:r w:rsidRPr="0024714B">
        <w:rPr>
          <w:rFonts w:cs="Arial"/>
          <w:szCs w:val="20"/>
        </w:rPr>
        <w:t xml:space="preserve"> * 100</w:t>
      </w:r>
    </w:p>
    <w:p w14:paraId="32CA76C7" w14:textId="77777777" w:rsidR="00091B36" w:rsidRPr="0024714B" w:rsidRDefault="00091B36" w:rsidP="00091B36">
      <w:pPr>
        <w:spacing w:before="120"/>
        <w:rPr>
          <w:rFonts w:cs="Arial"/>
          <w:szCs w:val="20"/>
        </w:rPr>
      </w:pPr>
      <w:r w:rsidRPr="0024714B">
        <w:rPr>
          <w:rFonts w:cs="Arial"/>
          <w:b/>
          <w:szCs w:val="20"/>
        </w:rPr>
        <w:t>Stopa odbijanja ugovora</w:t>
      </w:r>
      <w:r w:rsidRPr="0024714B">
        <w:rPr>
          <w:rFonts w:cs="Arial"/>
          <w:szCs w:val="20"/>
        </w:rPr>
        <w:t xml:space="preserve"> = Br. odbijenih ugovora / Br. ugovora podn</w:t>
      </w:r>
      <w:r>
        <w:rPr>
          <w:rFonts w:cs="Arial"/>
          <w:szCs w:val="20"/>
        </w:rPr>
        <w:t>ij</w:t>
      </w:r>
      <w:r w:rsidRPr="0024714B">
        <w:rPr>
          <w:rFonts w:cs="Arial"/>
          <w:szCs w:val="20"/>
        </w:rPr>
        <w:t xml:space="preserve">etih </w:t>
      </w:r>
      <w:r>
        <w:rPr>
          <w:rFonts w:cs="Arial"/>
          <w:szCs w:val="20"/>
        </w:rPr>
        <w:t xml:space="preserve">Delegaciji </w:t>
      </w:r>
      <w:r w:rsidRPr="0024714B">
        <w:rPr>
          <w:rFonts w:cs="Arial"/>
          <w:szCs w:val="20"/>
        </w:rPr>
        <w:t>EU * 100</w:t>
      </w:r>
    </w:p>
    <w:p w14:paraId="1C3B875D" w14:textId="77777777" w:rsidR="00091B36" w:rsidRPr="00DA026F" w:rsidRDefault="00091B36" w:rsidP="00091B36">
      <w:pPr>
        <w:spacing w:before="120"/>
        <w:rPr>
          <w:rFonts w:cs="Arial"/>
          <w:szCs w:val="20"/>
          <w:u w:val="single"/>
        </w:rPr>
      </w:pPr>
      <w:r w:rsidRPr="00DA026F">
        <w:rPr>
          <w:rFonts w:cs="Arial"/>
          <w:szCs w:val="20"/>
          <w:u w:val="single"/>
        </w:rPr>
        <w:lastRenderedPageBreak/>
        <w:t>Verifikacije, nepravilnosti i povr</w:t>
      </w:r>
      <w:r>
        <w:rPr>
          <w:rFonts w:cs="Arial"/>
          <w:szCs w:val="20"/>
          <w:u w:val="single"/>
        </w:rPr>
        <w:t>aćaji</w:t>
      </w:r>
      <w:r w:rsidRPr="00FC0E29">
        <w:rPr>
          <w:rStyle w:val="FootnoteReference"/>
          <w:rFonts w:cs="Arial"/>
          <w:szCs w:val="20"/>
        </w:rPr>
        <w:footnoteReference w:id="275"/>
      </w:r>
      <w:r w:rsidRPr="00DA026F">
        <w:rPr>
          <w:rFonts w:cs="Arial"/>
          <w:szCs w:val="20"/>
          <w:u w:val="single"/>
        </w:rPr>
        <w:t xml:space="preserve">  </w:t>
      </w:r>
    </w:p>
    <w:p w14:paraId="32C4B0CF" w14:textId="77777777" w:rsidR="00091B36" w:rsidRPr="00E00D32" w:rsidRDefault="00091B36" w:rsidP="00091B36">
      <w:pPr>
        <w:spacing w:before="120"/>
        <w:rPr>
          <w:rFonts w:cs="Arial"/>
          <w:szCs w:val="20"/>
        </w:rPr>
      </w:pPr>
      <w:r w:rsidRPr="00E00D32">
        <w:rPr>
          <w:rFonts w:cs="Arial"/>
          <w:b/>
          <w:szCs w:val="20"/>
        </w:rPr>
        <w:t xml:space="preserve">Stopa kontrola na </w:t>
      </w:r>
      <w:r>
        <w:rPr>
          <w:rFonts w:cs="Arial"/>
          <w:b/>
          <w:szCs w:val="20"/>
        </w:rPr>
        <w:t>licu mjesta</w:t>
      </w:r>
      <w:r w:rsidRPr="00E00D32">
        <w:rPr>
          <w:rFonts w:cs="Arial"/>
          <w:b/>
          <w:szCs w:val="20"/>
        </w:rPr>
        <w:t xml:space="preserve"> (OTSC)</w:t>
      </w:r>
      <w:r w:rsidRPr="00E00D32">
        <w:rPr>
          <w:rFonts w:cs="Arial"/>
          <w:szCs w:val="20"/>
        </w:rPr>
        <w:t xml:space="preserve"> = Br. kontrola na </w:t>
      </w:r>
      <w:r>
        <w:rPr>
          <w:rFonts w:cs="Arial"/>
          <w:szCs w:val="20"/>
        </w:rPr>
        <w:t>licu mjesta</w:t>
      </w:r>
      <w:r w:rsidRPr="00E00D32">
        <w:rPr>
          <w:rFonts w:cs="Arial"/>
          <w:szCs w:val="20"/>
        </w:rPr>
        <w:t xml:space="preserve"> obavljenih / Br. planiranih kontrola na </w:t>
      </w:r>
      <w:r>
        <w:rPr>
          <w:rFonts w:cs="Arial"/>
          <w:szCs w:val="20"/>
        </w:rPr>
        <w:t>licu mjesta</w:t>
      </w:r>
      <w:r w:rsidRPr="00E00D32">
        <w:rPr>
          <w:rFonts w:cs="Arial"/>
          <w:szCs w:val="20"/>
        </w:rPr>
        <w:t xml:space="preserve"> * 100  </w:t>
      </w:r>
    </w:p>
    <w:p w14:paraId="3EBFCD9D" w14:textId="77777777" w:rsidR="00091B36" w:rsidRPr="00E00D32" w:rsidRDefault="00091B36" w:rsidP="00091B36">
      <w:pPr>
        <w:spacing w:before="120"/>
        <w:rPr>
          <w:rFonts w:cs="Arial"/>
          <w:szCs w:val="20"/>
        </w:rPr>
      </w:pPr>
      <w:r w:rsidRPr="00E00D32">
        <w:rPr>
          <w:rFonts w:cs="Arial"/>
          <w:b/>
          <w:szCs w:val="20"/>
        </w:rPr>
        <w:t xml:space="preserve">Stopa nedostataka kontrola na </w:t>
      </w:r>
      <w:r>
        <w:rPr>
          <w:rFonts w:cs="Arial"/>
          <w:b/>
          <w:szCs w:val="20"/>
        </w:rPr>
        <w:t>licu mjesta</w:t>
      </w:r>
      <w:r w:rsidRPr="00E00D32">
        <w:rPr>
          <w:rFonts w:cs="Arial"/>
          <w:szCs w:val="20"/>
        </w:rPr>
        <w:t xml:space="preserve"> = Br. OTSC izv</w:t>
      </w:r>
      <w:r>
        <w:rPr>
          <w:rFonts w:cs="Arial"/>
          <w:szCs w:val="20"/>
        </w:rPr>
        <w:t>j</w:t>
      </w:r>
      <w:r w:rsidRPr="00E00D32">
        <w:rPr>
          <w:rFonts w:cs="Arial"/>
          <w:szCs w:val="20"/>
        </w:rPr>
        <w:t>eštaja sa preporukama / Br. OTSC izv</w:t>
      </w:r>
      <w:r>
        <w:rPr>
          <w:rFonts w:cs="Arial"/>
          <w:szCs w:val="20"/>
        </w:rPr>
        <w:t>j</w:t>
      </w:r>
      <w:r w:rsidRPr="00E00D32">
        <w:rPr>
          <w:rFonts w:cs="Arial"/>
          <w:szCs w:val="20"/>
        </w:rPr>
        <w:t xml:space="preserve">eštaja izdatih * 100  </w:t>
      </w:r>
    </w:p>
    <w:p w14:paraId="5F3FE6C3" w14:textId="77777777" w:rsidR="00091B36" w:rsidRPr="00E00D32" w:rsidRDefault="00091B36" w:rsidP="00091B36">
      <w:pPr>
        <w:spacing w:before="120"/>
        <w:rPr>
          <w:rFonts w:cs="Arial"/>
          <w:szCs w:val="20"/>
        </w:rPr>
      </w:pPr>
      <w:r w:rsidRPr="00E00D32">
        <w:rPr>
          <w:rFonts w:cs="Arial"/>
          <w:b/>
          <w:szCs w:val="20"/>
        </w:rPr>
        <w:t xml:space="preserve">Stopa neprihvatljivih troškova od strane </w:t>
      </w:r>
      <w:r>
        <w:rPr>
          <w:rFonts w:cs="Arial"/>
          <w:b/>
          <w:szCs w:val="20"/>
        </w:rPr>
        <w:t>UGT</w:t>
      </w:r>
      <w:r w:rsidRPr="00E00D32">
        <w:rPr>
          <w:rFonts w:cs="Arial"/>
          <w:szCs w:val="20"/>
        </w:rPr>
        <w:t xml:space="preserve"> = Ukupni neprihvatljivi troškovi identifikovani od strane </w:t>
      </w:r>
      <w:r>
        <w:rPr>
          <w:rFonts w:cs="Arial"/>
          <w:szCs w:val="20"/>
        </w:rPr>
        <w:t>UGT</w:t>
      </w:r>
      <w:r w:rsidRPr="00E00D32">
        <w:rPr>
          <w:rFonts w:cs="Arial"/>
          <w:szCs w:val="20"/>
        </w:rPr>
        <w:t xml:space="preserve"> u zaht</w:t>
      </w:r>
      <w:r>
        <w:rPr>
          <w:rFonts w:cs="Arial"/>
          <w:szCs w:val="20"/>
        </w:rPr>
        <w:t>j</w:t>
      </w:r>
      <w:r w:rsidRPr="00E00D32">
        <w:rPr>
          <w:rFonts w:cs="Arial"/>
          <w:szCs w:val="20"/>
        </w:rPr>
        <w:t>evima za plaćanje koje su podn</w:t>
      </w:r>
      <w:r>
        <w:rPr>
          <w:rFonts w:cs="Arial"/>
          <w:szCs w:val="20"/>
        </w:rPr>
        <w:t>ij</w:t>
      </w:r>
      <w:r w:rsidRPr="00E00D32">
        <w:rPr>
          <w:rFonts w:cs="Arial"/>
          <w:szCs w:val="20"/>
        </w:rPr>
        <w:t>eli izvođači ili korisnici grantova / ukup</w:t>
      </w:r>
      <w:r>
        <w:rPr>
          <w:rFonts w:cs="Arial"/>
          <w:szCs w:val="20"/>
        </w:rPr>
        <w:t>an</w:t>
      </w:r>
      <w:r w:rsidRPr="00E00D32">
        <w:rPr>
          <w:rFonts w:cs="Arial"/>
          <w:szCs w:val="20"/>
        </w:rPr>
        <w:t xml:space="preserve"> iznos koji su zaht</w:t>
      </w:r>
      <w:r>
        <w:rPr>
          <w:rFonts w:cs="Arial"/>
          <w:szCs w:val="20"/>
        </w:rPr>
        <w:t>ij</w:t>
      </w:r>
      <w:r w:rsidRPr="00E00D32">
        <w:rPr>
          <w:rFonts w:cs="Arial"/>
          <w:szCs w:val="20"/>
        </w:rPr>
        <w:t xml:space="preserve">evali izvođači ili korisnici grantova * 100  </w:t>
      </w:r>
    </w:p>
    <w:p w14:paraId="3184A1CE" w14:textId="77777777" w:rsidR="00091B36" w:rsidRPr="00E00D32" w:rsidRDefault="00091B36" w:rsidP="00091B36">
      <w:pPr>
        <w:spacing w:before="120"/>
        <w:rPr>
          <w:rFonts w:cs="Arial"/>
          <w:szCs w:val="20"/>
        </w:rPr>
      </w:pPr>
      <w:r w:rsidRPr="00E00D32">
        <w:rPr>
          <w:rFonts w:cs="Arial"/>
          <w:b/>
          <w:szCs w:val="20"/>
        </w:rPr>
        <w:t>Stopa neprihvatljivih troškova identifikovanih spoljnim revizijama/kontrolama</w:t>
      </w:r>
      <w:r w:rsidRPr="00E00D32">
        <w:rPr>
          <w:rFonts w:cs="Arial"/>
          <w:szCs w:val="20"/>
        </w:rPr>
        <w:t xml:space="preserve"> = Br. nalaza sa identifikovanim neprihvatljivim troškovima / Br. ugovora koji su bili predmet revizije * 100  </w:t>
      </w:r>
    </w:p>
    <w:p w14:paraId="484022F1" w14:textId="77777777" w:rsidR="00091B36" w:rsidRPr="00E00D32" w:rsidRDefault="00091B36" w:rsidP="00091B36">
      <w:pPr>
        <w:spacing w:before="120"/>
        <w:rPr>
          <w:rFonts w:cs="Arial"/>
          <w:szCs w:val="20"/>
        </w:rPr>
      </w:pPr>
      <w:r w:rsidRPr="00E00D32">
        <w:rPr>
          <w:rFonts w:cs="Arial"/>
          <w:b/>
          <w:szCs w:val="20"/>
        </w:rPr>
        <w:t>Stopa nepravilnosti sa finansijskim uticajem na program</w:t>
      </w:r>
      <w:r w:rsidRPr="00E00D32">
        <w:rPr>
          <w:rFonts w:cs="Arial"/>
          <w:szCs w:val="20"/>
        </w:rPr>
        <w:t xml:space="preserve"> = Br. nepravilnosti sa finansijskim uticajem / ukupan br. prijavljenih nepravilnosti * 100  </w:t>
      </w:r>
    </w:p>
    <w:p w14:paraId="5F895FD9" w14:textId="77777777" w:rsidR="00091B36" w:rsidRPr="00E00D32" w:rsidRDefault="00091B36" w:rsidP="00091B36">
      <w:pPr>
        <w:spacing w:before="120"/>
        <w:rPr>
          <w:rFonts w:cs="Arial"/>
          <w:szCs w:val="20"/>
        </w:rPr>
      </w:pPr>
      <w:r w:rsidRPr="00E00D32">
        <w:rPr>
          <w:rFonts w:cs="Arial"/>
          <w:b/>
          <w:szCs w:val="20"/>
        </w:rPr>
        <w:t>Stopa nepravilnosti sa finansijskim uticajem unutar izv</w:t>
      </w:r>
      <w:r>
        <w:rPr>
          <w:rFonts w:cs="Arial"/>
          <w:b/>
          <w:szCs w:val="20"/>
        </w:rPr>
        <w:t>j</w:t>
      </w:r>
      <w:r w:rsidRPr="00E00D32">
        <w:rPr>
          <w:rFonts w:cs="Arial"/>
          <w:b/>
          <w:szCs w:val="20"/>
        </w:rPr>
        <w:t>eštajnog perioda</w:t>
      </w:r>
      <w:r w:rsidRPr="00E00D32">
        <w:rPr>
          <w:rFonts w:cs="Arial"/>
          <w:szCs w:val="20"/>
        </w:rPr>
        <w:t xml:space="preserve"> = Br. nepravilnosti sa finansijskim uticajem / ukupan br. prijavljenih nepravilnosti unutar izv</w:t>
      </w:r>
      <w:r>
        <w:rPr>
          <w:rFonts w:cs="Arial"/>
          <w:szCs w:val="20"/>
        </w:rPr>
        <w:t>j</w:t>
      </w:r>
      <w:r w:rsidRPr="00E00D32">
        <w:rPr>
          <w:rFonts w:cs="Arial"/>
          <w:szCs w:val="20"/>
        </w:rPr>
        <w:t xml:space="preserve">eštajnog perioda * 100  </w:t>
      </w:r>
    </w:p>
    <w:p w14:paraId="342F020B" w14:textId="77777777" w:rsidR="00091B36" w:rsidRPr="00E00D32" w:rsidRDefault="00091B36" w:rsidP="00091B36">
      <w:pPr>
        <w:spacing w:before="120"/>
        <w:rPr>
          <w:rFonts w:cs="Arial"/>
          <w:szCs w:val="20"/>
        </w:rPr>
      </w:pPr>
      <w:r w:rsidRPr="00E00D32">
        <w:rPr>
          <w:rFonts w:cs="Arial"/>
          <w:b/>
          <w:szCs w:val="20"/>
        </w:rPr>
        <w:t>Stopa naloga za povra</w:t>
      </w:r>
      <w:r>
        <w:rPr>
          <w:rFonts w:cs="Arial"/>
          <w:b/>
          <w:szCs w:val="20"/>
        </w:rPr>
        <w:t>ćaj</w:t>
      </w:r>
      <w:r w:rsidRPr="00E00D32">
        <w:rPr>
          <w:rFonts w:cs="Arial"/>
          <w:szCs w:val="20"/>
        </w:rPr>
        <w:t xml:space="preserve"> = iznosi </w:t>
      </w:r>
      <w:r>
        <w:rPr>
          <w:rFonts w:cs="Arial"/>
          <w:szCs w:val="20"/>
        </w:rPr>
        <w:t xml:space="preserve">za </w:t>
      </w:r>
      <w:r w:rsidRPr="00E00D32">
        <w:rPr>
          <w:rFonts w:cs="Arial"/>
          <w:szCs w:val="20"/>
        </w:rPr>
        <w:t>koj</w:t>
      </w:r>
      <w:r>
        <w:rPr>
          <w:rFonts w:cs="Arial"/>
          <w:szCs w:val="20"/>
        </w:rPr>
        <w:t>e</w:t>
      </w:r>
      <w:r w:rsidRPr="00E00D32">
        <w:rPr>
          <w:rFonts w:cs="Arial"/>
          <w:szCs w:val="20"/>
        </w:rPr>
        <w:t xml:space="preserve"> se traž</w:t>
      </w:r>
      <w:r>
        <w:rPr>
          <w:rFonts w:cs="Arial"/>
          <w:szCs w:val="20"/>
        </w:rPr>
        <w:t>i</w:t>
      </w:r>
      <w:r w:rsidRPr="00E00D32">
        <w:rPr>
          <w:rFonts w:cs="Arial"/>
          <w:szCs w:val="20"/>
        </w:rPr>
        <w:t xml:space="preserve"> povra</w:t>
      </w:r>
      <w:r>
        <w:rPr>
          <w:rFonts w:cs="Arial"/>
          <w:szCs w:val="20"/>
        </w:rPr>
        <w:t>ćaj</w:t>
      </w:r>
      <w:r w:rsidRPr="00E00D32">
        <w:rPr>
          <w:rFonts w:cs="Arial"/>
          <w:szCs w:val="20"/>
        </w:rPr>
        <w:t xml:space="preserve"> / </w:t>
      </w:r>
      <w:r>
        <w:rPr>
          <w:rFonts w:cs="Arial"/>
          <w:szCs w:val="20"/>
        </w:rPr>
        <w:t>izvršena</w:t>
      </w:r>
      <w:r w:rsidRPr="00E00D32">
        <w:rPr>
          <w:rFonts w:cs="Arial"/>
          <w:szCs w:val="20"/>
        </w:rPr>
        <w:t xml:space="preserve"> plaćanja * 100  </w:t>
      </w:r>
    </w:p>
    <w:p w14:paraId="0A6E1D4B" w14:textId="77777777" w:rsidR="00091B36" w:rsidRPr="00E00D32" w:rsidRDefault="00091B36" w:rsidP="00091B36">
      <w:pPr>
        <w:spacing w:before="120"/>
        <w:rPr>
          <w:rFonts w:cs="Arial"/>
          <w:szCs w:val="20"/>
        </w:rPr>
      </w:pPr>
      <w:r w:rsidRPr="00E00D32">
        <w:rPr>
          <w:rFonts w:cs="Arial"/>
          <w:b/>
          <w:szCs w:val="20"/>
        </w:rPr>
        <w:t>Stopa povra</w:t>
      </w:r>
      <w:r>
        <w:rPr>
          <w:rFonts w:cs="Arial"/>
          <w:b/>
          <w:szCs w:val="20"/>
        </w:rPr>
        <w:t>ćaja</w:t>
      </w:r>
      <w:r w:rsidRPr="00E00D32">
        <w:rPr>
          <w:rFonts w:cs="Arial"/>
          <w:szCs w:val="20"/>
        </w:rPr>
        <w:t xml:space="preserve"> = iznosi </w:t>
      </w:r>
      <w:r>
        <w:rPr>
          <w:rFonts w:cs="Arial"/>
          <w:szCs w:val="20"/>
        </w:rPr>
        <w:t>po</w:t>
      </w:r>
      <w:r w:rsidRPr="00E00D32">
        <w:rPr>
          <w:rFonts w:cs="Arial"/>
          <w:szCs w:val="20"/>
        </w:rPr>
        <w:t>vraćeni / ukup</w:t>
      </w:r>
      <w:r>
        <w:rPr>
          <w:rFonts w:cs="Arial"/>
          <w:szCs w:val="20"/>
        </w:rPr>
        <w:t>an</w:t>
      </w:r>
      <w:r w:rsidRPr="00E00D32">
        <w:rPr>
          <w:rFonts w:cs="Arial"/>
          <w:szCs w:val="20"/>
        </w:rPr>
        <w:t xml:space="preserve"> iznos koji se traži za povra</w:t>
      </w:r>
      <w:r>
        <w:rPr>
          <w:rFonts w:cs="Arial"/>
          <w:szCs w:val="20"/>
        </w:rPr>
        <w:t>ćaj</w:t>
      </w:r>
      <w:r w:rsidRPr="00E00D32">
        <w:rPr>
          <w:rFonts w:cs="Arial"/>
          <w:szCs w:val="20"/>
        </w:rPr>
        <w:t xml:space="preserve"> * 100  </w:t>
      </w:r>
    </w:p>
    <w:p w14:paraId="3D6669B0" w14:textId="77777777" w:rsidR="00091B36" w:rsidRPr="00E00D32" w:rsidRDefault="00091B36" w:rsidP="00091B36">
      <w:pPr>
        <w:spacing w:before="120"/>
        <w:rPr>
          <w:rFonts w:cs="Arial"/>
          <w:szCs w:val="20"/>
        </w:rPr>
      </w:pPr>
      <w:r w:rsidRPr="00900829">
        <w:rPr>
          <w:rFonts w:cs="Arial"/>
          <w:b/>
          <w:color w:val="FF0000"/>
          <w:szCs w:val="20"/>
        </w:rPr>
        <w:t>CRVENE ZASTAVICE</w:t>
      </w:r>
      <w:r w:rsidRPr="00E00D32">
        <w:rPr>
          <w:rFonts w:cs="Arial"/>
          <w:szCs w:val="20"/>
        </w:rPr>
        <w:t xml:space="preserve">: Br. ugovora koji </w:t>
      </w:r>
      <w:r>
        <w:rPr>
          <w:rFonts w:cs="Arial"/>
          <w:szCs w:val="20"/>
        </w:rPr>
        <w:t>još nijesu završeni, a</w:t>
      </w:r>
      <w:r w:rsidRPr="00E00D32">
        <w:rPr>
          <w:rFonts w:cs="Arial"/>
          <w:szCs w:val="20"/>
        </w:rPr>
        <w:t xml:space="preserve"> blizu</w:t>
      </w:r>
      <w:r>
        <w:rPr>
          <w:rFonts w:cs="Arial"/>
          <w:szCs w:val="20"/>
        </w:rPr>
        <w:t xml:space="preserve"> su krajnjeg</w:t>
      </w:r>
      <w:r w:rsidRPr="00E00D32">
        <w:rPr>
          <w:rFonts w:cs="Arial"/>
          <w:szCs w:val="20"/>
        </w:rPr>
        <w:t xml:space="preserve"> roka.  </w:t>
      </w:r>
    </w:p>
    <w:p w14:paraId="1CF15B8F" w14:textId="77777777" w:rsidR="00091B36" w:rsidRPr="00E00D32" w:rsidRDefault="00091B36" w:rsidP="00091B36">
      <w:pPr>
        <w:spacing w:before="120"/>
        <w:rPr>
          <w:rFonts w:cs="Arial"/>
          <w:szCs w:val="20"/>
        </w:rPr>
      </w:pPr>
      <w:r w:rsidRPr="00E00D32">
        <w:rPr>
          <w:rFonts w:cs="Arial"/>
          <w:szCs w:val="20"/>
        </w:rPr>
        <w:t>Ministarstvo finansija – NAO/Uprav</w:t>
      </w:r>
      <w:r>
        <w:rPr>
          <w:rFonts w:cs="Arial"/>
          <w:szCs w:val="20"/>
        </w:rPr>
        <w:t>ljačka</w:t>
      </w:r>
      <w:r w:rsidRPr="00E00D32">
        <w:rPr>
          <w:rFonts w:cs="Arial"/>
          <w:szCs w:val="20"/>
        </w:rPr>
        <w:t xml:space="preserve"> struktura, održava Excel datoteke sa prijavljenim vr</w:t>
      </w:r>
      <w:r>
        <w:rPr>
          <w:rFonts w:cs="Arial"/>
          <w:szCs w:val="20"/>
        </w:rPr>
        <w:t>ij</w:t>
      </w:r>
      <w:r w:rsidRPr="00E00D32">
        <w:rPr>
          <w:rFonts w:cs="Arial"/>
          <w:szCs w:val="20"/>
        </w:rPr>
        <w:t xml:space="preserve">ednostima </w:t>
      </w:r>
      <w:r>
        <w:rPr>
          <w:rFonts w:cs="Arial"/>
          <w:szCs w:val="20"/>
        </w:rPr>
        <w:t>KIU</w:t>
      </w:r>
      <w:r w:rsidRPr="00E00D32">
        <w:rPr>
          <w:rFonts w:cs="Arial"/>
          <w:szCs w:val="20"/>
        </w:rPr>
        <w:t>.</w:t>
      </w:r>
    </w:p>
    <w:p w14:paraId="72522F86" w14:textId="77777777" w:rsidR="00091B36" w:rsidRPr="00A35E9A" w:rsidRDefault="00091B36" w:rsidP="00091B36">
      <w:pPr>
        <w:spacing w:before="120"/>
        <w:rPr>
          <w:rFonts w:cs="Arial"/>
          <w:color w:val="000000" w:themeColor="text1"/>
          <w:szCs w:val="20"/>
        </w:rPr>
      </w:pPr>
    </w:p>
    <w:p w14:paraId="0D286367" w14:textId="6C07B3B1" w:rsidR="00190415" w:rsidRPr="00EB5055" w:rsidRDefault="00190415" w:rsidP="00347C91">
      <w:pPr>
        <w:pStyle w:val="Heading1"/>
        <w:numPr>
          <w:ilvl w:val="0"/>
          <w:numId w:val="0"/>
        </w:numPr>
        <w:rPr>
          <w:rFonts w:ascii="Arial" w:hAnsi="Arial" w:cs="Arial"/>
        </w:rPr>
      </w:pPr>
      <w:bookmarkStart w:id="232" w:name="_GoBack"/>
      <w:bookmarkEnd w:id="232"/>
      <w:r w:rsidRPr="00EB5055">
        <w:rPr>
          <w:rFonts w:ascii="Arial" w:hAnsi="Arial" w:cs="Arial"/>
        </w:rPr>
        <w:t xml:space="preserve">Annex II </w:t>
      </w:r>
      <w:r>
        <w:rPr>
          <w:rFonts w:ascii="Arial" w:hAnsi="Arial" w:cs="Arial"/>
        </w:rPr>
        <w:t>Programi za jačanje kapaciteta</w:t>
      </w:r>
    </w:p>
    <w:p w14:paraId="617A214F" w14:textId="77777777" w:rsidR="00190415" w:rsidRPr="00EB5055" w:rsidRDefault="00190415" w:rsidP="00190415">
      <w:r>
        <w:t>U ovom aneksu su predstavljeni detalji tri programa za jačanje kapaciteta razvijenih kroz PPF uz NIPAK tehničku pomoć</w:t>
      </w:r>
      <w:r w:rsidRPr="00EB5055">
        <w:t>:</w:t>
      </w:r>
    </w:p>
    <w:p w14:paraId="255CCB10" w14:textId="77777777" w:rsidR="00190415" w:rsidRPr="00EB5055" w:rsidRDefault="00190415" w:rsidP="00D15218">
      <w:pPr>
        <w:pStyle w:val="ListParagraph"/>
        <w:numPr>
          <w:ilvl w:val="0"/>
          <w:numId w:val="83"/>
        </w:numPr>
        <w:rPr>
          <w:rFonts w:cs="Arial"/>
          <w:bCs/>
          <w:szCs w:val="20"/>
        </w:rPr>
      </w:pPr>
      <w:bookmarkStart w:id="233" w:name="_Hlk192500891"/>
      <w:r w:rsidRPr="00EB5055">
        <w:rPr>
          <w:rFonts w:cs="Arial"/>
          <w:bCs/>
          <w:szCs w:val="20"/>
        </w:rPr>
        <w:t xml:space="preserve">IPA III Program </w:t>
      </w:r>
      <w:r>
        <w:rPr>
          <w:rFonts w:cs="Arial"/>
          <w:bCs/>
          <w:szCs w:val="20"/>
        </w:rPr>
        <w:t>uvodne obuke</w:t>
      </w:r>
    </w:p>
    <w:p w14:paraId="73E6E5D9" w14:textId="77777777" w:rsidR="00190415" w:rsidRPr="00EB5055" w:rsidRDefault="00190415" w:rsidP="00D15218">
      <w:pPr>
        <w:pStyle w:val="ListParagraph"/>
        <w:numPr>
          <w:ilvl w:val="0"/>
          <w:numId w:val="83"/>
        </w:numPr>
        <w:rPr>
          <w:rFonts w:cs="Arial"/>
          <w:bCs/>
          <w:szCs w:val="20"/>
        </w:rPr>
      </w:pPr>
      <w:r w:rsidRPr="00EB5055">
        <w:rPr>
          <w:rFonts w:cs="Arial"/>
          <w:bCs/>
          <w:szCs w:val="20"/>
        </w:rPr>
        <w:t>IPA III Program</w:t>
      </w:r>
      <w:r>
        <w:rPr>
          <w:rFonts w:cs="Arial"/>
          <w:bCs/>
          <w:szCs w:val="20"/>
        </w:rPr>
        <w:t xml:space="preserve"> napredne obuke</w:t>
      </w:r>
    </w:p>
    <w:bookmarkEnd w:id="233"/>
    <w:p w14:paraId="7C0CA925" w14:textId="77777777" w:rsidR="00190415" w:rsidRPr="00EB5055" w:rsidRDefault="00190415" w:rsidP="00D15218">
      <w:pPr>
        <w:pStyle w:val="ListParagraph"/>
        <w:numPr>
          <w:ilvl w:val="0"/>
          <w:numId w:val="83"/>
        </w:numPr>
        <w:rPr>
          <w:rFonts w:cs="Arial"/>
          <w:bCs/>
          <w:szCs w:val="20"/>
        </w:rPr>
      </w:pPr>
      <w:r>
        <w:rPr>
          <w:rFonts w:cs="Arial"/>
          <w:bCs/>
          <w:szCs w:val="20"/>
        </w:rPr>
        <w:t>Program uvodne obuke za Kohezionu politiku.</w:t>
      </w:r>
    </w:p>
    <w:p w14:paraId="0CC1DF44" w14:textId="77777777" w:rsidR="00190415" w:rsidRDefault="00190415" w:rsidP="00190415">
      <w:pPr>
        <w:pStyle w:val="Default"/>
        <w:spacing w:after="120"/>
        <w:jc w:val="both"/>
        <w:rPr>
          <w:rFonts w:ascii="Arial" w:hAnsi="Arial" w:cs="Arial"/>
          <w:color w:val="auto"/>
          <w:sz w:val="20"/>
          <w:szCs w:val="20"/>
          <w:lang w:val="en-GB"/>
        </w:rPr>
      </w:pPr>
      <w:r>
        <w:rPr>
          <w:rFonts w:ascii="Arial" w:eastAsiaTheme="minorEastAsia" w:hAnsi="Arial" w:cs="Arial"/>
          <w:sz w:val="20"/>
          <w:szCs w:val="20"/>
          <w14:ligatures w14:val="none"/>
        </w:rPr>
        <w:t xml:space="preserve">Ovi program za jačanje kapaciteta se, posebno, fokusiraju na kratkoročne potrebe. Dizajnirane su da se sprovode kaskadnim pristupom (kao što je dolje prikazano). </w:t>
      </w:r>
      <w:r w:rsidRPr="00F53093">
        <w:rPr>
          <w:rFonts w:ascii="Arial" w:eastAsiaTheme="minorEastAsia" w:hAnsi="Arial" w:cs="Arial"/>
          <w:sz w:val="20"/>
          <w:szCs w:val="20"/>
          <w14:ligatures w14:val="none"/>
        </w:rPr>
        <w:t xml:space="preserve">Predstavljanjem pristupa obuci kroz kaskadni </w:t>
      </w:r>
      <w:r>
        <w:rPr>
          <w:rFonts w:ascii="Arial" w:eastAsiaTheme="minorEastAsia" w:hAnsi="Arial" w:cs="Arial"/>
          <w:sz w:val="20"/>
          <w:szCs w:val="20"/>
          <w14:ligatures w14:val="none"/>
        </w:rPr>
        <w:t>metod</w:t>
      </w:r>
      <w:r w:rsidRPr="00F53093">
        <w:rPr>
          <w:rFonts w:ascii="Arial" w:eastAsiaTheme="minorEastAsia" w:hAnsi="Arial" w:cs="Arial"/>
          <w:sz w:val="20"/>
          <w:szCs w:val="20"/>
          <w14:ligatures w14:val="none"/>
        </w:rPr>
        <w:t xml:space="preserve"> očekuje se da će stariji/iskusniji obučeni zaposleni imati kapacitet da obučavaju osoblje u svojim institucijama, što će dopuniti formalnije organizovanu obuku i omogućiti da se obuka odmah pruža novim radnicima.</w:t>
      </w:r>
      <w:r>
        <w:rPr>
          <w:rFonts w:ascii="Arial" w:eastAsiaTheme="minorEastAsia" w:hAnsi="Arial" w:cs="Arial"/>
          <w:sz w:val="20"/>
          <w:szCs w:val="20"/>
          <w14:ligatures w14:val="none"/>
        </w:rPr>
        <w:t xml:space="preserve">  </w:t>
      </w:r>
    </w:p>
    <w:p w14:paraId="049ED9B2" w14:textId="77777777" w:rsidR="00190415" w:rsidRDefault="00190415" w:rsidP="00190415">
      <w:pPr>
        <w:pStyle w:val="Default"/>
        <w:spacing w:after="120"/>
        <w:jc w:val="both"/>
        <w:rPr>
          <w:rFonts w:ascii="Arial" w:hAnsi="Arial" w:cs="Arial"/>
          <w:color w:val="auto"/>
          <w:sz w:val="20"/>
          <w:szCs w:val="20"/>
          <w:lang w:val="en-GB"/>
        </w:rPr>
      </w:pPr>
      <w:r w:rsidRPr="00F53093">
        <w:rPr>
          <w:rFonts w:ascii="Arial" w:hAnsi="Arial" w:cs="Arial"/>
          <w:color w:val="auto"/>
          <w:sz w:val="20"/>
          <w:szCs w:val="20"/>
          <w:lang w:val="en-GB"/>
        </w:rPr>
        <w:t xml:space="preserve">Prvo izdanje IPA III Programa uvodne obuke i IPA III Programa napredne obuke realizovano je između decembra 2024. i februara 2025. godine za 137 pojedinaca koji rade u IPA sistemu, uz pomoć stručnjaka iz PPF-a i tehničke pomoći </w:t>
      </w:r>
      <w:r>
        <w:rPr>
          <w:rFonts w:ascii="Arial" w:hAnsi="Arial" w:cs="Arial"/>
          <w:color w:val="auto"/>
          <w:sz w:val="20"/>
          <w:szCs w:val="20"/>
          <w:lang w:val="en-GB"/>
        </w:rPr>
        <w:t>NIPAK</w:t>
      </w:r>
      <w:r w:rsidRPr="00F53093">
        <w:rPr>
          <w:rFonts w:ascii="Arial" w:hAnsi="Arial" w:cs="Arial"/>
          <w:color w:val="auto"/>
          <w:sz w:val="20"/>
          <w:szCs w:val="20"/>
          <w:lang w:val="en-GB"/>
        </w:rPr>
        <w:t>-a.</w:t>
      </w:r>
    </w:p>
    <w:p w14:paraId="5D1238A9" w14:textId="77777777" w:rsidR="00190415" w:rsidRPr="00EB5055" w:rsidRDefault="00190415" w:rsidP="00190415">
      <w:pPr>
        <w:keepNext/>
        <w:keepLines/>
        <w:spacing w:before="240" w:after="240"/>
        <w:jc w:val="left"/>
        <w:outlineLvl w:val="1"/>
        <w:rPr>
          <w:rFonts w:eastAsiaTheme="majorEastAsia" w:cs="Arial"/>
          <w:color w:val="0F4761" w:themeColor="accent1" w:themeShade="BF"/>
          <w:kern w:val="0"/>
          <w:sz w:val="28"/>
          <w:szCs w:val="28"/>
          <w14:ligatures w14:val="none"/>
        </w:rPr>
      </w:pPr>
      <w:bookmarkStart w:id="234" w:name="_Hlk61274585"/>
      <w:r>
        <w:rPr>
          <w:rFonts w:eastAsiaTheme="majorEastAsia" w:cs="Arial"/>
          <w:color w:val="0F4761" w:themeColor="accent1" w:themeShade="BF"/>
          <w:kern w:val="0"/>
          <w:sz w:val="28"/>
          <w:szCs w:val="28"/>
          <w14:ligatures w14:val="none"/>
        </w:rPr>
        <w:t>Kaskadni pristup obuci</w:t>
      </w:r>
    </w:p>
    <w:p w14:paraId="1F1491AD" w14:textId="77777777" w:rsidR="00190415" w:rsidRDefault="00190415" w:rsidP="00190415">
      <w:pPr>
        <w:rPr>
          <w:rFonts w:eastAsia="Times New Roman" w:cs="Arial"/>
          <w:color w:val="000000"/>
          <w:kern w:val="0"/>
          <w:szCs w:val="20"/>
          <w:lang w:eastAsia="en-GB"/>
          <w14:ligatures w14:val="none"/>
        </w:rPr>
      </w:pPr>
      <w:r w:rsidRPr="00082833">
        <w:rPr>
          <w:rFonts w:eastAsia="Times New Roman" w:cs="Arial"/>
          <w:color w:val="000000"/>
          <w:kern w:val="0"/>
          <w:szCs w:val="20"/>
          <w:lang w:eastAsia="en-GB"/>
          <w14:ligatures w14:val="none"/>
        </w:rPr>
        <w:t>Kaskadni,</w:t>
      </w:r>
      <w:r w:rsidRPr="00082833">
        <w:rPr>
          <w:rFonts w:eastAsia="Times New Roman" w:cs="Arial"/>
          <w:i/>
          <w:color w:val="000000"/>
          <w:kern w:val="0"/>
          <w:szCs w:val="20"/>
          <w:lang w:eastAsia="en-GB"/>
          <w14:ligatures w14:val="none"/>
        </w:rPr>
        <w:t xml:space="preserve"> ripple</w:t>
      </w:r>
      <w:r w:rsidRPr="00082833">
        <w:rPr>
          <w:rFonts w:eastAsia="Times New Roman" w:cs="Arial"/>
          <w:color w:val="000000"/>
          <w:kern w:val="0"/>
          <w:szCs w:val="20"/>
          <w:lang w:eastAsia="en-GB"/>
          <w14:ligatures w14:val="none"/>
        </w:rPr>
        <w:t xml:space="preserve"> i kooperativni modeli obuke djeluju </w:t>
      </w:r>
      <w:r>
        <w:rPr>
          <w:rFonts w:eastAsia="Times New Roman" w:cs="Arial"/>
          <w:color w:val="000000"/>
          <w:kern w:val="0"/>
          <w:szCs w:val="20"/>
          <w:lang w:eastAsia="en-GB"/>
          <w14:ligatures w14:val="none"/>
        </w:rPr>
        <w:t>na način što se odrede</w:t>
      </w:r>
      <w:r w:rsidRPr="00082833">
        <w:rPr>
          <w:rFonts w:eastAsia="Times New Roman" w:cs="Arial"/>
          <w:color w:val="000000"/>
          <w:kern w:val="0"/>
          <w:szCs w:val="20"/>
          <w:lang w:eastAsia="en-GB"/>
          <w14:ligatures w14:val="none"/>
        </w:rPr>
        <w:t xml:space="preserve"> ma</w:t>
      </w:r>
      <w:r>
        <w:rPr>
          <w:rFonts w:eastAsia="Times New Roman" w:cs="Arial"/>
          <w:color w:val="000000"/>
          <w:kern w:val="0"/>
          <w:szCs w:val="20"/>
          <w:lang w:eastAsia="en-GB"/>
          <w14:ligatures w14:val="none"/>
        </w:rPr>
        <w:t>le</w:t>
      </w:r>
      <w:r w:rsidRPr="00082833">
        <w:rPr>
          <w:rFonts w:eastAsia="Times New Roman" w:cs="Arial"/>
          <w:color w:val="000000"/>
          <w:kern w:val="0"/>
          <w:szCs w:val="20"/>
          <w:lang w:eastAsia="en-GB"/>
          <w14:ligatures w14:val="none"/>
        </w:rPr>
        <w:t xml:space="preserve"> grup</w:t>
      </w:r>
      <w:r>
        <w:rPr>
          <w:rFonts w:eastAsia="Times New Roman" w:cs="Arial"/>
          <w:color w:val="000000"/>
          <w:kern w:val="0"/>
          <w:szCs w:val="20"/>
          <w:lang w:eastAsia="en-GB"/>
          <w14:ligatures w14:val="none"/>
        </w:rPr>
        <w:t>e</w:t>
      </w:r>
      <w:r w:rsidRPr="00082833">
        <w:rPr>
          <w:rFonts w:eastAsia="Times New Roman" w:cs="Arial"/>
          <w:color w:val="000000"/>
          <w:kern w:val="0"/>
          <w:szCs w:val="20"/>
          <w:lang w:eastAsia="en-GB"/>
          <w14:ligatures w14:val="none"/>
        </w:rPr>
        <w:t xml:space="preserve"> ljudi, na osnovu njihovih trenutnih ili vjerojatno budućih funkcionalnih vještina,  obuke</w:t>
      </w:r>
      <w:r>
        <w:rPr>
          <w:rFonts w:eastAsia="Times New Roman" w:cs="Arial"/>
          <w:color w:val="000000"/>
          <w:kern w:val="0"/>
          <w:szCs w:val="20"/>
          <w:lang w:eastAsia="en-GB"/>
          <w14:ligatures w14:val="none"/>
        </w:rPr>
        <w:t xml:space="preserve"> koju su već prošli</w:t>
      </w:r>
      <w:r w:rsidRPr="00082833">
        <w:rPr>
          <w:rFonts w:eastAsia="Times New Roman" w:cs="Arial"/>
          <w:color w:val="000000"/>
          <w:kern w:val="0"/>
          <w:szCs w:val="20"/>
          <w:lang w:eastAsia="en-GB"/>
          <w14:ligatures w14:val="none"/>
        </w:rPr>
        <w:t>, dokazanih</w:t>
      </w:r>
      <w:r>
        <w:rPr>
          <w:rFonts w:eastAsia="Times New Roman" w:cs="Arial"/>
          <w:color w:val="000000"/>
          <w:kern w:val="0"/>
          <w:szCs w:val="20"/>
          <w:lang w:eastAsia="en-GB"/>
          <w14:ligatures w14:val="none"/>
        </w:rPr>
        <w:t xml:space="preserve"> vještina</w:t>
      </w:r>
      <w:r w:rsidRPr="00082833">
        <w:rPr>
          <w:rFonts w:eastAsia="Times New Roman" w:cs="Arial"/>
          <w:color w:val="000000"/>
          <w:kern w:val="0"/>
          <w:szCs w:val="20"/>
          <w:lang w:eastAsia="en-GB"/>
          <w14:ligatures w14:val="none"/>
        </w:rPr>
        <w:t xml:space="preserve"> liderstva i komunikacijskih sposobnosti, koji će, u svom zadatku, biti odgovorni za animaciju i upravljanje obukom malih grupa ljudi sa istim zadacima, kako bi se funkcionalne vještine i ponašanja, informacije i materijali za obuku prenijeli na različite ljudske resurse i sve nivoe osoblja. Ovo je način efikasnog </w:t>
      </w:r>
      <w:r w:rsidRPr="00082833">
        <w:rPr>
          <w:rFonts w:eastAsia="Times New Roman" w:cs="Arial"/>
          <w:color w:val="000000"/>
          <w:kern w:val="0"/>
          <w:szCs w:val="20"/>
          <w:lang w:eastAsia="en-GB"/>
          <w14:ligatures w14:val="none"/>
        </w:rPr>
        <w:lastRenderedPageBreak/>
        <w:t xml:space="preserve">obučavanja velike količine ljudi, omogućavajući da obuka bude fleksibilnija. Prenos znanja zavisi od dobro planiranih obuka; kompetentnih, podržavajućih i pripremljenih trenera; kao i mehanizama povratnih informacija koji omogućavaju praćenje </w:t>
      </w:r>
      <w:r>
        <w:rPr>
          <w:rFonts w:eastAsia="Times New Roman" w:cs="Arial"/>
          <w:color w:val="000000"/>
          <w:kern w:val="0"/>
          <w:szCs w:val="20"/>
          <w:lang w:eastAsia="en-GB"/>
          <w14:ligatures w14:val="none"/>
        </w:rPr>
        <w:t>učinka</w:t>
      </w:r>
      <w:r w:rsidRPr="00082833">
        <w:rPr>
          <w:rFonts w:eastAsia="Times New Roman" w:cs="Arial"/>
          <w:color w:val="000000"/>
          <w:kern w:val="0"/>
          <w:szCs w:val="20"/>
          <w:lang w:eastAsia="en-GB"/>
          <w14:ligatures w14:val="none"/>
        </w:rPr>
        <w:t xml:space="preserve"> i </w:t>
      </w:r>
      <w:r>
        <w:rPr>
          <w:rFonts w:eastAsia="Times New Roman" w:cs="Arial"/>
          <w:color w:val="000000"/>
          <w:kern w:val="0"/>
          <w:szCs w:val="20"/>
          <w:lang w:eastAsia="en-GB"/>
          <w14:ligatures w14:val="none"/>
        </w:rPr>
        <w:t xml:space="preserve">eventualne </w:t>
      </w:r>
      <w:r w:rsidRPr="00082833">
        <w:rPr>
          <w:rFonts w:eastAsia="Times New Roman" w:cs="Arial"/>
          <w:color w:val="000000"/>
          <w:kern w:val="0"/>
          <w:szCs w:val="20"/>
          <w:lang w:eastAsia="en-GB"/>
          <w14:ligatures w14:val="none"/>
        </w:rPr>
        <w:t>ispravke. Kako se očekuj</w:t>
      </w:r>
      <w:r>
        <w:rPr>
          <w:rFonts w:eastAsia="Times New Roman" w:cs="Arial"/>
          <w:color w:val="000000"/>
          <w:kern w:val="0"/>
          <w:szCs w:val="20"/>
          <w:lang w:eastAsia="en-GB"/>
          <w14:ligatures w14:val="none"/>
        </w:rPr>
        <w:t>u</w:t>
      </w:r>
      <w:r w:rsidRPr="00082833">
        <w:rPr>
          <w:rFonts w:eastAsia="Times New Roman" w:cs="Arial"/>
          <w:color w:val="000000"/>
          <w:kern w:val="0"/>
          <w:szCs w:val="20"/>
          <w:lang w:eastAsia="en-GB"/>
          <w14:ligatures w14:val="none"/>
        </w:rPr>
        <w:t xml:space="preserve"> nova zapošljavanja, ne samo za implementaciju IPA III višegodišnjih Operativnih Programa, već još značajnije, iz perspektive budućeg upravljanja programima </w:t>
      </w:r>
      <w:r>
        <w:rPr>
          <w:rFonts w:eastAsia="Times New Roman" w:cs="Arial"/>
          <w:color w:val="000000"/>
          <w:kern w:val="0"/>
          <w:szCs w:val="20"/>
          <w:lang w:eastAsia="en-GB"/>
          <w14:ligatures w14:val="none"/>
        </w:rPr>
        <w:t>Kohezione</w:t>
      </w:r>
      <w:r w:rsidRPr="00082833">
        <w:rPr>
          <w:rFonts w:eastAsia="Times New Roman" w:cs="Arial"/>
          <w:color w:val="000000"/>
          <w:kern w:val="0"/>
          <w:szCs w:val="20"/>
          <w:lang w:eastAsia="en-GB"/>
          <w14:ligatures w14:val="none"/>
        </w:rPr>
        <w:t xml:space="preserve"> politike, kaskadni pristup će se pilot</w:t>
      </w:r>
      <w:r>
        <w:rPr>
          <w:rFonts w:eastAsia="Times New Roman" w:cs="Arial"/>
          <w:color w:val="000000"/>
          <w:kern w:val="0"/>
          <w:szCs w:val="20"/>
          <w:lang w:eastAsia="en-GB"/>
          <w14:ligatures w14:val="none"/>
        </w:rPr>
        <w:t>i</w:t>
      </w:r>
      <w:r w:rsidRPr="00082833">
        <w:rPr>
          <w:rFonts w:eastAsia="Times New Roman" w:cs="Arial"/>
          <w:color w:val="000000"/>
          <w:kern w:val="0"/>
          <w:szCs w:val="20"/>
          <w:lang w:eastAsia="en-GB"/>
          <w14:ligatures w14:val="none"/>
        </w:rPr>
        <w:t>rati za IPA programe. Dodatna prednost je što ovaj pristup može pomoći da se adresiraju nedostaci u znanju koji mogu proizaći iz promjena u institucionalnom okviru u Crnoj Gori, što dovodi do čestih promjena pozicija</w:t>
      </w:r>
      <w:r>
        <w:rPr>
          <w:rFonts w:eastAsia="Times New Roman" w:cs="Arial"/>
          <w:color w:val="000000"/>
          <w:kern w:val="0"/>
          <w:szCs w:val="20"/>
          <w:lang w:eastAsia="en-GB"/>
          <w14:ligatures w14:val="none"/>
        </w:rPr>
        <w:t xml:space="preserve"> državnih</w:t>
      </w:r>
      <w:r w:rsidRPr="00082833">
        <w:rPr>
          <w:rFonts w:eastAsia="Times New Roman" w:cs="Arial"/>
          <w:color w:val="000000"/>
          <w:kern w:val="0"/>
          <w:szCs w:val="20"/>
          <w:lang w:eastAsia="en-GB"/>
          <w14:ligatures w14:val="none"/>
        </w:rPr>
        <w:t xml:space="preserve"> službenika u organizacionoj strukturi sa novim odgovornostima ili prelaska u različita ministarstva.</w:t>
      </w:r>
    </w:p>
    <w:p w14:paraId="73254AFF" w14:textId="77777777" w:rsidR="00190415" w:rsidRPr="00EB5055" w:rsidRDefault="00190415" w:rsidP="00190415">
      <w:pPr>
        <w:spacing w:after="160" w:line="259" w:lineRule="auto"/>
        <w:rPr>
          <w:rFonts w:eastAsia="Times New Roman" w:cs="Arial"/>
          <w:color w:val="000000"/>
          <w:kern w:val="0"/>
          <w:szCs w:val="20"/>
          <w:lang w:eastAsia="en-GB"/>
          <w14:ligatures w14:val="none"/>
        </w:rPr>
      </w:pPr>
      <w:r>
        <w:rPr>
          <w:rFonts w:eastAsia="Times New Roman" w:cs="Arial"/>
          <w:color w:val="000000"/>
          <w:kern w:val="0"/>
          <w:szCs w:val="20"/>
          <w:lang w:eastAsia="en-GB"/>
          <w14:ligatures w14:val="none"/>
        </w:rPr>
        <w:t>U tabeli ispod su prikazane prednosti i nedostaci kaskadne obuke.</w:t>
      </w:r>
    </w:p>
    <w:p w14:paraId="78BB1ED5" w14:textId="77777777" w:rsidR="00190415" w:rsidRPr="00EB5055" w:rsidRDefault="00190415" w:rsidP="00190415">
      <w:pPr>
        <w:keepNext/>
        <w:spacing w:after="160"/>
        <w:jc w:val="left"/>
        <w:rPr>
          <w:rFonts w:eastAsiaTheme="minorEastAsia" w:cs="Arial"/>
          <w:b/>
          <w:bCs/>
          <w:smallCaps/>
          <w:color w:val="0E2841" w:themeColor="text2"/>
          <w:kern w:val="0"/>
          <w14:ligatures w14:val="none"/>
        </w:rPr>
      </w:pPr>
      <w:r>
        <w:rPr>
          <w:rFonts w:eastAsiaTheme="minorEastAsia" w:cs="Arial"/>
          <w:b/>
          <w:bCs/>
          <w:smallCaps/>
          <w:color w:val="0E2841" w:themeColor="text2"/>
          <w:kern w:val="0"/>
          <w14:ligatures w14:val="none"/>
        </w:rPr>
        <w:t>PREDNOSTI I NEDOSTACI KASKADNE OBUKE</w:t>
      </w:r>
    </w:p>
    <w:tbl>
      <w:tblPr>
        <w:tblW w:w="9854" w:type="dxa"/>
        <w:tblCellMar>
          <w:left w:w="10" w:type="dxa"/>
          <w:right w:w="10" w:type="dxa"/>
        </w:tblCellMar>
        <w:tblLook w:val="0000" w:firstRow="0" w:lastRow="0" w:firstColumn="0" w:lastColumn="0" w:noHBand="0" w:noVBand="0"/>
      </w:tblPr>
      <w:tblGrid>
        <w:gridCol w:w="4428"/>
        <w:gridCol w:w="5426"/>
      </w:tblGrid>
      <w:tr w:rsidR="00190415" w:rsidRPr="00EB5055" w14:paraId="609409C8" w14:textId="77777777" w:rsidTr="00A241AA">
        <w:tc>
          <w:tcPr>
            <w:tcW w:w="4428" w:type="dxa"/>
            <w:tcBorders>
              <w:top w:val="single" w:sz="4" w:space="0" w:color="000000"/>
              <w:left w:val="single" w:sz="4" w:space="0" w:color="000000"/>
              <w:bottom w:val="single" w:sz="4" w:space="0" w:color="000000"/>
              <w:right w:val="single" w:sz="4" w:space="0" w:color="000000"/>
            </w:tcBorders>
            <w:shd w:val="clear" w:color="auto" w:fill="156082" w:themeFill="accent1"/>
            <w:tcMar>
              <w:top w:w="0" w:type="dxa"/>
              <w:left w:w="108" w:type="dxa"/>
              <w:bottom w:w="0" w:type="dxa"/>
              <w:right w:w="108" w:type="dxa"/>
            </w:tcMar>
            <w:vAlign w:val="center"/>
          </w:tcPr>
          <w:p w14:paraId="3D9AB782"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Prednosti</w:t>
            </w:r>
          </w:p>
        </w:tc>
        <w:tc>
          <w:tcPr>
            <w:tcW w:w="5426" w:type="dxa"/>
            <w:tcBorders>
              <w:top w:val="single" w:sz="4" w:space="0" w:color="000000"/>
              <w:left w:val="single" w:sz="4" w:space="0" w:color="000000"/>
              <w:bottom w:val="single" w:sz="4" w:space="0" w:color="000000"/>
              <w:right w:val="single" w:sz="4" w:space="0" w:color="000000"/>
            </w:tcBorders>
            <w:shd w:val="clear" w:color="auto" w:fill="156082" w:themeFill="accent1"/>
            <w:tcMar>
              <w:top w:w="0" w:type="dxa"/>
              <w:left w:w="108" w:type="dxa"/>
              <w:bottom w:w="0" w:type="dxa"/>
              <w:right w:w="108" w:type="dxa"/>
            </w:tcMar>
            <w:vAlign w:val="center"/>
          </w:tcPr>
          <w:p w14:paraId="737EBFE1"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Nedostaci</w:t>
            </w:r>
          </w:p>
        </w:tc>
      </w:tr>
      <w:tr w:rsidR="00190415" w:rsidRPr="00EB5055" w14:paraId="4DD581B0" w14:textId="77777777" w:rsidTr="00A241AA">
        <w:tc>
          <w:tcPr>
            <w:tcW w:w="442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A481EFD" w14:textId="77777777" w:rsidR="00190415" w:rsidRPr="00150428"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150428">
              <w:rPr>
                <w:rFonts w:eastAsia="Trebuchet MS" w:cs="Arial"/>
                <w:kern w:val="3"/>
                <w:sz w:val="18"/>
                <w:szCs w:val="18"/>
                <w:lang w:bidi="en-US"/>
                <w14:ligatures w14:val="none"/>
              </w:rPr>
              <w:t>Fleksibilan je i može se prilagoditi svakoj organizaciji.</w:t>
            </w:r>
          </w:p>
          <w:p w14:paraId="2BD9A7E1"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150428">
              <w:rPr>
                <w:rFonts w:eastAsia="Trebuchet MS" w:cs="Arial"/>
                <w:kern w:val="3"/>
                <w:sz w:val="18"/>
                <w:szCs w:val="18"/>
                <w:lang w:bidi="en-US"/>
                <w14:ligatures w14:val="none"/>
              </w:rPr>
              <w:t xml:space="preserve">Osnažuje i jača kapacitete, pružajući prenosive vještine obuke velikoj grupi ljudi. </w:t>
            </w:r>
          </w:p>
          <w:p w14:paraId="580A1FA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Zahtijeva određen broj neprofesionalnih trenera koji mogu razviti neophodne vještine — i samopouzdanje u vlastitim vještinama obuke — stečene na relativno kratkim sesijama obuke.</w:t>
            </w:r>
          </w:p>
          <w:p w14:paraId="176D3D5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Održiv je i ne zahtijeva značajne resurse profesionalne obuke.</w:t>
            </w:r>
          </w:p>
          <w:p w14:paraId="54D7B74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Korišćenjem malih grupa omogućava potpuno participativnu obuku za sticanje kompetencijama.</w:t>
            </w:r>
          </w:p>
          <w:p w14:paraId="729F1C38"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0B27FD">
              <w:rPr>
                <w:rFonts w:eastAsia="Trebuchet MS" w:cs="Arial"/>
                <w:kern w:val="3"/>
                <w:sz w:val="18"/>
                <w:szCs w:val="18"/>
                <w:lang w:bidi="en-US"/>
                <w14:ligatures w14:val="none"/>
              </w:rPr>
              <w:t>Zahtijeva malo logističkih resursa, s obzirom da se većina obuke može održati lokalno.</w:t>
            </w:r>
          </w:p>
          <w:p w14:paraId="5D0A931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0B27FD">
              <w:rPr>
                <w:rFonts w:eastAsia="Trebuchet MS" w:cs="Arial"/>
                <w:kern w:val="3"/>
                <w:sz w:val="18"/>
                <w:szCs w:val="18"/>
                <w:lang w:bidi="en-US"/>
                <w14:ligatures w14:val="none"/>
              </w:rPr>
              <w:t>Lako je promijeniti sadržaj obuke ili stil prezentacije.</w:t>
            </w:r>
          </w:p>
          <w:p w14:paraId="79B9D83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Može se obučiti veliki broj ljudi u relativno kratkom vremenskom period: iako je potrebno neko vrijeme da nakon primljene obuke, možete obučavati druge. </w:t>
            </w:r>
          </w:p>
          <w:p w14:paraId="69A856F2"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Osnaživanje kroz vođenja obuka za druge će poboljšati nivo vještina.</w:t>
            </w:r>
          </w:p>
          <w:p w14:paraId="7A1C7F1E"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Mogućnost da se obnovi i unaprijedi znanje i vještine među zaposlenima, stečene tokom obuke. </w:t>
            </w:r>
          </w:p>
          <w:p w14:paraId="32458FBF"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p>
        </w:tc>
        <w:tc>
          <w:tcPr>
            <w:tcW w:w="54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31A850F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Zahtijeva detaljan razvoj priručnika za obuku, planova lekcija i resursa za prezentaciju. </w:t>
            </w:r>
          </w:p>
          <w:p w14:paraId="21366DD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Neprofesionalni treneri možda neće biti sposobni da efektivno koriste grupne aktivnosti u svrhu obučavanja. </w:t>
            </w:r>
          </w:p>
          <w:p w14:paraId="401FC836"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Zahtijeva centralni monitoring kako bi se osiguralo da su sesije sprovedene na način kako je planirano. </w:t>
            </w:r>
          </w:p>
          <w:p w14:paraId="1E509EEE"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Oslanja se na stabilnost starijeg/iskusnijeg kadra u sklopu institucija. </w:t>
            </w:r>
          </w:p>
          <w:p w14:paraId="15EDC5BD"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Konstantni i efektivan monitoring neophodan za efektivno prenošenje tačnih poruka, može biti izvan kapaciteta upravljačkih tijela, ako se ne aktivira zajednička onlajn platforma za znanje i obuku.</w:t>
            </w:r>
          </w:p>
          <w:p w14:paraId="5DC79CC1" w14:textId="77777777" w:rsidR="00190415" w:rsidRPr="00EB5055" w:rsidRDefault="00190415" w:rsidP="00A241AA">
            <w:pPr>
              <w:widowControl w:val="0"/>
              <w:suppressAutoHyphens/>
              <w:autoSpaceDN w:val="0"/>
              <w:spacing w:after="0"/>
              <w:textAlignment w:val="baseline"/>
              <w:rPr>
                <w:rFonts w:eastAsia="Trebuchet MS" w:cs="Arial"/>
                <w:kern w:val="3"/>
                <w:sz w:val="18"/>
                <w:szCs w:val="18"/>
                <w:lang w:bidi="en-US"/>
                <w14:ligatures w14:val="none"/>
              </w:rPr>
            </w:pPr>
          </w:p>
        </w:tc>
      </w:tr>
    </w:tbl>
    <w:p w14:paraId="12DD1428" w14:textId="77777777" w:rsidR="00190415" w:rsidRDefault="00190415" w:rsidP="00190415">
      <w:pPr>
        <w:contextualSpacing/>
        <w:rPr>
          <w:rFonts w:eastAsia="Times New Roman" w:cs="Arial"/>
          <w:color w:val="000000"/>
          <w:kern w:val="0"/>
          <w:szCs w:val="20"/>
          <w:lang w:eastAsia="en-GB"/>
          <w14:ligatures w14:val="none"/>
        </w:rPr>
      </w:pPr>
    </w:p>
    <w:p w14:paraId="465B067E" w14:textId="77777777" w:rsidR="00190415" w:rsidRDefault="00190415" w:rsidP="00190415">
      <w:pPr>
        <w:contextualSpacing/>
        <w:rPr>
          <w:rFonts w:eastAsia="Times New Roman" w:cs="Arial"/>
          <w:color w:val="000000"/>
          <w:kern w:val="0"/>
          <w:szCs w:val="20"/>
          <w:lang w:eastAsia="en-GB"/>
          <w14:ligatures w14:val="none"/>
        </w:rPr>
      </w:pPr>
      <w:r w:rsidRPr="00082833">
        <w:rPr>
          <w:rFonts w:eastAsia="Times New Roman" w:cs="Arial"/>
          <w:color w:val="000000"/>
          <w:kern w:val="0"/>
          <w:szCs w:val="20"/>
          <w:lang w:eastAsia="en-GB"/>
          <w14:ligatures w14:val="none"/>
        </w:rPr>
        <w:t>Kaskadni model obuke se razlikuje od klasičnog pristupa “Obu</w:t>
      </w:r>
      <w:r>
        <w:rPr>
          <w:rFonts w:eastAsia="Times New Roman" w:cs="Arial"/>
          <w:color w:val="000000"/>
          <w:kern w:val="0"/>
          <w:szCs w:val="20"/>
          <w:lang w:eastAsia="en-GB"/>
          <w14:ligatures w14:val="none"/>
        </w:rPr>
        <w:t>ka</w:t>
      </w:r>
      <w:r w:rsidRPr="00082833">
        <w:rPr>
          <w:rFonts w:eastAsia="Times New Roman" w:cs="Arial"/>
          <w:color w:val="000000"/>
          <w:kern w:val="0"/>
          <w:szCs w:val="20"/>
          <w:lang w:eastAsia="en-GB"/>
          <w14:ligatures w14:val="none"/>
        </w:rPr>
        <w:t xml:space="preserve"> trener</w:t>
      </w:r>
      <w:r>
        <w:rPr>
          <w:rFonts w:eastAsia="Times New Roman" w:cs="Arial"/>
          <w:color w:val="000000"/>
          <w:kern w:val="0"/>
          <w:szCs w:val="20"/>
          <w:lang w:eastAsia="en-GB"/>
          <w14:ligatures w14:val="none"/>
        </w:rPr>
        <w:t>a</w:t>
      </w:r>
      <w:r w:rsidRPr="00082833">
        <w:rPr>
          <w:rFonts w:eastAsia="Times New Roman" w:cs="Arial"/>
          <w:color w:val="000000"/>
          <w:kern w:val="0"/>
          <w:szCs w:val="20"/>
          <w:lang w:eastAsia="en-GB"/>
          <w14:ligatures w14:val="none"/>
        </w:rPr>
        <w:t xml:space="preserve">” po tome što priprema osoblje da konstantno ažurira i prilagođava materijale za obuku prema specifičnim ciljnim grupama, te jača </w:t>
      </w:r>
      <w:r>
        <w:rPr>
          <w:rFonts w:eastAsia="Times New Roman" w:cs="Arial"/>
          <w:color w:val="000000"/>
          <w:kern w:val="0"/>
          <w:szCs w:val="20"/>
          <w:lang w:eastAsia="en-GB"/>
          <w14:ligatures w14:val="none"/>
        </w:rPr>
        <w:t>osjećaj pripadnosti</w:t>
      </w:r>
      <w:r w:rsidRPr="00082833">
        <w:rPr>
          <w:rFonts w:eastAsia="Times New Roman" w:cs="Arial"/>
          <w:color w:val="000000"/>
          <w:kern w:val="0"/>
          <w:szCs w:val="20"/>
          <w:lang w:eastAsia="en-GB"/>
          <w14:ligatures w14:val="none"/>
        </w:rPr>
        <w:t xml:space="preserve"> i difuziju znanja. Stoga se smatra dijelom vježbe </w:t>
      </w:r>
      <w:r>
        <w:rPr>
          <w:rFonts w:eastAsia="Times New Roman" w:cs="Arial"/>
          <w:color w:val="000000"/>
          <w:kern w:val="0"/>
          <w:szCs w:val="20"/>
          <w:lang w:eastAsia="en-GB"/>
          <w14:ligatures w14:val="none"/>
        </w:rPr>
        <w:t>jačanja</w:t>
      </w:r>
      <w:r w:rsidRPr="00082833">
        <w:rPr>
          <w:rFonts w:eastAsia="Times New Roman" w:cs="Arial"/>
          <w:color w:val="000000"/>
          <w:kern w:val="0"/>
          <w:szCs w:val="20"/>
          <w:lang w:eastAsia="en-GB"/>
          <w14:ligatures w14:val="none"/>
        </w:rPr>
        <w:t xml:space="preserve"> kapaciteta. </w:t>
      </w:r>
      <w:r>
        <w:rPr>
          <w:rFonts w:eastAsia="Times New Roman" w:cs="Arial"/>
          <w:color w:val="000000"/>
          <w:kern w:val="0"/>
          <w:szCs w:val="20"/>
          <w:lang w:eastAsia="en-GB"/>
          <w14:ligatures w14:val="none"/>
        </w:rPr>
        <w:t>Zapravo</w:t>
      </w:r>
      <w:r w:rsidRPr="00082833">
        <w:rPr>
          <w:rFonts w:eastAsia="Times New Roman" w:cs="Arial"/>
          <w:color w:val="000000"/>
          <w:kern w:val="0"/>
          <w:szCs w:val="20"/>
          <w:lang w:eastAsia="en-GB"/>
          <w14:ligatures w14:val="none"/>
        </w:rPr>
        <w:t>, može takođe podržati rad i organizaci</w:t>
      </w:r>
      <w:r>
        <w:rPr>
          <w:rFonts w:eastAsia="Times New Roman" w:cs="Arial"/>
          <w:color w:val="000000"/>
          <w:kern w:val="0"/>
          <w:szCs w:val="20"/>
          <w:lang w:eastAsia="en-GB"/>
          <w14:ligatures w14:val="none"/>
        </w:rPr>
        <w:t>one</w:t>
      </w:r>
      <w:r w:rsidRPr="00082833">
        <w:rPr>
          <w:rFonts w:eastAsia="Times New Roman" w:cs="Arial"/>
          <w:color w:val="000000"/>
          <w:kern w:val="0"/>
          <w:szCs w:val="20"/>
          <w:lang w:eastAsia="en-GB"/>
          <w14:ligatures w14:val="none"/>
        </w:rPr>
        <w:t xml:space="preserve"> promjene olakšavajući proces ažuriranja i unapr</w:t>
      </w:r>
      <w:r>
        <w:rPr>
          <w:rFonts w:eastAsia="Times New Roman" w:cs="Arial"/>
          <w:color w:val="000000"/>
          <w:kern w:val="0"/>
          <w:szCs w:val="20"/>
          <w:lang w:eastAsia="en-GB"/>
          <w14:ligatures w14:val="none"/>
        </w:rPr>
        <w:t>j</w:t>
      </w:r>
      <w:r w:rsidRPr="00082833">
        <w:rPr>
          <w:rFonts w:eastAsia="Times New Roman" w:cs="Arial"/>
          <w:color w:val="000000"/>
          <w:kern w:val="0"/>
          <w:szCs w:val="20"/>
          <w:lang w:eastAsia="en-GB"/>
          <w14:ligatures w14:val="none"/>
        </w:rPr>
        <w:t>eđenja postojećih znanja u organizaciji. Jedan ili više tutora mogu biti imenovani među članovima osoblja koji imaju ključnu ulogu u procesu učenja među kolegama i pr</w:t>
      </w:r>
      <w:r>
        <w:rPr>
          <w:rFonts w:eastAsia="Times New Roman" w:cs="Arial"/>
          <w:color w:val="000000"/>
          <w:kern w:val="0"/>
          <w:szCs w:val="20"/>
          <w:lang w:eastAsia="en-GB"/>
          <w14:ligatures w14:val="none"/>
        </w:rPr>
        <w:t>e</w:t>
      </w:r>
      <w:r w:rsidRPr="00082833">
        <w:rPr>
          <w:rFonts w:eastAsia="Times New Roman" w:cs="Arial"/>
          <w:color w:val="000000"/>
          <w:kern w:val="0"/>
          <w:szCs w:val="20"/>
          <w:lang w:eastAsia="en-GB"/>
          <w14:ligatures w14:val="none"/>
        </w:rPr>
        <w:t xml:space="preserve">nosu znanja. To bi trebalo garantovati održivost i valorizaciju grupne obuke, kao i pružiti okvir za uključivanje drugih materijala za obuku i </w:t>
      </w:r>
      <w:r>
        <w:rPr>
          <w:rFonts w:eastAsia="Times New Roman" w:cs="Arial"/>
          <w:color w:val="000000"/>
          <w:kern w:val="0"/>
          <w:szCs w:val="20"/>
          <w:lang w:eastAsia="en-GB"/>
          <w14:ligatures w14:val="none"/>
        </w:rPr>
        <w:t xml:space="preserve">izlaznih </w:t>
      </w:r>
      <w:r w:rsidRPr="00082833">
        <w:rPr>
          <w:rFonts w:eastAsia="Times New Roman" w:cs="Arial"/>
          <w:color w:val="000000"/>
          <w:kern w:val="0"/>
          <w:szCs w:val="20"/>
          <w:lang w:eastAsia="en-GB"/>
          <w14:ligatures w14:val="none"/>
        </w:rPr>
        <w:t>rezultata iz drugih aktivnosti tehničke pomoći i drugih konteksta. Kaskadni pristup se smatra posebno korisnim za mnoge od IPA III modula obuke koji će biti fokusirani na uspostavljene procedur</w:t>
      </w:r>
      <w:r>
        <w:rPr>
          <w:rFonts w:eastAsia="Times New Roman" w:cs="Arial"/>
          <w:color w:val="000000"/>
          <w:kern w:val="0"/>
          <w:szCs w:val="20"/>
          <w:lang w:eastAsia="en-GB"/>
          <w14:ligatures w14:val="none"/>
        </w:rPr>
        <w:t>e</w:t>
      </w:r>
      <w:r w:rsidRPr="00082833">
        <w:rPr>
          <w:rFonts w:eastAsia="Times New Roman" w:cs="Arial"/>
          <w:color w:val="000000"/>
          <w:kern w:val="0"/>
          <w:szCs w:val="20"/>
          <w:lang w:eastAsia="en-GB"/>
          <w14:ligatures w14:val="none"/>
        </w:rPr>
        <w:t xml:space="preserve"> i proces</w:t>
      </w:r>
      <w:r>
        <w:rPr>
          <w:rFonts w:eastAsia="Times New Roman" w:cs="Arial"/>
          <w:color w:val="000000"/>
          <w:kern w:val="0"/>
          <w:szCs w:val="20"/>
          <w:lang w:eastAsia="en-GB"/>
          <w14:ligatures w14:val="none"/>
        </w:rPr>
        <w:t>e</w:t>
      </w:r>
      <w:r w:rsidRPr="00082833">
        <w:rPr>
          <w:rFonts w:eastAsia="Times New Roman" w:cs="Arial"/>
          <w:color w:val="000000"/>
          <w:kern w:val="0"/>
          <w:szCs w:val="20"/>
          <w:lang w:eastAsia="en-GB"/>
          <w14:ligatures w14:val="none"/>
        </w:rPr>
        <w:t>.</w:t>
      </w:r>
    </w:p>
    <w:bookmarkEnd w:id="234"/>
    <w:p w14:paraId="2D14DFF3" w14:textId="77777777" w:rsidR="00190415" w:rsidRDefault="00190415" w:rsidP="00190415">
      <w:pPr>
        <w:contextualSpacing/>
        <w:jc w:val="left"/>
        <w:rPr>
          <w:rFonts w:eastAsiaTheme="minorEastAsia" w:cs="Arial"/>
          <w:kern w:val="0"/>
          <w14:ligatures w14:val="none"/>
        </w:rPr>
      </w:pPr>
    </w:p>
    <w:p w14:paraId="14E02E65" w14:textId="77777777" w:rsidR="00190415" w:rsidRPr="00EB5055" w:rsidRDefault="00190415" w:rsidP="00190415">
      <w:pPr>
        <w:contextualSpacing/>
        <w:jc w:val="left"/>
        <w:rPr>
          <w:rFonts w:eastAsiaTheme="minorEastAsia" w:cs="Arial"/>
          <w:kern w:val="0"/>
          <w14:ligatures w14:val="none"/>
        </w:rPr>
      </w:pPr>
      <w:r>
        <w:rPr>
          <w:rFonts w:eastAsiaTheme="minorEastAsia" w:cs="Arial"/>
          <w:kern w:val="0"/>
          <w14:ligatures w14:val="none"/>
        </w:rPr>
        <w:t>Ispod su predstavljena tri odobrena Programa za jačanje kapaciteta.</w:t>
      </w:r>
    </w:p>
    <w:p w14:paraId="5C977AEE" w14:textId="41D4A5A8" w:rsidR="002A5433" w:rsidRDefault="00190415" w:rsidP="00190415">
      <w:pPr>
        <w:keepNext/>
        <w:keepLines/>
        <w:spacing w:before="240" w:after="240"/>
        <w:jc w:val="left"/>
        <w:outlineLvl w:val="1"/>
        <w:rPr>
          <w:rFonts w:eastAsiaTheme="majorEastAsia" w:cs="Arial"/>
          <w:color w:val="0F4761" w:themeColor="accent1" w:themeShade="BF"/>
          <w:kern w:val="0"/>
          <w:sz w:val="28"/>
          <w:szCs w:val="28"/>
          <w14:ligatures w14:val="none"/>
        </w:rPr>
      </w:pPr>
      <w:bookmarkStart w:id="235" w:name="_Toc177714631"/>
      <w:r w:rsidRPr="00EB5055">
        <w:rPr>
          <w:rFonts w:eastAsiaTheme="majorEastAsia" w:cs="Arial"/>
          <w:color w:val="0F4761" w:themeColor="accent1" w:themeShade="BF"/>
          <w:kern w:val="0"/>
          <w:sz w:val="28"/>
          <w:szCs w:val="28"/>
          <w14:ligatures w14:val="none"/>
        </w:rPr>
        <w:t xml:space="preserve">IPA III </w:t>
      </w:r>
      <w:bookmarkEnd w:id="235"/>
      <w:r>
        <w:rPr>
          <w:rFonts w:eastAsiaTheme="majorEastAsia" w:cs="Arial"/>
          <w:color w:val="0F4761" w:themeColor="accent1" w:themeShade="BF"/>
          <w:kern w:val="0"/>
          <w:sz w:val="28"/>
          <w:szCs w:val="28"/>
          <w14:ligatures w14:val="none"/>
        </w:rPr>
        <w:t>Uvodni program</w:t>
      </w:r>
    </w:p>
    <w:p w14:paraId="15E3F061" w14:textId="77777777" w:rsidR="002A5433" w:rsidRPr="00EB5055" w:rsidRDefault="002A5433" w:rsidP="00190415">
      <w:pPr>
        <w:keepNext/>
        <w:keepLines/>
        <w:spacing w:before="240" w:after="240"/>
        <w:jc w:val="left"/>
        <w:outlineLvl w:val="1"/>
        <w:rPr>
          <w:rFonts w:eastAsiaTheme="majorEastAsia" w:cs="Arial"/>
          <w:color w:val="0F4761" w:themeColor="accent1" w:themeShade="BF"/>
          <w:kern w:val="0"/>
          <w:sz w:val="28"/>
          <w:szCs w:val="28"/>
          <w14:ligatures w14:val="none"/>
        </w:rPr>
      </w:pPr>
    </w:p>
    <w:p w14:paraId="4D0B0982" w14:textId="77777777" w:rsidR="00190415" w:rsidRPr="00EB5055" w:rsidRDefault="00190415" w:rsidP="00190415">
      <w:pPr>
        <w:keepNext/>
        <w:jc w:val="left"/>
        <w:rPr>
          <w:rFonts w:eastAsiaTheme="minorEastAsia" w:cs="Arial"/>
          <w:b/>
          <w:bCs/>
          <w:smallCaps/>
          <w:color w:val="0E2841" w:themeColor="text2"/>
          <w:kern w:val="0"/>
          <w14:ligatures w14:val="none"/>
        </w:rPr>
      </w:pPr>
      <w:bookmarkStart w:id="236" w:name="_Toc177714673"/>
      <w:r>
        <w:rPr>
          <w:rFonts w:eastAsiaTheme="minorEastAsia" w:cs="Arial"/>
          <w:b/>
          <w:bCs/>
          <w:smallCaps/>
          <w:color w:val="0E2841" w:themeColor="text2"/>
          <w:kern w:val="0"/>
          <w14:ligatures w14:val="none"/>
        </w:rPr>
        <w:t>MODULI JAČANJA KAPACITETA</w:t>
      </w:r>
      <w:r w:rsidRPr="00EB5055">
        <w:rPr>
          <w:rFonts w:eastAsiaTheme="minorEastAsia" w:cs="Arial"/>
          <w:b/>
          <w:bCs/>
          <w:smallCaps/>
          <w:color w:val="0E2841" w:themeColor="text2"/>
          <w:kern w:val="0"/>
          <w14:ligatures w14:val="none"/>
        </w:rPr>
        <w:t xml:space="preserve"> – </w:t>
      </w:r>
      <w:r>
        <w:rPr>
          <w:rFonts w:eastAsiaTheme="minorEastAsia" w:cs="Arial"/>
          <w:b/>
          <w:bCs/>
          <w:smallCaps/>
          <w:color w:val="0E2841" w:themeColor="text2"/>
          <w:kern w:val="0"/>
          <w14:ligatures w14:val="none"/>
        </w:rPr>
        <w:t>UVODNI</w:t>
      </w:r>
      <w:r w:rsidRPr="00EB5055">
        <w:rPr>
          <w:rFonts w:eastAsiaTheme="minorEastAsia" w:cs="Arial"/>
          <w:b/>
          <w:bCs/>
          <w:smallCaps/>
          <w:color w:val="0E2841" w:themeColor="text2"/>
          <w:kern w:val="0"/>
          <w14:ligatures w14:val="none"/>
        </w:rPr>
        <w:t xml:space="preserve"> PROGRAM </w:t>
      </w:r>
      <w:r>
        <w:rPr>
          <w:rFonts w:eastAsiaTheme="minorEastAsia" w:cs="Arial"/>
          <w:b/>
          <w:bCs/>
          <w:smallCaps/>
          <w:color w:val="0E2841" w:themeColor="text2"/>
          <w:kern w:val="0"/>
          <w14:ligatures w14:val="none"/>
        </w:rPr>
        <w:t>ZA</w:t>
      </w:r>
      <w:r w:rsidRPr="00EB5055">
        <w:rPr>
          <w:rFonts w:eastAsiaTheme="minorEastAsia" w:cs="Arial"/>
          <w:b/>
          <w:bCs/>
          <w:smallCaps/>
          <w:color w:val="0E2841" w:themeColor="text2"/>
          <w:kern w:val="0"/>
          <w14:ligatures w14:val="none"/>
        </w:rPr>
        <w:t xml:space="preserve"> IPA III</w:t>
      </w:r>
      <w:bookmarkEnd w:id="236"/>
    </w:p>
    <w:tbl>
      <w:tblPr>
        <w:tblW w:w="5343" w:type="pct"/>
        <w:tblCellMar>
          <w:left w:w="10" w:type="dxa"/>
          <w:right w:w="10" w:type="dxa"/>
        </w:tblCellMar>
        <w:tblLook w:val="0000" w:firstRow="0" w:lastRow="0" w:firstColumn="0" w:lastColumn="0" w:noHBand="0" w:noVBand="0"/>
      </w:tblPr>
      <w:tblGrid>
        <w:gridCol w:w="987"/>
        <w:gridCol w:w="3545"/>
        <w:gridCol w:w="5459"/>
      </w:tblGrid>
      <w:tr w:rsidR="00190415" w:rsidRPr="00EB5055" w14:paraId="24A4F769" w14:textId="77777777" w:rsidTr="00A241AA">
        <w:tc>
          <w:tcPr>
            <w:tcW w:w="494"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Mar>
              <w:top w:w="0" w:type="dxa"/>
              <w:left w:w="108" w:type="dxa"/>
              <w:bottom w:w="0" w:type="dxa"/>
              <w:right w:w="108" w:type="dxa"/>
            </w:tcMar>
            <w:vAlign w:val="center"/>
          </w:tcPr>
          <w:p w14:paraId="3B78AC59"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Kod</w:t>
            </w:r>
            <w:r w:rsidRPr="00EB5055">
              <w:rPr>
                <w:rFonts w:eastAsia="Trebuchet MS" w:cs="Arial"/>
                <w:b/>
                <w:color w:val="FFFFFF" w:themeColor="background1"/>
                <w:kern w:val="3"/>
                <w:szCs w:val="20"/>
                <w:lang w:bidi="en-US"/>
                <w14:ligatures w14:val="none"/>
              </w:rPr>
              <w:t xml:space="preserve"> </w:t>
            </w:r>
          </w:p>
        </w:tc>
        <w:tc>
          <w:tcPr>
            <w:tcW w:w="1774"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Pr>
          <w:p w14:paraId="1F78B04B"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Tema</w:t>
            </w:r>
          </w:p>
        </w:tc>
        <w:tc>
          <w:tcPr>
            <w:tcW w:w="2732"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Mar>
              <w:top w:w="0" w:type="dxa"/>
              <w:left w:w="108" w:type="dxa"/>
              <w:bottom w:w="0" w:type="dxa"/>
              <w:right w:w="108" w:type="dxa"/>
            </w:tcMar>
            <w:vAlign w:val="center"/>
          </w:tcPr>
          <w:p w14:paraId="740FFE8A"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Ciljna grupa</w:t>
            </w:r>
          </w:p>
        </w:tc>
      </w:tr>
      <w:tr w:rsidR="00190415" w:rsidRPr="00EB5055" w14:paraId="75758AF9" w14:textId="77777777" w:rsidTr="00A241AA">
        <w:tc>
          <w:tcPr>
            <w:tcW w:w="494"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7B4339C" w14:textId="77777777" w:rsidR="00190415" w:rsidRPr="002011A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2011A5">
              <w:lastRenderedPageBreak/>
              <w:t>IPA.I.01</w:t>
            </w:r>
          </w:p>
        </w:tc>
        <w:tc>
          <w:tcPr>
            <w:tcW w:w="17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2CD7EB"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UVOD U IPA III</w:t>
            </w:r>
            <w:r w:rsidRPr="00EB5055">
              <w:rPr>
                <w:rFonts w:eastAsia="Trebuchet MS" w:cs="Arial"/>
                <w:kern w:val="3"/>
                <w:szCs w:val="20"/>
                <w:vertAlign w:val="superscript"/>
                <w:lang w:bidi="en-US"/>
                <w14:ligatures w14:val="none"/>
              </w:rPr>
              <w:footnoteReference w:id="276"/>
            </w:r>
            <w:r w:rsidRPr="00EB5055">
              <w:rPr>
                <w:rFonts w:eastAsia="Trebuchet MS" w:cs="Arial"/>
                <w:kern w:val="3"/>
                <w:szCs w:val="20"/>
                <w:lang w:bidi="en-US"/>
                <w14:ligatures w14:val="none"/>
              </w:rPr>
              <w:t xml:space="preserve"> </w:t>
            </w:r>
            <w:r>
              <w:rPr>
                <w:rFonts w:eastAsia="Trebuchet MS" w:cs="Arial"/>
                <w:kern w:val="3"/>
                <w:szCs w:val="20"/>
                <w:lang w:bidi="en-US"/>
                <w14:ligatures w14:val="none"/>
              </w:rPr>
              <w:t xml:space="preserve"> – PREGLED IPA SISTEMA I TIJELA </w:t>
            </w:r>
            <w:r w:rsidRPr="00EB5055">
              <w:rPr>
                <w:rFonts w:eastAsia="Trebuchet MS" w:cs="Arial"/>
                <w:kern w:val="3"/>
                <w:szCs w:val="20"/>
                <w:lang w:bidi="en-US"/>
                <w14:ligatures w14:val="none"/>
              </w:rPr>
              <w:t xml:space="preserve">AN </w:t>
            </w:r>
          </w:p>
        </w:tc>
        <w:tc>
          <w:tcPr>
            <w:tcW w:w="27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E64099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Nedavno zaposleni kadar u IPA strukturama</w:t>
            </w:r>
          </w:p>
          <w:p w14:paraId="3ED0E10A"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Novozaposleni</w:t>
            </w:r>
          </w:p>
          <w:p w14:paraId="6E5607C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i/>
                <w:iCs/>
                <w:kern w:val="3"/>
                <w:sz w:val="18"/>
                <w:szCs w:val="18"/>
                <w:lang w:bidi="en-US"/>
                <w14:ligatures w14:val="none"/>
              </w:rPr>
            </w:pPr>
            <w:r w:rsidRPr="00646E8A">
              <w:rPr>
                <w:rFonts w:eastAsia="Trebuchet MS" w:cs="Arial"/>
                <w:i/>
                <w:iCs/>
                <w:kern w:val="3"/>
                <w:sz w:val="18"/>
                <w:szCs w:val="18"/>
                <w:lang w:bidi="en-US"/>
                <w14:ligatures w14:val="none"/>
              </w:rPr>
              <w:t>Preporučeno za sve zaposlene kako bi se pružilo do</w:t>
            </w:r>
            <w:r>
              <w:rPr>
                <w:rFonts w:eastAsia="Trebuchet MS" w:cs="Arial"/>
                <w:i/>
                <w:iCs/>
                <w:kern w:val="3"/>
                <w:sz w:val="18"/>
                <w:szCs w:val="18"/>
                <w:lang w:bidi="en-US"/>
                <w14:ligatures w14:val="none"/>
              </w:rPr>
              <w:t>s</w:t>
            </w:r>
            <w:r w:rsidRPr="00646E8A">
              <w:rPr>
                <w:rFonts w:eastAsia="Trebuchet MS" w:cs="Arial"/>
                <w:i/>
                <w:iCs/>
                <w:kern w:val="3"/>
                <w:sz w:val="18"/>
                <w:szCs w:val="18"/>
                <w:lang w:bidi="en-US"/>
                <w14:ligatures w14:val="none"/>
              </w:rPr>
              <w:t>ljedno razumijevanje IPA III</w:t>
            </w:r>
          </w:p>
        </w:tc>
      </w:tr>
      <w:tr w:rsidR="00190415" w:rsidRPr="00EB5055" w14:paraId="34DC5496" w14:textId="77777777" w:rsidTr="00A241AA">
        <w:tc>
          <w:tcPr>
            <w:tcW w:w="494"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39617475" w14:textId="77777777" w:rsidR="00190415" w:rsidRPr="002011A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2011A5">
              <w:t>IPA.I.02</w:t>
            </w:r>
          </w:p>
        </w:tc>
        <w:tc>
          <w:tcPr>
            <w:tcW w:w="17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BD8C0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EB5055">
              <w:rPr>
                <w:rFonts w:eastAsia="Trebuchet MS" w:cs="Arial"/>
                <w:kern w:val="3"/>
                <w:szCs w:val="20"/>
                <w:lang w:bidi="en-US"/>
                <w14:ligatures w14:val="none"/>
              </w:rPr>
              <w:t xml:space="preserve">IPA III </w:t>
            </w:r>
            <w:r>
              <w:rPr>
                <w:rFonts w:eastAsia="Trebuchet MS" w:cs="Arial"/>
                <w:kern w:val="3"/>
                <w:szCs w:val="20"/>
                <w:lang w:bidi="en-US"/>
                <w14:ligatures w14:val="none"/>
              </w:rPr>
              <w:t>OKVIR ZA INTERNU KONTROLU</w:t>
            </w:r>
            <w:r w:rsidRPr="00EB5055">
              <w:rPr>
                <w:rFonts w:eastAsia="Trebuchet MS" w:cs="Arial"/>
                <w:kern w:val="3"/>
                <w:szCs w:val="20"/>
                <w:lang w:bidi="en-US"/>
                <w14:ligatures w14:val="none"/>
              </w:rPr>
              <w:t>(IMBC)</w:t>
            </w:r>
          </w:p>
        </w:tc>
        <w:tc>
          <w:tcPr>
            <w:tcW w:w="27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B225D1"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Nedavno zaposleni kadar u IPA strukturama</w:t>
            </w:r>
          </w:p>
          <w:p w14:paraId="41616FA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Novozaposleni</w:t>
            </w:r>
          </w:p>
          <w:p w14:paraId="52056ABA"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646E8A">
              <w:rPr>
                <w:rFonts w:eastAsia="Trebuchet MS" w:cs="Arial"/>
                <w:i/>
                <w:iCs/>
                <w:kern w:val="3"/>
                <w:sz w:val="18"/>
                <w:szCs w:val="18"/>
                <w:lang w:bidi="en-US"/>
                <w14:ligatures w14:val="none"/>
              </w:rPr>
              <w:t>Preporučeno za sve zaposlene kako bi se pružilo do</w:t>
            </w:r>
            <w:r>
              <w:rPr>
                <w:rFonts w:eastAsia="Trebuchet MS" w:cs="Arial"/>
                <w:i/>
                <w:iCs/>
                <w:kern w:val="3"/>
                <w:sz w:val="18"/>
                <w:szCs w:val="18"/>
                <w:lang w:bidi="en-US"/>
                <w14:ligatures w14:val="none"/>
              </w:rPr>
              <w:t>s</w:t>
            </w:r>
            <w:r w:rsidRPr="00646E8A">
              <w:rPr>
                <w:rFonts w:eastAsia="Trebuchet MS" w:cs="Arial"/>
                <w:i/>
                <w:iCs/>
                <w:kern w:val="3"/>
                <w:sz w:val="18"/>
                <w:szCs w:val="18"/>
                <w:lang w:bidi="en-US"/>
                <w14:ligatures w14:val="none"/>
              </w:rPr>
              <w:t>ljedno razumijevanje IPA III</w:t>
            </w:r>
          </w:p>
        </w:tc>
      </w:tr>
      <w:tr w:rsidR="00190415" w:rsidRPr="00EB5055" w14:paraId="5A635965" w14:textId="77777777" w:rsidTr="00A241AA">
        <w:tc>
          <w:tcPr>
            <w:tcW w:w="494"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03A5D15E" w14:textId="77777777" w:rsidR="00190415" w:rsidRPr="002011A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2011A5">
              <w:t>IPA.I.03</w:t>
            </w:r>
          </w:p>
        </w:tc>
        <w:tc>
          <w:tcPr>
            <w:tcW w:w="17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5DB29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EB5055">
              <w:rPr>
                <w:rFonts w:eastAsia="Trebuchet MS" w:cs="Arial"/>
                <w:kern w:val="3"/>
                <w:szCs w:val="20"/>
                <w:lang w:bidi="en-US"/>
                <w14:ligatures w14:val="none"/>
              </w:rPr>
              <w:t>IPA III</w:t>
            </w:r>
            <w:r>
              <w:rPr>
                <w:rFonts w:eastAsia="Trebuchet MS" w:cs="Arial"/>
                <w:kern w:val="3"/>
                <w:szCs w:val="20"/>
                <w:lang w:bidi="en-US"/>
                <w14:ligatures w14:val="none"/>
              </w:rPr>
              <w:t xml:space="preserve"> PRIRUČNIK O </w:t>
            </w:r>
            <w:r w:rsidRPr="00EB5055">
              <w:rPr>
                <w:rFonts w:eastAsia="Trebuchet MS" w:cs="Arial"/>
                <w:kern w:val="3"/>
                <w:szCs w:val="20"/>
                <w:lang w:bidi="en-US"/>
                <w14:ligatures w14:val="none"/>
              </w:rPr>
              <w:t>PROCEDUR</w:t>
            </w:r>
            <w:r>
              <w:rPr>
                <w:rFonts w:eastAsia="Trebuchet MS" w:cs="Arial"/>
                <w:kern w:val="3"/>
                <w:szCs w:val="20"/>
                <w:lang w:bidi="en-US"/>
                <w14:ligatures w14:val="none"/>
              </w:rPr>
              <w:t>AMA</w:t>
            </w:r>
          </w:p>
        </w:tc>
        <w:tc>
          <w:tcPr>
            <w:tcW w:w="273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98B0C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Nedavno zaposleni kadar u IPA strukturama</w:t>
            </w:r>
          </w:p>
          <w:p w14:paraId="10C2BA6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Novozaposleni</w:t>
            </w:r>
          </w:p>
          <w:p w14:paraId="1975E1C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646E8A">
              <w:rPr>
                <w:rFonts w:eastAsia="Trebuchet MS" w:cs="Arial"/>
                <w:i/>
                <w:iCs/>
                <w:kern w:val="3"/>
                <w:sz w:val="18"/>
                <w:szCs w:val="18"/>
                <w:lang w:bidi="en-US"/>
                <w14:ligatures w14:val="none"/>
              </w:rPr>
              <w:t>Preporučeno za sve zaposlene kako bi se pružilo do</w:t>
            </w:r>
            <w:r>
              <w:rPr>
                <w:rFonts w:eastAsia="Trebuchet MS" w:cs="Arial"/>
                <w:i/>
                <w:iCs/>
                <w:kern w:val="3"/>
                <w:sz w:val="18"/>
                <w:szCs w:val="18"/>
                <w:lang w:bidi="en-US"/>
                <w14:ligatures w14:val="none"/>
              </w:rPr>
              <w:t>s</w:t>
            </w:r>
            <w:r w:rsidRPr="00646E8A">
              <w:rPr>
                <w:rFonts w:eastAsia="Trebuchet MS" w:cs="Arial"/>
                <w:i/>
                <w:iCs/>
                <w:kern w:val="3"/>
                <w:sz w:val="18"/>
                <w:szCs w:val="18"/>
                <w:lang w:bidi="en-US"/>
                <w14:ligatures w14:val="none"/>
              </w:rPr>
              <w:t>ljedno razumijevanje IPA III</w:t>
            </w:r>
          </w:p>
        </w:tc>
      </w:tr>
    </w:tbl>
    <w:p w14:paraId="30696A2F" w14:textId="77777777" w:rsidR="00190415" w:rsidRPr="00EB5055" w:rsidRDefault="00190415" w:rsidP="00190415">
      <w:pPr>
        <w:spacing w:after="160" w:line="259" w:lineRule="auto"/>
        <w:rPr>
          <w:rFonts w:eastAsiaTheme="minorEastAsia" w:cs="Arial"/>
          <w:kern w:val="0"/>
          <w14:ligatures w14:val="none"/>
        </w:rPr>
      </w:pPr>
    </w:p>
    <w:p w14:paraId="571B5587" w14:textId="77777777" w:rsidR="00190415" w:rsidRPr="00EB5055" w:rsidRDefault="00190415" w:rsidP="00190415">
      <w:pPr>
        <w:keepNext/>
        <w:keepLines/>
        <w:spacing w:after="240"/>
        <w:jc w:val="left"/>
        <w:outlineLvl w:val="1"/>
        <w:rPr>
          <w:rFonts w:eastAsiaTheme="majorEastAsia" w:cs="Arial"/>
          <w:color w:val="0F4761" w:themeColor="accent1" w:themeShade="BF"/>
          <w:kern w:val="0"/>
          <w:sz w:val="32"/>
          <w:szCs w:val="32"/>
          <w14:ligatures w14:val="none"/>
        </w:rPr>
      </w:pPr>
      <w:bookmarkStart w:id="237" w:name="_Toc177714632"/>
      <w:r w:rsidRPr="00EB5055">
        <w:rPr>
          <w:rFonts w:eastAsiaTheme="majorEastAsia" w:cs="Arial"/>
          <w:color w:val="0F4761" w:themeColor="accent1" w:themeShade="BF"/>
          <w:kern w:val="0"/>
          <w:sz w:val="32"/>
          <w:szCs w:val="32"/>
          <w14:ligatures w14:val="none"/>
        </w:rPr>
        <w:t xml:space="preserve">IPA III </w:t>
      </w:r>
      <w:r>
        <w:rPr>
          <w:rFonts w:eastAsiaTheme="majorEastAsia" w:cs="Arial"/>
          <w:color w:val="0F4761" w:themeColor="accent1" w:themeShade="BF"/>
          <w:kern w:val="0"/>
          <w:sz w:val="32"/>
          <w:szCs w:val="32"/>
          <w14:ligatures w14:val="none"/>
        </w:rPr>
        <w:t>Napredni</w:t>
      </w:r>
      <w:r w:rsidRPr="00EB5055">
        <w:rPr>
          <w:rFonts w:eastAsiaTheme="majorEastAsia" w:cs="Arial"/>
          <w:color w:val="0F4761" w:themeColor="accent1" w:themeShade="BF"/>
          <w:kern w:val="0"/>
          <w:sz w:val="32"/>
          <w:szCs w:val="32"/>
          <w14:ligatures w14:val="none"/>
        </w:rPr>
        <w:t xml:space="preserve"> </w:t>
      </w:r>
      <w:r>
        <w:rPr>
          <w:rFonts w:eastAsiaTheme="majorEastAsia" w:cs="Arial"/>
          <w:color w:val="0F4761" w:themeColor="accent1" w:themeShade="BF"/>
          <w:kern w:val="0"/>
          <w:sz w:val="32"/>
          <w:szCs w:val="32"/>
          <w14:ligatures w14:val="none"/>
        </w:rPr>
        <w:t>p</w:t>
      </w:r>
      <w:r w:rsidRPr="00EB5055">
        <w:rPr>
          <w:rFonts w:eastAsiaTheme="majorEastAsia" w:cs="Arial"/>
          <w:color w:val="0F4761" w:themeColor="accent1" w:themeShade="BF"/>
          <w:kern w:val="0"/>
          <w:sz w:val="32"/>
          <w:szCs w:val="32"/>
          <w14:ligatures w14:val="none"/>
        </w:rPr>
        <w:t>rogram</w:t>
      </w:r>
      <w:bookmarkEnd w:id="237"/>
    </w:p>
    <w:p w14:paraId="4EAD0EAF" w14:textId="77777777" w:rsidR="00190415" w:rsidRPr="00DE4DCE" w:rsidRDefault="00190415" w:rsidP="00190415">
      <w:pPr>
        <w:spacing w:after="160" w:line="259" w:lineRule="auto"/>
        <w:jc w:val="left"/>
        <w:rPr>
          <w:rFonts w:eastAsiaTheme="minorEastAsia" w:cs="Arial"/>
          <w:kern w:val="0"/>
          <w14:ligatures w14:val="none"/>
        </w:rPr>
      </w:pPr>
      <w:r w:rsidRPr="00DE4DCE">
        <w:rPr>
          <w:rFonts w:eastAsiaTheme="minorEastAsia" w:cs="Arial"/>
          <w:kern w:val="0"/>
          <w14:ligatures w14:val="none"/>
        </w:rPr>
        <w:t>Fokus IPA III Programa napredne obuke je na 2 aspekta:</w:t>
      </w:r>
    </w:p>
    <w:p w14:paraId="601925F7" w14:textId="77777777" w:rsidR="00190415" w:rsidRDefault="00190415" w:rsidP="00D15218">
      <w:pPr>
        <w:pStyle w:val="ListParagraph"/>
        <w:numPr>
          <w:ilvl w:val="0"/>
          <w:numId w:val="84"/>
        </w:numPr>
        <w:spacing w:after="160" w:line="259" w:lineRule="auto"/>
        <w:jc w:val="left"/>
        <w:rPr>
          <w:rFonts w:eastAsiaTheme="minorEastAsia" w:cs="Arial"/>
          <w:kern w:val="0"/>
          <w14:ligatures w14:val="none"/>
        </w:rPr>
      </w:pPr>
      <w:r w:rsidRPr="00646E8A">
        <w:rPr>
          <w:rFonts w:eastAsiaTheme="minorEastAsia" w:cs="Arial"/>
          <w:b/>
          <w:kern w:val="0"/>
          <w14:ligatures w14:val="none"/>
        </w:rPr>
        <w:t>jačanju razumijevanja procedura i procesa</w:t>
      </w:r>
      <w:r w:rsidRPr="00DE4DCE">
        <w:rPr>
          <w:rFonts w:eastAsiaTheme="minorEastAsia" w:cs="Arial"/>
          <w:kern w:val="0"/>
          <w14:ligatures w14:val="none"/>
        </w:rPr>
        <w:t xml:space="preserve"> u vezi sa specifičnim odgovornostima </w:t>
      </w:r>
      <w:r>
        <w:rPr>
          <w:rFonts w:eastAsiaTheme="minorEastAsia" w:cs="Arial"/>
          <w:kern w:val="0"/>
          <w14:ligatures w14:val="none"/>
        </w:rPr>
        <w:t>zaposlenih</w:t>
      </w:r>
      <w:r w:rsidRPr="00DE4DCE">
        <w:rPr>
          <w:rFonts w:eastAsiaTheme="minorEastAsia" w:cs="Arial"/>
          <w:kern w:val="0"/>
          <w14:ligatures w14:val="none"/>
        </w:rPr>
        <w:t xml:space="preserve"> u svakoj tipologiji institucije u strukturi upravljanja IPA fondovima za višegodišnje operativne programe, </w:t>
      </w:r>
      <w:r w:rsidRPr="00646E8A">
        <w:rPr>
          <w:rFonts w:eastAsiaTheme="minorEastAsia" w:cs="Arial"/>
          <w:b/>
          <w:kern w:val="0"/>
          <w14:ligatures w14:val="none"/>
        </w:rPr>
        <w:t>prema zajedničkom pristupu</w:t>
      </w:r>
      <w:r w:rsidRPr="00DE4DCE">
        <w:rPr>
          <w:rFonts w:eastAsiaTheme="minorEastAsia" w:cs="Arial"/>
          <w:kern w:val="0"/>
          <w14:ligatures w14:val="none"/>
        </w:rPr>
        <w:t>;</w:t>
      </w:r>
    </w:p>
    <w:p w14:paraId="3FD25F21" w14:textId="77777777" w:rsidR="00190415" w:rsidRPr="00677196" w:rsidRDefault="00190415" w:rsidP="00D15218">
      <w:pPr>
        <w:pStyle w:val="ListParagraph"/>
        <w:numPr>
          <w:ilvl w:val="0"/>
          <w:numId w:val="84"/>
        </w:numPr>
        <w:spacing w:after="160" w:line="259" w:lineRule="auto"/>
        <w:jc w:val="left"/>
        <w:rPr>
          <w:rFonts w:eastAsiaTheme="minorEastAsia" w:cs="Arial"/>
          <w:kern w:val="0"/>
          <w14:ligatures w14:val="none"/>
        </w:rPr>
      </w:pPr>
      <w:r w:rsidRPr="00DE4DCE">
        <w:rPr>
          <w:rFonts w:eastAsiaTheme="minorEastAsia" w:cs="Arial"/>
          <w:kern w:val="0"/>
          <w14:ligatures w14:val="none"/>
        </w:rPr>
        <w:t xml:space="preserve">usmjerenju na </w:t>
      </w:r>
      <w:r w:rsidRPr="00646E8A">
        <w:rPr>
          <w:rFonts w:eastAsiaTheme="minorEastAsia" w:cs="Arial"/>
          <w:b/>
          <w:kern w:val="0"/>
          <w14:ligatures w14:val="none"/>
        </w:rPr>
        <w:t>ključne elemente</w:t>
      </w:r>
      <w:r w:rsidRPr="00DE4DCE">
        <w:rPr>
          <w:rFonts w:eastAsiaTheme="minorEastAsia" w:cs="Arial"/>
          <w:kern w:val="0"/>
          <w14:ligatures w14:val="none"/>
        </w:rPr>
        <w:t xml:space="preserve"> koji su takođe relevantni za </w:t>
      </w:r>
      <w:r>
        <w:rPr>
          <w:rFonts w:eastAsiaTheme="minorEastAsia" w:cs="Arial"/>
          <w:kern w:val="0"/>
          <w14:ligatures w14:val="none"/>
        </w:rPr>
        <w:t>Kohezionu politiku</w:t>
      </w:r>
      <w:r w:rsidRPr="00DE4DCE">
        <w:rPr>
          <w:rFonts w:eastAsiaTheme="minorEastAsia" w:cs="Arial"/>
          <w:kern w:val="0"/>
          <w14:ligatures w14:val="none"/>
        </w:rPr>
        <w:t xml:space="preserve">, u skladu sa </w:t>
      </w:r>
      <w:r w:rsidRPr="00646E8A">
        <w:rPr>
          <w:rFonts w:eastAsiaTheme="minorEastAsia" w:cs="Arial"/>
          <w:b/>
          <w:kern w:val="0"/>
          <w14:ligatures w14:val="none"/>
        </w:rPr>
        <w:t xml:space="preserve">pristupom </w:t>
      </w:r>
      <w:r>
        <w:rPr>
          <w:rFonts w:eastAsiaTheme="minorEastAsia" w:cs="Arial"/>
          <w:b/>
          <w:kern w:val="0"/>
          <w14:ligatures w14:val="none"/>
        </w:rPr>
        <w:t>usmjerenim na budućnost</w:t>
      </w:r>
      <w:r w:rsidRPr="00DE4DCE">
        <w:rPr>
          <w:rFonts w:eastAsiaTheme="minorEastAsia" w:cs="Arial"/>
          <w:kern w:val="0"/>
          <w14:ligatures w14:val="none"/>
        </w:rPr>
        <w:t>.</w:t>
      </w:r>
      <w:r>
        <w:rPr>
          <w:rFonts w:eastAsiaTheme="minorEastAsia" w:cs="Arial"/>
          <w:kern w:val="0"/>
          <w14:ligatures w14:val="none"/>
        </w:rPr>
        <w:t xml:space="preserve"> </w:t>
      </w:r>
    </w:p>
    <w:p w14:paraId="04984C22" w14:textId="77777777" w:rsidR="00190415" w:rsidRPr="00DE4DCE" w:rsidRDefault="00190415" w:rsidP="00190415">
      <w:pPr>
        <w:spacing w:after="160" w:line="259" w:lineRule="auto"/>
        <w:rPr>
          <w:rFonts w:eastAsiaTheme="minorEastAsia" w:cs="Arial"/>
          <w:kern w:val="0"/>
          <w14:ligatures w14:val="none"/>
        </w:rPr>
      </w:pPr>
      <w:r w:rsidRPr="00DE4DCE">
        <w:rPr>
          <w:rFonts w:eastAsiaTheme="minorEastAsia" w:cs="Arial"/>
          <w:kern w:val="0"/>
          <w14:ligatures w14:val="none"/>
        </w:rPr>
        <w:t>Moduli obuke tokom realizacije će se temeljiti na međuinstitucionalnim sporazumima koji su na snazi i na Priručnicima o procedurama razvijenim za IPA III višegodišnje operativne programe; ov</w:t>
      </w:r>
      <w:r>
        <w:rPr>
          <w:rFonts w:eastAsiaTheme="minorEastAsia" w:cs="Arial"/>
          <w:kern w:val="0"/>
          <w14:ligatures w14:val="none"/>
        </w:rPr>
        <w:t>a</w:t>
      </w:r>
      <w:r w:rsidRPr="00DE4DCE">
        <w:rPr>
          <w:rFonts w:eastAsiaTheme="minorEastAsia" w:cs="Arial"/>
          <w:kern w:val="0"/>
          <w14:ligatures w14:val="none"/>
        </w:rPr>
        <w:t xml:space="preserve"> dokument</w:t>
      </w:r>
      <w:r>
        <w:rPr>
          <w:rFonts w:eastAsiaTheme="minorEastAsia" w:cs="Arial"/>
          <w:kern w:val="0"/>
          <w14:ligatures w14:val="none"/>
        </w:rPr>
        <w:t>a</w:t>
      </w:r>
      <w:r w:rsidRPr="00DE4DCE">
        <w:rPr>
          <w:rFonts w:eastAsiaTheme="minorEastAsia" w:cs="Arial"/>
          <w:kern w:val="0"/>
          <w14:ligatures w14:val="none"/>
        </w:rPr>
        <w:t xml:space="preserve"> ni</w:t>
      </w:r>
      <w:r>
        <w:rPr>
          <w:rFonts w:eastAsiaTheme="minorEastAsia" w:cs="Arial"/>
          <w:kern w:val="0"/>
          <w14:ligatures w14:val="none"/>
        </w:rPr>
        <w:t>je</w:t>
      </w:r>
      <w:r w:rsidRPr="00DE4DCE">
        <w:rPr>
          <w:rFonts w:eastAsiaTheme="minorEastAsia" w:cs="Arial"/>
          <w:kern w:val="0"/>
          <w14:ligatures w14:val="none"/>
        </w:rPr>
        <w:t>su naveden kao reference jer se smatra da je njihova finalizacija u toku prilikom pripreme ovog programa.</w:t>
      </w:r>
    </w:p>
    <w:p w14:paraId="61AD7157" w14:textId="77777777" w:rsidR="00190415" w:rsidRDefault="00190415" w:rsidP="00190415">
      <w:pPr>
        <w:spacing w:after="160" w:line="259" w:lineRule="auto"/>
        <w:rPr>
          <w:rFonts w:eastAsiaTheme="minorEastAsia" w:cs="Arial"/>
          <w:kern w:val="0"/>
          <w14:ligatures w14:val="none"/>
        </w:rPr>
      </w:pPr>
      <w:r w:rsidRPr="00DE4DCE">
        <w:rPr>
          <w:rFonts w:eastAsiaTheme="minorEastAsia" w:cs="Arial"/>
          <w:kern w:val="0"/>
          <w14:ligatures w14:val="none"/>
        </w:rPr>
        <w:t xml:space="preserve">Program uzima u obzir da svaki od </w:t>
      </w:r>
      <w:r>
        <w:rPr>
          <w:rFonts w:eastAsiaTheme="minorEastAsia" w:cs="Arial"/>
          <w:kern w:val="0"/>
          <w14:ligatures w14:val="none"/>
        </w:rPr>
        <w:t>O</w:t>
      </w:r>
      <w:r w:rsidRPr="00DE4DCE">
        <w:rPr>
          <w:rFonts w:eastAsiaTheme="minorEastAsia" w:cs="Arial"/>
          <w:kern w:val="0"/>
          <w14:ligatures w14:val="none"/>
        </w:rPr>
        <w:t xml:space="preserve">perativnih programa, NAO upravljačka struktura i CFCU imaju dodijeljenu tehničku pomoć i, shodno tome, dizajniran je tako da ne pruža visoko tehničku ili sektorsku obuku koja bi trebala biti realizovana od strane relevantnih </w:t>
      </w:r>
      <w:r>
        <w:rPr>
          <w:rFonts w:eastAsiaTheme="minorEastAsia" w:cs="Arial"/>
          <w:kern w:val="0"/>
          <w14:ligatures w14:val="none"/>
        </w:rPr>
        <w:t>eksperata</w:t>
      </w:r>
      <w:r w:rsidRPr="00DE4DCE">
        <w:rPr>
          <w:rFonts w:eastAsiaTheme="minorEastAsia" w:cs="Arial"/>
          <w:kern w:val="0"/>
          <w14:ligatures w14:val="none"/>
        </w:rPr>
        <w:t xml:space="preserve"> kao dio posvećene podrške.</w:t>
      </w:r>
    </w:p>
    <w:p w14:paraId="55E21143" w14:textId="77777777" w:rsidR="00190415" w:rsidRPr="00EB5055" w:rsidRDefault="00190415" w:rsidP="00190415">
      <w:pPr>
        <w:keepNext/>
        <w:jc w:val="left"/>
        <w:rPr>
          <w:rFonts w:eastAsiaTheme="minorEastAsia" w:cs="Arial"/>
          <w:b/>
          <w:bCs/>
          <w:smallCaps/>
          <w:color w:val="0E2841" w:themeColor="text2"/>
          <w:kern w:val="0"/>
          <w14:ligatures w14:val="none"/>
        </w:rPr>
      </w:pPr>
      <w:bookmarkStart w:id="238" w:name="_Toc177714674"/>
      <w:r w:rsidRPr="0042605F">
        <w:rPr>
          <w:rFonts w:eastAsiaTheme="minorEastAsia" w:cs="Arial"/>
          <w:b/>
          <w:bCs/>
          <w:smallCaps/>
          <w:color w:val="0E2841" w:themeColor="text2"/>
          <w:kern w:val="0"/>
          <w14:ligatures w14:val="none"/>
        </w:rPr>
        <w:t>Tabela</w:t>
      </w:r>
      <w:r w:rsidRPr="00EB5055">
        <w:rPr>
          <w:rFonts w:eastAsiaTheme="minorEastAsia" w:cs="Arial"/>
          <w:b/>
          <w:bCs/>
          <w:smallCaps/>
          <w:color w:val="0E2841" w:themeColor="text2"/>
          <w:kern w:val="0"/>
          <w14:ligatures w14:val="none"/>
        </w:rPr>
        <w:t xml:space="preserve"> </w:t>
      </w:r>
      <w:r w:rsidRPr="00EB5055">
        <w:rPr>
          <w:rFonts w:eastAsiaTheme="minorEastAsia" w:cs="Arial"/>
          <w:b/>
          <w:bCs/>
          <w:smallCaps/>
          <w:color w:val="0E2841" w:themeColor="text2"/>
          <w:kern w:val="0"/>
          <w14:ligatures w14:val="none"/>
        </w:rPr>
        <w:fldChar w:fldCharType="begin"/>
      </w:r>
      <w:r w:rsidRPr="00EB5055">
        <w:rPr>
          <w:rFonts w:eastAsiaTheme="minorEastAsia" w:cs="Arial"/>
          <w:b/>
          <w:bCs/>
          <w:smallCaps/>
          <w:color w:val="0E2841" w:themeColor="text2"/>
          <w:kern w:val="0"/>
          <w14:ligatures w14:val="none"/>
        </w:rPr>
        <w:instrText xml:space="preserve"> SEQ Table \* ARABIC </w:instrText>
      </w:r>
      <w:r w:rsidRPr="00EB5055">
        <w:rPr>
          <w:rFonts w:eastAsiaTheme="minorEastAsia" w:cs="Arial"/>
          <w:b/>
          <w:bCs/>
          <w:smallCaps/>
          <w:color w:val="0E2841" w:themeColor="text2"/>
          <w:kern w:val="0"/>
          <w14:ligatures w14:val="none"/>
        </w:rPr>
        <w:fldChar w:fldCharType="separate"/>
      </w:r>
      <w:r w:rsidRPr="00EB5055">
        <w:rPr>
          <w:rFonts w:eastAsiaTheme="minorEastAsia" w:cs="Arial"/>
          <w:b/>
          <w:bCs/>
          <w:smallCaps/>
          <w:noProof/>
          <w:color w:val="0E2841" w:themeColor="text2"/>
          <w:kern w:val="0"/>
          <w14:ligatures w14:val="none"/>
        </w:rPr>
        <w:t>3</w:t>
      </w:r>
      <w:r w:rsidRPr="00EB5055">
        <w:rPr>
          <w:rFonts w:eastAsiaTheme="minorEastAsia" w:cs="Arial"/>
          <w:b/>
          <w:bCs/>
          <w:smallCaps/>
          <w:color w:val="0E2841" w:themeColor="text2"/>
          <w:kern w:val="0"/>
          <w14:ligatures w14:val="none"/>
        </w:rPr>
        <w:fldChar w:fldCharType="end"/>
      </w:r>
      <w:r w:rsidRPr="00EB5055">
        <w:rPr>
          <w:rFonts w:eastAsiaTheme="minorEastAsia" w:cs="Arial"/>
          <w:b/>
          <w:bCs/>
          <w:smallCaps/>
          <w:color w:val="0E2841" w:themeColor="text2"/>
          <w:kern w:val="0"/>
          <w14:ligatures w14:val="none"/>
        </w:rPr>
        <w:t xml:space="preserve">: </w:t>
      </w:r>
      <w:r w:rsidRPr="0042605F">
        <w:rPr>
          <w:rFonts w:eastAsiaTheme="minorEastAsia" w:cs="Arial"/>
          <w:b/>
          <w:bCs/>
          <w:smallCaps/>
          <w:color w:val="0E2841" w:themeColor="text2"/>
          <w:kern w:val="0"/>
          <w14:ligatures w14:val="none"/>
        </w:rPr>
        <w:t>MODULI ZA JAČANJE KAPACITETA - IPA III NAPREDNI PROGRAM</w:t>
      </w:r>
      <w:bookmarkEnd w:id="238"/>
    </w:p>
    <w:tbl>
      <w:tblPr>
        <w:tblW w:w="5343" w:type="pct"/>
        <w:tblCellMar>
          <w:left w:w="10" w:type="dxa"/>
          <w:right w:w="10" w:type="dxa"/>
        </w:tblCellMar>
        <w:tblLook w:val="0000" w:firstRow="0" w:lastRow="0" w:firstColumn="0" w:lastColumn="0" w:noHBand="0" w:noVBand="0"/>
      </w:tblPr>
      <w:tblGrid>
        <w:gridCol w:w="1271"/>
        <w:gridCol w:w="4536"/>
        <w:gridCol w:w="4184"/>
      </w:tblGrid>
      <w:tr w:rsidR="00190415" w:rsidRPr="00EB5055" w14:paraId="73F7F563"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Mar>
              <w:top w:w="0" w:type="dxa"/>
              <w:left w:w="108" w:type="dxa"/>
              <w:bottom w:w="0" w:type="dxa"/>
              <w:right w:w="108" w:type="dxa"/>
            </w:tcMar>
            <w:vAlign w:val="center"/>
          </w:tcPr>
          <w:p w14:paraId="5CBD1E71"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Br.</w:t>
            </w:r>
            <w:r w:rsidRPr="00EB5055">
              <w:rPr>
                <w:rFonts w:eastAsia="Trebuchet MS" w:cs="Arial"/>
                <w:b/>
                <w:color w:val="FFFFFF" w:themeColor="background1"/>
                <w:kern w:val="3"/>
                <w:szCs w:val="20"/>
                <w:lang w:bidi="en-US"/>
                <w14:ligatures w14:val="none"/>
              </w:rPr>
              <w:t xml:space="preserve"> </w:t>
            </w:r>
          </w:p>
        </w:tc>
        <w:tc>
          <w:tcPr>
            <w:tcW w:w="2270"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Pr>
          <w:p w14:paraId="5E45AC7E"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Tema</w:t>
            </w:r>
          </w:p>
        </w:tc>
        <w:tc>
          <w:tcPr>
            <w:tcW w:w="2094"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Mar>
              <w:top w:w="0" w:type="dxa"/>
              <w:left w:w="108" w:type="dxa"/>
              <w:bottom w:w="0" w:type="dxa"/>
              <w:right w:w="108" w:type="dxa"/>
            </w:tcMar>
            <w:vAlign w:val="center"/>
          </w:tcPr>
          <w:p w14:paraId="31F736A4"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Ciljna grupa</w:t>
            </w:r>
          </w:p>
        </w:tc>
      </w:tr>
      <w:tr w:rsidR="00190415" w:rsidRPr="00EB5055" w14:paraId="13E72B33"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0A8DBF91"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IPA.A.01</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FAE70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KLJUČNI INDIKATORI UČINKA (KPI) ZA IMPLEMENTACIJU IPA III VIŠEGODIŠNJEG OPERATIVNOG PROGRAMA</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7DF115"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NAO/Upravljačka struktura</w:t>
            </w:r>
          </w:p>
          <w:p w14:paraId="289657B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2AB00450"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Posredničko tijelo za upravljanje politikama</w:t>
            </w:r>
          </w:p>
          <w:p w14:paraId="3DA23C11"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61BDDC94"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67100E5"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IPA.A.02</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3C21F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PLANIRANJE NABAVKI ZA IPA III VIŠEGODIŠNJE OPERATIVNE PROGRAME</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EFD33B"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2C87316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Posredničko tijelo za upravljanje politikama</w:t>
            </w:r>
          </w:p>
          <w:p w14:paraId="597E6A3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0811480D"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BC40BBB"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IPA.A.03</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02E95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EB5055">
              <w:rPr>
                <w:rFonts w:eastAsia="Trebuchet MS" w:cs="Arial"/>
                <w:kern w:val="3"/>
                <w:szCs w:val="20"/>
                <w:lang w:bidi="en-US"/>
                <w14:ligatures w14:val="none"/>
              </w:rPr>
              <w:t xml:space="preserve">MONITORING IPA III </w:t>
            </w:r>
            <w:r>
              <w:rPr>
                <w:rFonts w:eastAsia="Trebuchet MS" w:cs="Arial"/>
                <w:kern w:val="3"/>
                <w:szCs w:val="20"/>
                <w:lang w:bidi="en-US"/>
                <w14:ligatures w14:val="none"/>
              </w:rPr>
              <w:t>VIŠEGODIŠNJIH OPERATIVNIH PROGRAMA</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9BE715D"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NAO/Upravljačka struktura</w:t>
            </w:r>
          </w:p>
          <w:p w14:paraId="1A0FF6E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7180723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Posrednička tijela za upravljanje politikama</w:t>
            </w:r>
          </w:p>
          <w:p w14:paraId="67AA371D"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4225FEE8"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1A05DF82"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IPA.A.04</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5C4E5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EB5055">
              <w:rPr>
                <w:rFonts w:eastAsia="Trebuchet MS" w:cs="Arial"/>
                <w:kern w:val="3"/>
                <w:szCs w:val="20"/>
                <w:lang w:bidi="en-US"/>
                <w14:ligatures w14:val="none"/>
              </w:rPr>
              <w:t>MONITORING</w:t>
            </w:r>
            <w:r>
              <w:rPr>
                <w:rFonts w:eastAsia="Trebuchet MS" w:cs="Arial"/>
                <w:kern w:val="3"/>
                <w:szCs w:val="20"/>
                <w:lang w:bidi="en-US"/>
                <w14:ligatures w14:val="none"/>
              </w:rPr>
              <w:t xml:space="preserve"> I IZVJEŠTAVANJE</w:t>
            </w:r>
            <w:r w:rsidRPr="00EB5055">
              <w:rPr>
                <w:rFonts w:eastAsia="Trebuchet MS" w:cs="Arial"/>
                <w:kern w:val="3"/>
                <w:szCs w:val="20"/>
                <w:lang w:bidi="en-US"/>
                <w14:ligatures w14:val="none"/>
              </w:rPr>
              <w:t xml:space="preserve"> – IPA APP</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35A6A8"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33477970" w14:textId="77777777" w:rsidR="00190415" w:rsidRPr="006F33C0"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NAO/Upravljačka struktura</w:t>
            </w:r>
          </w:p>
          <w:p w14:paraId="580A819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2619AD9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2233B769"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6B0DDD4"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IPA.A.05</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3AD5CD"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UPRAVLJANJE RIZICIMA</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28CD67"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4E5C972C"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NAO/Upravljačka struktura</w:t>
            </w:r>
          </w:p>
          <w:p w14:paraId="51205A0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Posredničko tijelo za upravljanje politikama</w:t>
            </w:r>
          </w:p>
          <w:p w14:paraId="6129F590"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21BE724D"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2D874B1F"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350FFCE7"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IPA.A.06</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6607E1"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UPRAVLJANJE NEPRAVILNOSTIMA</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49140A"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48927A2E"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NAO/Upravljačka struktura</w:t>
            </w:r>
          </w:p>
          <w:p w14:paraId="3666198B"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lastRenderedPageBreak/>
              <w:t>Upravljačka tijela</w:t>
            </w:r>
          </w:p>
          <w:p w14:paraId="05EECA6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Posredničko tijelo za upravljanje politikama</w:t>
            </w:r>
          </w:p>
          <w:p w14:paraId="34D6BFC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63068EA7"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3A59AF57"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lastRenderedPageBreak/>
              <w:t>IPA.A.07</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A8769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NADZORNA ULOGA UPRAVLJAČKIH TIJELA NAD POSREDNIČKIM TIJELIMA</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DA84D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74268A2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Posrednička tijela za upravljanje politikama</w:t>
            </w:r>
          </w:p>
          <w:p w14:paraId="058F3C3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056A4812"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0D9B9A1A"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IPA.A.08</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738D7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KOMUNIKACIJE, OGLAŠAVANJE I VIDLJIVOST</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D070D0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728AEC7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569DF91A"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162138F7"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595B840C"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IPA.A.09</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E5B25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ODRŽIVOST</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F6FE8E"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229076B6"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NAO/Upravljačka struktura</w:t>
            </w:r>
          </w:p>
          <w:p w14:paraId="1B26F7E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41009C2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Posrednička tijela za upravljanje politikama</w:t>
            </w:r>
          </w:p>
          <w:p w14:paraId="4F73521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r w:rsidR="00190415" w:rsidRPr="00EB5055" w14:paraId="31566C10" w14:textId="77777777" w:rsidTr="00A241AA">
        <w:tc>
          <w:tcPr>
            <w:tcW w:w="63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139311D5" w14:textId="77777777" w:rsidR="00190415" w:rsidRPr="00F2490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F2490C">
              <w:t>IPA.A.10</w:t>
            </w:r>
          </w:p>
        </w:tc>
        <w:tc>
          <w:tcPr>
            <w:tcW w:w="227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1FD16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REVIZIJA</w:t>
            </w:r>
            <w:r w:rsidRPr="00EB5055">
              <w:rPr>
                <w:rFonts w:eastAsia="Trebuchet MS" w:cs="Arial"/>
                <w:kern w:val="3"/>
                <w:szCs w:val="20"/>
                <w:lang w:bidi="en-US"/>
                <w14:ligatures w14:val="none"/>
              </w:rPr>
              <w:t xml:space="preserve"> IPA III (</w:t>
            </w:r>
            <w:r>
              <w:rPr>
                <w:rFonts w:eastAsia="Trebuchet MS" w:cs="Arial"/>
                <w:kern w:val="3"/>
                <w:szCs w:val="20"/>
                <w:lang w:bidi="en-US"/>
                <w14:ligatures w14:val="none"/>
              </w:rPr>
              <w:t>za tijela koja su predmet revizije</w:t>
            </w:r>
            <w:r w:rsidRPr="00EB5055">
              <w:rPr>
                <w:rFonts w:eastAsia="Trebuchet MS" w:cs="Arial"/>
                <w:kern w:val="3"/>
                <w:szCs w:val="20"/>
                <w:lang w:bidi="en-US"/>
                <w14:ligatures w14:val="none"/>
              </w:rPr>
              <w:t>)</w:t>
            </w:r>
          </w:p>
        </w:tc>
        <w:tc>
          <w:tcPr>
            <w:tcW w:w="209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BB118A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140BE6BC" w14:textId="77777777" w:rsidR="0019041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NAO/Upravljačka struktura</w:t>
            </w:r>
          </w:p>
          <w:p w14:paraId="279F7DE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Upravljačka tijela</w:t>
            </w:r>
          </w:p>
          <w:p w14:paraId="2CAD1AC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Posrednička tijela za upravljanje politikama</w:t>
            </w:r>
          </w:p>
          <w:p w14:paraId="07E9D9D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Posrednička tijela za finansijsko upravljanje </w:t>
            </w:r>
          </w:p>
        </w:tc>
      </w:tr>
    </w:tbl>
    <w:p w14:paraId="5B7C77AE" w14:textId="77777777" w:rsidR="00190415" w:rsidRDefault="00190415" w:rsidP="00190415">
      <w:pPr>
        <w:spacing w:before="240" w:after="160" w:line="259" w:lineRule="auto"/>
        <w:rPr>
          <w:rFonts w:eastAsiaTheme="minorEastAsia" w:cs="Arial"/>
          <w:kern w:val="0"/>
          <w14:ligatures w14:val="none"/>
        </w:rPr>
      </w:pPr>
      <w:bookmarkStart w:id="239" w:name="_Toc177714633"/>
      <w:r w:rsidRPr="00DE4DCE">
        <w:rPr>
          <w:rFonts w:eastAsiaTheme="minorEastAsia" w:cs="Arial"/>
          <w:kern w:val="0"/>
          <w14:ligatures w14:val="none"/>
        </w:rPr>
        <w:t xml:space="preserve">Moduli o partnerstvu i evaluaciji su predloženi u Programu uvodne obuke za </w:t>
      </w:r>
      <w:r>
        <w:rPr>
          <w:rFonts w:eastAsiaTheme="minorEastAsia" w:cs="Arial"/>
          <w:kern w:val="0"/>
          <w14:ligatures w14:val="none"/>
        </w:rPr>
        <w:t>Kohezionu politiku</w:t>
      </w:r>
      <w:r w:rsidRPr="00EB5055">
        <w:rPr>
          <w:rFonts w:eastAsiaTheme="minorEastAsia" w:cs="Arial"/>
          <w:kern w:val="0"/>
          <w:vertAlign w:val="superscript"/>
          <w14:ligatures w14:val="none"/>
        </w:rPr>
        <w:footnoteReference w:id="277"/>
      </w:r>
      <w:r w:rsidRPr="00DE4DCE">
        <w:rPr>
          <w:rFonts w:eastAsiaTheme="minorEastAsia" w:cs="Arial"/>
          <w:kern w:val="0"/>
          <w14:ligatures w14:val="none"/>
        </w:rPr>
        <w:t xml:space="preserve">, jer su njihovi sadržaji takođe primjenjivi na IPA III; </w:t>
      </w:r>
      <w:r>
        <w:rPr>
          <w:rFonts w:eastAsiaTheme="minorEastAsia" w:cs="Arial"/>
          <w:kern w:val="0"/>
          <w14:ligatures w14:val="none"/>
        </w:rPr>
        <w:t>NIPAK</w:t>
      </w:r>
      <w:r w:rsidRPr="00DE4DCE">
        <w:rPr>
          <w:rFonts w:eastAsiaTheme="minorEastAsia" w:cs="Arial"/>
          <w:kern w:val="0"/>
          <w14:ligatures w14:val="none"/>
        </w:rPr>
        <w:t xml:space="preserve"> kancelarija i </w:t>
      </w:r>
      <w:r>
        <w:rPr>
          <w:rFonts w:eastAsiaTheme="minorEastAsia" w:cs="Arial"/>
          <w:kern w:val="0"/>
          <w14:ligatures w14:val="none"/>
        </w:rPr>
        <w:t>Upravljačka tijela</w:t>
      </w:r>
      <w:r w:rsidRPr="00DE4DCE">
        <w:rPr>
          <w:rFonts w:eastAsiaTheme="minorEastAsia" w:cs="Arial"/>
          <w:kern w:val="0"/>
          <w14:ligatures w14:val="none"/>
        </w:rPr>
        <w:t xml:space="preserve"> za IPA III višegodišnje programe trebaju p</w:t>
      </w:r>
      <w:r>
        <w:rPr>
          <w:rFonts w:eastAsiaTheme="minorEastAsia" w:cs="Arial"/>
          <w:kern w:val="0"/>
          <w14:ligatures w14:val="none"/>
        </w:rPr>
        <w:t>ohađati</w:t>
      </w:r>
      <w:r w:rsidRPr="00DE4DCE">
        <w:rPr>
          <w:rFonts w:eastAsiaTheme="minorEastAsia" w:cs="Arial"/>
          <w:kern w:val="0"/>
          <w14:ligatures w14:val="none"/>
        </w:rPr>
        <w:t xml:space="preserve"> o</w:t>
      </w:r>
      <w:r>
        <w:rPr>
          <w:rFonts w:eastAsiaTheme="minorEastAsia" w:cs="Arial"/>
          <w:kern w:val="0"/>
          <w14:ligatures w14:val="none"/>
        </w:rPr>
        <w:t>ve</w:t>
      </w:r>
      <w:r w:rsidRPr="00DE4DCE">
        <w:rPr>
          <w:rFonts w:eastAsiaTheme="minorEastAsia" w:cs="Arial"/>
          <w:kern w:val="0"/>
          <w14:ligatures w14:val="none"/>
        </w:rPr>
        <w:t xml:space="preserve"> modul</w:t>
      </w:r>
      <w:r>
        <w:rPr>
          <w:rFonts w:eastAsiaTheme="minorEastAsia" w:cs="Arial"/>
          <w:kern w:val="0"/>
          <w14:ligatures w14:val="none"/>
        </w:rPr>
        <w:t>e</w:t>
      </w:r>
      <w:r w:rsidRPr="00DE4DCE">
        <w:rPr>
          <w:rFonts w:eastAsiaTheme="minorEastAsia" w:cs="Arial"/>
          <w:kern w:val="0"/>
          <w14:ligatures w14:val="none"/>
        </w:rPr>
        <w:t xml:space="preserve"> pored IPA III Programa napredne obuke.</w:t>
      </w:r>
    </w:p>
    <w:bookmarkEnd w:id="239"/>
    <w:p w14:paraId="51082E32" w14:textId="77777777" w:rsidR="00190415" w:rsidRPr="00EB5055" w:rsidRDefault="00190415" w:rsidP="00190415">
      <w:pPr>
        <w:keepNext/>
        <w:keepLines/>
        <w:spacing w:before="240" w:after="240"/>
        <w:jc w:val="left"/>
        <w:outlineLvl w:val="1"/>
        <w:rPr>
          <w:rFonts w:eastAsiaTheme="majorEastAsia" w:cs="Arial"/>
          <w:color w:val="0F4761" w:themeColor="accent1" w:themeShade="BF"/>
          <w:kern w:val="0"/>
          <w:sz w:val="32"/>
          <w:szCs w:val="32"/>
          <w14:ligatures w14:val="none"/>
        </w:rPr>
      </w:pPr>
      <w:r>
        <w:rPr>
          <w:rFonts w:eastAsiaTheme="majorEastAsia" w:cs="Arial"/>
          <w:color w:val="0F4761" w:themeColor="accent1" w:themeShade="BF"/>
          <w:kern w:val="0"/>
          <w:sz w:val="32"/>
          <w:szCs w:val="32"/>
          <w14:ligatures w14:val="none"/>
        </w:rPr>
        <w:t>Uvodni program za Kohezionu politiku</w:t>
      </w:r>
    </w:p>
    <w:p w14:paraId="41E101CA" w14:textId="77777777" w:rsidR="00190415" w:rsidRDefault="00190415" w:rsidP="00190415">
      <w:pPr>
        <w:spacing w:after="160" w:line="259" w:lineRule="auto"/>
        <w:rPr>
          <w:rFonts w:eastAsiaTheme="minorEastAsia" w:cs="Arial"/>
          <w:kern w:val="0"/>
          <w14:ligatures w14:val="none"/>
        </w:rPr>
      </w:pPr>
      <w:r w:rsidRPr="00DE4DCE">
        <w:rPr>
          <w:rFonts w:eastAsiaTheme="minorEastAsia" w:cs="Arial"/>
          <w:kern w:val="0"/>
          <w14:ligatures w14:val="none"/>
        </w:rPr>
        <w:t xml:space="preserve">Ovaj program je osmišljen da predstavi </w:t>
      </w:r>
      <w:r w:rsidRPr="00D9410F">
        <w:rPr>
          <w:rFonts w:eastAsiaTheme="minorEastAsia" w:cs="Arial"/>
          <w:b/>
          <w:kern w:val="0"/>
          <w14:ligatures w14:val="none"/>
        </w:rPr>
        <w:t xml:space="preserve">ključne aspekte za pripremu, implementaciju i upravljanje fondovima Kohezione politike donosiocima odluka, zainteresovanim stranama i </w:t>
      </w:r>
      <w:proofErr w:type="gramStart"/>
      <w:r w:rsidRPr="00D9410F">
        <w:rPr>
          <w:rFonts w:eastAsiaTheme="minorEastAsia" w:cs="Arial"/>
          <w:b/>
          <w:kern w:val="0"/>
          <w14:ligatures w14:val="none"/>
        </w:rPr>
        <w:t>partnerima</w:t>
      </w:r>
      <w:r>
        <w:rPr>
          <w:rFonts w:eastAsiaTheme="minorEastAsia" w:cs="Arial"/>
          <w:b/>
          <w:kern w:val="0"/>
          <w14:ligatures w14:val="none"/>
        </w:rPr>
        <w:t>(</w:t>
      </w:r>
      <w:proofErr w:type="gramEnd"/>
      <w:r>
        <w:rPr>
          <w:rFonts w:eastAsiaTheme="minorEastAsia" w:cs="Arial"/>
          <w:b/>
          <w:kern w:val="0"/>
          <w14:ligatures w14:val="none"/>
        </w:rPr>
        <w:t>kada budu izabrani)</w:t>
      </w:r>
      <w:r w:rsidRPr="00DE4DCE">
        <w:rPr>
          <w:rFonts w:eastAsiaTheme="minorEastAsia" w:cs="Arial"/>
          <w:kern w:val="0"/>
          <w14:ligatures w14:val="none"/>
        </w:rPr>
        <w:t>. Takođe, istaknuto je da su dostupni značajni resursi na</w:t>
      </w:r>
      <w:r>
        <w:rPr>
          <w:rFonts w:eastAsiaTheme="minorEastAsia" w:cs="Arial"/>
          <w:kern w:val="0"/>
          <w14:ligatures w14:val="none"/>
        </w:rPr>
        <w:t xml:space="preserve"> internetu</w:t>
      </w:r>
      <w:r w:rsidRPr="00DE4DCE">
        <w:rPr>
          <w:rFonts w:eastAsiaTheme="minorEastAsia" w:cs="Arial"/>
          <w:kern w:val="0"/>
          <w14:ligatures w14:val="none"/>
        </w:rPr>
        <w:t xml:space="preserve"> koji mogu dopuniti ovaj Program uvodne obuke koji su razvile Službe Komisije</w:t>
      </w:r>
      <w:r w:rsidRPr="00EB5055">
        <w:rPr>
          <w:rFonts w:eastAsiaTheme="minorEastAsia" w:cs="Arial"/>
          <w:kern w:val="0"/>
          <w:vertAlign w:val="superscript"/>
          <w14:ligatures w14:val="none"/>
        </w:rPr>
        <w:footnoteReference w:id="278"/>
      </w:r>
      <w:r w:rsidRPr="00DE4DCE">
        <w:rPr>
          <w:rFonts w:eastAsiaTheme="minorEastAsia" w:cs="Arial"/>
          <w:kern w:val="0"/>
          <w14:ligatures w14:val="none"/>
        </w:rPr>
        <w:t xml:space="preserve"> za države članice. Ipak, koristi od pohađanja ovih on</w:t>
      </w:r>
      <w:r>
        <w:rPr>
          <w:rFonts w:eastAsiaTheme="minorEastAsia" w:cs="Arial"/>
          <w:kern w:val="0"/>
          <w14:ligatures w14:val="none"/>
        </w:rPr>
        <w:t>lajn</w:t>
      </w:r>
      <w:r w:rsidRPr="00DE4DCE">
        <w:rPr>
          <w:rFonts w:eastAsiaTheme="minorEastAsia" w:cs="Arial"/>
          <w:kern w:val="0"/>
          <w14:ligatures w14:val="none"/>
        </w:rPr>
        <w:t xml:space="preserve"> kurseva biće prilično ograničene za crnogorske učesnike sa osnovnim ili nikakvim znanjem, pa se preporučuje da se onl</w:t>
      </w:r>
      <w:r>
        <w:rPr>
          <w:rFonts w:eastAsiaTheme="minorEastAsia" w:cs="Arial"/>
          <w:kern w:val="0"/>
          <w14:ligatures w14:val="none"/>
        </w:rPr>
        <w:t>ajn</w:t>
      </w:r>
      <w:r w:rsidRPr="00DE4DCE">
        <w:rPr>
          <w:rFonts w:eastAsiaTheme="minorEastAsia" w:cs="Arial"/>
          <w:kern w:val="0"/>
          <w14:ligatures w14:val="none"/>
        </w:rPr>
        <w:t xml:space="preserve"> kursevi predlažu kao dodatna ili naknadna obuka nakon realizacije ovog programa uvodne obuke. Program će biti pokrenut od marta 2025.</w:t>
      </w:r>
    </w:p>
    <w:p w14:paraId="700E831D" w14:textId="77777777" w:rsidR="00190415" w:rsidRPr="00EB5055" w:rsidRDefault="00190415" w:rsidP="00190415">
      <w:pPr>
        <w:spacing w:after="160" w:line="259" w:lineRule="auto"/>
        <w:rPr>
          <w:rFonts w:eastAsiaTheme="minorEastAsia" w:cs="Arial"/>
          <w:kern w:val="0"/>
          <w14:ligatures w14:val="none"/>
        </w:rPr>
      </w:pPr>
    </w:p>
    <w:p w14:paraId="77C8DC7A" w14:textId="77777777" w:rsidR="00190415" w:rsidRPr="00EB5055" w:rsidRDefault="00190415" w:rsidP="00190415">
      <w:pPr>
        <w:keepNext/>
        <w:jc w:val="left"/>
        <w:rPr>
          <w:rFonts w:eastAsiaTheme="minorEastAsia" w:cs="Arial"/>
          <w:b/>
          <w:bCs/>
          <w:smallCaps/>
          <w:color w:val="0E2841" w:themeColor="text2"/>
          <w:kern w:val="0"/>
          <w14:ligatures w14:val="none"/>
        </w:rPr>
      </w:pPr>
      <w:bookmarkStart w:id="240" w:name="_Toc177714675"/>
      <w:r w:rsidRPr="00EB5055">
        <w:rPr>
          <w:rFonts w:eastAsiaTheme="minorEastAsia" w:cs="Arial"/>
          <w:b/>
          <w:bCs/>
          <w:smallCaps/>
          <w:color w:val="0E2841" w:themeColor="text2"/>
          <w:kern w:val="0"/>
          <w14:ligatures w14:val="none"/>
        </w:rPr>
        <w:t>MODUL</w:t>
      </w:r>
      <w:r>
        <w:rPr>
          <w:rFonts w:eastAsiaTheme="minorEastAsia" w:cs="Arial"/>
          <w:b/>
          <w:bCs/>
          <w:smallCaps/>
          <w:color w:val="0E2841" w:themeColor="text2"/>
          <w:kern w:val="0"/>
          <w14:ligatures w14:val="none"/>
        </w:rPr>
        <w:t>I</w:t>
      </w:r>
      <w:r w:rsidRPr="00EB5055">
        <w:rPr>
          <w:rFonts w:eastAsiaTheme="minorEastAsia" w:cs="Arial"/>
          <w:b/>
          <w:bCs/>
          <w:smallCaps/>
          <w:color w:val="0E2841" w:themeColor="text2"/>
          <w:kern w:val="0"/>
          <w14:ligatures w14:val="none"/>
        </w:rPr>
        <w:t xml:space="preserve"> </w:t>
      </w:r>
      <w:r>
        <w:rPr>
          <w:rFonts w:eastAsiaTheme="minorEastAsia" w:cs="Arial"/>
          <w:b/>
          <w:bCs/>
          <w:smallCaps/>
          <w:color w:val="0E2841" w:themeColor="text2"/>
          <w:kern w:val="0"/>
          <w14:ligatures w14:val="none"/>
        </w:rPr>
        <w:t>ZA JAČANJE KAPACITETA</w:t>
      </w:r>
      <w:r w:rsidRPr="00EB5055">
        <w:rPr>
          <w:rFonts w:eastAsiaTheme="minorEastAsia" w:cs="Arial"/>
          <w:b/>
          <w:bCs/>
          <w:smallCaps/>
          <w:color w:val="0E2841" w:themeColor="text2"/>
          <w:kern w:val="0"/>
          <w14:ligatures w14:val="none"/>
        </w:rPr>
        <w:t xml:space="preserve">– </w:t>
      </w:r>
      <w:r>
        <w:rPr>
          <w:rFonts w:eastAsiaTheme="minorEastAsia" w:cs="Arial"/>
          <w:b/>
          <w:bCs/>
          <w:smallCaps/>
          <w:color w:val="0E2841" w:themeColor="text2"/>
          <w:kern w:val="0"/>
          <w14:ligatures w14:val="none"/>
        </w:rPr>
        <w:t>UVODNI</w:t>
      </w:r>
      <w:r w:rsidRPr="00EB5055">
        <w:rPr>
          <w:rFonts w:eastAsiaTheme="minorEastAsia" w:cs="Arial"/>
          <w:b/>
          <w:bCs/>
          <w:smallCaps/>
          <w:color w:val="0E2841" w:themeColor="text2"/>
          <w:kern w:val="0"/>
          <w14:ligatures w14:val="none"/>
        </w:rPr>
        <w:t xml:space="preserve"> PROGRAM </w:t>
      </w:r>
      <w:r>
        <w:rPr>
          <w:rFonts w:eastAsiaTheme="minorEastAsia" w:cs="Arial"/>
          <w:b/>
          <w:bCs/>
          <w:smallCaps/>
          <w:color w:val="0E2841" w:themeColor="text2"/>
          <w:kern w:val="0"/>
          <w14:ligatures w14:val="none"/>
        </w:rPr>
        <w:t>ZA</w:t>
      </w:r>
      <w:r w:rsidRPr="00EB5055">
        <w:rPr>
          <w:rFonts w:eastAsiaTheme="minorEastAsia" w:cs="Arial"/>
          <w:b/>
          <w:bCs/>
          <w:smallCaps/>
          <w:color w:val="0E2841" w:themeColor="text2"/>
          <w:kern w:val="0"/>
          <w14:ligatures w14:val="none"/>
        </w:rPr>
        <w:t xml:space="preserve"> </w:t>
      </w:r>
      <w:r>
        <w:rPr>
          <w:rFonts w:eastAsiaTheme="minorEastAsia" w:cs="Arial"/>
          <w:b/>
          <w:bCs/>
          <w:smallCaps/>
          <w:color w:val="0E2841" w:themeColor="text2"/>
          <w:kern w:val="0"/>
          <w14:ligatures w14:val="none"/>
        </w:rPr>
        <w:t>K</w:t>
      </w:r>
      <w:r w:rsidRPr="00EB5055">
        <w:rPr>
          <w:rFonts w:eastAsiaTheme="minorEastAsia" w:cs="Arial"/>
          <w:b/>
          <w:bCs/>
          <w:smallCaps/>
          <w:color w:val="0E2841" w:themeColor="text2"/>
          <w:kern w:val="0"/>
          <w14:ligatures w14:val="none"/>
        </w:rPr>
        <w:t>OHE</w:t>
      </w:r>
      <w:r>
        <w:rPr>
          <w:rFonts w:eastAsiaTheme="minorEastAsia" w:cs="Arial"/>
          <w:b/>
          <w:bCs/>
          <w:smallCaps/>
          <w:color w:val="0E2841" w:themeColor="text2"/>
          <w:kern w:val="0"/>
          <w14:ligatures w14:val="none"/>
        </w:rPr>
        <w:t>Z</w:t>
      </w:r>
      <w:r w:rsidRPr="00EB5055">
        <w:rPr>
          <w:rFonts w:eastAsiaTheme="minorEastAsia" w:cs="Arial"/>
          <w:b/>
          <w:bCs/>
          <w:smallCaps/>
          <w:color w:val="0E2841" w:themeColor="text2"/>
          <w:kern w:val="0"/>
          <w14:ligatures w14:val="none"/>
        </w:rPr>
        <w:t>ION</w:t>
      </w:r>
      <w:r>
        <w:rPr>
          <w:rFonts w:eastAsiaTheme="minorEastAsia" w:cs="Arial"/>
          <w:b/>
          <w:bCs/>
          <w:smallCaps/>
          <w:color w:val="0E2841" w:themeColor="text2"/>
          <w:kern w:val="0"/>
          <w14:ligatures w14:val="none"/>
        </w:rPr>
        <w:t>U</w:t>
      </w:r>
      <w:r w:rsidRPr="00EB5055">
        <w:rPr>
          <w:rFonts w:eastAsiaTheme="minorEastAsia" w:cs="Arial"/>
          <w:b/>
          <w:bCs/>
          <w:smallCaps/>
          <w:color w:val="0E2841" w:themeColor="text2"/>
          <w:kern w:val="0"/>
          <w14:ligatures w14:val="none"/>
        </w:rPr>
        <w:t xml:space="preserve"> POLI</w:t>
      </w:r>
      <w:bookmarkEnd w:id="240"/>
      <w:r>
        <w:rPr>
          <w:rFonts w:eastAsiaTheme="minorEastAsia" w:cs="Arial"/>
          <w:b/>
          <w:bCs/>
          <w:smallCaps/>
          <w:color w:val="0E2841" w:themeColor="text2"/>
          <w:kern w:val="0"/>
          <w14:ligatures w14:val="none"/>
        </w:rPr>
        <w:t>TIKU</w:t>
      </w:r>
    </w:p>
    <w:tbl>
      <w:tblPr>
        <w:tblW w:w="5343" w:type="pct"/>
        <w:tblCellMar>
          <w:left w:w="10" w:type="dxa"/>
          <w:right w:w="10" w:type="dxa"/>
        </w:tblCellMar>
        <w:tblLook w:val="0000" w:firstRow="0" w:lastRow="0" w:firstColumn="0" w:lastColumn="0" w:noHBand="0" w:noVBand="0"/>
      </w:tblPr>
      <w:tblGrid>
        <w:gridCol w:w="633"/>
        <w:gridCol w:w="3615"/>
        <w:gridCol w:w="5743"/>
      </w:tblGrid>
      <w:tr w:rsidR="00190415" w:rsidRPr="00EB5055" w14:paraId="1F5EC756"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Mar>
              <w:top w:w="0" w:type="dxa"/>
              <w:left w:w="108" w:type="dxa"/>
              <w:bottom w:w="0" w:type="dxa"/>
              <w:right w:w="108" w:type="dxa"/>
            </w:tcMar>
            <w:vAlign w:val="center"/>
          </w:tcPr>
          <w:p w14:paraId="6FBF38B7"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Br.</w:t>
            </w:r>
            <w:r w:rsidRPr="00EB5055">
              <w:rPr>
                <w:rFonts w:eastAsia="Trebuchet MS" w:cs="Arial"/>
                <w:b/>
                <w:color w:val="FFFFFF" w:themeColor="background1"/>
                <w:kern w:val="3"/>
                <w:szCs w:val="20"/>
                <w:lang w:bidi="en-US"/>
                <w14:ligatures w14:val="none"/>
              </w:rPr>
              <w:t xml:space="preserve"> </w:t>
            </w:r>
          </w:p>
        </w:tc>
        <w:tc>
          <w:tcPr>
            <w:tcW w:w="1809"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Pr>
          <w:p w14:paraId="15EFC330"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Tema</w:t>
            </w:r>
          </w:p>
        </w:tc>
        <w:tc>
          <w:tcPr>
            <w:tcW w:w="2874" w:type="pct"/>
            <w:tcBorders>
              <w:top w:val="single" w:sz="4" w:space="0" w:color="000000"/>
              <w:left w:val="single" w:sz="4" w:space="0" w:color="000000"/>
              <w:bottom w:val="single" w:sz="4" w:space="0" w:color="000000"/>
              <w:right w:val="single" w:sz="4" w:space="0" w:color="000000"/>
            </w:tcBorders>
            <w:shd w:val="clear" w:color="auto" w:fill="0A2F41" w:themeFill="accent1" w:themeFillShade="80"/>
            <w:tcMar>
              <w:top w:w="0" w:type="dxa"/>
              <w:left w:w="108" w:type="dxa"/>
              <w:bottom w:w="0" w:type="dxa"/>
              <w:right w:w="108" w:type="dxa"/>
            </w:tcMar>
            <w:vAlign w:val="center"/>
          </w:tcPr>
          <w:p w14:paraId="2A1FC1E9" w14:textId="77777777" w:rsidR="00190415" w:rsidRPr="00EB5055" w:rsidRDefault="00190415" w:rsidP="00A241AA">
            <w:pPr>
              <w:widowControl w:val="0"/>
              <w:tabs>
                <w:tab w:val="right" w:leader="dot" w:pos="8822"/>
              </w:tabs>
              <w:suppressAutoHyphens/>
              <w:autoSpaceDN w:val="0"/>
              <w:spacing w:after="100"/>
              <w:jc w:val="left"/>
              <w:textAlignment w:val="baseline"/>
              <w:rPr>
                <w:rFonts w:eastAsia="Trebuchet MS" w:cs="Arial"/>
                <w:b/>
                <w:color w:val="FFFFFF" w:themeColor="background1"/>
                <w:kern w:val="3"/>
                <w:szCs w:val="20"/>
                <w:lang w:bidi="en-US"/>
                <w14:ligatures w14:val="none"/>
              </w:rPr>
            </w:pPr>
            <w:r>
              <w:rPr>
                <w:rFonts w:eastAsia="Trebuchet MS" w:cs="Arial"/>
                <w:b/>
                <w:color w:val="FFFFFF" w:themeColor="background1"/>
                <w:kern w:val="3"/>
                <w:szCs w:val="20"/>
                <w:lang w:bidi="en-US"/>
                <w14:ligatures w14:val="none"/>
              </w:rPr>
              <w:t>Ciljna grupa</w:t>
            </w:r>
          </w:p>
        </w:tc>
      </w:tr>
      <w:tr w:rsidR="00190415" w:rsidRPr="00EB5055" w14:paraId="79F21248"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1211F0DB"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1</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51C76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UVOD U KOHEZIONU POLITIKU</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5B2C4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EB5055">
              <w:rPr>
                <w:rFonts w:eastAsia="Trebuchet MS" w:cs="Arial"/>
                <w:kern w:val="3"/>
                <w:sz w:val="18"/>
                <w:szCs w:val="18"/>
                <w:lang w:bidi="en-US"/>
                <w14:ligatures w14:val="none"/>
              </w:rPr>
              <w:t>(N</w:t>
            </w:r>
            <w:r>
              <w:rPr>
                <w:rFonts w:eastAsia="Trebuchet MS" w:cs="Arial"/>
                <w:kern w:val="3"/>
                <w:sz w:val="18"/>
                <w:szCs w:val="18"/>
                <w:lang w:bidi="en-US"/>
                <w14:ligatures w14:val="none"/>
              </w:rPr>
              <w:t>ovi</w:t>
            </w:r>
            <w:r w:rsidRPr="00EB5055">
              <w:rPr>
                <w:rFonts w:eastAsia="Trebuchet MS" w:cs="Arial"/>
                <w:kern w:val="3"/>
                <w:sz w:val="18"/>
                <w:szCs w:val="18"/>
                <w:lang w:bidi="en-US"/>
                <w14:ligatures w14:val="none"/>
              </w:rPr>
              <w:t xml:space="preserve">) </w:t>
            </w:r>
            <w:r>
              <w:rPr>
                <w:rFonts w:eastAsia="Trebuchet MS" w:cs="Arial"/>
                <w:kern w:val="3"/>
                <w:sz w:val="18"/>
                <w:szCs w:val="18"/>
                <w:lang w:bidi="en-US"/>
                <w14:ligatures w14:val="none"/>
              </w:rPr>
              <w:t>Članovi Radne grupe za Poglavlje 22</w:t>
            </w:r>
          </w:p>
          <w:p w14:paraId="6DBDAD26"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Delegacija EU</w:t>
            </w:r>
          </w:p>
          <w:p w14:paraId="20A88E7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Viši menadžment/osovlje u institucijama za koje je utvrđeno da imaju ulogu u implementaciji Kohezione politike</w:t>
            </w:r>
          </w:p>
          <w:p w14:paraId="7D6DD78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EB5055">
              <w:rPr>
                <w:rFonts w:eastAsia="Trebuchet MS" w:cs="Arial"/>
                <w:kern w:val="3"/>
                <w:sz w:val="18"/>
                <w:szCs w:val="18"/>
                <w:lang w:bidi="en-US"/>
                <w14:ligatures w14:val="none"/>
              </w:rPr>
              <w:t>Partner</w:t>
            </w:r>
            <w:r>
              <w:rPr>
                <w:rFonts w:eastAsia="Trebuchet MS" w:cs="Arial"/>
                <w:kern w:val="3"/>
                <w:sz w:val="18"/>
                <w:szCs w:val="18"/>
                <w:lang w:bidi="en-US"/>
                <w14:ligatures w14:val="none"/>
              </w:rPr>
              <w:t>i</w:t>
            </w:r>
            <w:r w:rsidRPr="00EB5055">
              <w:rPr>
                <w:rFonts w:eastAsia="Trebuchet MS" w:cs="Arial"/>
                <w:kern w:val="3"/>
                <w:sz w:val="18"/>
                <w:szCs w:val="18"/>
                <w:lang w:bidi="en-US"/>
                <w14:ligatures w14:val="none"/>
              </w:rPr>
              <w:t xml:space="preserve"> (</w:t>
            </w:r>
            <w:r>
              <w:rPr>
                <w:rFonts w:eastAsia="Trebuchet MS" w:cs="Arial"/>
                <w:kern w:val="3"/>
                <w:sz w:val="18"/>
                <w:szCs w:val="18"/>
                <w:lang w:bidi="en-US"/>
                <w14:ligatures w14:val="none"/>
              </w:rPr>
              <w:t>kada budu izabrani</w:t>
            </w:r>
            <w:r w:rsidRPr="00EB5055">
              <w:rPr>
                <w:rFonts w:eastAsia="Trebuchet MS" w:cs="Arial"/>
                <w:kern w:val="3"/>
                <w:sz w:val="18"/>
                <w:szCs w:val="18"/>
                <w:lang w:bidi="en-US"/>
                <w14:ligatures w14:val="none"/>
              </w:rPr>
              <w:t>)</w:t>
            </w:r>
          </w:p>
        </w:tc>
      </w:tr>
      <w:tr w:rsidR="00190415" w:rsidRPr="00EB5055" w14:paraId="58DB5564"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56B455DB"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2</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4E9C9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OMOGUĆAVAJUĆI USLOVI ZA KOHEZIONU POLITIKU</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D9DACA"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71AB6F5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Entiteti odgovorni za ispunjenje predmetnih omogućavajućih uslova</w:t>
            </w:r>
          </w:p>
        </w:tc>
      </w:tr>
      <w:tr w:rsidR="00190415" w:rsidRPr="00EB5055" w14:paraId="6A447ABC"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167AFAC"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3</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CB4B3A"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OSNOVNI PRINCIPI KOHEZIONE POLITIKE</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F11BFB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46F4D2E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Delegacija EU</w:t>
            </w:r>
          </w:p>
          <w:p w14:paraId="394BD8B0"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Viši menadžment/osovlje u institucijama za koje je utvrđeno da imaju ulogu u implementaciji Kohezione politike</w:t>
            </w:r>
          </w:p>
          <w:p w14:paraId="2DC4999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EB5055">
              <w:rPr>
                <w:rFonts w:eastAsia="Trebuchet MS" w:cs="Arial"/>
                <w:kern w:val="3"/>
                <w:sz w:val="18"/>
                <w:szCs w:val="18"/>
                <w:lang w:bidi="en-US"/>
                <w14:ligatures w14:val="none"/>
              </w:rPr>
              <w:t>Partner</w:t>
            </w:r>
            <w:r>
              <w:rPr>
                <w:rFonts w:eastAsia="Trebuchet MS" w:cs="Arial"/>
                <w:kern w:val="3"/>
                <w:sz w:val="18"/>
                <w:szCs w:val="18"/>
                <w:lang w:bidi="en-US"/>
                <w14:ligatures w14:val="none"/>
              </w:rPr>
              <w:t>i</w:t>
            </w:r>
            <w:r w:rsidRPr="00EB5055">
              <w:rPr>
                <w:rFonts w:eastAsia="Trebuchet MS" w:cs="Arial"/>
                <w:kern w:val="3"/>
                <w:sz w:val="18"/>
                <w:szCs w:val="18"/>
                <w:lang w:bidi="en-US"/>
                <w14:ligatures w14:val="none"/>
              </w:rPr>
              <w:t xml:space="preserve"> (</w:t>
            </w:r>
            <w:r>
              <w:rPr>
                <w:rFonts w:eastAsia="Trebuchet MS" w:cs="Arial"/>
                <w:kern w:val="3"/>
                <w:sz w:val="18"/>
                <w:szCs w:val="18"/>
                <w:lang w:bidi="en-US"/>
                <w14:ligatures w14:val="none"/>
              </w:rPr>
              <w:t>kada budu izabrani</w:t>
            </w:r>
            <w:r w:rsidRPr="00EB5055">
              <w:rPr>
                <w:rFonts w:eastAsia="Trebuchet MS" w:cs="Arial"/>
                <w:kern w:val="3"/>
                <w:sz w:val="18"/>
                <w:szCs w:val="18"/>
                <w:lang w:bidi="en-US"/>
                <w14:ligatures w14:val="none"/>
              </w:rPr>
              <w:t>)</w:t>
            </w:r>
          </w:p>
        </w:tc>
      </w:tr>
      <w:tr w:rsidR="00190415" w:rsidRPr="00EB5055" w14:paraId="5A314D49"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025726F"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4</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A3FAFF"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UVOD U PROGRAMIRANJE KOHEZIONE POLITIKE</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8E0C6FB" w14:textId="77777777" w:rsidR="00190415" w:rsidRPr="00EB5055" w:rsidRDefault="00190415" w:rsidP="00A241AA">
            <w:pPr>
              <w:spacing w:after="0"/>
              <w:contextualSpacing/>
              <w:jc w:val="left"/>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323E4375" w14:textId="77777777" w:rsidR="00190415" w:rsidRPr="00EB5055" w:rsidRDefault="00190415" w:rsidP="00A241AA">
            <w:pPr>
              <w:spacing w:after="0"/>
              <w:contextualSpacing/>
              <w:jc w:val="left"/>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19AEA2CB" w14:textId="77777777" w:rsidR="00190415" w:rsidRPr="00EB5055" w:rsidRDefault="00190415" w:rsidP="00A241AA">
            <w:pPr>
              <w:spacing w:after="0"/>
              <w:contextualSpacing/>
              <w:jc w:val="left"/>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5BA7FD91" w14:textId="77777777" w:rsidR="00190415" w:rsidRPr="00EB5055" w:rsidRDefault="00190415" w:rsidP="00A241AA">
            <w:pPr>
              <w:spacing w:after="0"/>
              <w:contextualSpacing/>
              <w:jc w:val="left"/>
              <w:rPr>
                <w:rFonts w:eastAsia="Trebuchet MS" w:cs="Arial"/>
                <w:kern w:val="3"/>
                <w:sz w:val="18"/>
                <w:szCs w:val="18"/>
                <w:lang w:bidi="en-US"/>
                <w14:ligatures w14:val="none"/>
              </w:rPr>
            </w:pPr>
            <w:r>
              <w:rPr>
                <w:rFonts w:eastAsia="Trebuchet MS" w:cs="Arial"/>
                <w:kern w:val="3"/>
                <w:sz w:val="18"/>
                <w:szCs w:val="18"/>
                <w:lang w:bidi="en-US"/>
                <w14:ligatures w14:val="none"/>
              </w:rPr>
              <w:lastRenderedPageBreak/>
              <w:t>Delegacija EU</w:t>
            </w:r>
          </w:p>
          <w:p w14:paraId="56B789E0"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Operativni timovi/Radne grupe/Partneri (kada budu izabrani) za programiranje</w:t>
            </w:r>
          </w:p>
        </w:tc>
      </w:tr>
      <w:tr w:rsidR="00190415" w:rsidRPr="00EB5055" w14:paraId="2EC8D9E2"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306ECD7A"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lastRenderedPageBreak/>
              <w:t>5</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CD80A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PROGRAMIRANJE EU KOHEZIONE POLITIKE – OKVIR UČINKA</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CCB35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630937C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73AD639E"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5DD3A98B"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Delegacija EU</w:t>
            </w:r>
          </w:p>
          <w:p w14:paraId="1C1C312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Operativni timovi/Radne grupe/Partneri (kada budu izabrani) za programiranje</w:t>
            </w:r>
          </w:p>
          <w:p w14:paraId="0096A87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EB5055">
              <w:rPr>
                <w:rFonts w:eastAsia="Trebuchet MS" w:cs="Arial"/>
                <w:kern w:val="3"/>
                <w:sz w:val="18"/>
                <w:szCs w:val="18"/>
                <w:lang w:bidi="en-US"/>
                <w14:ligatures w14:val="none"/>
              </w:rPr>
              <w:t>MONSTAT</w:t>
            </w:r>
          </w:p>
        </w:tc>
      </w:tr>
      <w:tr w:rsidR="00190415" w:rsidRPr="00EB5055" w14:paraId="628A94B7"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A5B7CFB"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6</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D6924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UPRAVLJANJE FONDOVIMA KOHEZIONE POLITIKE</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CB6449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4771774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66F970E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0A6E0C4B"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Revizorsko tijelo</w:t>
            </w:r>
            <w:r w:rsidRPr="00EB5055">
              <w:rPr>
                <w:rFonts w:eastAsia="Trebuchet MS" w:cs="Arial"/>
                <w:kern w:val="3"/>
                <w:sz w:val="18"/>
                <w:szCs w:val="18"/>
                <w:lang w:bidi="en-US"/>
                <w14:ligatures w14:val="none"/>
              </w:rPr>
              <w:t xml:space="preserve"> </w:t>
            </w:r>
          </w:p>
          <w:p w14:paraId="3ADA44B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 w:val="18"/>
                <w:szCs w:val="18"/>
                <w:lang w:bidi="en-US"/>
                <w14:ligatures w14:val="none"/>
              </w:rPr>
              <w:t>Delegacija EU</w:t>
            </w:r>
          </w:p>
        </w:tc>
      </w:tr>
      <w:tr w:rsidR="00190415" w:rsidRPr="00EB5055" w14:paraId="5B7E6F0B"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9781CD3"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7</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F6BD8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UGRAĐIVANJE PRINCIPA PARTNERSTVA U KOHEZIONU POLITIKU</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7D15C5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05CFC12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0E31EFAE"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 tijela</w:t>
            </w:r>
          </w:p>
          <w:p w14:paraId="2CC4990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EB5055">
              <w:rPr>
                <w:rFonts w:eastAsia="Trebuchet MS" w:cs="Arial"/>
                <w:kern w:val="3"/>
                <w:sz w:val="18"/>
                <w:szCs w:val="18"/>
                <w:lang w:bidi="en-US"/>
                <w14:ligatures w14:val="none"/>
              </w:rPr>
              <w:t>Partner</w:t>
            </w:r>
            <w:r>
              <w:rPr>
                <w:rFonts w:eastAsia="Trebuchet MS" w:cs="Arial"/>
                <w:kern w:val="3"/>
                <w:sz w:val="18"/>
                <w:szCs w:val="18"/>
                <w:lang w:bidi="en-US"/>
                <w14:ligatures w14:val="none"/>
              </w:rPr>
              <w:t>i</w:t>
            </w:r>
            <w:r w:rsidRPr="00EB5055">
              <w:rPr>
                <w:rFonts w:eastAsia="Trebuchet MS" w:cs="Arial"/>
                <w:kern w:val="3"/>
                <w:sz w:val="18"/>
                <w:szCs w:val="18"/>
                <w:lang w:bidi="en-US"/>
                <w14:ligatures w14:val="none"/>
              </w:rPr>
              <w:t xml:space="preserve"> (</w:t>
            </w:r>
            <w:r>
              <w:rPr>
                <w:rFonts w:eastAsia="Trebuchet MS" w:cs="Arial"/>
                <w:kern w:val="3"/>
                <w:sz w:val="18"/>
                <w:szCs w:val="18"/>
                <w:lang w:bidi="en-US"/>
                <w14:ligatures w14:val="none"/>
              </w:rPr>
              <w:t>kada budu izabrani</w:t>
            </w:r>
            <w:r w:rsidRPr="00EB5055">
              <w:rPr>
                <w:rFonts w:eastAsia="Trebuchet MS" w:cs="Arial"/>
                <w:kern w:val="3"/>
                <w:sz w:val="18"/>
                <w:szCs w:val="18"/>
                <w:lang w:bidi="en-US"/>
                <w14:ligatures w14:val="none"/>
              </w:rPr>
              <w:t>)</w:t>
            </w:r>
          </w:p>
          <w:p w14:paraId="0D2EE7C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Delegacija EU</w:t>
            </w:r>
          </w:p>
        </w:tc>
      </w:tr>
      <w:tr w:rsidR="00190415" w:rsidRPr="00EB5055" w14:paraId="2AE58B7F"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1C76EA37"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8</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040511"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EB5055">
              <w:rPr>
                <w:rFonts w:eastAsia="Trebuchet MS" w:cs="Arial"/>
                <w:kern w:val="3"/>
                <w:szCs w:val="20"/>
                <w:lang w:bidi="en-US"/>
                <w14:ligatures w14:val="none"/>
              </w:rPr>
              <w:t>HORIZONTAL</w:t>
            </w:r>
            <w:r>
              <w:rPr>
                <w:rFonts w:eastAsia="Trebuchet MS" w:cs="Arial"/>
                <w:kern w:val="3"/>
                <w:szCs w:val="20"/>
                <w:lang w:bidi="en-US"/>
                <w14:ligatures w14:val="none"/>
              </w:rPr>
              <w:t>NI</w:t>
            </w:r>
            <w:r w:rsidRPr="00EB5055">
              <w:rPr>
                <w:rFonts w:eastAsia="Trebuchet MS" w:cs="Arial"/>
                <w:kern w:val="3"/>
                <w:szCs w:val="20"/>
                <w:lang w:bidi="en-US"/>
                <w14:ligatures w14:val="none"/>
              </w:rPr>
              <w:t xml:space="preserve"> PRINCIP</w:t>
            </w:r>
            <w:r>
              <w:rPr>
                <w:rFonts w:eastAsia="Trebuchet MS" w:cs="Arial"/>
                <w:kern w:val="3"/>
                <w:szCs w:val="20"/>
                <w:lang w:bidi="en-US"/>
                <w14:ligatures w14:val="none"/>
              </w:rPr>
              <w:t>I</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4322C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0C9A490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15F1048A"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5A47D7EE"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sa relevantnim odgovornostima za politike/implementaciju Horizontalnih principa</w:t>
            </w:r>
          </w:p>
          <w:p w14:paraId="1133AF56"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Osoblje odgovorno za monitoring i implementaciju Reformske agende</w:t>
            </w:r>
          </w:p>
          <w:p w14:paraId="06DA42F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sidRPr="00EB5055">
              <w:rPr>
                <w:rFonts w:eastAsia="Trebuchet MS" w:cs="Arial"/>
                <w:kern w:val="3"/>
                <w:sz w:val="18"/>
                <w:szCs w:val="18"/>
                <w:lang w:bidi="en-US"/>
                <w14:ligatures w14:val="none"/>
              </w:rPr>
              <w:t>Partner</w:t>
            </w:r>
            <w:r>
              <w:rPr>
                <w:rFonts w:eastAsia="Trebuchet MS" w:cs="Arial"/>
                <w:kern w:val="3"/>
                <w:sz w:val="18"/>
                <w:szCs w:val="18"/>
                <w:lang w:bidi="en-US"/>
                <w14:ligatures w14:val="none"/>
              </w:rPr>
              <w:t>i</w:t>
            </w:r>
            <w:r w:rsidRPr="00EB5055">
              <w:rPr>
                <w:rFonts w:eastAsia="Trebuchet MS" w:cs="Arial"/>
                <w:kern w:val="3"/>
                <w:sz w:val="18"/>
                <w:szCs w:val="18"/>
                <w:lang w:bidi="en-US"/>
                <w14:ligatures w14:val="none"/>
              </w:rPr>
              <w:t xml:space="preserve"> (</w:t>
            </w:r>
            <w:r>
              <w:rPr>
                <w:rFonts w:eastAsia="Trebuchet MS" w:cs="Arial"/>
                <w:kern w:val="3"/>
                <w:sz w:val="18"/>
                <w:szCs w:val="18"/>
                <w:lang w:bidi="en-US"/>
                <w14:ligatures w14:val="none"/>
              </w:rPr>
              <w:t>kada budu izabrani</w:t>
            </w:r>
            <w:r w:rsidRPr="00EB5055">
              <w:rPr>
                <w:rFonts w:eastAsia="Trebuchet MS" w:cs="Arial"/>
                <w:kern w:val="3"/>
                <w:sz w:val="18"/>
                <w:szCs w:val="18"/>
                <w:lang w:bidi="en-US"/>
                <w14:ligatures w14:val="none"/>
              </w:rPr>
              <w:t>)</w:t>
            </w:r>
          </w:p>
          <w:p w14:paraId="7E47FDEE"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Delegacija EU</w:t>
            </w:r>
          </w:p>
        </w:tc>
      </w:tr>
      <w:tr w:rsidR="00190415" w:rsidRPr="00EB5055" w14:paraId="3F68D48E"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32560AD"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9</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FAA90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PRINCIP</w:t>
            </w:r>
            <w:r w:rsidRPr="00EB5055">
              <w:rPr>
                <w:rFonts w:eastAsia="Trebuchet MS" w:cs="Arial"/>
                <w:kern w:val="3"/>
                <w:szCs w:val="20"/>
                <w:lang w:bidi="en-US"/>
                <w14:ligatures w14:val="none"/>
              </w:rPr>
              <w:t xml:space="preserve"> “</w:t>
            </w:r>
            <w:r>
              <w:rPr>
                <w:rFonts w:eastAsia="Trebuchet MS" w:cs="Arial"/>
                <w:kern w:val="3"/>
                <w:szCs w:val="20"/>
                <w:lang w:bidi="en-US"/>
                <w14:ligatures w14:val="none"/>
              </w:rPr>
              <w:t>NE ČINI ZNAČAJNU ŠTETU</w:t>
            </w:r>
            <w:r w:rsidRPr="00EB5055">
              <w:rPr>
                <w:rFonts w:eastAsia="Trebuchet MS" w:cs="Arial"/>
                <w:kern w:val="3"/>
                <w:szCs w:val="20"/>
                <w:lang w:bidi="en-US"/>
                <w14:ligatures w14:val="none"/>
              </w:rPr>
              <w:t xml:space="preserve">” </w:t>
            </w:r>
            <w:r>
              <w:rPr>
                <w:rFonts w:eastAsia="Trebuchet MS" w:cs="Arial"/>
                <w:kern w:val="3"/>
                <w:szCs w:val="20"/>
                <w:lang w:bidi="en-US"/>
                <w14:ligatures w14:val="none"/>
              </w:rPr>
              <w:t>I KLIMATSKI CILJEVI</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329B9A"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72882FAB"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6D99B35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3C8148E6"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sa relevantnim odgovornostima za politike/implementaciju</w:t>
            </w:r>
          </w:p>
          <w:p w14:paraId="46D67FFD"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Osoblje odgovorno za monitoring i implementaciju Reformske agende</w:t>
            </w:r>
          </w:p>
          <w:p w14:paraId="2DF8DDF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Delegacija EU</w:t>
            </w:r>
          </w:p>
        </w:tc>
      </w:tr>
      <w:tr w:rsidR="00190415" w:rsidRPr="00EB5055" w14:paraId="43C0DD01"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33AF146B"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10</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AF15A0"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INTEGRISANI ALATI ZA TERITORIJALNE INVESTICIJE, LOKALNI RAZVOJ POD VOĐSTVOM ZAJEDNICE ILI OSTALI TERITORIJALNI ALATI</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DD8346"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360200B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05E1BF01"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za ERDF/CF/Pravednu tranziciju</w:t>
            </w:r>
          </w:p>
          <w:p w14:paraId="40693306"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Zajednica opština Crne Gore</w:t>
            </w:r>
            <w:r w:rsidRPr="00EB5055">
              <w:rPr>
                <w:rFonts w:eastAsia="Trebuchet MS" w:cs="Arial"/>
                <w:kern w:val="3"/>
                <w:sz w:val="18"/>
                <w:szCs w:val="18"/>
                <w:lang w:bidi="en-US"/>
                <w14:ligatures w14:val="none"/>
              </w:rPr>
              <w:t xml:space="preserve"> </w:t>
            </w:r>
          </w:p>
          <w:p w14:paraId="1ED746B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Delegacija EU</w:t>
            </w:r>
          </w:p>
        </w:tc>
      </w:tr>
      <w:tr w:rsidR="00190415" w:rsidRPr="00EB5055" w14:paraId="7FD01710"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58EB593C"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11</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CB45E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EB5055">
              <w:rPr>
                <w:rFonts w:eastAsia="Trebuchet MS" w:cs="Arial"/>
                <w:kern w:val="3"/>
                <w:szCs w:val="20"/>
                <w:lang w:bidi="en-US"/>
                <w14:ligatures w14:val="none"/>
              </w:rPr>
              <w:t>EU FINAN</w:t>
            </w:r>
            <w:r>
              <w:rPr>
                <w:rFonts w:eastAsia="Trebuchet MS" w:cs="Arial"/>
                <w:kern w:val="3"/>
                <w:szCs w:val="20"/>
                <w:lang w:bidi="en-US"/>
                <w14:ligatures w14:val="none"/>
              </w:rPr>
              <w:t>SIJSKI</w:t>
            </w:r>
            <w:r w:rsidRPr="00EB5055">
              <w:rPr>
                <w:rFonts w:eastAsia="Trebuchet MS" w:cs="Arial"/>
                <w:kern w:val="3"/>
                <w:szCs w:val="20"/>
                <w:lang w:bidi="en-US"/>
                <w14:ligatures w14:val="none"/>
              </w:rPr>
              <w:t xml:space="preserve"> INSTRUMENT</w:t>
            </w:r>
            <w:r>
              <w:rPr>
                <w:rFonts w:eastAsia="Trebuchet MS" w:cs="Arial"/>
                <w:kern w:val="3"/>
                <w:szCs w:val="20"/>
                <w:lang w:bidi="en-US"/>
                <w14:ligatures w14:val="none"/>
              </w:rPr>
              <w:t>I</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C44EF4E"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6B9D5501"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0DD3071F"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73C4D83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Investiciono-razvojni fond Crne Gore</w:t>
            </w:r>
          </w:p>
          <w:p w14:paraId="61A6EF3F"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Revizorsko tijelo</w:t>
            </w:r>
          </w:p>
          <w:p w14:paraId="5C35321B"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Delegacija EU</w:t>
            </w:r>
          </w:p>
        </w:tc>
      </w:tr>
      <w:tr w:rsidR="00190415" w:rsidRPr="00EB5055" w14:paraId="17368CDF"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D11B82C"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12</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D3577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STUDIJE IZVODLJIVOSTI I EKONOMSKE PROCJENE INVESTICIONIH PROJEKATA</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5CF1DD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05B9728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366AF38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400CE65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Javna tijela (budući korisnici Kohezione politike); Opštine</w:t>
            </w:r>
          </w:p>
          <w:p w14:paraId="49ECA9AF"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Aplikanti za infrastrukturne investicije iz EU fondova</w:t>
            </w:r>
          </w:p>
        </w:tc>
      </w:tr>
      <w:tr w:rsidR="00190415" w:rsidRPr="00EB5055" w14:paraId="4B482C1C"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2C708E0"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13</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AC4640"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POJEDNOSTAVLJENE TROŠKOVNE OPCIJE</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0FED07"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4204EEF9"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5250A09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Institucije identifikovane kao buduća Upravljačka/Posrednička tijela - </w:t>
            </w:r>
            <w:r>
              <w:rPr>
                <w:rFonts w:eastAsia="Trebuchet MS" w:cs="Arial"/>
                <w:kern w:val="3"/>
                <w:sz w:val="18"/>
                <w:szCs w:val="18"/>
                <w:lang w:bidi="en-US"/>
                <w14:ligatures w14:val="none"/>
              </w:rPr>
              <w:lastRenderedPageBreak/>
              <w:t>viši menadžment i relevantno osobolje</w:t>
            </w:r>
          </w:p>
          <w:p w14:paraId="7A2DD4C3"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Budući aplikanti za sredstva iz fondova Kohezione politike</w:t>
            </w:r>
          </w:p>
        </w:tc>
      </w:tr>
      <w:tr w:rsidR="00190415" w:rsidRPr="00EB5055" w14:paraId="51748BB6"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2AD0FDF9"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lastRenderedPageBreak/>
              <w:t>14</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ABFE18"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EB5055">
              <w:rPr>
                <w:rFonts w:eastAsia="Trebuchet MS" w:cs="Arial"/>
                <w:kern w:val="3"/>
                <w:szCs w:val="20"/>
                <w:lang w:bidi="en-US"/>
                <w14:ligatures w14:val="none"/>
              </w:rPr>
              <w:t xml:space="preserve">MONITORING </w:t>
            </w:r>
            <w:r>
              <w:rPr>
                <w:rFonts w:eastAsia="Trebuchet MS" w:cs="Arial"/>
                <w:kern w:val="3"/>
                <w:szCs w:val="20"/>
                <w:lang w:bidi="en-US"/>
                <w14:ligatures w14:val="none"/>
              </w:rPr>
              <w:t>FONDOVA KOHEZIONE POLITIKE U ZAJEDNIČKOM UPRAVLJANJU</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3FA0E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7F0BC07C"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00E452B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52458E6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Članovi budućih Odbora za </w:t>
            </w:r>
            <w:proofErr w:type="gramStart"/>
            <w:r>
              <w:rPr>
                <w:rFonts w:eastAsia="Trebuchet MS" w:cs="Arial"/>
                <w:kern w:val="3"/>
                <w:sz w:val="18"/>
                <w:szCs w:val="18"/>
                <w:lang w:bidi="en-US"/>
                <w14:ligatures w14:val="none"/>
              </w:rPr>
              <w:t>monitoring(</w:t>
            </w:r>
            <w:proofErr w:type="gramEnd"/>
            <w:r>
              <w:rPr>
                <w:rFonts w:eastAsia="Trebuchet MS" w:cs="Arial"/>
                <w:kern w:val="3"/>
                <w:sz w:val="18"/>
                <w:szCs w:val="18"/>
                <w:lang w:bidi="en-US"/>
                <w14:ligatures w14:val="none"/>
              </w:rPr>
              <w:t>ili više odbora)</w:t>
            </w:r>
          </w:p>
        </w:tc>
      </w:tr>
      <w:tr w:rsidR="00190415" w:rsidRPr="00EB5055" w14:paraId="5FF5D66F"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F20B44F"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15</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B229D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UVOD U FINANSIJSKO UPRAVLJANJE KOHEZIONE POLITIKE</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FB1F26"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79E6E80B"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2A60D5C6"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Ministarstvo finansija - relevantno osoblje (Tijelo za računovodstvo)</w:t>
            </w:r>
          </w:p>
        </w:tc>
      </w:tr>
      <w:tr w:rsidR="00190415" w:rsidRPr="00EB5055" w14:paraId="02AA306E" w14:textId="77777777" w:rsidTr="00A241AA">
        <w:tc>
          <w:tcPr>
            <w:tcW w:w="317"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7530416E" w14:textId="77777777" w:rsidR="00190415" w:rsidRPr="00A754BC"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sidRPr="00A754BC">
              <w:rPr>
                <w:rFonts w:eastAsia="Trebuchet MS" w:cs="Arial"/>
                <w:kern w:val="3"/>
                <w:szCs w:val="20"/>
                <w:lang w:bidi="en-US"/>
                <w14:ligatures w14:val="none"/>
              </w:rPr>
              <w:t>16</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4B0262"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Cs w:val="20"/>
                <w:lang w:bidi="en-US"/>
                <w14:ligatures w14:val="none"/>
              </w:rPr>
            </w:pPr>
            <w:r>
              <w:rPr>
                <w:rFonts w:eastAsia="Trebuchet MS" w:cs="Arial"/>
                <w:kern w:val="3"/>
                <w:szCs w:val="20"/>
                <w:lang w:bidi="en-US"/>
                <w14:ligatures w14:val="none"/>
              </w:rPr>
              <w:t>UVOD – EVULACIJA EU FONDOVA</w:t>
            </w:r>
          </w:p>
        </w:tc>
        <w:tc>
          <w:tcPr>
            <w:tcW w:w="28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A75951"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Članovi Radne grupe za Poglavlje 22</w:t>
            </w:r>
          </w:p>
          <w:p w14:paraId="761A71F5"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NIPAK kancelarija</w:t>
            </w:r>
          </w:p>
          <w:p w14:paraId="6F92B5D1"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Institucije identifikovane kao buduća Upravljačka/Posrednička tijela - viši menadžment i relevantno osoblje</w:t>
            </w:r>
          </w:p>
          <w:p w14:paraId="6A560FD4" w14:textId="77777777" w:rsidR="00190415" w:rsidRPr="00EB5055" w:rsidRDefault="00190415" w:rsidP="00A241AA">
            <w:pPr>
              <w:widowControl w:val="0"/>
              <w:tabs>
                <w:tab w:val="right" w:leader="dot" w:pos="8822"/>
              </w:tabs>
              <w:suppressAutoHyphens/>
              <w:autoSpaceDN w:val="0"/>
              <w:spacing w:after="0"/>
              <w:jc w:val="left"/>
              <w:textAlignment w:val="baseline"/>
              <w:rPr>
                <w:rFonts w:eastAsia="Trebuchet MS" w:cs="Arial"/>
                <w:kern w:val="3"/>
                <w:sz w:val="18"/>
                <w:szCs w:val="18"/>
                <w:lang w:bidi="en-US"/>
                <w14:ligatures w14:val="none"/>
              </w:rPr>
            </w:pPr>
            <w:r>
              <w:rPr>
                <w:rFonts w:eastAsia="Trebuchet MS" w:cs="Arial"/>
                <w:kern w:val="3"/>
                <w:sz w:val="18"/>
                <w:szCs w:val="18"/>
                <w:lang w:bidi="en-US"/>
                <w14:ligatures w14:val="none"/>
              </w:rPr>
              <w:t xml:space="preserve">Članovi budućih Odbora za </w:t>
            </w:r>
            <w:proofErr w:type="gramStart"/>
            <w:r>
              <w:rPr>
                <w:rFonts w:eastAsia="Trebuchet MS" w:cs="Arial"/>
                <w:kern w:val="3"/>
                <w:sz w:val="18"/>
                <w:szCs w:val="18"/>
                <w:lang w:bidi="en-US"/>
                <w14:ligatures w14:val="none"/>
              </w:rPr>
              <w:t>monitoring(</w:t>
            </w:r>
            <w:proofErr w:type="gramEnd"/>
            <w:r>
              <w:rPr>
                <w:rFonts w:eastAsia="Trebuchet MS" w:cs="Arial"/>
                <w:kern w:val="3"/>
                <w:sz w:val="18"/>
                <w:szCs w:val="18"/>
                <w:lang w:bidi="en-US"/>
                <w14:ligatures w14:val="none"/>
              </w:rPr>
              <w:t>ili više odbora)</w:t>
            </w:r>
          </w:p>
        </w:tc>
      </w:tr>
    </w:tbl>
    <w:p w14:paraId="56109B77" w14:textId="77777777" w:rsidR="00190415" w:rsidRPr="00EB5055" w:rsidRDefault="00190415" w:rsidP="00190415">
      <w:pPr>
        <w:spacing w:after="160" w:line="259" w:lineRule="auto"/>
        <w:rPr>
          <w:rFonts w:eastAsiaTheme="minorEastAsia" w:cs="Arial"/>
          <w:kern w:val="0"/>
          <w14:ligatures w14:val="none"/>
        </w:rPr>
      </w:pPr>
    </w:p>
    <w:p w14:paraId="56290437" w14:textId="77777777" w:rsidR="00190415" w:rsidRDefault="00190415" w:rsidP="00190415">
      <w:pPr>
        <w:spacing w:after="0"/>
        <w:rPr>
          <w:rFonts w:eastAsiaTheme="majorEastAsia" w:cs="Arial"/>
          <w:color w:val="0F4761" w:themeColor="accent1" w:themeShade="BF"/>
          <w:kern w:val="0"/>
          <w:sz w:val="32"/>
          <w:szCs w:val="32"/>
          <w14:ligatures w14:val="none"/>
        </w:rPr>
      </w:pPr>
      <w:r>
        <w:rPr>
          <w:rFonts w:eastAsiaTheme="majorEastAsia" w:cs="Arial"/>
          <w:color w:val="0F4761" w:themeColor="accent1" w:themeShade="BF"/>
          <w:kern w:val="0"/>
          <w:sz w:val="32"/>
          <w:szCs w:val="32"/>
          <w14:ligatures w14:val="none"/>
        </w:rPr>
        <w:t>Realizacija IPA III programa obuke</w:t>
      </w:r>
    </w:p>
    <w:p w14:paraId="7E93969B" w14:textId="77777777" w:rsidR="00190415" w:rsidRDefault="00190415" w:rsidP="00190415">
      <w:pPr>
        <w:spacing w:after="0"/>
        <w:rPr>
          <w:rFonts w:eastAsiaTheme="majorEastAsia" w:cs="Arial"/>
          <w:color w:val="0F4761" w:themeColor="accent1" w:themeShade="BF"/>
          <w:kern w:val="0"/>
          <w:sz w:val="32"/>
          <w:szCs w:val="32"/>
          <w14:ligatures w14:val="none"/>
        </w:rPr>
      </w:pPr>
    </w:p>
    <w:p w14:paraId="7F05B656" w14:textId="77777777" w:rsidR="00190415" w:rsidRDefault="00190415" w:rsidP="00190415">
      <w:pPr>
        <w:spacing w:line="259" w:lineRule="auto"/>
        <w:rPr>
          <w:rFonts w:eastAsiaTheme="minorEastAsia" w:cs="Arial"/>
          <w:kern w:val="0"/>
          <w14:ligatures w14:val="none"/>
        </w:rPr>
      </w:pPr>
      <w:r w:rsidRPr="00DE4DCE">
        <w:rPr>
          <w:rFonts w:eastAsiaTheme="minorEastAsia" w:cs="Arial"/>
          <w:kern w:val="0"/>
          <w14:ligatures w14:val="none"/>
        </w:rPr>
        <w:t>Prvo izdanje IPA III Programa obuke realizovano je između decembra 2024. i februara 2025. godine za ukupno 137 pojedinaca koji rade u IPA strukturama u Crnoj Gori. Uopšteno, isporučena su 2 izdanja svakog modula, osim Programa uvodne obuke gdje su realizovana 4 izdanja. U prosjeku, učesnici su pohađali po 7 modula svaki.</w:t>
      </w:r>
    </w:p>
    <w:p w14:paraId="1930EF2A" w14:textId="77777777" w:rsidR="00190415" w:rsidRDefault="00190415" w:rsidP="00190415">
      <w:pPr>
        <w:spacing w:line="259" w:lineRule="auto"/>
        <w:rPr>
          <w:rFonts w:eastAsiaTheme="minorEastAsia" w:cs="Arial"/>
          <w:kern w:val="0"/>
          <w14:ligatures w14:val="none"/>
        </w:rPr>
      </w:pPr>
    </w:p>
    <w:p w14:paraId="0553E3B8" w14:textId="77777777" w:rsidR="00190415" w:rsidRDefault="00190415" w:rsidP="00190415">
      <w:pPr>
        <w:spacing w:line="259" w:lineRule="auto"/>
        <w:rPr>
          <w:rFonts w:eastAsiaTheme="minorEastAsia" w:cs="Arial"/>
          <w:kern w:val="0"/>
          <w14:ligatures w14:val="none"/>
        </w:rPr>
      </w:pPr>
      <w:r>
        <w:rPr>
          <w:rFonts w:eastAsiaTheme="minorEastAsia" w:cs="Arial"/>
          <w:kern w:val="0"/>
          <w14:ligatures w14:val="none"/>
        </w:rPr>
        <w:t>Tabela ispod prikazuje prisustvo po tipologiji institucije u odnosu na IPA strukture za IPA II.</w:t>
      </w:r>
    </w:p>
    <w:tbl>
      <w:tblPr>
        <w:tblW w:w="5000" w:type="pct"/>
        <w:tblLook w:val="04A0" w:firstRow="1" w:lastRow="0" w:firstColumn="1" w:lastColumn="0" w:noHBand="0" w:noVBand="1"/>
      </w:tblPr>
      <w:tblGrid>
        <w:gridCol w:w="1181"/>
        <w:gridCol w:w="856"/>
        <w:gridCol w:w="674"/>
        <w:gridCol w:w="674"/>
        <w:gridCol w:w="674"/>
        <w:gridCol w:w="865"/>
        <w:gridCol w:w="1951"/>
        <w:gridCol w:w="797"/>
        <w:gridCol w:w="839"/>
        <w:gridCol w:w="839"/>
      </w:tblGrid>
      <w:tr w:rsidR="00190415" w:rsidRPr="004F0187" w14:paraId="768AFDC1" w14:textId="77777777" w:rsidTr="00A241AA">
        <w:trPr>
          <w:trHeight w:val="290"/>
        </w:trPr>
        <w:tc>
          <w:tcPr>
            <w:tcW w:w="546" w:type="pct"/>
            <w:tcBorders>
              <w:top w:val="single" w:sz="4" w:space="0" w:color="auto"/>
              <w:left w:val="single" w:sz="4" w:space="0" w:color="auto"/>
              <w:bottom w:val="single" w:sz="4" w:space="0" w:color="000000"/>
              <w:right w:val="single" w:sz="4" w:space="0" w:color="000000"/>
            </w:tcBorders>
            <w:shd w:val="clear" w:color="auto" w:fill="002060"/>
            <w:noWrap/>
            <w:vAlign w:val="bottom"/>
            <w:hideMark/>
          </w:tcPr>
          <w:p w14:paraId="7E53CBED"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KOD MODULA</w:t>
            </w:r>
          </w:p>
        </w:tc>
        <w:tc>
          <w:tcPr>
            <w:tcW w:w="540" w:type="pct"/>
            <w:tcBorders>
              <w:top w:val="single" w:sz="4" w:space="0" w:color="auto"/>
              <w:left w:val="single" w:sz="4" w:space="0" w:color="000000"/>
              <w:bottom w:val="single" w:sz="4" w:space="0" w:color="000000"/>
              <w:right w:val="single" w:sz="4" w:space="0" w:color="000000"/>
            </w:tcBorders>
            <w:shd w:val="clear" w:color="auto" w:fill="002060"/>
            <w:noWrap/>
            <w:vAlign w:val="bottom"/>
            <w:hideMark/>
          </w:tcPr>
          <w:p w14:paraId="6FC34B3D"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UKUPNO</w:t>
            </w:r>
          </w:p>
        </w:tc>
        <w:tc>
          <w:tcPr>
            <w:tcW w:w="443" w:type="pct"/>
            <w:tcBorders>
              <w:top w:val="single" w:sz="4" w:space="0" w:color="auto"/>
              <w:left w:val="single" w:sz="4" w:space="0" w:color="000000"/>
              <w:bottom w:val="single" w:sz="4" w:space="0" w:color="000000"/>
              <w:right w:val="single" w:sz="4" w:space="0" w:color="000000"/>
            </w:tcBorders>
            <w:shd w:val="clear" w:color="auto" w:fill="002060"/>
            <w:noWrap/>
            <w:vAlign w:val="bottom"/>
            <w:hideMark/>
          </w:tcPr>
          <w:p w14:paraId="322A6503"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AA</w:t>
            </w:r>
          </w:p>
        </w:tc>
        <w:tc>
          <w:tcPr>
            <w:tcW w:w="443" w:type="pct"/>
            <w:tcBorders>
              <w:top w:val="single" w:sz="4" w:space="0" w:color="auto"/>
              <w:left w:val="single" w:sz="4" w:space="0" w:color="000000"/>
              <w:bottom w:val="single" w:sz="4" w:space="0" w:color="000000"/>
              <w:right w:val="single" w:sz="4" w:space="0" w:color="000000"/>
            </w:tcBorders>
            <w:shd w:val="clear" w:color="auto" w:fill="002060"/>
            <w:noWrap/>
            <w:vAlign w:val="bottom"/>
            <w:hideMark/>
          </w:tcPr>
          <w:p w14:paraId="1F71F5B0"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IBFM</w:t>
            </w:r>
          </w:p>
        </w:tc>
        <w:tc>
          <w:tcPr>
            <w:tcW w:w="443" w:type="pct"/>
            <w:tcBorders>
              <w:top w:val="single" w:sz="4" w:space="0" w:color="auto"/>
              <w:left w:val="single" w:sz="4" w:space="0" w:color="000000"/>
              <w:bottom w:val="single" w:sz="4" w:space="0" w:color="000000"/>
              <w:right w:val="single" w:sz="4" w:space="0" w:color="000000"/>
            </w:tcBorders>
            <w:shd w:val="clear" w:color="auto" w:fill="002060"/>
            <w:noWrap/>
            <w:vAlign w:val="bottom"/>
            <w:hideMark/>
          </w:tcPr>
          <w:p w14:paraId="71EB335B"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IBPM</w:t>
            </w:r>
          </w:p>
        </w:tc>
        <w:tc>
          <w:tcPr>
            <w:tcW w:w="545" w:type="pct"/>
            <w:tcBorders>
              <w:top w:val="single" w:sz="4" w:space="0" w:color="auto"/>
              <w:left w:val="single" w:sz="4" w:space="0" w:color="000000"/>
              <w:bottom w:val="single" w:sz="4" w:space="0" w:color="000000"/>
              <w:right w:val="single" w:sz="4" w:space="0" w:color="000000"/>
            </w:tcBorders>
            <w:shd w:val="clear" w:color="auto" w:fill="002060"/>
            <w:noWrap/>
            <w:vAlign w:val="bottom"/>
            <w:hideMark/>
          </w:tcPr>
          <w:p w14:paraId="671E22C4"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MA/IBPM</w:t>
            </w:r>
          </w:p>
        </w:tc>
        <w:tc>
          <w:tcPr>
            <w:tcW w:w="828" w:type="pct"/>
            <w:tcBorders>
              <w:top w:val="single" w:sz="4" w:space="0" w:color="auto"/>
              <w:left w:val="single" w:sz="4" w:space="0" w:color="000000"/>
              <w:bottom w:val="single" w:sz="4" w:space="0" w:color="000000"/>
              <w:right w:val="single" w:sz="4" w:space="0" w:color="000000"/>
            </w:tcBorders>
            <w:shd w:val="clear" w:color="auto" w:fill="002060"/>
            <w:noWrap/>
            <w:vAlign w:val="bottom"/>
            <w:hideMark/>
          </w:tcPr>
          <w:p w14:paraId="0A28AB06"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MA/NIPAK KANCELARIJA</w:t>
            </w:r>
          </w:p>
        </w:tc>
        <w:tc>
          <w:tcPr>
            <w:tcW w:w="508" w:type="pct"/>
            <w:tcBorders>
              <w:top w:val="single" w:sz="4" w:space="0" w:color="auto"/>
              <w:left w:val="single" w:sz="4" w:space="0" w:color="000000"/>
              <w:bottom w:val="single" w:sz="4" w:space="0" w:color="000000"/>
              <w:right w:val="single" w:sz="4" w:space="0" w:color="000000"/>
            </w:tcBorders>
            <w:shd w:val="clear" w:color="auto" w:fill="002060"/>
            <w:noWrap/>
            <w:vAlign w:val="bottom"/>
            <w:hideMark/>
          </w:tcPr>
          <w:p w14:paraId="5535B548"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NAO/MS</w:t>
            </w:r>
          </w:p>
        </w:tc>
        <w:tc>
          <w:tcPr>
            <w:tcW w:w="378" w:type="pct"/>
            <w:tcBorders>
              <w:top w:val="single" w:sz="4" w:space="0" w:color="auto"/>
              <w:left w:val="single" w:sz="4" w:space="0" w:color="000000"/>
              <w:bottom w:val="single" w:sz="4" w:space="0" w:color="000000"/>
              <w:right w:val="single" w:sz="4" w:space="0" w:color="000000"/>
            </w:tcBorders>
            <w:shd w:val="clear" w:color="auto" w:fill="002060"/>
            <w:noWrap/>
            <w:vAlign w:val="bottom"/>
            <w:hideMark/>
          </w:tcPr>
          <w:p w14:paraId="08787C87"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 xml:space="preserve"> M </w:t>
            </w:r>
          </w:p>
        </w:tc>
        <w:tc>
          <w:tcPr>
            <w:tcW w:w="327" w:type="pct"/>
            <w:tcBorders>
              <w:top w:val="single" w:sz="4" w:space="0" w:color="auto"/>
              <w:left w:val="single" w:sz="4" w:space="0" w:color="000000"/>
              <w:bottom w:val="single" w:sz="4" w:space="0" w:color="000000"/>
              <w:right w:val="single" w:sz="4" w:space="0" w:color="auto"/>
            </w:tcBorders>
            <w:shd w:val="clear" w:color="auto" w:fill="002060"/>
            <w:noWrap/>
            <w:vAlign w:val="bottom"/>
            <w:hideMark/>
          </w:tcPr>
          <w:p w14:paraId="114DF3B4"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color w:val="FFFFFF" w:themeColor="background1"/>
                <w:kern w:val="0"/>
                <w:sz w:val="14"/>
                <w:szCs w:val="14"/>
                <w:lang w:eastAsia="en-GB"/>
                <w14:ligatures w14:val="none"/>
              </w:rPr>
              <w:t xml:space="preserve"> Ž </w:t>
            </w:r>
          </w:p>
        </w:tc>
      </w:tr>
      <w:tr w:rsidR="00190415" w:rsidRPr="004F0187" w14:paraId="23E985E6" w14:textId="77777777" w:rsidTr="00A241AA">
        <w:trPr>
          <w:trHeight w:val="290"/>
        </w:trPr>
        <w:tc>
          <w:tcPr>
            <w:tcW w:w="5000" w:type="pct"/>
            <w:gridSpan w:val="10"/>
            <w:tcBorders>
              <w:top w:val="single" w:sz="4" w:space="0" w:color="auto"/>
              <w:left w:val="single" w:sz="4" w:space="0" w:color="auto"/>
              <w:bottom w:val="single" w:sz="4" w:space="0" w:color="000000"/>
              <w:right w:val="single" w:sz="4" w:space="0" w:color="auto"/>
            </w:tcBorders>
            <w:shd w:val="clear" w:color="auto" w:fill="C1E4F5" w:themeFill="accent1" w:themeFillTint="33"/>
            <w:noWrap/>
            <w:vAlign w:val="bottom"/>
          </w:tcPr>
          <w:p w14:paraId="4D35CC40"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kern w:val="0"/>
                <w:sz w:val="14"/>
                <w:szCs w:val="14"/>
                <w:lang w:eastAsia="en-GB"/>
                <w14:ligatures w14:val="none"/>
              </w:rPr>
              <w:t>IPA III UVODNI PROGRAM</w:t>
            </w:r>
          </w:p>
        </w:tc>
      </w:tr>
      <w:tr w:rsidR="00190415" w:rsidRPr="004F0187" w14:paraId="4C116842" w14:textId="77777777" w:rsidTr="00A241AA">
        <w:trPr>
          <w:trHeight w:val="290"/>
        </w:trPr>
        <w:tc>
          <w:tcPr>
            <w:tcW w:w="546" w:type="pct"/>
            <w:tcBorders>
              <w:top w:val="single" w:sz="4" w:space="0" w:color="auto"/>
              <w:left w:val="single" w:sz="4" w:space="0" w:color="auto"/>
              <w:bottom w:val="single" w:sz="4" w:space="0" w:color="000000"/>
              <w:right w:val="single" w:sz="4" w:space="0" w:color="000000"/>
            </w:tcBorders>
            <w:shd w:val="clear" w:color="auto" w:fill="FFFFFF" w:themeFill="background1"/>
            <w:noWrap/>
            <w:vAlign w:val="bottom"/>
            <w:hideMark/>
          </w:tcPr>
          <w:p w14:paraId="50C28971"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IPA.I.01</w:t>
            </w:r>
          </w:p>
        </w:tc>
        <w:tc>
          <w:tcPr>
            <w:tcW w:w="540"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521F996E"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110</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214DE196"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43D3FC0D"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44</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3679604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23</w:t>
            </w:r>
          </w:p>
        </w:tc>
        <w:tc>
          <w:tcPr>
            <w:tcW w:w="545"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696F70A9"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28</w:t>
            </w:r>
          </w:p>
        </w:tc>
        <w:tc>
          <w:tcPr>
            <w:tcW w:w="82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734200AC"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6</w:t>
            </w:r>
          </w:p>
        </w:tc>
        <w:tc>
          <w:tcPr>
            <w:tcW w:w="50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4620BB4C"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5</w:t>
            </w:r>
          </w:p>
        </w:tc>
        <w:tc>
          <w:tcPr>
            <w:tcW w:w="37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70BE3357"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25 </w:t>
            </w:r>
          </w:p>
        </w:tc>
        <w:tc>
          <w:tcPr>
            <w:tcW w:w="327" w:type="pct"/>
            <w:tcBorders>
              <w:top w:val="single" w:sz="4" w:space="0" w:color="auto"/>
              <w:left w:val="single" w:sz="4" w:space="0" w:color="000000"/>
              <w:bottom w:val="single" w:sz="4" w:space="0" w:color="000000"/>
              <w:right w:val="single" w:sz="4" w:space="0" w:color="auto"/>
            </w:tcBorders>
            <w:shd w:val="clear" w:color="auto" w:fill="FFFFFF" w:themeFill="background1"/>
            <w:noWrap/>
            <w:vAlign w:val="bottom"/>
            <w:hideMark/>
          </w:tcPr>
          <w:p w14:paraId="4BC47D8D"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85 </w:t>
            </w:r>
          </w:p>
        </w:tc>
      </w:tr>
      <w:tr w:rsidR="00190415" w:rsidRPr="004F0187" w14:paraId="7C65FAAB" w14:textId="77777777" w:rsidTr="00A241AA">
        <w:trPr>
          <w:trHeight w:val="290"/>
        </w:trPr>
        <w:tc>
          <w:tcPr>
            <w:tcW w:w="546" w:type="pct"/>
            <w:tcBorders>
              <w:top w:val="single" w:sz="4" w:space="0" w:color="auto"/>
              <w:left w:val="single" w:sz="4" w:space="0" w:color="auto"/>
              <w:bottom w:val="single" w:sz="4" w:space="0" w:color="000000"/>
              <w:right w:val="single" w:sz="4" w:space="0" w:color="000000"/>
            </w:tcBorders>
            <w:shd w:val="clear" w:color="auto" w:fill="FFFFFF" w:themeFill="background1"/>
            <w:noWrap/>
            <w:vAlign w:val="bottom"/>
            <w:hideMark/>
          </w:tcPr>
          <w:p w14:paraId="52D9843E"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IPA.I.02</w:t>
            </w:r>
          </w:p>
        </w:tc>
        <w:tc>
          <w:tcPr>
            <w:tcW w:w="540"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7DB3174F"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102</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5A923B44"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36F88C6D"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41</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782FFA9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20</w:t>
            </w:r>
          </w:p>
        </w:tc>
        <w:tc>
          <w:tcPr>
            <w:tcW w:w="545"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63ACD675"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25</w:t>
            </w:r>
          </w:p>
        </w:tc>
        <w:tc>
          <w:tcPr>
            <w:tcW w:w="82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78AC267C"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7</w:t>
            </w:r>
          </w:p>
        </w:tc>
        <w:tc>
          <w:tcPr>
            <w:tcW w:w="50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7F4D570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5</w:t>
            </w:r>
          </w:p>
        </w:tc>
        <w:tc>
          <w:tcPr>
            <w:tcW w:w="37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5510D500"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22 </w:t>
            </w:r>
          </w:p>
        </w:tc>
        <w:tc>
          <w:tcPr>
            <w:tcW w:w="327" w:type="pct"/>
            <w:tcBorders>
              <w:top w:val="single" w:sz="4" w:space="0" w:color="auto"/>
              <w:left w:val="single" w:sz="4" w:space="0" w:color="000000"/>
              <w:bottom w:val="single" w:sz="4" w:space="0" w:color="000000"/>
              <w:right w:val="single" w:sz="4" w:space="0" w:color="auto"/>
            </w:tcBorders>
            <w:shd w:val="clear" w:color="auto" w:fill="FFFFFF" w:themeFill="background1"/>
            <w:noWrap/>
            <w:vAlign w:val="bottom"/>
            <w:hideMark/>
          </w:tcPr>
          <w:p w14:paraId="01C84E06"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80 </w:t>
            </w:r>
          </w:p>
        </w:tc>
      </w:tr>
      <w:tr w:rsidR="00190415" w:rsidRPr="004F0187" w14:paraId="2B02FC05" w14:textId="77777777" w:rsidTr="00A241AA">
        <w:trPr>
          <w:trHeight w:val="290"/>
        </w:trPr>
        <w:tc>
          <w:tcPr>
            <w:tcW w:w="546" w:type="pct"/>
            <w:tcBorders>
              <w:top w:val="single" w:sz="4" w:space="0" w:color="auto"/>
              <w:left w:val="single" w:sz="4" w:space="0" w:color="auto"/>
              <w:bottom w:val="single" w:sz="4" w:space="0" w:color="000000"/>
              <w:right w:val="single" w:sz="4" w:space="0" w:color="000000"/>
            </w:tcBorders>
            <w:shd w:val="clear" w:color="auto" w:fill="FFFFFF" w:themeFill="background1"/>
            <w:noWrap/>
            <w:vAlign w:val="bottom"/>
            <w:hideMark/>
          </w:tcPr>
          <w:p w14:paraId="6F4E5EB1"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IPA.I.03</w:t>
            </w:r>
          </w:p>
        </w:tc>
        <w:tc>
          <w:tcPr>
            <w:tcW w:w="540"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2C93A4B6"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108</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3722B010"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48C91667"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41</w:t>
            </w:r>
          </w:p>
        </w:tc>
        <w:tc>
          <w:tcPr>
            <w:tcW w:w="443"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656D36EC"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25</w:t>
            </w:r>
          </w:p>
        </w:tc>
        <w:tc>
          <w:tcPr>
            <w:tcW w:w="545"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29E0DCD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29</w:t>
            </w:r>
          </w:p>
        </w:tc>
        <w:tc>
          <w:tcPr>
            <w:tcW w:w="82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32850D8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7</w:t>
            </w:r>
          </w:p>
        </w:tc>
        <w:tc>
          <w:tcPr>
            <w:tcW w:w="50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3564E3B0"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w:t>
            </w:r>
          </w:p>
        </w:tc>
        <w:tc>
          <w:tcPr>
            <w:tcW w:w="378"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bottom"/>
            <w:hideMark/>
          </w:tcPr>
          <w:p w14:paraId="7A7FA32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24 </w:t>
            </w:r>
          </w:p>
        </w:tc>
        <w:tc>
          <w:tcPr>
            <w:tcW w:w="327" w:type="pct"/>
            <w:tcBorders>
              <w:top w:val="single" w:sz="4" w:space="0" w:color="auto"/>
              <w:left w:val="single" w:sz="4" w:space="0" w:color="000000"/>
              <w:bottom w:val="single" w:sz="4" w:space="0" w:color="000000"/>
              <w:right w:val="single" w:sz="4" w:space="0" w:color="auto"/>
            </w:tcBorders>
            <w:shd w:val="clear" w:color="auto" w:fill="FFFFFF" w:themeFill="background1"/>
            <w:noWrap/>
            <w:vAlign w:val="bottom"/>
            <w:hideMark/>
          </w:tcPr>
          <w:p w14:paraId="0DA26B81"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84 </w:t>
            </w:r>
          </w:p>
        </w:tc>
      </w:tr>
      <w:tr w:rsidR="00190415" w:rsidRPr="004F0187" w14:paraId="70BA9501" w14:textId="77777777" w:rsidTr="00A241AA">
        <w:trPr>
          <w:trHeight w:val="290"/>
        </w:trPr>
        <w:tc>
          <w:tcPr>
            <w:tcW w:w="5000" w:type="pct"/>
            <w:gridSpan w:val="10"/>
            <w:tcBorders>
              <w:top w:val="single" w:sz="4" w:space="0" w:color="auto"/>
              <w:left w:val="single" w:sz="4" w:space="0" w:color="auto"/>
              <w:bottom w:val="single" w:sz="4" w:space="0" w:color="000000"/>
              <w:right w:val="single" w:sz="4" w:space="0" w:color="auto"/>
            </w:tcBorders>
            <w:shd w:val="clear" w:color="auto" w:fill="C1E4F5" w:themeFill="accent1" w:themeFillTint="33"/>
            <w:noWrap/>
            <w:vAlign w:val="bottom"/>
          </w:tcPr>
          <w:p w14:paraId="2C8B2296" w14:textId="77777777" w:rsidR="00190415" w:rsidRPr="004F0187" w:rsidRDefault="00190415" w:rsidP="00A241AA">
            <w:pPr>
              <w:spacing w:after="0"/>
              <w:jc w:val="center"/>
              <w:rPr>
                <w:rFonts w:eastAsia="Times New Roman" w:cs="Arial"/>
                <w:b/>
                <w:bCs/>
                <w:color w:val="FFFFFF" w:themeColor="background1"/>
                <w:kern w:val="0"/>
                <w:sz w:val="14"/>
                <w:szCs w:val="14"/>
                <w:lang w:eastAsia="en-GB"/>
                <w14:ligatures w14:val="none"/>
              </w:rPr>
            </w:pPr>
            <w:r w:rsidRPr="004F0187">
              <w:rPr>
                <w:rFonts w:eastAsia="Times New Roman" w:cs="Arial"/>
                <w:b/>
                <w:bCs/>
                <w:kern w:val="0"/>
                <w:sz w:val="14"/>
                <w:szCs w:val="14"/>
                <w:lang w:eastAsia="en-GB"/>
                <w14:ligatures w14:val="none"/>
              </w:rPr>
              <w:t>IPA III NAPREDNI PROGRAM</w:t>
            </w:r>
          </w:p>
        </w:tc>
      </w:tr>
      <w:tr w:rsidR="00190415" w:rsidRPr="004F0187" w14:paraId="73112765"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40F33043"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IPA.A.01</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C8F5F91"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68</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335226BA"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1A47A5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34</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DF76F52"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11</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8766A57"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16</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1DA655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26FB83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w:t>
            </w:r>
          </w:p>
        </w:tc>
        <w:tc>
          <w:tcPr>
            <w:tcW w:w="378" w:type="pct"/>
            <w:tcBorders>
              <w:top w:val="single" w:sz="4" w:space="0" w:color="156082"/>
              <w:left w:val="single" w:sz="4" w:space="0" w:color="C0C0C0"/>
              <w:bottom w:val="single" w:sz="4" w:space="0" w:color="C0C0C0"/>
              <w:right w:val="single" w:sz="4" w:space="0" w:color="C0C0C0"/>
            </w:tcBorders>
            <w:shd w:val="clear" w:color="auto" w:fill="auto"/>
            <w:vAlign w:val="bottom"/>
            <w:hideMark/>
          </w:tcPr>
          <w:p w14:paraId="62FAF37D"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17 </w:t>
            </w:r>
          </w:p>
        </w:tc>
        <w:tc>
          <w:tcPr>
            <w:tcW w:w="327" w:type="pct"/>
            <w:tcBorders>
              <w:top w:val="single" w:sz="4" w:space="0" w:color="156082"/>
              <w:left w:val="single" w:sz="4" w:space="0" w:color="C0C0C0"/>
              <w:bottom w:val="single" w:sz="4" w:space="0" w:color="C0C0C0"/>
              <w:right w:val="single" w:sz="4" w:space="0" w:color="auto"/>
            </w:tcBorders>
            <w:shd w:val="clear" w:color="auto" w:fill="auto"/>
            <w:vAlign w:val="bottom"/>
            <w:hideMark/>
          </w:tcPr>
          <w:p w14:paraId="505BF6A0"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51 </w:t>
            </w:r>
          </w:p>
        </w:tc>
      </w:tr>
      <w:tr w:rsidR="00190415" w:rsidRPr="004F0187" w14:paraId="127D7976"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742154A2"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IPA.A.02</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3DB8D04D"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63</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61BE0C7"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68B2516"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29</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31A7AF5"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13</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9EBEB2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14</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AA95BCA"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E330A54"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w:t>
            </w:r>
          </w:p>
        </w:tc>
        <w:tc>
          <w:tcPr>
            <w:tcW w:w="37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37203054"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15 </w:t>
            </w:r>
          </w:p>
        </w:tc>
        <w:tc>
          <w:tcPr>
            <w:tcW w:w="327" w:type="pct"/>
            <w:tcBorders>
              <w:top w:val="single" w:sz="4" w:space="0" w:color="C0C0C0"/>
              <w:left w:val="single" w:sz="4" w:space="0" w:color="C0C0C0"/>
              <w:bottom w:val="single" w:sz="4" w:space="0" w:color="C0C0C0"/>
              <w:right w:val="single" w:sz="4" w:space="0" w:color="auto"/>
            </w:tcBorders>
            <w:shd w:val="clear" w:color="auto" w:fill="auto"/>
            <w:vAlign w:val="bottom"/>
            <w:hideMark/>
          </w:tcPr>
          <w:p w14:paraId="68EACB1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48 </w:t>
            </w:r>
          </w:p>
        </w:tc>
      </w:tr>
      <w:tr w:rsidR="00190415" w:rsidRPr="004F0187" w14:paraId="4E7F45B1"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72A96A5F"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IPA.A.03</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862BBCA"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70</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ECB293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2F843D2"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33</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94EB544"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13</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B8CD3B5"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15</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4A2B71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5</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156122B"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w:t>
            </w:r>
          </w:p>
        </w:tc>
        <w:tc>
          <w:tcPr>
            <w:tcW w:w="37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E03D34A"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18 </w:t>
            </w:r>
          </w:p>
        </w:tc>
        <w:tc>
          <w:tcPr>
            <w:tcW w:w="327" w:type="pct"/>
            <w:tcBorders>
              <w:top w:val="single" w:sz="4" w:space="0" w:color="C0C0C0"/>
              <w:left w:val="single" w:sz="4" w:space="0" w:color="C0C0C0"/>
              <w:bottom w:val="single" w:sz="4" w:space="0" w:color="C0C0C0"/>
              <w:right w:val="single" w:sz="4" w:space="0" w:color="auto"/>
            </w:tcBorders>
            <w:shd w:val="clear" w:color="auto" w:fill="auto"/>
            <w:vAlign w:val="bottom"/>
            <w:hideMark/>
          </w:tcPr>
          <w:p w14:paraId="13CD854B"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52 </w:t>
            </w:r>
          </w:p>
        </w:tc>
      </w:tr>
      <w:tr w:rsidR="00190415" w:rsidRPr="004F0187" w14:paraId="782873C6"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03A18107"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IPA.A.04</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5DFA855"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76</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5049A6F6"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3496FC4A"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31</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F598351"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16</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80F8B7F"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20</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7677582"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5</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713C50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w:t>
            </w:r>
          </w:p>
        </w:tc>
        <w:tc>
          <w:tcPr>
            <w:tcW w:w="37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C7B9934"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20 </w:t>
            </w:r>
          </w:p>
        </w:tc>
        <w:tc>
          <w:tcPr>
            <w:tcW w:w="327" w:type="pct"/>
            <w:tcBorders>
              <w:top w:val="single" w:sz="4" w:space="0" w:color="C0C0C0"/>
              <w:left w:val="single" w:sz="4" w:space="0" w:color="C0C0C0"/>
              <w:bottom w:val="single" w:sz="4" w:space="0" w:color="C0C0C0"/>
              <w:right w:val="single" w:sz="4" w:space="0" w:color="auto"/>
            </w:tcBorders>
            <w:shd w:val="clear" w:color="auto" w:fill="auto"/>
            <w:vAlign w:val="bottom"/>
            <w:hideMark/>
          </w:tcPr>
          <w:p w14:paraId="3CB1481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56 </w:t>
            </w:r>
          </w:p>
        </w:tc>
      </w:tr>
      <w:tr w:rsidR="00190415" w:rsidRPr="004F0187" w14:paraId="110315A1"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42EE5AB5"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IPA.A.05</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D1A9B42"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78</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0C31416"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6E6530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27</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D0D095D"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16</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82D275A"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20</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74B7731"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5</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5528884A"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6</w:t>
            </w:r>
          </w:p>
        </w:tc>
        <w:tc>
          <w:tcPr>
            <w:tcW w:w="37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F01518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17 </w:t>
            </w:r>
          </w:p>
        </w:tc>
        <w:tc>
          <w:tcPr>
            <w:tcW w:w="327" w:type="pct"/>
            <w:tcBorders>
              <w:top w:val="single" w:sz="4" w:space="0" w:color="C0C0C0"/>
              <w:left w:val="single" w:sz="4" w:space="0" w:color="C0C0C0"/>
              <w:bottom w:val="single" w:sz="4" w:space="0" w:color="C0C0C0"/>
              <w:right w:val="single" w:sz="4" w:space="0" w:color="auto"/>
            </w:tcBorders>
            <w:shd w:val="clear" w:color="auto" w:fill="auto"/>
            <w:vAlign w:val="bottom"/>
            <w:hideMark/>
          </w:tcPr>
          <w:p w14:paraId="40A18F4B"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61 </w:t>
            </w:r>
          </w:p>
        </w:tc>
      </w:tr>
      <w:tr w:rsidR="00190415" w:rsidRPr="004F0187" w14:paraId="229EF564"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3E616BC0"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IPA.A.06</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3A6F694F"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67</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5F27DD41"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75FF37D"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19</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570CB2F6"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15</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D3A7C2F"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19</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7BAD15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5</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4FEE921"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5</w:t>
            </w:r>
          </w:p>
        </w:tc>
        <w:tc>
          <w:tcPr>
            <w:tcW w:w="37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24252A2"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14 </w:t>
            </w:r>
          </w:p>
        </w:tc>
        <w:tc>
          <w:tcPr>
            <w:tcW w:w="327" w:type="pct"/>
            <w:tcBorders>
              <w:top w:val="single" w:sz="4" w:space="0" w:color="C0C0C0"/>
              <w:left w:val="single" w:sz="4" w:space="0" w:color="C0C0C0"/>
              <w:bottom w:val="single" w:sz="4" w:space="0" w:color="C0C0C0"/>
              <w:right w:val="single" w:sz="4" w:space="0" w:color="auto"/>
            </w:tcBorders>
            <w:shd w:val="clear" w:color="auto" w:fill="auto"/>
            <w:vAlign w:val="bottom"/>
            <w:hideMark/>
          </w:tcPr>
          <w:p w14:paraId="0568DACF"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53 </w:t>
            </w:r>
          </w:p>
        </w:tc>
      </w:tr>
      <w:tr w:rsidR="00190415" w:rsidRPr="004F0187" w14:paraId="26480C00"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4738CE07"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IPA.A.07</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944AE12"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70</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AD6C5FA"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6C75CEB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26</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E87A2C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13</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347CD94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19</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34A9488C"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8</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5D50FA1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w:t>
            </w:r>
          </w:p>
        </w:tc>
        <w:tc>
          <w:tcPr>
            <w:tcW w:w="37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696953B"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16 </w:t>
            </w:r>
          </w:p>
        </w:tc>
        <w:tc>
          <w:tcPr>
            <w:tcW w:w="327" w:type="pct"/>
            <w:tcBorders>
              <w:top w:val="single" w:sz="4" w:space="0" w:color="C0C0C0"/>
              <w:left w:val="single" w:sz="4" w:space="0" w:color="C0C0C0"/>
              <w:bottom w:val="single" w:sz="4" w:space="0" w:color="C0C0C0"/>
              <w:right w:val="single" w:sz="4" w:space="0" w:color="auto"/>
            </w:tcBorders>
            <w:shd w:val="clear" w:color="auto" w:fill="auto"/>
            <w:vAlign w:val="bottom"/>
            <w:hideMark/>
          </w:tcPr>
          <w:p w14:paraId="59E7A23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54 </w:t>
            </w:r>
          </w:p>
        </w:tc>
      </w:tr>
      <w:tr w:rsidR="00190415" w:rsidRPr="004F0187" w14:paraId="500CFD89"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35012FEC"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IPA.A.08</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99834FF"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59</w:t>
            </w:r>
          </w:p>
        </w:tc>
        <w:tc>
          <w:tcPr>
            <w:tcW w:w="443" w:type="pct"/>
            <w:tcBorders>
              <w:top w:val="single" w:sz="4" w:space="0" w:color="156082"/>
              <w:left w:val="nil"/>
              <w:bottom w:val="nil"/>
              <w:right w:val="nil"/>
            </w:tcBorders>
            <w:shd w:val="clear" w:color="auto" w:fill="auto"/>
            <w:noWrap/>
            <w:vAlign w:val="bottom"/>
            <w:hideMark/>
          </w:tcPr>
          <w:p w14:paraId="2F35E052"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0EB80C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29</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5B84E14"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11</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A980B71"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15</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5FBAE0B"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3</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350941E"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w:t>
            </w:r>
          </w:p>
        </w:tc>
        <w:tc>
          <w:tcPr>
            <w:tcW w:w="37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54F1E9D"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12 </w:t>
            </w:r>
          </w:p>
        </w:tc>
        <w:tc>
          <w:tcPr>
            <w:tcW w:w="327" w:type="pct"/>
            <w:tcBorders>
              <w:top w:val="single" w:sz="4" w:space="0" w:color="C0C0C0"/>
              <w:left w:val="single" w:sz="4" w:space="0" w:color="C0C0C0"/>
              <w:bottom w:val="single" w:sz="4" w:space="0" w:color="C0C0C0"/>
              <w:right w:val="single" w:sz="4" w:space="0" w:color="auto"/>
            </w:tcBorders>
            <w:shd w:val="clear" w:color="auto" w:fill="auto"/>
            <w:vAlign w:val="bottom"/>
            <w:hideMark/>
          </w:tcPr>
          <w:p w14:paraId="47562D19"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47 </w:t>
            </w:r>
          </w:p>
        </w:tc>
      </w:tr>
      <w:tr w:rsidR="00190415" w:rsidRPr="004F0187" w14:paraId="26980AF3" w14:textId="77777777" w:rsidTr="00A241AA">
        <w:trPr>
          <w:trHeight w:val="290"/>
        </w:trPr>
        <w:tc>
          <w:tcPr>
            <w:tcW w:w="546"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1D67485D"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IPA.A.09</w:t>
            </w:r>
          </w:p>
        </w:tc>
        <w:tc>
          <w:tcPr>
            <w:tcW w:w="540"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E4FD83A"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62</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826E4A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71E2A91"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16</w:t>
            </w:r>
          </w:p>
        </w:tc>
        <w:tc>
          <w:tcPr>
            <w:tcW w:w="443"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B53BF24"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16</w:t>
            </w:r>
          </w:p>
        </w:tc>
        <w:tc>
          <w:tcPr>
            <w:tcW w:w="545"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46D87FF9"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18</w:t>
            </w:r>
          </w:p>
        </w:tc>
        <w:tc>
          <w:tcPr>
            <w:tcW w:w="82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AB260A0"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6</w:t>
            </w:r>
          </w:p>
        </w:tc>
        <w:tc>
          <w:tcPr>
            <w:tcW w:w="50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2831CCEB"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w:t>
            </w:r>
          </w:p>
        </w:tc>
        <w:tc>
          <w:tcPr>
            <w:tcW w:w="378" w:type="pct"/>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198F1157"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13 </w:t>
            </w:r>
          </w:p>
        </w:tc>
        <w:tc>
          <w:tcPr>
            <w:tcW w:w="327" w:type="pct"/>
            <w:tcBorders>
              <w:top w:val="single" w:sz="4" w:space="0" w:color="C0C0C0"/>
              <w:left w:val="single" w:sz="4" w:space="0" w:color="C0C0C0"/>
              <w:bottom w:val="single" w:sz="4" w:space="0" w:color="C0C0C0"/>
              <w:right w:val="single" w:sz="4" w:space="0" w:color="auto"/>
            </w:tcBorders>
            <w:shd w:val="clear" w:color="auto" w:fill="auto"/>
            <w:vAlign w:val="bottom"/>
            <w:hideMark/>
          </w:tcPr>
          <w:p w14:paraId="2098F267"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49 </w:t>
            </w:r>
          </w:p>
        </w:tc>
      </w:tr>
      <w:tr w:rsidR="00190415" w:rsidRPr="004F0187" w14:paraId="109B0718" w14:textId="77777777" w:rsidTr="00A241AA">
        <w:trPr>
          <w:trHeight w:val="290"/>
        </w:trPr>
        <w:tc>
          <w:tcPr>
            <w:tcW w:w="546" w:type="pct"/>
            <w:tcBorders>
              <w:top w:val="single" w:sz="4" w:space="0" w:color="C0C0C0"/>
              <w:left w:val="single" w:sz="4" w:space="0" w:color="auto"/>
              <w:bottom w:val="single" w:sz="4" w:space="0" w:color="auto"/>
              <w:right w:val="single" w:sz="4" w:space="0" w:color="C0C0C0"/>
            </w:tcBorders>
            <w:shd w:val="clear" w:color="auto" w:fill="auto"/>
            <w:vAlign w:val="bottom"/>
            <w:hideMark/>
          </w:tcPr>
          <w:p w14:paraId="31E8C23A" w14:textId="77777777" w:rsidR="00190415" w:rsidRPr="004F0187" w:rsidRDefault="00190415" w:rsidP="00A241AA">
            <w:pPr>
              <w:spacing w:after="0"/>
              <w:jc w:val="left"/>
              <w:rPr>
                <w:rFonts w:eastAsia="Times New Roman" w:cs="Arial"/>
                <w:b/>
                <w:bCs/>
                <w:color w:val="FF0000"/>
                <w:kern w:val="0"/>
                <w:sz w:val="14"/>
                <w:szCs w:val="14"/>
                <w:lang w:eastAsia="en-GB"/>
                <w14:ligatures w14:val="none"/>
              </w:rPr>
            </w:pPr>
            <w:r w:rsidRPr="004F0187">
              <w:rPr>
                <w:rFonts w:eastAsia="Times New Roman" w:cs="Arial"/>
                <w:b/>
                <w:bCs/>
                <w:color w:val="FF0000"/>
                <w:kern w:val="0"/>
                <w:sz w:val="14"/>
                <w:szCs w:val="14"/>
                <w:lang w:eastAsia="en-GB"/>
                <w14:ligatures w14:val="none"/>
              </w:rPr>
              <w:t>IPA.A.10</w:t>
            </w:r>
          </w:p>
        </w:tc>
        <w:tc>
          <w:tcPr>
            <w:tcW w:w="540" w:type="pct"/>
            <w:tcBorders>
              <w:top w:val="single" w:sz="4" w:space="0" w:color="C0C0C0"/>
              <w:left w:val="single" w:sz="4" w:space="0" w:color="C0C0C0"/>
              <w:bottom w:val="single" w:sz="4" w:space="0" w:color="auto"/>
              <w:right w:val="single" w:sz="4" w:space="0" w:color="C0C0C0"/>
            </w:tcBorders>
            <w:shd w:val="clear" w:color="auto" w:fill="auto"/>
            <w:vAlign w:val="bottom"/>
            <w:hideMark/>
          </w:tcPr>
          <w:p w14:paraId="496FFC84" w14:textId="77777777" w:rsidR="00190415" w:rsidRPr="004F0187" w:rsidRDefault="00190415" w:rsidP="00A241AA">
            <w:pPr>
              <w:spacing w:after="0"/>
              <w:jc w:val="right"/>
              <w:rPr>
                <w:rFonts w:eastAsia="Times New Roman" w:cs="Arial"/>
                <w:b/>
                <w:bCs/>
                <w:kern w:val="0"/>
                <w:sz w:val="14"/>
                <w:szCs w:val="14"/>
                <w:lang w:eastAsia="en-GB"/>
                <w14:ligatures w14:val="none"/>
              </w:rPr>
            </w:pPr>
            <w:r w:rsidRPr="004F0187">
              <w:rPr>
                <w:rFonts w:eastAsia="Times New Roman" w:cs="Arial"/>
                <w:b/>
                <w:bCs/>
                <w:kern w:val="0"/>
                <w:sz w:val="14"/>
                <w:szCs w:val="14"/>
                <w:lang w:eastAsia="en-GB"/>
                <w14:ligatures w14:val="none"/>
              </w:rPr>
              <w:t>62</w:t>
            </w:r>
          </w:p>
        </w:tc>
        <w:tc>
          <w:tcPr>
            <w:tcW w:w="443" w:type="pct"/>
            <w:tcBorders>
              <w:top w:val="single" w:sz="4" w:space="0" w:color="C0C0C0"/>
              <w:left w:val="single" w:sz="4" w:space="0" w:color="C0C0C0"/>
              <w:bottom w:val="single" w:sz="4" w:space="0" w:color="auto"/>
              <w:right w:val="single" w:sz="4" w:space="0" w:color="C0C0C0"/>
            </w:tcBorders>
            <w:shd w:val="clear" w:color="auto" w:fill="auto"/>
            <w:vAlign w:val="bottom"/>
            <w:hideMark/>
          </w:tcPr>
          <w:p w14:paraId="68373ECC"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4</w:t>
            </w:r>
          </w:p>
        </w:tc>
        <w:tc>
          <w:tcPr>
            <w:tcW w:w="443" w:type="pct"/>
            <w:tcBorders>
              <w:top w:val="single" w:sz="4" w:space="0" w:color="C0C0C0"/>
              <w:left w:val="single" w:sz="4" w:space="0" w:color="C0C0C0"/>
              <w:bottom w:val="single" w:sz="4" w:space="0" w:color="auto"/>
              <w:right w:val="single" w:sz="4" w:space="0" w:color="C0C0C0"/>
            </w:tcBorders>
            <w:shd w:val="clear" w:color="auto" w:fill="auto"/>
            <w:vAlign w:val="bottom"/>
            <w:hideMark/>
          </w:tcPr>
          <w:p w14:paraId="2A711910"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21</w:t>
            </w:r>
          </w:p>
        </w:tc>
        <w:tc>
          <w:tcPr>
            <w:tcW w:w="443" w:type="pct"/>
            <w:tcBorders>
              <w:top w:val="single" w:sz="4" w:space="0" w:color="C0C0C0"/>
              <w:left w:val="single" w:sz="4" w:space="0" w:color="C0C0C0"/>
              <w:bottom w:val="single" w:sz="4" w:space="0" w:color="auto"/>
              <w:right w:val="single" w:sz="4" w:space="0" w:color="C0C0C0"/>
            </w:tcBorders>
            <w:shd w:val="clear" w:color="auto" w:fill="auto"/>
            <w:vAlign w:val="bottom"/>
            <w:hideMark/>
          </w:tcPr>
          <w:p w14:paraId="4FDB4571"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15</w:t>
            </w:r>
          </w:p>
        </w:tc>
        <w:tc>
          <w:tcPr>
            <w:tcW w:w="545" w:type="pct"/>
            <w:tcBorders>
              <w:top w:val="single" w:sz="4" w:space="0" w:color="C0C0C0"/>
              <w:left w:val="single" w:sz="4" w:space="0" w:color="C0C0C0"/>
              <w:bottom w:val="single" w:sz="4" w:space="0" w:color="auto"/>
              <w:right w:val="single" w:sz="4" w:space="0" w:color="C0C0C0"/>
            </w:tcBorders>
            <w:shd w:val="clear" w:color="auto" w:fill="auto"/>
            <w:vAlign w:val="bottom"/>
            <w:hideMark/>
          </w:tcPr>
          <w:p w14:paraId="2A03D698"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18</w:t>
            </w:r>
          </w:p>
        </w:tc>
        <w:tc>
          <w:tcPr>
            <w:tcW w:w="828" w:type="pct"/>
            <w:tcBorders>
              <w:top w:val="single" w:sz="4" w:space="0" w:color="C0C0C0"/>
              <w:left w:val="single" w:sz="4" w:space="0" w:color="C0C0C0"/>
              <w:bottom w:val="single" w:sz="4" w:space="0" w:color="auto"/>
              <w:right w:val="single" w:sz="4" w:space="0" w:color="C0C0C0"/>
            </w:tcBorders>
            <w:shd w:val="clear" w:color="auto" w:fill="auto"/>
            <w:vAlign w:val="bottom"/>
            <w:hideMark/>
          </w:tcPr>
          <w:p w14:paraId="704C5730"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w:t>
            </w:r>
          </w:p>
        </w:tc>
        <w:tc>
          <w:tcPr>
            <w:tcW w:w="508" w:type="pct"/>
            <w:tcBorders>
              <w:top w:val="single" w:sz="4" w:space="0" w:color="C0C0C0"/>
              <w:left w:val="single" w:sz="4" w:space="0" w:color="C0C0C0"/>
              <w:bottom w:val="single" w:sz="4" w:space="0" w:color="auto"/>
              <w:right w:val="single" w:sz="4" w:space="0" w:color="C0C0C0"/>
            </w:tcBorders>
            <w:shd w:val="clear" w:color="auto" w:fill="auto"/>
            <w:vAlign w:val="bottom"/>
            <w:hideMark/>
          </w:tcPr>
          <w:p w14:paraId="3BB9C1B3"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2</w:t>
            </w:r>
          </w:p>
        </w:tc>
        <w:tc>
          <w:tcPr>
            <w:tcW w:w="378" w:type="pct"/>
            <w:tcBorders>
              <w:top w:val="single" w:sz="4" w:space="0" w:color="C0C0C0"/>
              <w:left w:val="single" w:sz="4" w:space="0" w:color="C0C0C0"/>
              <w:bottom w:val="single" w:sz="4" w:space="0" w:color="auto"/>
              <w:right w:val="single" w:sz="4" w:space="0" w:color="C0C0C0"/>
            </w:tcBorders>
            <w:shd w:val="clear" w:color="auto" w:fill="auto"/>
            <w:vAlign w:val="bottom"/>
            <w:hideMark/>
          </w:tcPr>
          <w:p w14:paraId="6048D434"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14 </w:t>
            </w:r>
          </w:p>
        </w:tc>
        <w:tc>
          <w:tcPr>
            <w:tcW w:w="327" w:type="pct"/>
            <w:tcBorders>
              <w:top w:val="single" w:sz="4" w:space="0" w:color="C0C0C0"/>
              <w:left w:val="single" w:sz="4" w:space="0" w:color="C0C0C0"/>
              <w:bottom w:val="single" w:sz="4" w:space="0" w:color="auto"/>
              <w:right w:val="single" w:sz="4" w:space="0" w:color="auto"/>
            </w:tcBorders>
            <w:shd w:val="clear" w:color="auto" w:fill="auto"/>
            <w:vAlign w:val="bottom"/>
            <w:hideMark/>
          </w:tcPr>
          <w:p w14:paraId="6501C979" w14:textId="77777777" w:rsidR="00190415" w:rsidRPr="004F0187" w:rsidRDefault="00190415" w:rsidP="00A241AA">
            <w:pPr>
              <w:spacing w:after="0"/>
              <w:jc w:val="right"/>
              <w:rPr>
                <w:rFonts w:eastAsia="Times New Roman" w:cs="Arial"/>
                <w:color w:val="000000"/>
                <w:kern w:val="0"/>
                <w:sz w:val="14"/>
                <w:szCs w:val="14"/>
                <w:lang w:eastAsia="en-GB"/>
                <w14:ligatures w14:val="none"/>
              </w:rPr>
            </w:pPr>
            <w:r w:rsidRPr="004F0187">
              <w:rPr>
                <w:rFonts w:eastAsia="Times New Roman" w:cs="Arial"/>
                <w:color w:val="000000"/>
                <w:kern w:val="0"/>
                <w:sz w:val="14"/>
                <w:szCs w:val="14"/>
                <w:lang w:eastAsia="en-GB"/>
                <w14:ligatures w14:val="none"/>
              </w:rPr>
              <w:t xml:space="preserve">            48 </w:t>
            </w:r>
          </w:p>
        </w:tc>
      </w:tr>
    </w:tbl>
    <w:p w14:paraId="266BD8EB" w14:textId="77777777" w:rsidR="00190415" w:rsidRPr="009D5483" w:rsidRDefault="00190415" w:rsidP="00190415">
      <w:pPr>
        <w:spacing w:line="259" w:lineRule="auto"/>
        <w:rPr>
          <w:rFonts w:eastAsiaTheme="minorEastAsia" w:cs="Arial"/>
          <w:b/>
          <w:bCs/>
          <w:kern w:val="0"/>
          <w:sz w:val="18"/>
          <w:szCs w:val="18"/>
          <w14:ligatures w14:val="none"/>
        </w:rPr>
      </w:pPr>
      <w:r w:rsidRPr="009D5483">
        <w:rPr>
          <w:rFonts w:eastAsiaTheme="minorEastAsia" w:cs="Arial"/>
          <w:b/>
          <w:bCs/>
          <w:kern w:val="0"/>
          <w:sz w:val="18"/>
          <w:szCs w:val="18"/>
          <w14:ligatures w14:val="none"/>
        </w:rPr>
        <w:t>K</w:t>
      </w:r>
      <w:r>
        <w:rPr>
          <w:rFonts w:eastAsiaTheme="minorEastAsia" w:cs="Arial"/>
          <w:b/>
          <w:bCs/>
          <w:kern w:val="0"/>
          <w:sz w:val="18"/>
          <w:szCs w:val="18"/>
          <w14:ligatures w14:val="none"/>
        </w:rPr>
        <w:t>ljuč</w:t>
      </w:r>
      <w:r w:rsidRPr="009D5483">
        <w:rPr>
          <w:rFonts w:eastAsiaTheme="minorEastAsia" w:cs="Arial"/>
          <w:b/>
          <w:bCs/>
          <w:kern w:val="0"/>
          <w:sz w:val="18"/>
          <w:szCs w:val="18"/>
          <w14:ligatures w14:val="none"/>
        </w:rPr>
        <w:t>:</w:t>
      </w:r>
    </w:p>
    <w:p w14:paraId="126D87DD" w14:textId="77777777" w:rsidR="00190415" w:rsidRPr="009D5483" w:rsidRDefault="00190415" w:rsidP="00190415">
      <w:pPr>
        <w:spacing w:after="0" w:line="259" w:lineRule="auto"/>
        <w:rPr>
          <w:rFonts w:eastAsiaTheme="minorEastAsia" w:cs="Arial"/>
          <w:kern w:val="0"/>
          <w:sz w:val="18"/>
          <w:szCs w:val="18"/>
          <w14:ligatures w14:val="none"/>
        </w:rPr>
      </w:pPr>
      <w:r>
        <w:rPr>
          <w:rFonts w:eastAsiaTheme="minorEastAsia" w:cs="Arial"/>
          <w:kern w:val="0"/>
          <w:sz w:val="18"/>
          <w:szCs w:val="18"/>
          <w14:ligatures w14:val="none"/>
        </w:rPr>
        <w:t>RT</w:t>
      </w:r>
      <w:r w:rsidRPr="009D5483">
        <w:rPr>
          <w:rFonts w:eastAsiaTheme="minorEastAsia" w:cs="Arial"/>
          <w:kern w:val="0"/>
          <w:sz w:val="18"/>
          <w:szCs w:val="18"/>
          <w14:ligatures w14:val="none"/>
        </w:rPr>
        <w:tab/>
        <w:t xml:space="preserve">            </w:t>
      </w:r>
      <w:r>
        <w:rPr>
          <w:rFonts w:eastAsiaTheme="minorEastAsia" w:cs="Arial"/>
          <w:kern w:val="0"/>
          <w:sz w:val="18"/>
          <w:szCs w:val="18"/>
          <w14:ligatures w14:val="none"/>
        </w:rPr>
        <w:tab/>
      </w:r>
      <w:r>
        <w:rPr>
          <w:rFonts w:eastAsiaTheme="minorEastAsia" w:cs="Arial"/>
          <w:kern w:val="0"/>
          <w:sz w:val="18"/>
          <w:szCs w:val="18"/>
          <w14:ligatures w14:val="none"/>
        </w:rPr>
        <w:tab/>
        <w:t>Revizorsko tijelo</w:t>
      </w:r>
    </w:p>
    <w:p w14:paraId="0F01F09F" w14:textId="77777777" w:rsidR="00190415" w:rsidRPr="009D5483" w:rsidRDefault="00190415" w:rsidP="00190415">
      <w:pPr>
        <w:spacing w:after="0" w:line="259" w:lineRule="auto"/>
        <w:rPr>
          <w:rFonts w:eastAsiaTheme="minorEastAsia" w:cs="Arial"/>
          <w:kern w:val="0"/>
          <w:sz w:val="18"/>
          <w:szCs w:val="18"/>
          <w14:ligatures w14:val="none"/>
        </w:rPr>
      </w:pPr>
      <w:r>
        <w:rPr>
          <w:rFonts w:eastAsiaTheme="minorEastAsia" w:cs="Arial"/>
          <w:kern w:val="0"/>
          <w:sz w:val="18"/>
          <w:szCs w:val="18"/>
          <w14:ligatures w14:val="none"/>
        </w:rPr>
        <w:t>PTFU</w:t>
      </w:r>
      <w:r w:rsidRPr="009D5483">
        <w:rPr>
          <w:rFonts w:eastAsiaTheme="minorEastAsia" w:cs="Arial"/>
          <w:kern w:val="0"/>
          <w:sz w:val="18"/>
          <w:szCs w:val="18"/>
          <w14:ligatures w14:val="none"/>
        </w:rPr>
        <w:tab/>
        <w:t xml:space="preserve">            </w:t>
      </w:r>
      <w:r>
        <w:rPr>
          <w:rFonts w:eastAsiaTheme="minorEastAsia" w:cs="Arial"/>
          <w:kern w:val="0"/>
          <w:sz w:val="18"/>
          <w:szCs w:val="18"/>
          <w14:ligatures w14:val="none"/>
        </w:rPr>
        <w:tab/>
      </w:r>
      <w:r>
        <w:rPr>
          <w:rFonts w:eastAsiaTheme="minorEastAsia" w:cs="Arial"/>
          <w:kern w:val="0"/>
          <w:sz w:val="18"/>
          <w:szCs w:val="18"/>
          <w14:ligatures w14:val="none"/>
        </w:rPr>
        <w:tab/>
        <w:t>Posredničko tijelo za finansijsko upravljanje</w:t>
      </w:r>
    </w:p>
    <w:p w14:paraId="5878B43D" w14:textId="77777777" w:rsidR="00190415" w:rsidRPr="009D5483" w:rsidRDefault="00190415" w:rsidP="00190415">
      <w:pPr>
        <w:spacing w:after="0" w:line="259" w:lineRule="auto"/>
        <w:rPr>
          <w:rFonts w:eastAsiaTheme="minorEastAsia" w:cs="Arial"/>
          <w:kern w:val="0"/>
          <w:sz w:val="18"/>
          <w:szCs w:val="18"/>
          <w14:ligatures w14:val="none"/>
        </w:rPr>
      </w:pPr>
      <w:r>
        <w:rPr>
          <w:rFonts w:eastAsiaTheme="minorEastAsia" w:cs="Arial"/>
          <w:kern w:val="0"/>
          <w:sz w:val="18"/>
          <w:szCs w:val="18"/>
          <w14:ligatures w14:val="none"/>
        </w:rPr>
        <w:t>PTUP</w:t>
      </w:r>
      <w:r w:rsidRPr="009D5483">
        <w:rPr>
          <w:rFonts w:eastAsiaTheme="minorEastAsia" w:cs="Arial"/>
          <w:kern w:val="0"/>
          <w:sz w:val="18"/>
          <w:szCs w:val="18"/>
          <w14:ligatures w14:val="none"/>
        </w:rPr>
        <w:tab/>
      </w:r>
      <w:r>
        <w:rPr>
          <w:rFonts w:eastAsiaTheme="minorEastAsia" w:cs="Arial"/>
          <w:kern w:val="0"/>
          <w:sz w:val="18"/>
          <w:szCs w:val="18"/>
          <w14:ligatures w14:val="none"/>
        </w:rPr>
        <w:tab/>
      </w:r>
      <w:r>
        <w:rPr>
          <w:rFonts w:eastAsiaTheme="minorEastAsia" w:cs="Arial"/>
          <w:kern w:val="0"/>
          <w:sz w:val="18"/>
          <w:szCs w:val="18"/>
          <w14:ligatures w14:val="none"/>
        </w:rPr>
        <w:tab/>
        <w:t>Posredničko tijelo za upravljanje politikama</w:t>
      </w:r>
    </w:p>
    <w:p w14:paraId="29A77602" w14:textId="77777777" w:rsidR="00190415" w:rsidRPr="009D5483" w:rsidRDefault="00190415" w:rsidP="00190415">
      <w:pPr>
        <w:spacing w:after="0" w:line="259" w:lineRule="auto"/>
        <w:rPr>
          <w:rFonts w:eastAsiaTheme="minorEastAsia" w:cs="Arial"/>
          <w:kern w:val="0"/>
          <w:sz w:val="18"/>
          <w:szCs w:val="18"/>
          <w14:ligatures w14:val="none"/>
        </w:rPr>
      </w:pPr>
      <w:r>
        <w:rPr>
          <w:rFonts w:eastAsiaTheme="minorEastAsia" w:cs="Arial"/>
          <w:kern w:val="0"/>
          <w:sz w:val="18"/>
          <w:szCs w:val="18"/>
          <w14:ligatures w14:val="none"/>
        </w:rPr>
        <w:t>UPT</w:t>
      </w:r>
      <w:r w:rsidRPr="009D5483">
        <w:rPr>
          <w:rFonts w:eastAsiaTheme="minorEastAsia" w:cs="Arial"/>
          <w:kern w:val="0"/>
          <w:sz w:val="18"/>
          <w:szCs w:val="18"/>
          <w14:ligatures w14:val="none"/>
        </w:rPr>
        <w:t>/</w:t>
      </w:r>
      <w:r>
        <w:rPr>
          <w:rFonts w:eastAsiaTheme="minorEastAsia" w:cs="Arial"/>
          <w:kern w:val="0"/>
          <w:sz w:val="18"/>
          <w:szCs w:val="18"/>
          <w14:ligatures w14:val="none"/>
        </w:rPr>
        <w:t>PTUP</w:t>
      </w:r>
      <w:r w:rsidRPr="009D5483">
        <w:rPr>
          <w:rFonts w:eastAsiaTheme="minorEastAsia" w:cs="Arial"/>
          <w:kern w:val="0"/>
          <w:sz w:val="18"/>
          <w:szCs w:val="18"/>
          <w14:ligatures w14:val="none"/>
        </w:rPr>
        <w:tab/>
      </w:r>
      <w:r>
        <w:rPr>
          <w:rFonts w:eastAsiaTheme="minorEastAsia" w:cs="Arial"/>
          <w:kern w:val="0"/>
          <w:sz w:val="18"/>
          <w:szCs w:val="18"/>
          <w14:ligatures w14:val="none"/>
        </w:rPr>
        <w:tab/>
        <w:t>Upravljačko tijelo (višegodišnji programi)/Posredničko tijelo za upravljanje politikama</w:t>
      </w:r>
    </w:p>
    <w:p w14:paraId="1866E925" w14:textId="77777777" w:rsidR="00190415" w:rsidRPr="009D5483" w:rsidRDefault="00190415" w:rsidP="00190415">
      <w:pPr>
        <w:spacing w:after="0" w:line="259" w:lineRule="auto"/>
        <w:rPr>
          <w:rFonts w:eastAsiaTheme="minorEastAsia" w:cs="Arial"/>
          <w:kern w:val="0"/>
          <w:sz w:val="18"/>
          <w:szCs w:val="18"/>
          <w14:ligatures w14:val="none"/>
        </w:rPr>
      </w:pPr>
      <w:r>
        <w:rPr>
          <w:rFonts w:eastAsiaTheme="minorEastAsia" w:cs="Arial"/>
          <w:kern w:val="0"/>
          <w:sz w:val="18"/>
          <w:szCs w:val="18"/>
          <w14:ligatures w14:val="none"/>
        </w:rPr>
        <w:t>UPT</w:t>
      </w:r>
      <w:r w:rsidRPr="009D5483">
        <w:rPr>
          <w:rFonts w:eastAsiaTheme="minorEastAsia" w:cs="Arial"/>
          <w:kern w:val="0"/>
          <w:sz w:val="18"/>
          <w:szCs w:val="18"/>
          <w14:ligatures w14:val="none"/>
        </w:rPr>
        <w:t>/</w:t>
      </w:r>
      <w:r>
        <w:rPr>
          <w:rFonts w:eastAsiaTheme="minorEastAsia" w:cs="Arial"/>
          <w:kern w:val="0"/>
          <w:sz w:val="18"/>
          <w:szCs w:val="18"/>
          <w14:ligatures w14:val="none"/>
        </w:rPr>
        <w:t>NIPAK kancelarija</w:t>
      </w:r>
      <w:r w:rsidRPr="009D5483">
        <w:rPr>
          <w:rFonts w:eastAsiaTheme="minorEastAsia" w:cs="Arial"/>
          <w:kern w:val="0"/>
          <w:sz w:val="18"/>
          <w:szCs w:val="18"/>
          <w14:ligatures w14:val="none"/>
        </w:rPr>
        <w:tab/>
      </w:r>
      <w:r>
        <w:rPr>
          <w:rFonts w:eastAsiaTheme="minorEastAsia" w:cs="Arial"/>
          <w:kern w:val="0"/>
          <w:sz w:val="18"/>
          <w:szCs w:val="18"/>
          <w14:ligatures w14:val="none"/>
        </w:rPr>
        <w:t>Upravljačko tijelo (godišnji programi)/NIPAK kancelarija</w:t>
      </w:r>
    </w:p>
    <w:p w14:paraId="3F0AEFAE" w14:textId="77777777" w:rsidR="00190415" w:rsidRPr="009D5483" w:rsidRDefault="00190415" w:rsidP="00190415">
      <w:pPr>
        <w:spacing w:after="0" w:line="259" w:lineRule="auto"/>
        <w:rPr>
          <w:rFonts w:eastAsiaTheme="minorEastAsia" w:cs="Arial"/>
          <w:kern w:val="0"/>
          <w:sz w:val="18"/>
          <w:szCs w:val="18"/>
          <w14:ligatures w14:val="none"/>
        </w:rPr>
      </w:pPr>
      <w:r w:rsidRPr="009D5483">
        <w:rPr>
          <w:rFonts w:eastAsiaTheme="minorEastAsia" w:cs="Arial"/>
          <w:kern w:val="0"/>
          <w:sz w:val="18"/>
          <w:szCs w:val="18"/>
          <w14:ligatures w14:val="none"/>
        </w:rPr>
        <w:t>NAO/</w:t>
      </w:r>
      <w:r>
        <w:rPr>
          <w:rFonts w:eastAsiaTheme="minorEastAsia" w:cs="Arial"/>
          <w:kern w:val="0"/>
          <w:sz w:val="18"/>
          <w:szCs w:val="18"/>
          <w14:ligatures w14:val="none"/>
        </w:rPr>
        <w:t>U</w:t>
      </w:r>
      <w:r w:rsidRPr="009D5483">
        <w:rPr>
          <w:rFonts w:eastAsiaTheme="minorEastAsia" w:cs="Arial"/>
          <w:kern w:val="0"/>
          <w:sz w:val="18"/>
          <w:szCs w:val="18"/>
          <w14:ligatures w14:val="none"/>
        </w:rPr>
        <w:t>S</w:t>
      </w:r>
      <w:r>
        <w:rPr>
          <w:rFonts w:eastAsiaTheme="minorEastAsia" w:cs="Arial"/>
          <w:kern w:val="0"/>
          <w:sz w:val="18"/>
          <w:szCs w:val="18"/>
          <w14:ligatures w14:val="none"/>
        </w:rPr>
        <w:tab/>
      </w:r>
      <w:r w:rsidRPr="009D5483">
        <w:rPr>
          <w:rFonts w:eastAsiaTheme="minorEastAsia" w:cs="Arial"/>
          <w:kern w:val="0"/>
          <w:sz w:val="18"/>
          <w:szCs w:val="18"/>
          <w14:ligatures w14:val="none"/>
        </w:rPr>
        <w:tab/>
      </w:r>
      <w:r>
        <w:rPr>
          <w:rFonts w:eastAsiaTheme="minorEastAsia" w:cs="Arial"/>
          <w:kern w:val="0"/>
          <w:sz w:val="18"/>
          <w:szCs w:val="18"/>
          <w14:ligatures w14:val="none"/>
        </w:rPr>
        <w:tab/>
        <w:t>Upravljačka struktura</w:t>
      </w:r>
    </w:p>
    <w:p w14:paraId="2199CBBE" w14:textId="77777777" w:rsidR="00190415" w:rsidRDefault="00190415" w:rsidP="00190415">
      <w:pPr>
        <w:spacing w:line="259" w:lineRule="auto"/>
        <w:rPr>
          <w:rFonts w:eastAsiaTheme="minorEastAsia" w:cs="Arial"/>
          <w:kern w:val="0"/>
          <w14:ligatures w14:val="none"/>
        </w:rPr>
      </w:pPr>
    </w:p>
    <w:p w14:paraId="2429F039" w14:textId="77777777" w:rsidR="00190415" w:rsidRDefault="00190415" w:rsidP="00190415">
      <w:pPr>
        <w:spacing w:line="259" w:lineRule="auto"/>
        <w:rPr>
          <w:rFonts w:eastAsiaTheme="minorEastAsia" w:cs="Arial"/>
          <w:kern w:val="0"/>
          <w14:ligatures w14:val="none"/>
        </w:rPr>
      </w:pPr>
      <w:r w:rsidRPr="00DE4DCE">
        <w:rPr>
          <w:rFonts w:eastAsiaTheme="minorEastAsia" w:cs="Arial"/>
          <w:kern w:val="0"/>
          <w14:ligatures w14:val="none"/>
        </w:rPr>
        <w:t xml:space="preserve">Zadovoljstvo obukama koje su realizovane bilo je visoko. Na osnovu obrazaca za evaluaciju obuke koje je ispunio svaki učesnik, tabela u nastavku prikazuje dobijene ocjene (1 – najniža, 5 – najviša) za </w:t>
      </w:r>
      <w:r>
        <w:rPr>
          <w:rFonts w:eastAsiaTheme="minorEastAsia" w:cs="Arial"/>
          <w:kern w:val="0"/>
          <w14:ligatures w14:val="none"/>
        </w:rPr>
        <w:t>kompletan</w:t>
      </w:r>
      <w:r w:rsidRPr="00DE4DCE">
        <w:rPr>
          <w:rFonts w:eastAsiaTheme="minorEastAsia" w:cs="Arial"/>
          <w:kern w:val="0"/>
          <w14:ligatures w14:val="none"/>
        </w:rPr>
        <w:t xml:space="preserve"> program obuke (Uvodni i Napredni)</w:t>
      </w:r>
      <w:r w:rsidRPr="00F6317A">
        <w:rPr>
          <w:rStyle w:val="FootnoteReference"/>
          <w:rFonts w:eastAsiaTheme="minorEastAsia" w:cs="Arial"/>
          <w:kern w:val="0"/>
          <w14:ligatures w14:val="none"/>
        </w:rPr>
        <w:t xml:space="preserve"> </w:t>
      </w:r>
      <w:r>
        <w:rPr>
          <w:rStyle w:val="FootnoteReference"/>
          <w:rFonts w:eastAsiaTheme="minorEastAsia" w:cs="Arial"/>
          <w:kern w:val="0"/>
          <w14:ligatures w14:val="none"/>
        </w:rPr>
        <w:footnoteReference w:id="279"/>
      </w:r>
      <w:r w:rsidRPr="00DE4DCE">
        <w:rPr>
          <w:rFonts w:eastAsiaTheme="minorEastAsia" w:cs="Arial"/>
          <w:kern w:val="0"/>
          <w14:ligatures w14:val="none"/>
        </w:rPr>
        <w:t>. Svi učesnici su naveli da bi preporučili obuku/radionicu svojim kolegama i da bi žel</w:t>
      </w:r>
      <w:r>
        <w:rPr>
          <w:rFonts w:eastAsiaTheme="minorEastAsia" w:cs="Arial"/>
          <w:kern w:val="0"/>
          <w14:ligatures w14:val="none"/>
        </w:rPr>
        <w:t>j</w:t>
      </w:r>
      <w:r w:rsidRPr="00DE4DCE">
        <w:rPr>
          <w:rFonts w:eastAsiaTheme="minorEastAsia" w:cs="Arial"/>
          <w:kern w:val="0"/>
          <w14:ligatures w14:val="none"/>
        </w:rPr>
        <w:t>eli da prime dodatnu obuku na istu temu. Od važnih komentara koje su učesnici dali o modulima obuke istaknut</w:t>
      </w:r>
      <w:r>
        <w:rPr>
          <w:rFonts w:eastAsiaTheme="minorEastAsia" w:cs="Arial"/>
          <w:kern w:val="0"/>
          <w14:ligatures w14:val="none"/>
        </w:rPr>
        <w:t>e</w:t>
      </w:r>
      <w:r w:rsidRPr="00DE4DCE">
        <w:rPr>
          <w:rFonts w:eastAsiaTheme="minorEastAsia" w:cs="Arial"/>
          <w:kern w:val="0"/>
          <w14:ligatures w14:val="none"/>
        </w:rPr>
        <w:t xml:space="preserve"> su sljedeć</w:t>
      </w:r>
      <w:r>
        <w:rPr>
          <w:rFonts w:eastAsiaTheme="minorEastAsia" w:cs="Arial"/>
          <w:kern w:val="0"/>
          <w14:ligatures w14:val="none"/>
        </w:rPr>
        <w:t>e</w:t>
      </w:r>
      <w:r w:rsidRPr="00DE4DCE">
        <w:rPr>
          <w:rFonts w:eastAsiaTheme="minorEastAsia" w:cs="Arial"/>
          <w:kern w:val="0"/>
          <w14:ligatures w14:val="none"/>
        </w:rPr>
        <w:t xml:space="preserve"> </w:t>
      </w:r>
      <w:r>
        <w:rPr>
          <w:rFonts w:eastAsiaTheme="minorEastAsia" w:cs="Arial"/>
          <w:kern w:val="0"/>
          <w14:ligatures w14:val="none"/>
        </w:rPr>
        <w:t>tačke</w:t>
      </w:r>
      <w:r w:rsidRPr="00DE4DCE">
        <w:rPr>
          <w:rFonts w:eastAsiaTheme="minorEastAsia" w:cs="Arial"/>
          <w:kern w:val="0"/>
          <w14:ligatures w14:val="none"/>
        </w:rPr>
        <w:t>: znanje i iskustvo trenera, prezentacija praktičnih primjera, savjeti i diskusija sa učesnicima, kao i činjenica da su sadržaji bili korisni za rad učesnika.</w:t>
      </w:r>
    </w:p>
    <w:p w14:paraId="77F17705" w14:textId="77777777" w:rsidR="00190415" w:rsidRDefault="00190415" w:rsidP="00190415">
      <w:pPr>
        <w:spacing w:line="259" w:lineRule="auto"/>
        <w:rPr>
          <w:rFonts w:eastAsiaTheme="minorEastAsia" w:cs="Arial"/>
          <w:kern w:val="0"/>
          <w14:ligatures w14:val="none"/>
        </w:rPr>
      </w:pPr>
    </w:p>
    <w:p w14:paraId="0570037D" w14:textId="77777777" w:rsidR="00190415" w:rsidRPr="008378E2" w:rsidRDefault="00190415" w:rsidP="00190415">
      <w:pPr>
        <w:spacing w:line="259" w:lineRule="auto"/>
        <w:rPr>
          <w:rFonts w:eastAsiaTheme="minorEastAsia" w:cs="Arial"/>
          <w:kern w:val="0"/>
          <w14:ligatures w14:val="none"/>
        </w:rPr>
      </w:pPr>
      <w:r>
        <w:rPr>
          <w:rFonts w:eastAsiaTheme="minorEastAsia" w:cs="Arial"/>
          <w:kern w:val="0"/>
          <w14:ligatures w14:val="none"/>
        </w:rPr>
        <w:t xml:space="preserve"> </w:t>
      </w:r>
    </w:p>
    <w:tbl>
      <w:tblPr>
        <w:tblW w:w="8800" w:type="dxa"/>
        <w:tblLook w:val="04A0" w:firstRow="1" w:lastRow="0" w:firstColumn="1" w:lastColumn="0" w:noHBand="0" w:noVBand="1"/>
      </w:tblPr>
      <w:tblGrid>
        <w:gridCol w:w="6720"/>
        <w:gridCol w:w="2080"/>
      </w:tblGrid>
      <w:tr w:rsidR="00190415" w:rsidRPr="00CF1010" w14:paraId="0347719D" w14:textId="77777777" w:rsidTr="00A241AA">
        <w:trPr>
          <w:trHeight w:val="290"/>
        </w:trPr>
        <w:tc>
          <w:tcPr>
            <w:tcW w:w="6720" w:type="dxa"/>
            <w:tcBorders>
              <w:top w:val="nil"/>
              <w:left w:val="nil"/>
              <w:bottom w:val="nil"/>
              <w:right w:val="nil"/>
            </w:tcBorders>
            <w:shd w:val="clear" w:color="auto" w:fill="0A2F41" w:themeFill="accent1" w:themeFillShade="80"/>
            <w:noWrap/>
            <w:vAlign w:val="bottom"/>
            <w:hideMark/>
          </w:tcPr>
          <w:p w14:paraId="354291E0" w14:textId="77777777" w:rsidR="00190415" w:rsidRPr="00CF1010" w:rsidRDefault="00190415" w:rsidP="00A241AA">
            <w:pPr>
              <w:spacing w:after="0"/>
              <w:jc w:val="center"/>
              <w:rPr>
                <w:rFonts w:eastAsia="Times New Roman" w:cs="Arial"/>
                <w:b/>
                <w:bCs/>
                <w:kern w:val="0"/>
                <w:sz w:val="22"/>
                <w:lang w:eastAsia="en-GB"/>
                <w14:ligatures w14:val="none"/>
              </w:rPr>
            </w:pPr>
            <w:r w:rsidRPr="00CF1010">
              <w:rPr>
                <w:rFonts w:eastAsia="Times New Roman" w:cs="Arial"/>
                <w:b/>
                <w:bCs/>
                <w:kern w:val="0"/>
                <w:sz w:val="22"/>
                <w:lang w:eastAsia="en-GB"/>
                <w14:ligatures w14:val="none"/>
              </w:rPr>
              <w:t>Evalua</w:t>
            </w:r>
            <w:r>
              <w:rPr>
                <w:rFonts w:eastAsia="Times New Roman" w:cs="Arial"/>
                <w:b/>
                <w:bCs/>
                <w:kern w:val="0"/>
                <w:sz w:val="22"/>
                <w:lang w:eastAsia="en-GB"/>
                <w14:ligatures w14:val="none"/>
              </w:rPr>
              <w:t>ciona pitanja</w:t>
            </w:r>
          </w:p>
        </w:tc>
        <w:tc>
          <w:tcPr>
            <w:tcW w:w="2080" w:type="dxa"/>
            <w:tcBorders>
              <w:top w:val="nil"/>
              <w:left w:val="nil"/>
              <w:bottom w:val="nil"/>
              <w:right w:val="nil"/>
            </w:tcBorders>
            <w:shd w:val="clear" w:color="auto" w:fill="0A2F41" w:themeFill="accent1" w:themeFillShade="80"/>
            <w:noWrap/>
            <w:vAlign w:val="bottom"/>
            <w:hideMark/>
          </w:tcPr>
          <w:p w14:paraId="55E31272" w14:textId="77777777" w:rsidR="00190415" w:rsidRPr="00CF1010" w:rsidRDefault="00190415" w:rsidP="00A241AA">
            <w:pPr>
              <w:spacing w:after="0"/>
              <w:jc w:val="center"/>
              <w:rPr>
                <w:rFonts w:eastAsia="Times New Roman" w:cs="Arial"/>
                <w:b/>
                <w:bCs/>
                <w:kern w:val="0"/>
                <w:sz w:val="22"/>
                <w:lang w:eastAsia="en-GB"/>
                <w14:ligatures w14:val="none"/>
              </w:rPr>
            </w:pPr>
            <w:r>
              <w:rPr>
                <w:rFonts w:eastAsia="Times New Roman" w:cs="Arial"/>
                <w:b/>
                <w:bCs/>
                <w:kern w:val="0"/>
                <w:sz w:val="22"/>
                <w:lang w:eastAsia="en-GB"/>
                <w14:ligatures w14:val="none"/>
              </w:rPr>
              <w:t>Ocjena</w:t>
            </w:r>
          </w:p>
        </w:tc>
      </w:tr>
      <w:tr w:rsidR="00190415" w:rsidRPr="00CF1010" w14:paraId="69788430" w14:textId="77777777" w:rsidTr="00A241AA">
        <w:trPr>
          <w:trHeight w:val="290"/>
        </w:trPr>
        <w:tc>
          <w:tcPr>
            <w:tcW w:w="6720" w:type="dxa"/>
            <w:tcBorders>
              <w:top w:val="nil"/>
              <w:left w:val="nil"/>
              <w:bottom w:val="nil"/>
              <w:right w:val="nil"/>
            </w:tcBorders>
            <w:shd w:val="clear" w:color="auto" w:fill="C1E4F5" w:themeFill="accent1" w:themeFillTint="33"/>
            <w:vAlign w:val="bottom"/>
            <w:hideMark/>
          </w:tcPr>
          <w:p w14:paraId="66DE5179" w14:textId="77777777" w:rsidR="00190415" w:rsidRPr="00CF1010" w:rsidRDefault="00190415" w:rsidP="00A241AA">
            <w:pPr>
              <w:spacing w:after="0"/>
              <w:jc w:val="left"/>
              <w:rPr>
                <w:rFonts w:eastAsia="Times New Roman" w:cs="Arial"/>
                <w:color w:val="000000"/>
                <w:kern w:val="0"/>
                <w:szCs w:val="20"/>
                <w:lang w:eastAsia="en-GB"/>
                <w14:ligatures w14:val="none"/>
              </w:rPr>
            </w:pPr>
            <w:r>
              <w:rPr>
                <w:rFonts w:eastAsia="Times New Roman" w:cs="Arial"/>
                <w:color w:val="000000"/>
                <w:kern w:val="0"/>
                <w:szCs w:val="20"/>
                <w:lang w:eastAsia="en-GB"/>
                <w14:ligatures w14:val="none"/>
              </w:rPr>
              <w:t>Obuka/radionica je ispunila moja očekivanja</w:t>
            </w:r>
          </w:p>
        </w:tc>
        <w:tc>
          <w:tcPr>
            <w:tcW w:w="2080" w:type="dxa"/>
            <w:tcBorders>
              <w:top w:val="single" w:sz="4" w:space="0" w:color="44B3E1"/>
              <w:left w:val="nil"/>
              <w:bottom w:val="nil"/>
              <w:right w:val="nil"/>
            </w:tcBorders>
            <w:shd w:val="clear" w:color="auto" w:fill="FFFFFF" w:themeFill="background1"/>
            <w:noWrap/>
            <w:vAlign w:val="bottom"/>
            <w:hideMark/>
          </w:tcPr>
          <w:p w14:paraId="79E88D0F" w14:textId="77777777" w:rsidR="00190415" w:rsidRPr="00CF1010" w:rsidRDefault="00190415" w:rsidP="00A241AA">
            <w:pPr>
              <w:spacing w:after="0"/>
              <w:jc w:val="right"/>
              <w:rPr>
                <w:rFonts w:eastAsia="Times New Roman" w:cs="Arial"/>
                <w:b/>
                <w:bCs/>
                <w:color w:val="000000"/>
                <w:kern w:val="0"/>
                <w:szCs w:val="20"/>
                <w:lang w:eastAsia="en-GB"/>
                <w14:ligatures w14:val="none"/>
              </w:rPr>
            </w:pPr>
            <w:r w:rsidRPr="00CF1010">
              <w:rPr>
                <w:rFonts w:eastAsia="Times New Roman" w:cs="Arial"/>
                <w:b/>
                <w:bCs/>
                <w:color w:val="000000"/>
                <w:kern w:val="0"/>
                <w:szCs w:val="20"/>
                <w:lang w:eastAsia="en-GB"/>
                <w14:ligatures w14:val="none"/>
              </w:rPr>
              <w:t>4.84</w:t>
            </w:r>
          </w:p>
        </w:tc>
      </w:tr>
      <w:tr w:rsidR="00190415" w:rsidRPr="00CF1010" w14:paraId="339DB7FB" w14:textId="77777777" w:rsidTr="00A241AA">
        <w:trPr>
          <w:trHeight w:val="290"/>
        </w:trPr>
        <w:tc>
          <w:tcPr>
            <w:tcW w:w="6720" w:type="dxa"/>
            <w:tcBorders>
              <w:top w:val="nil"/>
              <w:left w:val="nil"/>
              <w:bottom w:val="nil"/>
              <w:right w:val="nil"/>
            </w:tcBorders>
            <w:shd w:val="clear" w:color="auto" w:fill="C1E4F5" w:themeFill="accent1" w:themeFillTint="33"/>
            <w:vAlign w:val="bottom"/>
            <w:hideMark/>
          </w:tcPr>
          <w:p w14:paraId="4F741C7F" w14:textId="77777777" w:rsidR="00190415" w:rsidRPr="00CF1010" w:rsidRDefault="00190415" w:rsidP="00A241AA">
            <w:pPr>
              <w:spacing w:after="0"/>
              <w:jc w:val="left"/>
              <w:rPr>
                <w:rFonts w:eastAsia="Times New Roman" w:cs="Arial"/>
                <w:color w:val="000000"/>
                <w:kern w:val="0"/>
                <w:szCs w:val="20"/>
                <w:lang w:eastAsia="en-GB"/>
                <w14:ligatures w14:val="none"/>
              </w:rPr>
            </w:pPr>
            <w:r>
              <w:rPr>
                <w:rFonts w:eastAsia="Times New Roman" w:cs="Arial"/>
                <w:color w:val="000000"/>
                <w:kern w:val="0"/>
                <w:szCs w:val="20"/>
                <w:lang w:eastAsia="en-GB"/>
                <w14:ligatures w14:val="none"/>
              </w:rPr>
              <w:t>Obuka /radionica je korisna/relevantna za moj aktuelni profesionalni rad</w:t>
            </w:r>
          </w:p>
        </w:tc>
        <w:tc>
          <w:tcPr>
            <w:tcW w:w="2080" w:type="dxa"/>
            <w:tcBorders>
              <w:top w:val="single" w:sz="4" w:space="0" w:color="44B3E1"/>
              <w:left w:val="nil"/>
              <w:bottom w:val="nil"/>
              <w:right w:val="nil"/>
            </w:tcBorders>
            <w:shd w:val="clear" w:color="auto" w:fill="FFFFFF" w:themeFill="background1"/>
            <w:noWrap/>
            <w:vAlign w:val="bottom"/>
            <w:hideMark/>
          </w:tcPr>
          <w:p w14:paraId="34762607" w14:textId="77777777" w:rsidR="00190415" w:rsidRPr="00CF1010" w:rsidRDefault="00190415" w:rsidP="00A241AA">
            <w:pPr>
              <w:spacing w:after="0"/>
              <w:jc w:val="right"/>
              <w:rPr>
                <w:rFonts w:eastAsia="Times New Roman" w:cs="Arial"/>
                <w:b/>
                <w:bCs/>
                <w:color w:val="000000"/>
                <w:kern w:val="0"/>
                <w:szCs w:val="20"/>
                <w:lang w:eastAsia="en-GB"/>
                <w14:ligatures w14:val="none"/>
              </w:rPr>
            </w:pPr>
            <w:r w:rsidRPr="00CF1010">
              <w:rPr>
                <w:rFonts w:eastAsia="Times New Roman" w:cs="Arial"/>
                <w:b/>
                <w:bCs/>
                <w:color w:val="000000"/>
                <w:kern w:val="0"/>
                <w:szCs w:val="20"/>
                <w:lang w:eastAsia="en-GB"/>
                <w14:ligatures w14:val="none"/>
              </w:rPr>
              <w:t>4.81</w:t>
            </w:r>
          </w:p>
        </w:tc>
      </w:tr>
      <w:tr w:rsidR="00190415" w:rsidRPr="00CF1010" w14:paraId="70435B3F" w14:textId="77777777" w:rsidTr="00A241AA">
        <w:trPr>
          <w:trHeight w:val="290"/>
        </w:trPr>
        <w:tc>
          <w:tcPr>
            <w:tcW w:w="6720" w:type="dxa"/>
            <w:tcBorders>
              <w:top w:val="nil"/>
              <w:left w:val="nil"/>
              <w:bottom w:val="nil"/>
              <w:right w:val="nil"/>
            </w:tcBorders>
            <w:shd w:val="clear" w:color="auto" w:fill="C1E4F5" w:themeFill="accent1" w:themeFillTint="33"/>
            <w:vAlign w:val="bottom"/>
            <w:hideMark/>
          </w:tcPr>
          <w:p w14:paraId="44A7DF11" w14:textId="77777777" w:rsidR="00190415" w:rsidRPr="00CF1010" w:rsidRDefault="00190415" w:rsidP="00A241AA">
            <w:pPr>
              <w:spacing w:after="0"/>
              <w:jc w:val="left"/>
              <w:rPr>
                <w:rFonts w:eastAsia="Times New Roman" w:cs="Arial"/>
                <w:color w:val="000000"/>
                <w:kern w:val="0"/>
                <w:szCs w:val="20"/>
                <w:lang w:eastAsia="en-GB"/>
                <w14:ligatures w14:val="none"/>
              </w:rPr>
            </w:pPr>
            <w:r w:rsidRPr="00677196">
              <w:rPr>
                <w:rFonts w:eastAsia="Times New Roman" w:cs="Arial"/>
                <w:color w:val="000000"/>
                <w:kern w:val="0"/>
                <w:szCs w:val="20"/>
                <w:lang w:eastAsia="en-GB"/>
                <w14:ligatures w14:val="none"/>
              </w:rPr>
              <w:t>Obuka /radionica je korisna/relevantna</w:t>
            </w:r>
            <w:r>
              <w:rPr>
                <w:rFonts w:eastAsia="Times New Roman" w:cs="Arial"/>
                <w:color w:val="000000"/>
                <w:kern w:val="0"/>
                <w:szCs w:val="20"/>
                <w:lang w:eastAsia="en-GB"/>
                <w14:ligatures w14:val="none"/>
              </w:rPr>
              <w:t xml:space="preserve"> za moj profesionalni razvoj</w:t>
            </w:r>
          </w:p>
        </w:tc>
        <w:tc>
          <w:tcPr>
            <w:tcW w:w="2080" w:type="dxa"/>
            <w:tcBorders>
              <w:top w:val="single" w:sz="4" w:space="0" w:color="44B3E1"/>
              <w:left w:val="nil"/>
              <w:bottom w:val="nil"/>
              <w:right w:val="nil"/>
            </w:tcBorders>
            <w:shd w:val="clear" w:color="auto" w:fill="FFFFFF" w:themeFill="background1"/>
            <w:noWrap/>
            <w:vAlign w:val="bottom"/>
            <w:hideMark/>
          </w:tcPr>
          <w:p w14:paraId="77256291" w14:textId="77777777" w:rsidR="00190415" w:rsidRPr="00CF1010" w:rsidRDefault="00190415" w:rsidP="00A241AA">
            <w:pPr>
              <w:spacing w:after="0"/>
              <w:jc w:val="right"/>
              <w:rPr>
                <w:rFonts w:eastAsia="Times New Roman" w:cs="Arial"/>
                <w:b/>
                <w:bCs/>
                <w:color w:val="000000"/>
                <w:kern w:val="0"/>
                <w:szCs w:val="20"/>
                <w:lang w:eastAsia="en-GB"/>
                <w14:ligatures w14:val="none"/>
              </w:rPr>
            </w:pPr>
            <w:r w:rsidRPr="00CF1010">
              <w:rPr>
                <w:rFonts w:eastAsia="Times New Roman" w:cs="Arial"/>
                <w:b/>
                <w:bCs/>
                <w:color w:val="000000"/>
                <w:kern w:val="0"/>
                <w:szCs w:val="20"/>
                <w:lang w:eastAsia="en-GB"/>
                <w14:ligatures w14:val="none"/>
              </w:rPr>
              <w:t>4.84</w:t>
            </w:r>
          </w:p>
        </w:tc>
      </w:tr>
      <w:tr w:rsidR="00190415" w:rsidRPr="00CF1010" w14:paraId="3B9A2D1A" w14:textId="77777777" w:rsidTr="00A241AA">
        <w:trPr>
          <w:trHeight w:val="290"/>
        </w:trPr>
        <w:tc>
          <w:tcPr>
            <w:tcW w:w="6720" w:type="dxa"/>
            <w:tcBorders>
              <w:top w:val="nil"/>
              <w:left w:val="nil"/>
              <w:bottom w:val="nil"/>
              <w:right w:val="nil"/>
            </w:tcBorders>
            <w:shd w:val="clear" w:color="auto" w:fill="C1E4F5" w:themeFill="accent1" w:themeFillTint="33"/>
            <w:vAlign w:val="bottom"/>
            <w:hideMark/>
          </w:tcPr>
          <w:p w14:paraId="6310626A" w14:textId="77777777" w:rsidR="00190415" w:rsidRPr="00CF1010" w:rsidRDefault="00190415" w:rsidP="00A241AA">
            <w:pPr>
              <w:spacing w:after="0"/>
              <w:jc w:val="left"/>
              <w:rPr>
                <w:rFonts w:eastAsia="Times New Roman" w:cs="Arial"/>
                <w:color w:val="000000"/>
                <w:kern w:val="0"/>
                <w:szCs w:val="20"/>
                <w:lang w:eastAsia="en-GB"/>
                <w14:ligatures w14:val="none"/>
              </w:rPr>
            </w:pPr>
            <w:r>
              <w:rPr>
                <w:rFonts w:eastAsia="Times New Roman" w:cs="Arial"/>
                <w:color w:val="000000"/>
                <w:kern w:val="0"/>
                <w:szCs w:val="20"/>
                <w:lang w:eastAsia="en-GB"/>
                <w14:ligatures w14:val="none"/>
              </w:rPr>
              <w:t>Obuka/radionica je obradila relevantne teme</w:t>
            </w:r>
          </w:p>
        </w:tc>
        <w:tc>
          <w:tcPr>
            <w:tcW w:w="2080" w:type="dxa"/>
            <w:tcBorders>
              <w:top w:val="single" w:sz="4" w:space="0" w:color="44B3E1"/>
              <w:left w:val="nil"/>
              <w:bottom w:val="nil"/>
              <w:right w:val="nil"/>
            </w:tcBorders>
            <w:shd w:val="clear" w:color="auto" w:fill="FFFFFF" w:themeFill="background1"/>
            <w:noWrap/>
            <w:vAlign w:val="bottom"/>
            <w:hideMark/>
          </w:tcPr>
          <w:p w14:paraId="069C7752" w14:textId="77777777" w:rsidR="00190415" w:rsidRPr="00CF1010" w:rsidRDefault="00190415" w:rsidP="00A241AA">
            <w:pPr>
              <w:spacing w:after="0"/>
              <w:jc w:val="right"/>
              <w:rPr>
                <w:rFonts w:eastAsia="Times New Roman" w:cs="Arial"/>
                <w:b/>
                <w:bCs/>
                <w:color w:val="000000"/>
                <w:kern w:val="0"/>
                <w:szCs w:val="20"/>
                <w:lang w:eastAsia="en-GB"/>
                <w14:ligatures w14:val="none"/>
              </w:rPr>
            </w:pPr>
            <w:r w:rsidRPr="00CF1010">
              <w:rPr>
                <w:rFonts w:eastAsia="Times New Roman" w:cs="Arial"/>
                <w:b/>
                <w:bCs/>
                <w:color w:val="000000"/>
                <w:kern w:val="0"/>
                <w:szCs w:val="20"/>
                <w:lang w:eastAsia="en-GB"/>
                <w14:ligatures w14:val="none"/>
              </w:rPr>
              <w:t>4.90</w:t>
            </w:r>
          </w:p>
        </w:tc>
      </w:tr>
      <w:tr w:rsidR="00190415" w:rsidRPr="00CF1010" w14:paraId="20C6C6B8" w14:textId="77777777" w:rsidTr="00A241AA">
        <w:trPr>
          <w:trHeight w:val="290"/>
        </w:trPr>
        <w:tc>
          <w:tcPr>
            <w:tcW w:w="6720" w:type="dxa"/>
            <w:tcBorders>
              <w:top w:val="nil"/>
              <w:left w:val="nil"/>
              <w:bottom w:val="nil"/>
              <w:right w:val="nil"/>
            </w:tcBorders>
            <w:shd w:val="clear" w:color="auto" w:fill="C1E4F5" w:themeFill="accent1" w:themeFillTint="33"/>
            <w:vAlign w:val="bottom"/>
            <w:hideMark/>
          </w:tcPr>
          <w:p w14:paraId="24C10DA6" w14:textId="77777777" w:rsidR="00190415" w:rsidRPr="00CF1010" w:rsidRDefault="00190415" w:rsidP="00A241AA">
            <w:pPr>
              <w:spacing w:after="0"/>
              <w:jc w:val="left"/>
              <w:rPr>
                <w:rFonts w:eastAsia="Times New Roman" w:cs="Arial"/>
                <w:color w:val="000000"/>
                <w:kern w:val="0"/>
                <w:szCs w:val="20"/>
                <w:lang w:eastAsia="en-GB"/>
                <w14:ligatures w14:val="none"/>
              </w:rPr>
            </w:pPr>
            <w:r w:rsidRPr="00677196">
              <w:rPr>
                <w:rFonts w:eastAsia="Times New Roman" w:cs="Arial"/>
                <w:color w:val="000000"/>
                <w:kern w:val="0"/>
                <w:szCs w:val="20"/>
                <w:lang w:eastAsia="en-GB"/>
                <w14:ligatures w14:val="none"/>
              </w:rPr>
              <w:t>Vrijeme je bilo dobro organizovano (broj i raspored sesija/pauza)</w:t>
            </w:r>
          </w:p>
        </w:tc>
        <w:tc>
          <w:tcPr>
            <w:tcW w:w="2080" w:type="dxa"/>
            <w:tcBorders>
              <w:top w:val="single" w:sz="4" w:space="0" w:color="44B3E1"/>
              <w:left w:val="nil"/>
              <w:bottom w:val="nil"/>
              <w:right w:val="nil"/>
            </w:tcBorders>
            <w:shd w:val="clear" w:color="auto" w:fill="FFFFFF" w:themeFill="background1"/>
            <w:noWrap/>
            <w:vAlign w:val="bottom"/>
            <w:hideMark/>
          </w:tcPr>
          <w:p w14:paraId="1D354C8F" w14:textId="77777777" w:rsidR="00190415" w:rsidRPr="00CF1010" w:rsidRDefault="00190415" w:rsidP="00A241AA">
            <w:pPr>
              <w:spacing w:after="0"/>
              <w:jc w:val="right"/>
              <w:rPr>
                <w:rFonts w:eastAsia="Times New Roman" w:cs="Arial"/>
                <w:b/>
                <w:bCs/>
                <w:color w:val="000000"/>
                <w:kern w:val="0"/>
                <w:szCs w:val="20"/>
                <w:lang w:eastAsia="en-GB"/>
                <w14:ligatures w14:val="none"/>
              </w:rPr>
            </w:pPr>
            <w:r w:rsidRPr="00CF1010">
              <w:rPr>
                <w:rFonts w:eastAsia="Times New Roman" w:cs="Arial"/>
                <w:b/>
                <w:bCs/>
                <w:color w:val="000000"/>
                <w:kern w:val="0"/>
                <w:szCs w:val="20"/>
                <w:lang w:eastAsia="en-GB"/>
                <w14:ligatures w14:val="none"/>
              </w:rPr>
              <w:t>4.93</w:t>
            </w:r>
          </w:p>
        </w:tc>
      </w:tr>
      <w:tr w:rsidR="00190415" w:rsidRPr="00CF1010" w14:paraId="13D9EFE0" w14:textId="77777777" w:rsidTr="00A241AA">
        <w:trPr>
          <w:trHeight w:val="290"/>
        </w:trPr>
        <w:tc>
          <w:tcPr>
            <w:tcW w:w="6720" w:type="dxa"/>
            <w:tcBorders>
              <w:top w:val="nil"/>
              <w:left w:val="nil"/>
              <w:bottom w:val="nil"/>
              <w:right w:val="nil"/>
            </w:tcBorders>
            <w:shd w:val="clear" w:color="auto" w:fill="C1E4F5" w:themeFill="accent1" w:themeFillTint="33"/>
            <w:vAlign w:val="bottom"/>
            <w:hideMark/>
          </w:tcPr>
          <w:p w14:paraId="04C2403D" w14:textId="77777777" w:rsidR="00190415" w:rsidRPr="00CF1010" w:rsidRDefault="00190415" w:rsidP="00A241AA">
            <w:pPr>
              <w:spacing w:after="0"/>
              <w:jc w:val="left"/>
              <w:rPr>
                <w:rFonts w:eastAsia="Times New Roman" w:cs="Arial"/>
                <w:color w:val="000000"/>
                <w:kern w:val="0"/>
                <w:szCs w:val="20"/>
                <w:lang w:eastAsia="en-GB"/>
                <w14:ligatures w14:val="none"/>
              </w:rPr>
            </w:pPr>
            <w:r>
              <w:rPr>
                <w:rFonts w:eastAsia="Times New Roman" w:cs="Arial"/>
                <w:color w:val="000000"/>
                <w:kern w:val="0"/>
                <w:szCs w:val="20"/>
                <w:lang w:eastAsia="en-GB"/>
                <w14:ligatures w14:val="none"/>
              </w:rPr>
              <w:t>Trener/i su sproveli sesiju na angažujući i stimulativan način</w:t>
            </w:r>
          </w:p>
        </w:tc>
        <w:tc>
          <w:tcPr>
            <w:tcW w:w="2080" w:type="dxa"/>
            <w:tcBorders>
              <w:top w:val="single" w:sz="4" w:space="0" w:color="44B3E1"/>
              <w:left w:val="nil"/>
              <w:bottom w:val="nil"/>
              <w:right w:val="nil"/>
            </w:tcBorders>
            <w:shd w:val="clear" w:color="auto" w:fill="FFFFFF" w:themeFill="background1"/>
            <w:noWrap/>
            <w:vAlign w:val="bottom"/>
            <w:hideMark/>
          </w:tcPr>
          <w:p w14:paraId="2B270AE6" w14:textId="77777777" w:rsidR="00190415" w:rsidRPr="00CF1010" w:rsidRDefault="00190415" w:rsidP="00A241AA">
            <w:pPr>
              <w:spacing w:after="0"/>
              <w:jc w:val="right"/>
              <w:rPr>
                <w:rFonts w:eastAsia="Times New Roman" w:cs="Arial"/>
                <w:b/>
                <w:bCs/>
                <w:color w:val="000000"/>
                <w:kern w:val="0"/>
                <w:szCs w:val="20"/>
                <w:lang w:eastAsia="en-GB"/>
                <w14:ligatures w14:val="none"/>
              </w:rPr>
            </w:pPr>
            <w:r w:rsidRPr="00CF1010">
              <w:rPr>
                <w:rFonts w:eastAsia="Times New Roman" w:cs="Arial"/>
                <w:b/>
                <w:bCs/>
                <w:color w:val="000000"/>
                <w:kern w:val="0"/>
                <w:szCs w:val="20"/>
                <w:lang w:eastAsia="en-GB"/>
                <w14:ligatures w14:val="none"/>
              </w:rPr>
              <w:t>4.92</w:t>
            </w:r>
          </w:p>
        </w:tc>
      </w:tr>
      <w:tr w:rsidR="00190415" w:rsidRPr="00CF1010" w14:paraId="3CD22B0B" w14:textId="77777777" w:rsidTr="00A241AA">
        <w:trPr>
          <w:trHeight w:val="290"/>
        </w:trPr>
        <w:tc>
          <w:tcPr>
            <w:tcW w:w="6720" w:type="dxa"/>
            <w:tcBorders>
              <w:top w:val="nil"/>
              <w:left w:val="nil"/>
              <w:bottom w:val="nil"/>
              <w:right w:val="nil"/>
            </w:tcBorders>
            <w:shd w:val="clear" w:color="auto" w:fill="C1E4F5" w:themeFill="accent1" w:themeFillTint="33"/>
            <w:vAlign w:val="bottom"/>
            <w:hideMark/>
          </w:tcPr>
          <w:p w14:paraId="2AD42171" w14:textId="77777777" w:rsidR="00190415" w:rsidRPr="00CF1010" w:rsidRDefault="00190415" w:rsidP="00A241AA">
            <w:pPr>
              <w:spacing w:after="0"/>
              <w:jc w:val="left"/>
              <w:rPr>
                <w:rFonts w:eastAsia="Times New Roman" w:cs="Arial"/>
                <w:color w:val="000000"/>
                <w:kern w:val="0"/>
                <w:szCs w:val="20"/>
                <w:lang w:eastAsia="en-GB"/>
                <w14:ligatures w14:val="none"/>
              </w:rPr>
            </w:pPr>
            <w:r>
              <w:rPr>
                <w:rFonts w:eastAsia="Times New Roman" w:cs="Arial"/>
                <w:color w:val="000000"/>
                <w:kern w:val="0"/>
                <w:szCs w:val="20"/>
                <w:lang w:eastAsia="en-GB"/>
                <w14:ligatures w14:val="none"/>
              </w:rPr>
              <w:t>Dovoljno vremena je obezbijeđeno za diskusije/praktične vježbe</w:t>
            </w:r>
          </w:p>
        </w:tc>
        <w:tc>
          <w:tcPr>
            <w:tcW w:w="2080" w:type="dxa"/>
            <w:tcBorders>
              <w:top w:val="single" w:sz="4" w:space="0" w:color="44B3E1"/>
              <w:left w:val="nil"/>
              <w:bottom w:val="nil"/>
              <w:right w:val="nil"/>
            </w:tcBorders>
            <w:shd w:val="clear" w:color="auto" w:fill="FFFFFF" w:themeFill="background1"/>
            <w:noWrap/>
            <w:vAlign w:val="bottom"/>
            <w:hideMark/>
          </w:tcPr>
          <w:p w14:paraId="2713C751" w14:textId="77777777" w:rsidR="00190415" w:rsidRPr="00CF1010" w:rsidRDefault="00190415" w:rsidP="00A241AA">
            <w:pPr>
              <w:spacing w:after="0"/>
              <w:jc w:val="right"/>
              <w:rPr>
                <w:rFonts w:eastAsia="Times New Roman" w:cs="Arial"/>
                <w:b/>
                <w:bCs/>
                <w:color w:val="000000"/>
                <w:kern w:val="0"/>
                <w:szCs w:val="20"/>
                <w:lang w:eastAsia="en-GB"/>
                <w14:ligatures w14:val="none"/>
              </w:rPr>
            </w:pPr>
            <w:r w:rsidRPr="00CF1010">
              <w:rPr>
                <w:rFonts w:eastAsia="Times New Roman" w:cs="Arial"/>
                <w:b/>
                <w:bCs/>
                <w:color w:val="000000"/>
                <w:kern w:val="0"/>
                <w:szCs w:val="20"/>
                <w:lang w:eastAsia="en-GB"/>
                <w14:ligatures w14:val="none"/>
              </w:rPr>
              <w:t>4.87</w:t>
            </w:r>
          </w:p>
        </w:tc>
      </w:tr>
    </w:tbl>
    <w:p w14:paraId="65CA1CCF" w14:textId="77777777" w:rsidR="00190415" w:rsidRDefault="00190415" w:rsidP="00190415">
      <w:pPr>
        <w:spacing w:after="0"/>
        <w:rPr>
          <w:rFonts w:cs="Arial"/>
          <w:color w:val="C00000"/>
          <w:szCs w:val="20"/>
          <w:lang w:val="en-US"/>
        </w:rPr>
      </w:pPr>
    </w:p>
    <w:p w14:paraId="15C02CE9" w14:textId="77777777" w:rsidR="00190415" w:rsidRPr="00EB5055" w:rsidRDefault="00190415" w:rsidP="00190415">
      <w:pPr>
        <w:spacing w:after="0"/>
        <w:rPr>
          <w:rFonts w:cs="Arial"/>
          <w:color w:val="C00000"/>
          <w:szCs w:val="20"/>
          <w:lang w:val="en-US"/>
        </w:rPr>
      </w:pPr>
    </w:p>
    <w:p w14:paraId="5B485754" w14:textId="014B213D" w:rsidR="00902DBD" w:rsidRDefault="00902DBD" w:rsidP="0003655A">
      <w:pPr>
        <w:keepNext/>
        <w:keepLines/>
        <w:spacing w:before="360" w:after="80"/>
        <w:outlineLvl w:val="0"/>
        <w:rPr>
          <w:rFonts w:eastAsiaTheme="majorEastAsia" w:cs="Arial"/>
          <w:color w:val="0F4761" w:themeColor="accent1" w:themeShade="BF"/>
          <w:szCs w:val="20"/>
        </w:rPr>
      </w:pPr>
    </w:p>
    <w:p w14:paraId="3A46CDF8" w14:textId="0E1D30C3" w:rsidR="00902DBD" w:rsidRDefault="00902DBD" w:rsidP="0003655A">
      <w:pPr>
        <w:keepNext/>
        <w:keepLines/>
        <w:spacing w:before="360" w:after="80"/>
        <w:outlineLvl w:val="0"/>
        <w:rPr>
          <w:rFonts w:eastAsiaTheme="majorEastAsia" w:cs="Arial"/>
          <w:color w:val="0F4761" w:themeColor="accent1" w:themeShade="BF"/>
          <w:szCs w:val="20"/>
        </w:rPr>
      </w:pPr>
    </w:p>
    <w:p w14:paraId="1DD220CD" w14:textId="21412CFE" w:rsidR="00DC3A9D" w:rsidRDefault="00DC3A9D" w:rsidP="0003655A">
      <w:pPr>
        <w:keepNext/>
        <w:keepLines/>
        <w:spacing w:before="360" w:after="80"/>
        <w:outlineLvl w:val="0"/>
        <w:rPr>
          <w:rFonts w:eastAsiaTheme="majorEastAsia" w:cs="Arial"/>
          <w:color w:val="0F4761" w:themeColor="accent1" w:themeShade="BF"/>
          <w:szCs w:val="20"/>
        </w:rPr>
      </w:pPr>
    </w:p>
    <w:p w14:paraId="5C67E1EA" w14:textId="1852BF74" w:rsidR="00DC3A9D" w:rsidRDefault="00DC3A9D" w:rsidP="0003655A">
      <w:pPr>
        <w:keepNext/>
        <w:keepLines/>
        <w:spacing w:before="360" w:after="80"/>
        <w:outlineLvl w:val="0"/>
        <w:rPr>
          <w:rFonts w:eastAsiaTheme="majorEastAsia" w:cs="Arial"/>
          <w:color w:val="0F4761" w:themeColor="accent1" w:themeShade="BF"/>
          <w:szCs w:val="20"/>
        </w:rPr>
      </w:pPr>
    </w:p>
    <w:p w14:paraId="398778C4" w14:textId="1D30D6D0" w:rsidR="00DC3A9D" w:rsidRDefault="00DC3A9D" w:rsidP="0003655A">
      <w:pPr>
        <w:keepNext/>
        <w:keepLines/>
        <w:spacing w:before="360" w:after="80"/>
        <w:outlineLvl w:val="0"/>
        <w:rPr>
          <w:rFonts w:eastAsiaTheme="majorEastAsia" w:cs="Arial"/>
          <w:color w:val="0F4761" w:themeColor="accent1" w:themeShade="BF"/>
          <w:szCs w:val="20"/>
        </w:rPr>
      </w:pPr>
    </w:p>
    <w:p w14:paraId="75ADBAB5" w14:textId="24E0A718" w:rsidR="00DC3A9D" w:rsidRDefault="00DC3A9D" w:rsidP="0003655A">
      <w:pPr>
        <w:keepNext/>
        <w:keepLines/>
        <w:spacing w:before="360" w:after="80"/>
        <w:outlineLvl w:val="0"/>
        <w:rPr>
          <w:rFonts w:eastAsiaTheme="majorEastAsia" w:cs="Arial"/>
          <w:color w:val="0F4761" w:themeColor="accent1" w:themeShade="BF"/>
          <w:szCs w:val="20"/>
        </w:rPr>
      </w:pPr>
    </w:p>
    <w:p w14:paraId="59770894" w14:textId="77777777" w:rsidR="00DC3A9D" w:rsidRPr="00A35E9A" w:rsidRDefault="00DC3A9D" w:rsidP="0003655A">
      <w:pPr>
        <w:keepNext/>
        <w:keepLines/>
        <w:spacing w:before="360" w:after="80"/>
        <w:outlineLvl w:val="0"/>
        <w:rPr>
          <w:rFonts w:eastAsiaTheme="majorEastAsia" w:cs="Arial"/>
          <w:color w:val="0F4761" w:themeColor="accent1" w:themeShade="BF"/>
          <w:szCs w:val="20"/>
        </w:rPr>
      </w:pPr>
    </w:p>
    <w:sectPr w:rsidR="00DC3A9D" w:rsidRPr="00A35E9A" w:rsidSect="00C83CA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DFEA6" w14:textId="77777777" w:rsidR="006B78D5" w:rsidRPr="00B83578" w:rsidRDefault="006B78D5" w:rsidP="00AB0195">
      <w:pPr>
        <w:spacing w:after="0"/>
      </w:pPr>
      <w:r w:rsidRPr="00B83578">
        <w:separator/>
      </w:r>
    </w:p>
  </w:endnote>
  <w:endnote w:type="continuationSeparator" w:id="0">
    <w:p w14:paraId="50DB3C36" w14:textId="77777777" w:rsidR="006B78D5" w:rsidRPr="00B83578" w:rsidRDefault="006B78D5" w:rsidP="00AB0195">
      <w:pPr>
        <w:spacing w:after="0"/>
      </w:pPr>
      <w:r w:rsidRPr="00B83578">
        <w:continuationSeparator/>
      </w:r>
    </w:p>
  </w:endnote>
  <w:endnote w:type="continuationNotice" w:id="1">
    <w:p w14:paraId="2AC28E19" w14:textId="77777777" w:rsidR="006B78D5" w:rsidRPr="00B83578" w:rsidRDefault="006B78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206900"/>
      <w:docPartObj>
        <w:docPartGallery w:val="Page Numbers (Bottom of Page)"/>
        <w:docPartUnique/>
      </w:docPartObj>
    </w:sdtPr>
    <w:sdtContent>
      <w:p w14:paraId="683A14DA" w14:textId="0D73A21C" w:rsidR="00B54ABB" w:rsidRPr="00B83578" w:rsidRDefault="00B54ABB">
        <w:pPr>
          <w:pStyle w:val="Footer"/>
          <w:jc w:val="center"/>
        </w:pPr>
        <w:r w:rsidRPr="00B83578">
          <w:fldChar w:fldCharType="begin"/>
        </w:r>
        <w:r w:rsidRPr="00B83578">
          <w:instrText xml:space="preserve"> PAGE   \* MERGEFORMAT </w:instrText>
        </w:r>
        <w:r w:rsidRPr="00B83578">
          <w:fldChar w:fldCharType="separate"/>
        </w:r>
        <w:r w:rsidRPr="00B83578">
          <w:t>2</w:t>
        </w:r>
        <w:r w:rsidRPr="00B83578">
          <w:fldChar w:fldCharType="end"/>
        </w:r>
      </w:p>
    </w:sdtContent>
  </w:sdt>
  <w:p w14:paraId="45C3A79D" w14:textId="2031A839" w:rsidR="00B54ABB" w:rsidRPr="00B83578" w:rsidRDefault="00B54ABB" w:rsidP="00604E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739935"/>
      <w:docPartObj>
        <w:docPartGallery w:val="Page Numbers (Bottom of Page)"/>
        <w:docPartUnique/>
      </w:docPartObj>
    </w:sdtPr>
    <w:sdtContent>
      <w:p w14:paraId="1E1AA583" w14:textId="32E95AC6" w:rsidR="00B54ABB" w:rsidRPr="00B83578" w:rsidRDefault="00B54ABB">
        <w:pPr>
          <w:pStyle w:val="Footer"/>
          <w:jc w:val="center"/>
        </w:pPr>
        <w:r w:rsidRPr="00B83578">
          <w:fldChar w:fldCharType="begin"/>
        </w:r>
        <w:r w:rsidRPr="00B83578">
          <w:instrText xml:space="preserve"> PAGE   \* MERGEFORMAT </w:instrText>
        </w:r>
        <w:r w:rsidRPr="00B83578">
          <w:fldChar w:fldCharType="separate"/>
        </w:r>
        <w:r w:rsidRPr="00B83578">
          <w:t>2</w:t>
        </w:r>
        <w:r w:rsidRPr="00B83578">
          <w:fldChar w:fldCharType="end"/>
        </w:r>
      </w:p>
    </w:sdtContent>
  </w:sdt>
  <w:p w14:paraId="11B2B968" w14:textId="77777777" w:rsidR="00B54ABB" w:rsidRPr="00B83578" w:rsidRDefault="00B5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162BE" w14:textId="77777777" w:rsidR="006B78D5" w:rsidRPr="00B83578" w:rsidRDefault="006B78D5" w:rsidP="00AB0195">
      <w:pPr>
        <w:spacing w:after="0"/>
      </w:pPr>
      <w:r w:rsidRPr="00B83578">
        <w:separator/>
      </w:r>
    </w:p>
  </w:footnote>
  <w:footnote w:type="continuationSeparator" w:id="0">
    <w:p w14:paraId="711214AD" w14:textId="77777777" w:rsidR="006B78D5" w:rsidRPr="00B83578" w:rsidRDefault="006B78D5" w:rsidP="00AB0195">
      <w:pPr>
        <w:spacing w:after="0"/>
      </w:pPr>
      <w:r w:rsidRPr="00B83578">
        <w:continuationSeparator/>
      </w:r>
    </w:p>
  </w:footnote>
  <w:footnote w:type="continuationNotice" w:id="1">
    <w:p w14:paraId="4956E87D" w14:textId="77777777" w:rsidR="006B78D5" w:rsidRPr="00B83578" w:rsidRDefault="006B78D5">
      <w:pPr>
        <w:spacing w:after="0"/>
      </w:pPr>
    </w:p>
  </w:footnote>
  <w:footnote w:id="2">
    <w:p w14:paraId="22E80C2F" w14:textId="2B047F94" w:rsidR="00B54ABB" w:rsidRPr="00B83578" w:rsidRDefault="00B54ABB" w:rsidP="006D523E">
      <w:pPr>
        <w:pStyle w:val="FootnoteText"/>
      </w:pPr>
      <w:r w:rsidRPr="00B83578">
        <w:rPr>
          <w:rStyle w:val="FootnoteReference"/>
        </w:rPr>
        <w:footnoteRef/>
      </w:r>
      <w:r w:rsidRPr="00B83578">
        <w:t xml:space="preserve"> </w:t>
      </w:r>
      <w:r w:rsidRPr="00D92D89">
        <w:t>Ova oznaka se daje bez prejudiciranja stavova o statusu i u skladu je sa Rezolucijom SB UN 1244 i Mišljenjem ICJ-a o deklaraciji nezavisnosti Kosova.</w:t>
      </w:r>
    </w:p>
  </w:footnote>
  <w:footnote w:id="3">
    <w:p w14:paraId="0146D1BC" w14:textId="21F5AA77" w:rsidR="00B54ABB" w:rsidRPr="00D92D89" w:rsidRDefault="00B54ABB">
      <w:pPr>
        <w:pStyle w:val="FootnoteText"/>
        <w:rPr>
          <w:lang w:val="sr-Latn-ME"/>
        </w:rPr>
      </w:pPr>
      <w:r>
        <w:rPr>
          <w:rStyle w:val="FootnoteReference"/>
        </w:rPr>
        <w:footnoteRef/>
      </w:r>
      <w:r>
        <w:t xml:space="preserve"> </w:t>
      </w:r>
      <w:hyperlink r:id="rId1" w:history="1">
        <w:r w:rsidRPr="00E40B03">
          <w:rPr>
            <w:rStyle w:val="Hyperlink"/>
          </w:rPr>
          <w:t>https://ec.europa.eu/commission/presscorner/detail/en/ip_25_486</w:t>
        </w:r>
      </w:hyperlink>
      <w:r>
        <w:t xml:space="preserve"> </w:t>
      </w:r>
    </w:p>
  </w:footnote>
  <w:footnote w:id="4">
    <w:p w14:paraId="5A9EEDB1" w14:textId="324E5CB7" w:rsidR="00B54ABB" w:rsidRPr="00B83578" w:rsidRDefault="00B54ABB" w:rsidP="00720AF1">
      <w:pPr>
        <w:pStyle w:val="FootnoteText"/>
      </w:pPr>
      <w:r w:rsidRPr="00B83578">
        <w:rPr>
          <w:rStyle w:val="FootnoteReference"/>
        </w:rPr>
        <w:footnoteRef/>
      </w:r>
      <w:r w:rsidRPr="00B83578">
        <w:t xml:space="preserve"> </w:t>
      </w:r>
      <w:r>
        <w:t>Informacija ne uključuje IPARD programme i sredstva koje oni uključuju.</w:t>
      </w:r>
    </w:p>
  </w:footnote>
  <w:footnote w:id="5">
    <w:p w14:paraId="1E2E9797" w14:textId="4ABFC262" w:rsidR="00B54ABB" w:rsidRPr="00B83578" w:rsidRDefault="00B54ABB" w:rsidP="00076BC1">
      <w:pPr>
        <w:spacing w:after="0"/>
        <w:rPr>
          <w:rFonts w:cs="Arial"/>
          <w:sz w:val="16"/>
          <w:szCs w:val="16"/>
        </w:rPr>
      </w:pPr>
      <w:r w:rsidRPr="00B83578">
        <w:rPr>
          <w:rStyle w:val="FootnoteReference"/>
          <w:rFonts w:cs="Arial"/>
          <w:sz w:val="16"/>
          <w:szCs w:val="16"/>
        </w:rPr>
        <w:footnoteRef/>
      </w:r>
      <w:r w:rsidRPr="00B83578">
        <w:rPr>
          <w:rFonts w:cs="Arial"/>
          <w:sz w:val="16"/>
          <w:szCs w:val="16"/>
        </w:rPr>
        <w:t xml:space="preserve"> </w:t>
      </w:r>
      <w:r w:rsidRPr="006F13C7">
        <w:rPr>
          <w:rFonts w:cs="Arial"/>
          <w:color w:val="000000" w:themeColor="text1"/>
          <w:sz w:val="16"/>
          <w:szCs w:val="16"/>
        </w:rPr>
        <w:t xml:space="preserve">Čemu se dodaje 6.545.644,73 EUR doprinosa EU programima </w:t>
      </w:r>
      <w:r>
        <w:rPr>
          <w:rFonts w:eastAsia="Times New Roman" w:cs="Arial"/>
          <w:color w:val="000000" w:themeColor="text1"/>
          <w:kern w:val="0"/>
          <w:sz w:val="16"/>
          <w:szCs w:val="16"/>
          <w14:ligatures w14:val="none"/>
        </w:rPr>
        <w:t>u okviru</w:t>
      </w:r>
      <w:r w:rsidRPr="00FD6633">
        <w:rPr>
          <w:rFonts w:eastAsia="Times New Roman" w:cs="Arial"/>
          <w:color w:val="000000" w:themeColor="text1"/>
          <w:kern w:val="0"/>
          <w:sz w:val="16"/>
          <w:szCs w:val="16"/>
          <w14:ligatures w14:val="none"/>
        </w:rPr>
        <w:t xml:space="preserve"> CAP2014, CAP2015, CAP2017 </w:t>
      </w:r>
      <w:r>
        <w:rPr>
          <w:rFonts w:eastAsia="Times New Roman" w:cs="Arial"/>
          <w:color w:val="000000" w:themeColor="text1"/>
          <w:kern w:val="0"/>
          <w:sz w:val="16"/>
          <w:szCs w:val="16"/>
          <w14:ligatures w14:val="none"/>
        </w:rPr>
        <w:t>i</w:t>
      </w:r>
      <w:r w:rsidRPr="00FD6633">
        <w:rPr>
          <w:rFonts w:eastAsia="Times New Roman" w:cs="Arial"/>
          <w:color w:val="000000" w:themeColor="text1"/>
          <w:kern w:val="0"/>
          <w:sz w:val="16"/>
          <w:szCs w:val="16"/>
          <w14:ligatures w14:val="none"/>
        </w:rPr>
        <w:t xml:space="preserve"> CAP2020.</w:t>
      </w:r>
      <w:r w:rsidRPr="00B83578">
        <w:rPr>
          <w:rFonts w:eastAsia="Times New Roman" w:cs="Arial"/>
          <w:color w:val="000000"/>
          <w:kern w:val="0"/>
          <w:sz w:val="16"/>
          <w:szCs w:val="16"/>
          <w14:ligatures w14:val="none"/>
        </w:rPr>
        <w:t xml:space="preserve"> </w:t>
      </w:r>
    </w:p>
  </w:footnote>
  <w:footnote w:id="6">
    <w:p w14:paraId="3B3663ED" w14:textId="213A73E1" w:rsidR="00B54ABB" w:rsidRPr="00B83578" w:rsidRDefault="00B54ABB" w:rsidP="007A7746">
      <w:pPr>
        <w:pStyle w:val="FootnoteText"/>
      </w:pPr>
      <w:r w:rsidRPr="00B83578">
        <w:rPr>
          <w:rStyle w:val="FootnoteReference"/>
        </w:rPr>
        <w:footnoteRef/>
      </w:r>
      <w:r w:rsidRPr="00B83578">
        <w:t xml:space="preserve"> </w:t>
      </w:r>
      <w:r w:rsidRPr="006F13C7">
        <w:t>Stepen iskorišćenosti sredstava iz EU bio je približno 91% sredstava implementiranih u okviru Sektorske budžetske podrške (direktno upravljanje), mehanizma koji predviđa finansiranje koje nije povezano sa troškovima.</w:t>
      </w:r>
    </w:p>
  </w:footnote>
  <w:footnote w:id="7">
    <w:p w14:paraId="1160616A" w14:textId="00DE5DBC" w:rsidR="00B54ABB" w:rsidRPr="00B83578" w:rsidRDefault="00B54ABB" w:rsidP="009B02D1">
      <w:pPr>
        <w:pStyle w:val="FootnoteText"/>
      </w:pPr>
      <w:r w:rsidRPr="00B83578">
        <w:rPr>
          <w:rStyle w:val="FootnoteReference"/>
        </w:rPr>
        <w:footnoteRef/>
      </w:r>
      <w:r w:rsidRPr="00B83578">
        <w:t xml:space="preserve"> </w:t>
      </w:r>
      <w:r w:rsidRPr="00F80B04">
        <w:t>Analiza naučenih lekcija proisteklih iz ex-ante kontrole dokumenata dostavljenih Delegaciji EU, period obuhvata: 1. januar – 31. decembar 2024. godine, pripremilo Ministarstvo finansija/Direktorat za finansi</w:t>
      </w:r>
      <w:r>
        <w:t xml:space="preserve">ranje i </w:t>
      </w:r>
      <w:r w:rsidRPr="00F80B04">
        <w:t xml:space="preserve">ugovaranje sredstava EU </w:t>
      </w:r>
      <w:r>
        <w:t>podrške</w:t>
      </w:r>
      <w:r w:rsidRPr="00F80B04">
        <w:t xml:space="preserve"> i Uprava za kapitalne projekte, februar 2025. godine. Podaci i analiza su sumirani u </w:t>
      </w:r>
      <w:r>
        <w:t>Aneksu</w:t>
      </w:r>
      <w:r w:rsidRPr="00F80B04">
        <w:t xml:space="preserve"> II</w:t>
      </w:r>
    </w:p>
  </w:footnote>
  <w:footnote w:id="8">
    <w:p w14:paraId="671DE184" w14:textId="5BF38395" w:rsidR="00B54ABB" w:rsidRPr="00B83578" w:rsidRDefault="00B54ABB" w:rsidP="00C639F6">
      <w:pPr>
        <w:pStyle w:val="FootnoteText"/>
      </w:pPr>
      <w:r w:rsidRPr="00B83578">
        <w:rPr>
          <w:rStyle w:val="FootnoteReference"/>
        </w:rPr>
        <w:footnoteRef/>
      </w:r>
      <w:r w:rsidRPr="00B83578">
        <w:t xml:space="preserve"> </w:t>
      </w:r>
      <w:r>
        <w:t>Statistički podaci o nepravilnostima u okviru IPA II su predstavljeni u Aneksu II.</w:t>
      </w:r>
    </w:p>
  </w:footnote>
  <w:footnote w:id="9">
    <w:p w14:paraId="5F4BE300" w14:textId="77777777" w:rsidR="00B54ABB" w:rsidRPr="00B83578" w:rsidRDefault="00B54ABB" w:rsidP="008A5FAC">
      <w:pPr>
        <w:pStyle w:val="FootnoteText"/>
      </w:pPr>
      <w:r w:rsidRPr="00B83578">
        <w:rPr>
          <w:rStyle w:val="FootnoteReference"/>
          <w:vertAlign w:val="baseline"/>
        </w:rPr>
        <w:footnoteRef/>
      </w:r>
      <w:r w:rsidRPr="00B83578">
        <w:t xml:space="preserve"> </w:t>
      </w:r>
      <w:hyperlink r:id="rId2" w:history="1">
        <w:r w:rsidRPr="00B83578">
          <w:rPr>
            <w:rStyle w:val="Hyperlink"/>
          </w:rPr>
          <w:t>https://ec.europa.eu/regional_policy/sources/factsheet/new_cp/simplification-measures-final.pdf</w:t>
        </w:r>
      </w:hyperlink>
      <w:r w:rsidRPr="00B83578">
        <w:t xml:space="preserve"> </w:t>
      </w:r>
    </w:p>
  </w:footnote>
  <w:footnote w:id="10">
    <w:p w14:paraId="5A9CEEFB" w14:textId="4F3DEFF5" w:rsidR="00B54ABB" w:rsidRPr="00B83578" w:rsidRDefault="00B54ABB" w:rsidP="00DD5ED3">
      <w:pPr>
        <w:pStyle w:val="FootnoteText"/>
      </w:pPr>
      <w:r w:rsidRPr="00B83578">
        <w:rPr>
          <w:rStyle w:val="FootnoteReference"/>
        </w:rPr>
        <w:footnoteRef/>
      </w:r>
      <w:r w:rsidRPr="00B83578">
        <w:t xml:space="preserve"> </w:t>
      </w:r>
      <w:r w:rsidRPr="000430C0">
        <w:t xml:space="preserve">Evropski socijalni fond (ESF), Fond evropske </w:t>
      </w:r>
      <w:r>
        <w:t>podrške</w:t>
      </w:r>
      <w:r w:rsidRPr="000430C0">
        <w:t xml:space="preserve"> za najugroženije (FEAD) i Inicijativa za zapošljavanje mladih (YEI).</w:t>
      </w:r>
    </w:p>
  </w:footnote>
  <w:footnote w:id="11">
    <w:p w14:paraId="2CAB98DE" w14:textId="49E96275" w:rsidR="00B54ABB" w:rsidRPr="00B83578" w:rsidRDefault="00B54ABB" w:rsidP="00DD5ED3">
      <w:pPr>
        <w:pStyle w:val="FootnoteText"/>
      </w:pPr>
      <w:r w:rsidRPr="00B83578">
        <w:rPr>
          <w:rStyle w:val="FootnoteReference"/>
        </w:rPr>
        <w:footnoteRef/>
      </w:r>
      <w:r w:rsidRPr="00B83578">
        <w:t xml:space="preserve"> </w:t>
      </w:r>
      <w:r w:rsidRPr="000430C0">
        <w:t xml:space="preserve">Pored komponente zajedničkog upravljanja, koja je relevantna za ovaj </w:t>
      </w:r>
      <w:r>
        <w:t>Plan aktivnosti</w:t>
      </w:r>
      <w:r w:rsidRPr="000430C0">
        <w:t xml:space="preserve">, on uključuje i komponentu </w:t>
      </w:r>
      <w:r>
        <w:t>Fond za z</w:t>
      </w:r>
      <w:r w:rsidRPr="000430C0">
        <w:t>apo</w:t>
      </w:r>
      <w:r>
        <w:t>šljavanje</w:t>
      </w:r>
      <w:r w:rsidRPr="000430C0">
        <w:t xml:space="preserve"> i socijalne inovacije (EaSI) pod direktnim i indirektnim upravljanjem.</w:t>
      </w:r>
      <w:r w:rsidRPr="00B83578">
        <w:t>.</w:t>
      </w:r>
    </w:p>
  </w:footnote>
  <w:footnote w:id="12">
    <w:p w14:paraId="3CF459EB" w14:textId="32801CE6" w:rsidR="00B54ABB" w:rsidRPr="00B83578" w:rsidRDefault="00B54ABB" w:rsidP="00DD5ED3">
      <w:pPr>
        <w:pStyle w:val="FootnoteText"/>
      </w:pPr>
      <w:r w:rsidRPr="00B83578">
        <w:rPr>
          <w:rStyle w:val="FootnoteReference"/>
        </w:rPr>
        <w:footnoteRef/>
      </w:r>
      <w:r w:rsidRPr="00B83578">
        <w:t xml:space="preserve"> </w:t>
      </w:r>
      <w:r w:rsidRPr="000430C0">
        <w:t>Države članice koje su imale pros</w:t>
      </w:r>
      <w:r>
        <w:t>j</w:t>
      </w:r>
      <w:r w:rsidRPr="000430C0">
        <w:t>ečnu stopu d</w:t>
      </w:r>
      <w:r>
        <w:t>j</w:t>
      </w:r>
      <w:r w:rsidRPr="000430C0">
        <w:t>ece mlađe od 18 godina izložene riziku od siromaštva ili socijalne isključenosti iznad pros</w:t>
      </w:r>
      <w:r>
        <w:t>j</w:t>
      </w:r>
      <w:r w:rsidRPr="000430C0">
        <w:t>eka Unije za period između 2017. i 2019. godine, na osnovu podataka Eurostata, dod</w:t>
      </w:r>
      <w:r>
        <w:t>j</w:t>
      </w:r>
      <w:r w:rsidRPr="000430C0">
        <w:t>eljuju najmanje 5% svojih resursa iz komponente ESF+ u okviru pod</w:t>
      </w:r>
      <w:r>
        <w:t>ij</w:t>
      </w:r>
      <w:r w:rsidRPr="000430C0">
        <w:t>eljenog upravljanja za podršku ciljanim akcijama i strukturnim reformama u cilju borbe protiv siromaštva d</w:t>
      </w:r>
      <w:r>
        <w:t>j</w:t>
      </w:r>
      <w:r w:rsidRPr="000430C0">
        <w:t>ece.</w:t>
      </w:r>
    </w:p>
  </w:footnote>
  <w:footnote w:id="13">
    <w:p w14:paraId="4434E678" w14:textId="3C0DAEA2" w:rsidR="00B54ABB" w:rsidRPr="00B83578" w:rsidRDefault="00B54ABB" w:rsidP="00DD5ED3">
      <w:pPr>
        <w:pStyle w:val="FootnoteText"/>
      </w:pPr>
      <w:r w:rsidRPr="00B83578">
        <w:rPr>
          <w:rStyle w:val="FootnoteReference"/>
        </w:rPr>
        <w:footnoteRef/>
      </w:r>
      <w:r w:rsidRPr="00B83578">
        <w:t xml:space="preserve"> </w:t>
      </w:r>
      <w:r w:rsidRPr="000430C0">
        <w:t>Države članice koje su imale pros</w:t>
      </w:r>
      <w:r>
        <w:t>j</w:t>
      </w:r>
      <w:r w:rsidRPr="000430C0">
        <w:t>ečnu stopu iznad pros</w:t>
      </w:r>
      <w:r>
        <w:t>j</w:t>
      </w:r>
      <w:r w:rsidRPr="000430C0">
        <w:t>ek</w:t>
      </w:r>
      <w:r>
        <w:t>a</w:t>
      </w:r>
      <w:r w:rsidRPr="000430C0">
        <w:t xml:space="preserve"> Unije mladih od 15 do 29 godina koji ni</w:t>
      </w:r>
      <w:r>
        <w:t>je</w:t>
      </w:r>
      <w:r w:rsidRPr="000430C0">
        <w:t xml:space="preserve">su zaposleni, </w:t>
      </w:r>
      <w:r>
        <w:t>u toku obrazovanja</w:t>
      </w:r>
      <w:r w:rsidRPr="000430C0">
        <w:t xml:space="preserve"> ili u obu</w:t>
      </w:r>
      <w:r>
        <w:t>ke</w:t>
      </w:r>
      <w:r w:rsidRPr="000430C0">
        <w:t xml:space="preserve"> u periodu od 2017. do 2019. godine, na osnovu podataka Eurostata, dužne su da za podršku zapošljavanju mladih izdvoje najmanje 12,5 % svojih sredstava iz ESF+ programa u okviru zajedničkog upravljanja za godine 2021. do 2027.</w:t>
      </w:r>
      <w:r w:rsidRPr="00B83578">
        <w:t>.</w:t>
      </w:r>
    </w:p>
  </w:footnote>
  <w:footnote w:id="14">
    <w:p w14:paraId="1833ADB8" w14:textId="1513C5E8" w:rsidR="00B54ABB" w:rsidRPr="00B83578" w:rsidRDefault="00B54ABB" w:rsidP="007C0114">
      <w:pPr>
        <w:pStyle w:val="FootnoteText"/>
      </w:pPr>
      <w:r w:rsidRPr="00B83578">
        <w:rPr>
          <w:rStyle w:val="FootnoteReference"/>
        </w:rPr>
        <w:footnoteRef/>
      </w:r>
      <w:r w:rsidRPr="00B83578">
        <w:t xml:space="preserve"> IPA III </w:t>
      </w:r>
      <w:r>
        <w:t>korisnik</w:t>
      </w:r>
      <w:r w:rsidRPr="00B83578">
        <w:t xml:space="preserve">. </w:t>
      </w:r>
    </w:p>
  </w:footnote>
  <w:footnote w:id="15">
    <w:p w14:paraId="660B6A08" w14:textId="41BE40ED" w:rsidR="00B54ABB" w:rsidRPr="00B83578" w:rsidRDefault="00B54ABB" w:rsidP="007C0114">
      <w:pPr>
        <w:pStyle w:val="FootnoteText"/>
      </w:pPr>
      <w:r w:rsidRPr="00B83578">
        <w:rPr>
          <w:rStyle w:val="FootnoteReference"/>
        </w:rPr>
        <w:footnoteRef/>
      </w:r>
      <w:r w:rsidRPr="00B83578">
        <w:t xml:space="preserve"> </w:t>
      </w:r>
      <w:r w:rsidRPr="00B21F0B">
        <w:t>Kako je navedeno u najnovijem SIGMA izv</w:t>
      </w:r>
      <w:r>
        <w:t>j</w:t>
      </w:r>
      <w:r w:rsidRPr="00B21F0B">
        <w:t>eštaju na str. 20, “U oblasti koordinacije i razvoja politika, Crna Gora ima nekoliko prednosti. Njene institucije centra vlasti (CoG) obavljaju svoju ulogu, odlučivanje Vlade je transparentno; sistem planiranja politika je dobro implementiran; i procedure za proc</w:t>
      </w:r>
      <w:r>
        <w:t>j</w:t>
      </w:r>
      <w:r w:rsidRPr="00B21F0B">
        <w:t>enu uticaja propisa (RIA) se poštuju.”</w:t>
      </w:r>
      <w:hyperlink r:id="rId3" w:history="1">
        <w:r w:rsidRPr="00B83578">
          <w:rPr>
            <w:rStyle w:val="Hyperlink"/>
          </w:rPr>
          <w:t>https://www.oecd.org/en/publications/public-administration-in-montenegro-2024_6b3dec38-en.html</w:t>
        </w:r>
      </w:hyperlink>
    </w:p>
  </w:footnote>
  <w:footnote w:id="16">
    <w:p w14:paraId="341B51A4" w14:textId="160C637B" w:rsidR="00B54ABB" w:rsidRPr="00B83578" w:rsidRDefault="00B54ABB" w:rsidP="007C0114">
      <w:pPr>
        <w:pStyle w:val="FootnoteText"/>
      </w:pPr>
      <w:r w:rsidRPr="00B83578">
        <w:rPr>
          <w:rStyle w:val="FootnoteReference"/>
        </w:rPr>
        <w:footnoteRef/>
      </w:r>
      <w:r w:rsidRPr="00B83578">
        <w:t xml:space="preserve"> </w:t>
      </w:r>
      <w:r>
        <w:t>Uredba ne pokriva strateška dokumenta koja usvajaju lokalne vlasti, ni dokumenta prostornog planiranja.</w:t>
      </w:r>
    </w:p>
  </w:footnote>
  <w:footnote w:id="17">
    <w:p w14:paraId="09783275" w14:textId="0EF63708" w:rsidR="00B54ABB" w:rsidRPr="00B83578" w:rsidRDefault="00B54ABB" w:rsidP="00DD4431">
      <w:pPr>
        <w:pStyle w:val="FootnoteText"/>
      </w:pPr>
      <w:r w:rsidRPr="00B83578">
        <w:rPr>
          <w:rStyle w:val="FootnoteReference"/>
        </w:rPr>
        <w:footnoteRef/>
      </w:r>
      <w:r w:rsidRPr="00B83578">
        <w:t xml:space="preserve"> </w:t>
      </w:r>
      <w:r>
        <w:t>Metodologija i evalucioni obrasci su dostupni na</w:t>
      </w:r>
      <w:r w:rsidRPr="00B83578">
        <w:t xml:space="preserve"> </w:t>
      </w:r>
      <w:hyperlink r:id="rId4" w:tgtFrame="_blank" w:history="1">
        <w:r w:rsidRPr="00B83578">
          <w:rPr>
            <w:rStyle w:val="Hyperlink"/>
          </w:rPr>
          <w:t>https://www.gov.me/clanak/sektor-za-koordinaciju-pracenje-uskladenosti-i-pracenje-sprovodenja-strategija-kojima-se-utvrduju-javne-politike</w:t>
        </w:r>
      </w:hyperlink>
    </w:p>
  </w:footnote>
  <w:footnote w:id="18">
    <w:p w14:paraId="7BB173EB" w14:textId="36FCB2C3" w:rsidR="00B54ABB" w:rsidRPr="00B83578" w:rsidRDefault="00B54ABB" w:rsidP="00DD4431">
      <w:pPr>
        <w:pStyle w:val="FootnoteText"/>
      </w:pPr>
      <w:r w:rsidRPr="00B83578">
        <w:rPr>
          <w:rStyle w:val="FootnoteReference"/>
        </w:rPr>
        <w:footnoteRef/>
      </w:r>
      <w:r w:rsidRPr="00B83578">
        <w:t xml:space="preserve"> </w:t>
      </w:r>
      <w:r>
        <w:t>Podržao OEBS u okviru Trećeg izdanja</w:t>
      </w:r>
      <w:r w:rsidRPr="00B83578">
        <w:t xml:space="preserve">  </w:t>
      </w:r>
      <w:hyperlink r:id="rId5" w:history="1">
        <w:r w:rsidRPr="00B83578">
          <w:rPr>
            <w:rStyle w:val="Hyperlink"/>
          </w:rPr>
          <w:t>543931.pdf (osce.org)</w:t>
        </w:r>
      </w:hyperlink>
      <w:r w:rsidRPr="00B83578">
        <w:t xml:space="preserve">, </w:t>
      </w:r>
    </w:p>
  </w:footnote>
  <w:footnote w:id="19">
    <w:p w14:paraId="62801330" w14:textId="5C9BFFA9" w:rsidR="00B54ABB" w:rsidRPr="00B83578" w:rsidRDefault="00B54ABB" w:rsidP="00DD4431">
      <w:pPr>
        <w:pStyle w:val="FootnoteText"/>
      </w:pPr>
      <w:r w:rsidRPr="00B83578">
        <w:rPr>
          <w:rStyle w:val="FootnoteReference"/>
        </w:rPr>
        <w:footnoteRef/>
      </w:r>
      <w:r w:rsidRPr="00B83578">
        <w:t xml:space="preserve"> </w:t>
      </w:r>
      <w:r w:rsidRPr="007D576F">
        <w:t>Ovo uključuje formiranje ekspertskih radnih grupa, izbor predstavnika nevladinih organizacija za radne grupe, konsultacije sa zainteresovanom javnošću u početnoj fazi izrade nacrta, kao i održavanje javnih rasprava o nacrtu strateškog dokumenta.</w:t>
      </w:r>
    </w:p>
  </w:footnote>
  <w:footnote w:id="20">
    <w:p w14:paraId="6A3FB7EA" w14:textId="77777777" w:rsidR="00B54ABB" w:rsidRPr="00B83578" w:rsidRDefault="00B54ABB" w:rsidP="00205679">
      <w:pPr>
        <w:pStyle w:val="FootnoteText"/>
      </w:pPr>
      <w:r w:rsidRPr="00B83578">
        <w:rPr>
          <w:rStyle w:val="FootnoteReference"/>
        </w:rPr>
        <w:footnoteRef/>
      </w:r>
      <w:r w:rsidRPr="00B83578">
        <w:t xml:space="preserve"> Ibid.</w:t>
      </w:r>
    </w:p>
  </w:footnote>
  <w:footnote w:id="21">
    <w:p w14:paraId="2D91CB6A" w14:textId="77777777" w:rsidR="00B54ABB" w:rsidRPr="00B83578" w:rsidRDefault="00B54ABB" w:rsidP="00205679">
      <w:pPr>
        <w:pStyle w:val="FootnoteText"/>
      </w:pPr>
      <w:r w:rsidRPr="00B83578">
        <w:rPr>
          <w:rStyle w:val="FootnoteReference"/>
        </w:rPr>
        <w:footnoteRef/>
      </w:r>
      <w:r w:rsidRPr="00B83578">
        <w:t xml:space="preserve"> </w:t>
      </w:r>
      <w:hyperlink r:id="rId6" w:history="1">
        <w:r w:rsidRPr="00B83578">
          <w:rPr>
            <w:rStyle w:val="Hyperlink"/>
          </w:rPr>
          <w:t>https://www.gov.me/dokumenta/823842f4-2ffd-4a0d-936e-c1b00c669115</w:t>
        </w:r>
      </w:hyperlink>
      <w:r w:rsidRPr="00B83578">
        <w:t xml:space="preserve"> </w:t>
      </w:r>
    </w:p>
  </w:footnote>
  <w:footnote w:id="22">
    <w:p w14:paraId="567FC8DE" w14:textId="77777777" w:rsidR="00B54ABB" w:rsidRPr="00B83578" w:rsidRDefault="00B54ABB" w:rsidP="00205679">
      <w:pPr>
        <w:pStyle w:val="FootnoteText"/>
      </w:pPr>
      <w:r w:rsidRPr="00B83578">
        <w:rPr>
          <w:rStyle w:val="FootnoteReference"/>
        </w:rPr>
        <w:footnoteRef/>
      </w:r>
      <w:r w:rsidRPr="00B83578">
        <w:t xml:space="preserve"> </w:t>
      </w:r>
      <w:hyperlink r:id="rId7" w:history="1">
        <w:r w:rsidRPr="00B83578">
          <w:rPr>
            <w:rStyle w:val="Hyperlink"/>
          </w:rPr>
          <w:t>https://www.gov.me/dokumenta/0c37736f-0645-4737-87c1-02b1fb39fd32</w:t>
        </w:r>
      </w:hyperlink>
    </w:p>
  </w:footnote>
  <w:footnote w:id="23">
    <w:p w14:paraId="0F5B73E6" w14:textId="77777777" w:rsidR="00B54ABB" w:rsidRPr="00B83578" w:rsidRDefault="00B54ABB" w:rsidP="00205679">
      <w:pPr>
        <w:pStyle w:val="FootnoteText"/>
      </w:pPr>
      <w:r w:rsidRPr="00B83578">
        <w:rPr>
          <w:rStyle w:val="FootnoteReference"/>
        </w:rPr>
        <w:footnoteRef/>
      </w:r>
      <w:r w:rsidRPr="00B83578">
        <w:t xml:space="preserve"> </w:t>
      </w:r>
      <w:hyperlink r:id="rId8" w:history="1">
        <w:r w:rsidRPr="00B83578">
          <w:rPr>
            <w:rStyle w:val="Hyperlink"/>
          </w:rPr>
          <w:t>3671cd6c-4d77-4159-a157-c3cdd879cbea</w:t>
        </w:r>
      </w:hyperlink>
      <w:r w:rsidRPr="00B83578">
        <w:t xml:space="preserve"> </w:t>
      </w:r>
    </w:p>
  </w:footnote>
  <w:footnote w:id="24">
    <w:p w14:paraId="76915B1C" w14:textId="1EB263AA" w:rsidR="00B54ABB" w:rsidRPr="00B83578" w:rsidRDefault="00B54ABB" w:rsidP="004569F4">
      <w:pPr>
        <w:pStyle w:val="FootnoteText"/>
      </w:pPr>
      <w:r w:rsidRPr="00B83578">
        <w:rPr>
          <w:rStyle w:val="FootnoteReference"/>
        </w:rPr>
        <w:footnoteRef/>
      </w:r>
      <w:r w:rsidRPr="00B83578">
        <w:t xml:space="preserve"> </w:t>
      </w:r>
      <w:hyperlink r:id="rId9" w:history="1">
        <w:r w:rsidRPr="00B83578">
          <w:rPr>
            <w:rStyle w:val="Hyperlink"/>
          </w:rPr>
          <w:t>Economic Reform Programme 2024-2026 (www.gov.me)</w:t>
        </w:r>
      </w:hyperlink>
      <w:r w:rsidRPr="00B83578">
        <w:t xml:space="preserve"> </w:t>
      </w:r>
      <w:r>
        <w:t>Vidi Poglavlje</w:t>
      </w:r>
      <w:r w:rsidRPr="00B83578">
        <w:t xml:space="preserve"> 7 </w:t>
      </w:r>
      <w:r>
        <w:t>i</w:t>
      </w:r>
      <w:r w:rsidRPr="00B83578">
        <w:t xml:space="preserve"> An</w:t>
      </w:r>
      <w:r>
        <w:t>eks</w:t>
      </w:r>
      <w:r w:rsidRPr="00B83578">
        <w:t xml:space="preserve"> III.</w:t>
      </w:r>
    </w:p>
  </w:footnote>
  <w:footnote w:id="25">
    <w:p w14:paraId="26AD2963" w14:textId="5295E9C6" w:rsidR="00B54ABB" w:rsidRPr="00B83578" w:rsidRDefault="00B54ABB" w:rsidP="007C242E">
      <w:pPr>
        <w:pStyle w:val="FootnoteText"/>
      </w:pPr>
      <w:r w:rsidRPr="00B83578">
        <w:rPr>
          <w:rStyle w:val="FootnoteReference"/>
        </w:rPr>
        <w:footnoteRef/>
      </w:r>
      <w:r w:rsidRPr="00B83578">
        <w:t xml:space="preserve"> </w:t>
      </w:r>
      <w:r w:rsidRPr="007D576F">
        <w:t>Prvobitni vremenski okvir koji je DG NEAR predstavio zemljama Zapadnog Balkana predviđao je formalno podnošenje Reformskih agendi Komisiji i donošenje implementacionih odluka Komisije u aprilu 2024. godine; zaključno sa 30. septembrom 2024. godine, pet nacrta Reformskih agendi podn</w:t>
      </w:r>
      <w:r>
        <w:t>ij</w:t>
      </w:r>
      <w:r w:rsidRPr="007D576F">
        <w:t>etih Komisiji (uključujući i Crnu Goru) smatra se zrelim i predstavljeno je IPA komitetu, o čemu su obav</w:t>
      </w:r>
      <w:r>
        <w:t>ij</w:t>
      </w:r>
      <w:r w:rsidRPr="007D576F">
        <w:t xml:space="preserve">ešteni i </w:t>
      </w:r>
      <w:r>
        <w:t>komiteti</w:t>
      </w:r>
      <w:r w:rsidRPr="007D576F">
        <w:t xml:space="preserve"> Evropskog parlamenta AFET i BUDG. </w:t>
      </w:r>
      <w:hyperlink r:id="rId10" w:history="1">
        <w:r w:rsidRPr="00B83578">
          <w:rPr>
            <w:rStyle w:val="Hyperlink"/>
          </w:rPr>
          <w:t>https://multimedia.europarl.europa.eu/en/webstreaming/joint-committee-on-foreign-affairs-and-committee-on-budgets_20240930-1545-COMMITTEE-AFET-BUDG</w:t>
        </w:r>
      </w:hyperlink>
      <w:r w:rsidRPr="00B83578">
        <w:t xml:space="preserve"> </w:t>
      </w:r>
    </w:p>
  </w:footnote>
  <w:footnote w:id="26">
    <w:p w14:paraId="69D37E10" w14:textId="7DD11E0E" w:rsidR="00B54ABB" w:rsidRPr="00B83578" w:rsidRDefault="00B54ABB" w:rsidP="007C242E">
      <w:pPr>
        <w:pStyle w:val="FootnoteText"/>
      </w:pPr>
      <w:r w:rsidRPr="00B83578">
        <w:rPr>
          <w:rStyle w:val="FootnoteReference"/>
        </w:rPr>
        <w:footnoteRef/>
      </w:r>
      <w:r w:rsidRPr="00B83578">
        <w:t xml:space="preserve"> </w:t>
      </w:r>
      <w:r>
        <w:t xml:space="preserve">Regulativa je objavljena u Službenom listu </w:t>
      </w:r>
      <w:r w:rsidRPr="007D576F">
        <w:t>24. maja 2024. godine.</w:t>
      </w:r>
      <w:hyperlink r:id="rId11" w:history="1">
        <w:r w:rsidRPr="00B83578">
          <w:rPr>
            <w:rStyle w:val="Hyperlink"/>
          </w:rPr>
          <w:t>http://data.europa.eu/eli/reg/2024/1449/oj</w:t>
        </w:r>
      </w:hyperlink>
      <w:r w:rsidRPr="00B83578">
        <w:t xml:space="preserve"> </w:t>
      </w:r>
    </w:p>
  </w:footnote>
  <w:footnote w:id="27">
    <w:p w14:paraId="064306E0" w14:textId="2E57287B" w:rsidR="00B54ABB" w:rsidRPr="00B83578" w:rsidRDefault="00B54ABB" w:rsidP="007C242E">
      <w:pPr>
        <w:pStyle w:val="FootnoteText"/>
      </w:pPr>
      <w:r w:rsidRPr="00B83578">
        <w:rPr>
          <w:rStyle w:val="FootnoteReference"/>
        </w:rPr>
        <w:footnoteRef/>
      </w:r>
      <w:r w:rsidRPr="00B83578">
        <w:t xml:space="preserve"> </w:t>
      </w:r>
      <w:r w:rsidRPr="007D576F">
        <w:t>Različiti vremenski okviri, šabloni i uputstva/sm</w:t>
      </w:r>
      <w:r>
        <w:t>j</w:t>
      </w:r>
      <w:r w:rsidRPr="007D576F">
        <w:t xml:space="preserve">ernice su bili dostavljeni tokom procesa, što je dovelo do dodatnog </w:t>
      </w:r>
      <w:r>
        <w:t>administrativnih</w:t>
      </w:r>
      <w:r w:rsidRPr="007D576F">
        <w:t xml:space="preserve"> opterećenja. Kao prim</w:t>
      </w:r>
      <w:r>
        <w:t>j</w:t>
      </w:r>
      <w:r w:rsidRPr="007D576F">
        <w:t xml:space="preserve">er, Excel tabela je poslata NIPAK-ovima nakon TAIEX događaja održanog 6. i 7. februara 2024. godine o </w:t>
      </w:r>
      <w:r>
        <w:t>Reformoskoj agendi</w:t>
      </w:r>
      <w:r w:rsidRPr="007D576F">
        <w:t xml:space="preserve">; 12. marta su NIPAK-ovi putem </w:t>
      </w:r>
      <w:r>
        <w:t>i</w:t>
      </w:r>
      <w:r w:rsidRPr="007D576F">
        <w:t>mejla obav</w:t>
      </w:r>
      <w:r>
        <w:t>ij</w:t>
      </w:r>
      <w:r w:rsidRPr="007D576F">
        <w:t>ešteni da koriste pojednostavljenu Excel tabelu, nakon što su m</w:t>
      </w:r>
      <w:r>
        <w:t>j</w:t>
      </w:r>
      <w:r w:rsidRPr="007D576F">
        <w:t>esec dana radili na prethodnoj tabeli. U istom imejlu su obav</w:t>
      </w:r>
      <w:r>
        <w:t>ij</w:t>
      </w:r>
      <w:r w:rsidRPr="007D576F">
        <w:t>ešteni da će do kraja marta DG NEAR "</w:t>
      </w:r>
      <w:r w:rsidRPr="007D576F">
        <w:rPr>
          <w:i/>
        </w:rPr>
        <w:t xml:space="preserve">trebati </w:t>
      </w:r>
      <w:r>
        <w:rPr>
          <w:i/>
        </w:rPr>
        <w:t>Reformsku agendu</w:t>
      </w:r>
      <w:r w:rsidRPr="007D576F">
        <w:rPr>
          <w:i/>
        </w:rPr>
        <w:t xml:space="preserve"> (šablon u Word dokumentu) i priloženu pojednostavljenu tabelu sa reformama i koracima, usaglašenu prethodno sa delegacijama EU i relevantnim geografskim jedinicama DG NEAR-a</w:t>
      </w:r>
      <w:r w:rsidRPr="007D576F">
        <w:t>".</w:t>
      </w:r>
    </w:p>
  </w:footnote>
  <w:footnote w:id="28">
    <w:p w14:paraId="70D90DE6" w14:textId="2F72DFEA" w:rsidR="00B54ABB" w:rsidRPr="00B83578" w:rsidRDefault="00B54ABB" w:rsidP="007C242E">
      <w:pPr>
        <w:pStyle w:val="FootnoteText"/>
      </w:pPr>
      <w:r w:rsidRPr="00B83578">
        <w:rPr>
          <w:rStyle w:val="FootnoteReference"/>
        </w:rPr>
        <w:footnoteRef/>
      </w:r>
      <w:r w:rsidRPr="00B83578">
        <w:t xml:space="preserve"> </w:t>
      </w:r>
      <w:r w:rsidRPr="001C446E">
        <w:t>Potreba za konsultacijama sa zainteresovanim stranama je istaknuta od strane članova Evropskog parlamenta tokom predstavljanja pr</w:t>
      </w:r>
      <w:r>
        <w:t>ij</w:t>
      </w:r>
      <w:r w:rsidRPr="001C446E">
        <w:t xml:space="preserve">edloga </w:t>
      </w:r>
      <w:r>
        <w:t>Regulative</w:t>
      </w:r>
      <w:r w:rsidRPr="001C446E">
        <w:t xml:space="preserve"> o uspostavljanju Instrumenta za reforme i rast za Zapadni Balkan Komitetima AFET i BUDG od strane Komisije </w:t>
      </w:r>
      <w:r>
        <w:t>u srijedu</w:t>
      </w:r>
      <w:r w:rsidRPr="001C446E">
        <w:t xml:space="preserve">, 24. </w:t>
      </w:r>
      <w:r>
        <w:t xml:space="preserve">januara </w:t>
      </w:r>
      <w:hyperlink r:id="rId12" w:history="1">
        <w:r w:rsidRPr="00B83578">
          <w:rPr>
            <w:rStyle w:val="Hyperlink"/>
          </w:rPr>
          <w:t>Joint committee on Budgets and committee on Foreign Affairs - Multimedia Centre (europa.eu)</w:t>
        </w:r>
      </w:hyperlink>
      <w:r w:rsidRPr="00B83578">
        <w:t xml:space="preserve"> </w:t>
      </w:r>
    </w:p>
  </w:footnote>
  <w:footnote w:id="29">
    <w:p w14:paraId="22764938" w14:textId="4F2D0A5A" w:rsidR="00B54ABB" w:rsidRPr="00B83578" w:rsidRDefault="00B54ABB" w:rsidP="007C242E">
      <w:pPr>
        <w:pStyle w:val="FootnoteText"/>
      </w:pPr>
      <w:r w:rsidRPr="00B83578">
        <w:rPr>
          <w:rStyle w:val="FootnoteReference"/>
        </w:rPr>
        <w:footnoteRef/>
      </w:r>
      <w:r w:rsidRPr="00B83578">
        <w:t xml:space="preserve"> </w:t>
      </w:r>
      <w:r w:rsidRPr="001C446E">
        <w:t>U 2023. godini izvršene su izm</w:t>
      </w:r>
      <w:r>
        <w:t>j</w:t>
      </w:r>
      <w:r w:rsidRPr="001C446E">
        <w:t xml:space="preserve">ene Metodologije za izradu, nacrt i </w:t>
      </w:r>
      <w:r>
        <w:t>monitoring implementacije</w:t>
      </w:r>
      <w:r w:rsidRPr="001C446E">
        <w:t xml:space="preserve"> strateških dokumenata, kao što je prethodno navedeno, a OEBS je sproveo obuku.</w:t>
      </w:r>
      <w:r w:rsidRPr="00B83578">
        <w:t xml:space="preserve"> </w:t>
      </w:r>
      <w:hyperlink r:id="rId13" w:history="1">
        <w:r w:rsidRPr="00B83578">
          <w:rPr>
            <w:rStyle w:val="Hyperlink"/>
          </w:rPr>
          <w:t>OSCE Mission’s comprehensive approach in supporting equality between men and women and gender mainstreaming in Montenegro's public administration work | OSCE</w:t>
        </w:r>
      </w:hyperlink>
    </w:p>
  </w:footnote>
  <w:footnote w:id="30">
    <w:p w14:paraId="3762214D" w14:textId="1BB3C3ED" w:rsidR="00B54ABB" w:rsidRPr="00B83578" w:rsidRDefault="00B54ABB" w:rsidP="006A3E7C">
      <w:pPr>
        <w:pStyle w:val="FootnoteText"/>
      </w:pPr>
      <w:r w:rsidRPr="00B83578">
        <w:rPr>
          <w:rStyle w:val="FootnoteReference"/>
        </w:rPr>
        <w:footnoteRef/>
      </w:r>
      <w:r w:rsidRPr="00B83578">
        <w:t xml:space="preserve"> PORTODIMARE, ARIEL, ADRION 5 SENSES, </w:t>
      </w:r>
      <w:r>
        <w:t>i BlueMed inicijativa</w:t>
      </w:r>
      <w:r w:rsidRPr="00B83578">
        <w:t>.</w:t>
      </w:r>
    </w:p>
  </w:footnote>
  <w:footnote w:id="31">
    <w:p w14:paraId="317BE602" w14:textId="2EF4C649" w:rsidR="00B54ABB" w:rsidRPr="00B83578" w:rsidRDefault="00B54ABB" w:rsidP="00D457C1">
      <w:pPr>
        <w:pStyle w:val="FootnoteText"/>
      </w:pPr>
      <w:r w:rsidRPr="00B83578">
        <w:rPr>
          <w:rStyle w:val="FootnoteReference"/>
        </w:rPr>
        <w:footnoteRef/>
      </w:r>
      <w:r w:rsidRPr="00B83578">
        <w:t xml:space="preserve"> </w:t>
      </w:r>
      <w:r w:rsidRPr="00C36B9F">
        <w:t>Odluka o osnivanju Sav</w:t>
      </w:r>
      <w:r>
        <w:t>j</w:t>
      </w:r>
      <w:r w:rsidRPr="00C36B9F">
        <w:t>eta za javn</w:t>
      </w:r>
      <w:r>
        <w:t>e</w:t>
      </w:r>
      <w:r w:rsidRPr="00C36B9F">
        <w:t xml:space="preserve"> </w:t>
      </w:r>
      <w:r>
        <w:t>investicije</w:t>
      </w:r>
      <w:r w:rsidRPr="00C36B9F">
        <w:t xml:space="preserve"> objavljena je u Službenom listu Crne Gore br. 2/2024. Njeno osnivanje dovelo je do raspuštanja Nacionalnog investicionog </w:t>
      </w:r>
      <w:r>
        <w:t>komiteta</w:t>
      </w:r>
      <w:r w:rsidRPr="00C36B9F">
        <w:t>, koji je ranije bio zadužen za odobravanje Nacionalne jedinstvene liste projekata.</w:t>
      </w:r>
    </w:p>
  </w:footnote>
  <w:footnote w:id="32">
    <w:p w14:paraId="7F7AC655" w14:textId="3AD39DD3" w:rsidR="00B54ABB" w:rsidRPr="00B83578" w:rsidRDefault="00B54ABB" w:rsidP="009821CC">
      <w:pPr>
        <w:pStyle w:val="FootnoteText"/>
      </w:pPr>
      <w:r w:rsidRPr="00B83578">
        <w:rPr>
          <w:rStyle w:val="FootnoteReference"/>
        </w:rPr>
        <w:footnoteRef/>
      </w:r>
      <w:r w:rsidRPr="00B83578">
        <w:t xml:space="preserve"> </w:t>
      </w:r>
      <w:r>
        <w:t>Odluka o izradi kapitalnog budžeta</w:t>
      </w:r>
      <w:r w:rsidRPr="00B83578">
        <w:t xml:space="preserve">, </w:t>
      </w:r>
      <w:r>
        <w:t>SLužbeni list Crne Gore</w:t>
      </w:r>
      <w:r w:rsidRPr="00B83578">
        <w:t xml:space="preserve">, </w:t>
      </w:r>
      <w:r>
        <w:t>br.</w:t>
      </w:r>
      <w:r w:rsidRPr="00B83578">
        <w:t xml:space="preserve"> 36/2024</w:t>
      </w:r>
      <w:r>
        <w:t>,</w:t>
      </w:r>
      <w:r w:rsidRPr="00B83578">
        <w:t xml:space="preserve"> 18</w:t>
      </w:r>
      <w:r>
        <w:t>.</w:t>
      </w:r>
      <w:r w:rsidRPr="00B83578">
        <w:t xml:space="preserve"> </w:t>
      </w:r>
      <w:r>
        <w:t>a</w:t>
      </w:r>
      <w:r w:rsidRPr="00B83578">
        <w:t>pril</w:t>
      </w:r>
      <w:r>
        <w:t>a</w:t>
      </w:r>
      <w:r w:rsidRPr="00B83578">
        <w:t xml:space="preserve"> 2024.</w:t>
      </w:r>
      <w:r>
        <w:t xml:space="preserve"> godine.</w:t>
      </w:r>
    </w:p>
  </w:footnote>
  <w:footnote w:id="33">
    <w:p w14:paraId="099BA810" w14:textId="66ACEA50" w:rsidR="00B54ABB" w:rsidRPr="00B83578" w:rsidRDefault="00B54ABB" w:rsidP="009821CC">
      <w:pPr>
        <w:pStyle w:val="FootnoteText"/>
      </w:pPr>
      <w:r w:rsidRPr="00B83578">
        <w:rPr>
          <w:rStyle w:val="FootnoteReference"/>
        </w:rPr>
        <w:footnoteRef/>
      </w:r>
      <w:r w:rsidRPr="00B83578">
        <w:t xml:space="preserve"> </w:t>
      </w:r>
      <w:r w:rsidRPr="00C36B9F">
        <w:t>Detaljno u Prilogu Poglavlje 4</w:t>
      </w:r>
      <w:r w:rsidRPr="00B83578">
        <w:t>.</w:t>
      </w:r>
    </w:p>
  </w:footnote>
  <w:footnote w:id="34">
    <w:p w14:paraId="2F4FC321" w14:textId="167C115C" w:rsidR="00B54ABB" w:rsidRPr="00B83578" w:rsidRDefault="00B54ABB" w:rsidP="00904107">
      <w:pPr>
        <w:pStyle w:val="FootnoteText"/>
      </w:pPr>
      <w:r w:rsidRPr="00B83578">
        <w:rPr>
          <w:rStyle w:val="FootnoteReference"/>
        </w:rPr>
        <w:footnoteRef/>
      </w:r>
      <w:r w:rsidRPr="00B83578">
        <w:t xml:space="preserve"> </w:t>
      </w:r>
      <w:r w:rsidRPr="00C36B9F">
        <w:t>Kao što su princip "Ne nanosi značajnu štetu" i sm</w:t>
      </w:r>
      <w:r>
        <w:t>j</w:t>
      </w:r>
      <w:r w:rsidRPr="00C36B9F">
        <w:t>ernice Evropske komisije o otpornosti investicija na klimatske prom</w:t>
      </w:r>
      <w:r>
        <w:t>j</w:t>
      </w:r>
      <w:r w:rsidRPr="00C36B9F">
        <w:t xml:space="preserve">ene </w:t>
      </w:r>
      <w:r w:rsidRPr="00B83578">
        <w:t>https://eur-lex.europa.eu/legal-content/EN/TXT/?uri=CELEX:52021XC0916(03).</w:t>
      </w:r>
    </w:p>
  </w:footnote>
  <w:footnote w:id="35">
    <w:p w14:paraId="3A273B10" w14:textId="0EAF295E" w:rsidR="00B54ABB" w:rsidRPr="00B83578" w:rsidRDefault="00B54ABB" w:rsidP="00904107">
      <w:pPr>
        <w:pStyle w:val="FootnoteText"/>
      </w:pPr>
      <w:r w:rsidRPr="00B83578">
        <w:rPr>
          <w:rStyle w:val="FootnoteReference"/>
        </w:rPr>
        <w:footnoteRef/>
      </w:r>
      <w:r w:rsidRPr="00B83578">
        <w:t xml:space="preserve"> </w:t>
      </w:r>
      <w:r w:rsidRPr="003B2097">
        <w:t>Objavljeni su pozivi za izražavanje interes</w:t>
      </w:r>
      <w:r>
        <w:t>ovanja</w:t>
      </w:r>
      <w:r w:rsidRPr="003B2097">
        <w:t xml:space="preserve"> od strane organizacija civilnog društva (</w:t>
      </w:r>
      <w:r>
        <w:t>OCD</w:t>
      </w:r>
      <w:r w:rsidRPr="003B2097">
        <w:t xml:space="preserve">), i sve </w:t>
      </w:r>
      <w:r>
        <w:t>OCD</w:t>
      </w:r>
      <w:r w:rsidRPr="003B2097">
        <w:t xml:space="preserve"> koje su ispunjavale uslove postavljene za učešće su uključene u aktivnosti Radne grupe za sektor. Sličan pristup prim</w:t>
      </w:r>
      <w:r>
        <w:t>ij</w:t>
      </w:r>
      <w:r w:rsidRPr="003B2097">
        <w:t>enjen je za Odbor za monitoring IPA i sektorske odbore za monitoring IPA.</w:t>
      </w:r>
    </w:p>
  </w:footnote>
  <w:footnote w:id="36">
    <w:p w14:paraId="3BF58FB3" w14:textId="45947604" w:rsidR="00B54ABB" w:rsidRPr="00B83578" w:rsidRDefault="00B54ABB" w:rsidP="004D4AE3">
      <w:pPr>
        <w:pStyle w:val="FootnoteText"/>
      </w:pPr>
      <w:r w:rsidRPr="00B83578">
        <w:rPr>
          <w:rStyle w:val="FootnoteReference"/>
        </w:rPr>
        <w:footnoteRef/>
      </w:r>
      <w:r w:rsidRPr="00B83578">
        <w:t xml:space="preserve"> </w:t>
      </w:r>
      <w:r w:rsidRPr="003B2097">
        <w:t>Programski okvir IPA – prozor 1: Vladavina prava, osnovna prava i demokratija; prozor 2: Dobro upravljanje, usklađivanje sa pravnom tekovinom EU, dobrosus</w:t>
      </w:r>
      <w:r>
        <w:t>j</w:t>
      </w:r>
      <w:r w:rsidRPr="003B2097">
        <w:t>edski odnosi i strateška komunikacija; prozor 3: Zelena agenda i održiva povezanost; i prozor 4: Konkurentnost i inkluzivni rast.</w:t>
      </w:r>
    </w:p>
  </w:footnote>
  <w:footnote w:id="37">
    <w:p w14:paraId="2EAD5614" w14:textId="46380522" w:rsidR="00B54ABB" w:rsidRPr="00B83578" w:rsidRDefault="00B54ABB" w:rsidP="00233510">
      <w:pPr>
        <w:pStyle w:val="FootnoteText"/>
      </w:pPr>
      <w:r w:rsidRPr="00B83578">
        <w:rPr>
          <w:rStyle w:val="FootnoteReference"/>
        </w:rPr>
        <w:footnoteRef/>
      </w:r>
      <w:r w:rsidRPr="00B83578">
        <w:t xml:space="preserve"> </w:t>
      </w:r>
      <w:r w:rsidRPr="003B2097">
        <w:t>Iako Okvir za programiranje IPA III pominje da se za programiranje IPA III za period 2021-2027 treba pridržavati i Evropskog kodeksa ponašanja o partnerstvu, takva referenca ne postoji u FFPA koji je potpisan između Komisije i Vlade Crne Gore za IPA III</w:t>
      </w:r>
      <w:r w:rsidRPr="00B83578">
        <w:t xml:space="preserve">. </w:t>
      </w:r>
    </w:p>
  </w:footnote>
  <w:footnote w:id="38">
    <w:p w14:paraId="3B07C188" w14:textId="7D20BD01" w:rsidR="00B54ABB" w:rsidRPr="00B83578" w:rsidRDefault="00B54ABB" w:rsidP="00632325">
      <w:pPr>
        <w:pStyle w:val="FootnoteText"/>
      </w:pPr>
      <w:r w:rsidRPr="00B83578">
        <w:rPr>
          <w:rStyle w:val="FootnoteReference"/>
        </w:rPr>
        <w:footnoteRef/>
      </w:r>
      <w:r w:rsidRPr="00B83578">
        <w:t xml:space="preserve"> La</w:t>
      </w:r>
      <w:r>
        <w:t>nsiranje</w:t>
      </w:r>
      <w:r w:rsidRPr="00B83578">
        <w:t xml:space="preserve"> IPA III 2025-2027 Note</w:t>
      </w:r>
      <w:r>
        <w:t xml:space="preserve"> o programiranju</w:t>
      </w:r>
      <w:r w:rsidRPr="00B83578">
        <w:t xml:space="preserve"> </w:t>
      </w:r>
      <w:r>
        <w:t>Crna Gora</w:t>
      </w:r>
      <w:r w:rsidRPr="00B83578">
        <w:t>, Ref.ARES(2024)5548182 dat</w:t>
      </w:r>
      <w:r>
        <w:t>um</w:t>
      </w:r>
      <w:r w:rsidRPr="00B83578">
        <w:t xml:space="preserve"> 31/07/2024.</w:t>
      </w:r>
    </w:p>
  </w:footnote>
  <w:footnote w:id="39">
    <w:p w14:paraId="1DB23663" w14:textId="3A89533A" w:rsidR="00B54ABB" w:rsidRPr="00B83578" w:rsidRDefault="00B54ABB" w:rsidP="005040F3">
      <w:pPr>
        <w:pStyle w:val="FootnoteText"/>
      </w:pPr>
      <w:r w:rsidRPr="00B83578">
        <w:rPr>
          <w:rStyle w:val="FootnoteReference"/>
        </w:rPr>
        <w:footnoteRef/>
      </w:r>
      <w:r w:rsidRPr="00B83578">
        <w:t xml:space="preserve"> </w:t>
      </w:r>
      <w:r>
        <w:t>Kao što je opisano u Operativnom programu</w:t>
      </w:r>
      <w:r w:rsidRPr="00B83578">
        <w:t xml:space="preserve"> </w:t>
      </w:r>
      <w:hyperlink r:id="rId14" w:history="1">
        <w:r w:rsidRPr="00B83578">
          <w:rPr>
            <w:rStyle w:val="Hyperlink"/>
          </w:rPr>
          <w:t>d92cfd3b-49c2-4ec5-9b70-470204f2244d_en (europa.eu)</w:t>
        </w:r>
      </w:hyperlink>
    </w:p>
  </w:footnote>
  <w:footnote w:id="40">
    <w:p w14:paraId="0D0EE16A" w14:textId="4EECBC53" w:rsidR="00B54ABB" w:rsidRPr="00B83578" w:rsidRDefault="00B54ABB" w:rsidP="00E945C0">
      <w:pPr>
        <w:pStyle w:val="FootnoteText"/>
      </w:pPr>
      <w:r w:rsidRPr="00B83578">
        <w:rPr>
          <w:rStyle w:val="FootnoteReference"/>
        </w:rPr>
        <w:footnoteRef/>
      </w:r>
      <w:r w:rsidRPr="00B83578">
        <w:t xml:space="preserve"> </w:t>
      </w:r>
      <w:r>
        <w:t xml:space="preserve">Kao što je opisano u Operativnom programu </w:t>
      </w:r>
      <w:hyperlink r:id="rId15" w:history="1">
        <w:r w:rsidRPr="00B83578">
          <w:rPr>
            <w:rStyle w:val="Hyperlink"/>
          </w:rPr>
          <w:t>114e8f96-664e-4187-8140-b96761d4192b_en (europa.eu)</w:t>
        </w:r>
      </w:hyperlink>
    </w:p>
  </w:footnote>
  <w:footnote w:id="41">
    <w:p w14:paraId="11BC5A61" w14:textId="2D467758" w:rsidR="00B54ABB" w:rsidRPr="00B83578" w:rsidRDefault="00B54ABB" w:rsidP="005B7B3F">
      <w:pPr>
        <w:pStyle w:val="FootnoteText"/>
      </w:pPr>
      <w:r w:rsidRPr="00B83578">
        <w:rPr>
          <w:rStyle w:val="FootnoteReference"/>
        </w:rPr>
        <w:footnoteRef/>
      </w:r>
      <w:r w:rsidRPr="00B83578">
        <w:t xml:space="preserve"> </w:t>
      </w:r>
      <w:r w:rsidRPr="00924F1C">
        <w:t>IPARD III program, koji je Komisija usvojila 29. juna 2022. godine, pratio je proces konsultacija sa svim relevantnim stranama; resorno Ministarstvo poljoprivrede, šumarstva i vodoprivrede uspostavilo je mehanizme za efikasnu unutar-ministarsku koordinaciju i konsultacije na početku programiranja, a formirana je i radna grupa sastavljena od predstavnika vlasti, tijela i socio-ekonomskih partnera, sa ciljem usmjeravanja procesa programiranja i pružanja komentara i pr</w:t>
      </w:r>
      <w:r>
        <w:t>ij</w:t>
      </w:r>
      <w:r w:rsidRPr="00924F1C">
        <w:t xml:space="preserve">edloga. Pored objavljivanja nacrta programskog dokumenta na internet stranici Ministarstva i promocije putem društvenih mreža radi dobijanja komentara, radionice su održane u sjevernom, centralnom i južnom dijelu Crne Gore za više od stotinu poljoprivrednih proizvođača, predstavnika udruženja proizvođača i predstavnika lokalne samouprave. Konsultovani partneri su uključivali: relevantne javne organe i tijela, ekonomske, socijalne i ekološke partnere, poljoprivrednike i predstavnike industrije, lokalne samouprave – predstavljene od strane Zajednice opština Crne Gore, bilateralne i multilateralne donatorske organizacije, kao i akademske i istraživačke institucije, kao što je predstavljeno u poglavlju 13 IPARD Programa. Rezultati konsultacija su sumirani u </w:t>
      </w:r>
      <w:r>
        <w:t>Aneksu</w:t>
      </w:r>
      <w:r w:rsidRPr="00924F1C">
        <w:t xml:space="preserve"> VII.</w:t>
      </w:r>
    </w:p>
  </w:footnote>
  <w:footnote w:id="42">
    <w:p w14:paraId="0AB67875" w14:textId="10224086" w:rsidR="00B54ABB" w:rsidRPr="00DC3C0F" w:rsidRDefault="00B54ABB" w:rsidP="005B7B3F">
      <w:pPr>
        <w:pStyle w:val="FootnoteText"/>
        <w:rPr>
          <w:lang w:val="en-US"/>
        </w:rPr>
      </w:pPr>
      <w:r w:rsidRPr="00B83578">
        <w:rPr>
          <w:rStyle w:val="FootnoteReference"/>
        </w:rPr>
        <w:footnoteRef/>
      </w:r>
      <w:r w:rsidRPr="00B83578">
        <w:t xml:space="preserve"> </w:t>
      </w:r>
      <w:r w:rsidRPr="00924F1C">
        <w:t xml:space="preserve">Kao što je navedeno u Programu, onlajn anketa je distribuirana u maju 2021. godine na 977 imejl adresa, sa liste sastavljene u saradnji sa Nacionalnim vlastima; od 192 odgovora na upitnik, 90 odgovora je bilo od strane hrvatskih zainteresovanih strana, 83 odgovora od zainteresovanih strana iz Bosne </w:t>
      </w:r>
      <w:r>
        <w:t>i Hercegovine</w:t>
      </w:r>
      <w:r w:rsidRPr="00924F1C">
        <w:t xml:space="preserve">, и 19 </w:t>
      </w:r>
      <w:r>
        <w:t>od crnogorskih zainteresovanih strana</w:t>
      </w:r>
      <w:r w:rsidRPr="00B83578">
        <w:t xml:space="preserve">. </w:t>
      </w:r>
      <w:hyperlink r:id="rId16" w:history="1">
        <w:r w:rsidRPr="00DC3C0F">
          <w:rPr>
            <w:rStyle w:val="Hyperlink"/>
            <w:lang w:val="en-US"/>
          </w:rPr>
          <w:t>Interreg-VI-A-IPA-Croatia-Bosnia-and-Herzegovina-Montenegro_version-1.1.pdf (interreg-hr-ba-me.eu)</w:t>
        </w:r>
      </w:hyperlink>
    </w:p>
  </w:footnote>
  <w:footnote w:id="43">
    <w:p w14:paraId="44528469" w14:textId="68ADABB4" w:rsidR="00B54ABB" w:rsidRPr="00DC3C0F" w:rsidRDefault="00B54ABB" w:rsidP="004E687E">
      <w:pPr>
        <w:pStyle w:val="FootnoteText"/>
        <w:rPr>
          <w:lang w:val="en-US"/>
        </w:rPr>
      </w:pPr>
      <w:r w:rsidRPr="00B83578">
        <w:rPr>
          <w:rStyle w:val="FootnoteReference"/>
        </w:rPr>
        <w:footnoteRef/>
      </w:r>
      <w:r w:rsidRPr="00DC3C0F">
        <w:rPr>
          <w:lang w:val="en-US"/>
        </w:rPr>
        <w:t xml:space="preserve"> </w:t>
      </w:r>
      <w:hyperlink r:id="rId17" w:history="1">
        <w:r w:rsidRPr="00DC3C0F">
          <w:rPr>
            <w:rStyle w:val="Hyperlink"/>
            <w:lang w:val="en-US"/>
          </w:rPr>
          <w:t>https://www.italy-albania-montenegro.eu/sites/default/files/2022-09/Interreg_IPA_South_Adriatic_C%282022%296940_v1_2_26092022.pdf</w:t>
        </w:r>
      </w:hyperlink>
      <w:r w:rsidRPr="00DC3C0F">
        <w:rPr>
          <w:lang w:val="en-US"/>
        </w:rPr>
        <w:t xml:space="preserve"> </w:t>
      </w:r>
      <w:r>
        <w:rPr>
          <w:lang w:val="en-US"/>
        </w:rPr>
        <w:t>Poglavlje</w:t>
      </w:r>
      <w:r w:rsidRPr="00DC3C0F">
        <w:rPr>
          <w:lang w:val="en-US"/>
        </w:rPr>
        <w:t xml:space="preserve"> 4.</w:t>
      </w:r>
    </w:p>
  </w:footnote>
  <w:footnote w:id="44">
    <w:p w14:paraId="22DC64A0" w14:textId="2AF75961" w:rsidR="00B54ABB" w:rsidRPr="00B83578" w:rsidRDefault="00B54ABB" w:rsidP="004E687E">
      <w:pPr>
        <w:pStyle w:val="FootnoteText"/>
      </w:pPr>
      <w:r w:rsidRPr="00B83578">
        <w:rPr>
          <w:rStyle w:val="FootnoteReference"/>
        </w:rPr>
        <w:footnoteRef/>
      </w:r>
      <w:r w:rsidRPr="00B83578">
        <w:t xml:space="preserve"> </w:t>
      </w:r>
      <w:r w:rsidRPr="00924F1C">
        <w:t xml:space="preserve">Transnacionalna saradnja na širim transnacionalnim teritorijama ili oko morskih basena, koja uključuje nacionalne, regionalne i lokalne programske partnere u državama članicama, trećim zemljama i partnerskim zemljama i prekomorskim zemljama i </w:t>
      </w:r>
      <w:r>
        <w:t>OCT</w:t>
      </w:r>
      <w:r w:rsidRPr="00924F1C">
        <w:t xml:space="preserve">, u cilju postizanja višeg stepena teritorijalne integracije – Član 3. stav 2. </w:t>
      </w:r>
      <w:r>
        <w:t>ETS</w:t>
      </w:r>
      <w:r w:rsidRPr="00924F1C">
        <w:t xml:space="preserve"> </w:t>
      </w:r>
      <w:r>
        <w:t>Regulative.</w:t>
      </w:r>
    </w:p>
  </w:footnote>
  <w:footnote w:id="45">
    <w:p w14:paraId="6E0114CB" w14:textId="22D60ADA" w:rsidR="00B54ABB" w:rsidRPr="00B83578" w:rsidRDefault="00B54ABB" w:rsidP="004E687E">
      <w:pPr>
        <w:pStyle w:val="FootnoteText"/>
      </w:pPr>
      <w:r w:rsidRPr="00B83578">
        <w:rPr>
          <w:rStyle w:val="FootnoteReference"/>
        </w:rPr>
        <w:footnoteRef/>
      </w:r>
      <w:r w:rsidRPr="00B83578">
        <w:t xml:space="preserve"> </w:t>
      </w:r>
      <w:r>
        <w:t>Uključujući posmatrača u</w:t>
      </w:r>
      <w:r w:rsidRPr="00B83578">
        <w:t xml:space="preserve"> ESPON</w:t>
      </w:r>
      <w:r>
        <w:t>-u</w:t>
      </w:r>
      <w:r w:rsidRPr="00B83578">
        <w:t>.</w:t>
      </w:r>
    </w:p>
  </w:footnote>
  <w:footnote w:id="46">
    <w:p w14:paraId="51DC236D" w14:textId="77777777" w:rsidR="00B54ABB" w:rsidRPr="00B83578" w:rsidRDefault="00B54ABB" w:rsidP="00F81952">
      <w:pPr>
        <w:pStyle w:val="FootnoteText"/>
      </w:pPr>
      <w:r w:rsidRPr="00B83578">
        <w:rPr>
          <w:rStyle w:val="FootnoteReference"/>
        </w:rPr>
        <w:footnoteRef/>
      </w:r>
      <w:r w:rsidRPr="00B83578">
        <w:t xml:space="preserve"> </w:t>
      </w:r>
      <w:hyperlink r:id="rId18" w:history="1">
        <w:r w:rsidRPr="00B83578">
          <w:rPr>
            <w:rStyle w:val="Hyperlink"/>
          </w:rPr>
          <w:t>https://www.gov.me/clanak/izvjestaj-o-sprovedenoj-javnoj-raspravi-o-nacrtu-zakona-o-regionalnom-razvoju</w:t>
        </w:r>
      </w:hyperlink>
      <w:r w:rsidRPr="00B83578">
        <w:t xml:space="preserve"> </w:t>
      </w:r>
    </w:p>
  </w:footnote>
  <w:footnote w:id="47">
    <w:p w14:paraId="256494F1" w14:textId="77777777" w:rsidR="00B54ABB" w:rsidRPr="00DC3C0F" w:rsidRDefault="00B54ABB" w:rsidP="00287450">
      <w:pPr>
        <w:pStyle w:val="FootnoteText"/>
        <w:rPr>
          <w:lang w:val="en-US"/>
        </w:rPr>
      </w:pPr>
      <w:r w:rsidRPr="00B83578">
        <w:rPr>
          <w:rStyle w:val="FootnoteReference"/>
        </w:rPr>
        <w:footnoteRef/>
      </w:r>
      <w:r w:rsidRPr="00DC3C0F">
        <w:rPr>
          <w:lang w:val="en-US"/>
        </w:rPr>
        <w:t xml:space="preserve"> </w:t>
      </w:r>
      <w:hyperlink r:id="rId19" w:history="1">
        <w:r w:rsidRPr="00DC3C0F">
          <w:rPr>
            <w:rStyle w:val="Hyperlink"/>
            <w:lang w:val="en-US"/>
          </w:rPr>
          <w:t>Strategija regionalnog razvoja Crne Gore 2023-2027 (www.gov.me)</w:t>
        </w:r>
      </w:hyperlink>
    </w:p>
  </w:footnote>
  <w:footnote w:id="48">
    <w:p w14:paraId="55953621" w14:textId="49B45A7F" w:rsidR="00B54ABB" w:rsidRPr="00B83578" w:rsidRDefault="00B54ABB" w:rsidP="00253EC5">
      <w:pPr>
        <w:pStyle w:val="FootnoteText"/>
      </w:pPr>
      <w:r w:rsidRPr="00B83578">
        <w:rPr>
          <w:rStyle w:val="FootnoteReference"/>
        </w:rPr>
        <w:footnoteRef/>
      </w:r>
      <w:r w:rsidRPr="00B83578">
        <w:t xml:space="preserve"> </w:t>
      </w:r>
      <w:r w:rsidRPr="00511126">
        <w:t>Indeks konkurentnosti je složeni indikator zasnovan na 143 indikatora, i to: 110 statističkih i 33 anketna faktora, strukturi</w:t>
      </w:r>
      <w:r>
        <w:t>sanih</w:t>
      </w:r>
      <w:r w:rsidRPr="00511126">
        <w:t xml:space="preserve"> u osam klastera (pod-faktora), koji čine dva faktora konkurentnosti: poslovno okruženje i poslovni sektor, u skladu sa </w:t>
      </w:r>
      <w:r>
        <w:t>Regulativom</w:t>
      </w:r>
      <w:r w:rsidRPr="00511126">
        <w:t xml:space="preserve"> o metodologiji za izračunavanje Indeksa konkurentnosti jedinica lokalne samouprave.</w:t>
      </w:r>
      <w:r w:rsidRPr="00B83578">
        <w:t xml:space="preserve">. </w:t>
      </w:r>
    </w:p>
  </w:footnote>
  <w:footnote w:id="49">
    <w:p w14:paraId="0E0A2520" w14:textId="59C6F89E" w:rsidR="00B54ABB" w:rsidRPr="00B83578" w:rsidRDefault="00B54ABB" w:rsidP="00BD1637">
      <w:pPr>
        <w:pStyle w:val="FootnoteText"/>
      </w:pPr>
      <w:r w:rsidRPr="00B83578">
        <w:rPr>
          <w:rStyle w:val="FootnoteReference"/>
        </w:rPr>
        <w:footnoteRef/>
      </w:r>
      <w:r w:rsidRPr="00B83578">
        <w:t xml:space="preserve"> </w:t>
      </w:r>
      <w:r w:rsidRPr="00511126">
        <w:t>Usp</w:t>
      </w:r>
      <w:r>
        <w:t>j</w:t>
      </w:r>
      <w:r w:rsidRPr="00511126">
        <w:t>ešan prim</w:t>
      </w:r>
      <w:r>
        <w:t>j</w:t>
      </w:r>
      <w:r w:rsidRPr="00511126">
        <w:t>er u tom smislu može se vid</w:t>
      </w:r>
      <w:r>
        <w:t>j</w:t>
      </w:r>
      <w:r w:rsidRPr="00511126">
        <w:t>eti u Hrvatskoj</w:t>
      </w:r>
      <w:r w:rsidRPr="00B83578">
        <w:t xml:space="preserve">. </w:t>
      </w:r>
    </w:p>
  </w:footnote>
  <w:footnote w:id="50">
    <w:p w14:paraId="7917CBB1" w14:textId="61CE105C" w:rsidR="00B54ABB" w:rsidRPr="00B83578" w:rsidRDefault="00B54ABB" w:rsidP="00585AC1">
      <w:pPr>
        <w:pStyle w:val="FootnoteText"/>
      </w:pPr>
      <w:r w:rsidRPr="00B83578">
        <w:rPr>
          <w:rStyle w:val="FootnoteReference"/>
        </w:rPr>
        <w:footnoteRef/>
      </w:r>
      <w:r w:rsidRPr="00B83578">
        <w:t xml:space="preserve"> </w:t>
      </w:r>
      <w:r w:rsidRPr="00511126">
        <w:t>Na inicijativu UNDP-a, proces pravedne tranzicije za Crnu Goru započeo je 2021. godine uz finansijsku podršku Vlade Slovačke Republike (Slovak Aid).</w:t>
      </w:r>
    </w:p>
  </w:footnote>
  <w:footnote w:id="51">
    <w:p w14:paraId="6247FF93" w14:textId="77777777" w:rsidR="00B54ABB" w:rsidRPr="00B83578" w:rsidRDefault="00B54ABB" w:rsidP="00585AC1">
      <w:pPr>
        <w:pStyle w:val="FootnoteText"/>
      </w:pPr>
      <w:r w:rsidRPr="00B83578">
        <w:rPr>
          <w:rStyle w:val="FootnoteReference"/>
        </w:rPr>
        <w:footnoteRef/>
      </w:r>
      <w:r w:rsidRPr="00B83578">
        <w:t xml:space="preserve"> </w:t>
      </w:r>
      <w:hyperlink r:id="rId20" w:history="1">
        <w:r w:rsidRPr="00B83578">
          <w:rPr>
            <w:rStyle w:val="Hyperlink"/>
          </w:rPr>
          <w:t>https://www.undp.org/montenegro/publications/diagnostics-socio-economic-situation-coal-region-pljevlja</w:t>
        </w:r>
      </w:hyperlink>
      <w:r w:rsidRPr="00B83578">
        <w:t xml:space="preserve"> </w:t>
      </w:r>
    </w:p>
  </w:footnote>
  <w:footnote w:id="52">
    <w:p w14:paraId="7EDB0C1A" w14:textId="3A45B0E6" w:rsidR="00B54ABB" w:rsidRPr="00B83578" w:rsidRDefault="00B54ABB" w:rsidP="00585AC1">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r w:rsidRPr="00511126">
        <w:rPr>
          <w:rStyle w:val="IntenseEmphasis"/>
          <w:i w:val="0"/>
          <w:iCs w:val="0"/>
          <w:color w:val="auto"/>
        </w:rPr>
        <w:t>Reformska agenda uključuje relevantne korake za pravednu tranziciju, npr. podoblast 2.2.1 Kratkoročne m</w:t>
      </w:r>
      <w:r>
        <w:rPr>
          <w:rStyle w:val="IntenseEmphasis"/>
          <w:i w:val="0"/>
          <w:iCs w:val="0"/>
          <w:color w:val="auto"/>
        </w:rPr>
        <w:t>j</w:t>
      </w:r>
      <w:r w:rsidRPr="00511126">
        <w:rPr>
          <w:rStyle w:val="IntenseEmphasis"/>
          <w:i w:val="0"/>
          <w:iCs w:val="0"/>
          <w:color w:val="auto"/>
        </w:rPr>
        <w:t>ere za razvoj ljudskog kapitala, sa fokusom na prekvalifikaciju i ponovno zapošljavanje u pljevaljskom regionu, su završene u skladu sa akcionim planom za pravednu tranziciju.</w:t>
      </w:r>
    </w:p>
  </w:footnote>
  <w:footnote w:id="53">
    <w:p w14:paraId="1FD6F118" w14:textId="1C06FD7E" w:rsidR="00B54ABB" w:rsidRPr="00B83578" w:rsidRDefault="00B54ABB" w:rsidP="003B191E">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vertAlign w:val="superscript"/>
        </w:rPr>
        <w:t xml:space="preserve"> </w:t>
      </w:r>
      <w:r w:rsidRPr="00511126">
        <w:rPr>
          <w:rStyle w:val="IntenseEmphasis"/>
          <w:i w:val="0"/>
          <w:iCs w:val="0"/>
          <w:color w:val="auto"/>
        </w:rPr>
        <w:t>Kao što je navedeno u IPARD III Programu, postoje i neformalne Lokalne akcione grupe.</w:t>
      </w:r>
    </w:p>
  </w:footnote>
  <w:footnote w:id="54">
    <w:p w14:paraId="2788FA57" w14:textId="6470B159" w:rsidR="00B54ABB" w:rsidRPr="00B83578" w:rsidRDefault="00B54ABB" w:rsidP="003B191E">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r w:rsidRPr="00511126">
        <w:rPr>
          <w:rStyle w:val="IntenseEmphasis"/>
          <w:i w:val="0"/>
          <w:iCs w:val="0"/>
          <w:color w:val="auto"/>
        </w:rPr>
        <w:t>Na prim</w:t>
      </w:r>
      <w:r>
        <w:rPr>
          <w:rStyle w:val="IntenseEmphasis"/>
          <w:i w:val="0"/>
          <w:iCs w:val="0"/>
          <w:color w:val="auto"/>
        </w:rPr>
        <w:t>j</w:t>
      </w:r>
      <w:r w:rsidRPr="00511126">
        <w:rPr>
          <w:rStyle w:val="IntenseEmphasis"/>
          <w:i w:val="0"/>
          <w:iCs w:val="0"/>
          <w:color w:val="auto"/>
        </w:rPr>
        <w:t>er, u dokumentu Programa Južnog Jadrana se navodi: "Ne planira se upotreba specifičnih teritorijalnih instrumenata, uglavnom zato što se oni još uv</w:t>
      </w:r>
      <w:r>
        <w:rPr>
          <w:rStyle w:val="IntenseEmphasis"/>
          <w:i w:val="0"/>
          <w:iCs w:val="0"/>
          <w:color w:val="auto"/>
        </w:rPr>
        <w:t>ij</w:t>
      </w:r>
      <w:r w:rsidRPr="00511126">
        <w:rPr>
          <w:rStyle w:val="IntenseEmphasis"/>
          <w:i w:val="0"/>
          <w:iCs w:val="0"/>
          <w:color w:val="auto"/>
        </w:rPr>
        <w:t>ek ne koriste u zemljama u pretpristupnom procesu koje učestvuju u programu, te su stoga nedovoljno poznati u ovom kontekstu."</w:t>
      </w:r>
    </w:p>
  </w:footnote>
  <w:footnote w:id="55">
    <w:p w14:paraId="359C10C3" w14:textId="5E48846A" w:rsidR="00B54ABB" w:rsidRPr="00B83578" w:rsidRDefault="00B54ABB" w:rsidP="003B191E">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vertAlign w:val="superscript"/>
        </w:rPr>
        <w:t xml:space="preserve"> </w:t>
      </w:r>
      <w:r w:rsidRPr="00511126">
        <w:rPr>
          <w:rStyle w:val="IntenseEmphasis"/>
          <w:i w:val="0"/>
          <w:iCs w:val="0"/>
          <w:color w:val="auto"/>
        </w:rPr>
        <w:t>LEADER - Liaison Entre Actions de Development de l’Économie Rural – pristup lokalnog razvoja pod vođstvom zajednice (</w:t>
      </w:r>
      <w:r>
        <w:rPr>
          <w:rStyle w:val="IntenseEmphasis"/>
          <w:i w:val="0"/>
          <w:iCs w:val="0"/>
          <w:color w:val="auto"/>
        </w:rPr>
        <w:t>LRPVZ</w:t>
      </w:r>
      <w:r w:rsidRPr="00511126">
        <w:rPr>
          <w:rStyle w:val="IntenseEmphasis"/>
          <w:i w:val="0"/>
          <w:iCs w:val="0"/>
          <w:color w:val="auto"/>
        </w:rPr>
        <w:t xml:space="preserve">); u programskom periodu 2014–2020, </w:t>
      </w:r>
      <w:r>
        <w:rPr>
          <w:rStyle w:val="IntenseEmphasis"/>
          <w:i w:val="0"/>
          <w:iCs w:val="0"/>
          <w:color w:val="auto"/>
        </w:rPr>
        <w:t>LRPVZ</w:t>
      </w:r>
      <w:r w:rsidRPr="00511126">
        <w:rPr>
          <w:rStyle w:val="IntenseEmphasis"/>
          <w:i w:val="0"/>
          <w:iCs w:val="0"/>
          <w:color w:val="auto"/>
        </w:rPr>
        <w:t xml:space="preserve">, zasnovan na LEADER pristupu, uveden je za ESI fondove – Evropske strukturne i investicione fondove, naime Evropski fond za regionalni razvoj, Evropski socijalni fond, Evropski poljoprivredni fond za ruralni razvoj, Evropski fond za pomorstvo i ribarstvo. </w:t>
      </w:r>
      <w:r>
        <w:rPr>
          <w:rStyle w:val="IntenseEmphasis"/>
          <w:i w:val="0"/>
          <w:iCs w:val="0"/>
          <w:color w:val="auto"/>
        </w:rPr>
        <w:t>RZO</w:t>
      </w:r>
      <w:r w:rsidRPr="00511126">
        <w:rPr>
          <w:rStyle w:val="IntenseEmphasis"/>
          <w:i w:val="0"/>
          <w:iCs w:val="0"/>
          <w:color w:val="auto"/>
        </w:rPr>
        <w:t xml:space="preserve"> 2021–2027 ne uključuje Evropski poljoprivredni fond za ruralni razvoj, ali je </w:t>
      </w:r>
      <w:r>
        <w:rPr>
          <w:rStyle w:val="IntenseEmphasis"/>
          <w:i w:val="0"/>
          <w:iCs w:val="0"/>
          <w:color w:val="auto"/>
        </w:rPr>
        <w:t>LRPVZ</w:t>
      </w:r>
      <w:r w:rsidRPr="00511126">
        <w:rPr>
          <w:rStyle w:val="IntenseEmphasis"/>
          <w:i w:val="0"/>
          <w:iCs w:val="0"/>
          <w:color w:val="auto"/>
        </w:rPr>
        <w:t xml:space="preserve"> predviđen kao jedan oblik integrisanog teritorijalnog razvoja.</w:t>
      </w:r>
      <w:r w:rsidRPr="00B83578">
        <w:rPr>
          <w:rStyle w:val="IntenseEmphasis"/>
          <w:i w:val="0"/>
          <w:iCs w:val="0"/>
          <w:color w:val="auto"/>
        </w:rPr>
        <w:t xml:space="preserve">. </w:t>
      </w:r>
    </w:p>
  </w:footnote>
  <w:footnote w:id="56">
    <w:p w14:paraId="1FF096EA" w14:textId="481D893E" w:rsidR="00B54ABB" w:rsidRPr="00B83578" w:rsidRDefault="00B54ABB" w:rsidP="006D523E">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vertAlign w:val="superscript"/>
        </w:rPr>
        <w:t xml:space="preserve"> </w:t>
      </w:r>
      <w:r w:rsidRPr="00F8235A">
        <w:rPr>
          <w:rStyle w:val="IntenseEmphasis"/>
          <w:i w:val="0"/>
          <w:iCs w:val="0"/>
          <w:color w:val="auto"/>
        </w:rPr>
        <w:t>Iskustvo prijavljeno u vezi sa finansijskim instrumentima nije u skladu sa zaht</w:t>
      </w:r>
      <w:r>
        <w:rPr>
          <w:rStyle w:val="IntenseEmphasis"/>
          <w:i w:val="0"/>
          <w:iCs w:val="0"/>
          <w:color w:val="auto"/>
        </w:rPr>
        <w:t>j</w:t>
      </w:r>
      <w:r w:rsidRPr="00F8235A">
        <w:rPr>
          <w:rStyle w:val="IntenseEmphasis"/>
          <w:i w:val="0"/>
          <w:iCs w:val="0"/>
          <w:color w:val="auto"/>
        </w:rPr>
        <w:t xml:space="preserve">evima iz </w:t>
      </w:r>
      <w:r>
        <w:rPr>
          <w:rStyle w:val="IntenseEmphasis"/>
          <w:i w:val="0"/>
          <w:iCs w:val="0"/>
          <w:color w:val="auto"/>
        </w:rPr>
        <w:t>RZO</w:t>
      </w:r>
      <w:r w:rsidRPr="00F8235A">
        <w:rPr>
          <w:rStyle w:val="IntenseEmphasis"/>
          <w:i w:val="0"/>
          <w:iCs w:val="0"/>
          <w:color w:val="auto"/>
        </w:rPr>
        <w:t>-a za upotrebu finansijskih instrumenata fondova Kohezi</w:t>
      </w:r>
      <w:r>
        <w:rPr>
          <w:rStyle w:val="IntenseEmphasis"/>
          <w:i w:val="0"/>
          <w:iCs w:val="0"/>
          <w:color w:val="auto"/>
        </w:rPr>
        <w:t>one</w:t>
      </w:r>
      <w:r w:rsidRPr="00F8235A">
        <w:rPr>
          <w:rStyle w:val="IntenseEmphasis"/>
          <w:i w:val="0"/>
          <w:iCs w:val="0"/>
          <w:color w:val="auto"/>
        </w:rPr>
        <w:t xml:space="preserve"> politike.</w:t>
      </w:r>
    </w:p>
  </w:footnote>
  <w:footnote w:id="57">
    <w:p w14:paraId="4578999D" w14:textId="5F750DB0" w:rsidR="00B54ABB" w:rsidRPr="00B83578" w:rsidRDefault="00B54ABB" w:rsidP="003B191E">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hyperlink r:id="rId21" w:history="1">
        <w:r w:rsidRPr="00B83578">
          <w:rPr>
            <w:rStyle w:val="IntenseEmphasis"/>
            <w:i w:val="0"/>
            <w:iCs w:val="0"/>
            <w:color w:val="auto"/>
          </w:rPr>
          <w:t>Inves</w:t>
        </w:r>
        <w:r>
          <w:rPr>
            <w:rStyle w:val="IntenseEmphasis"/>
            <w:i w:val="0"/>
            <w:iCs w:val="0"/>
            <w:color w:val="auto"/>
          </w:rPr>
          <w:t>ticiono-razvojni fond Crne Gore</w:t>
        </w:r>
        <w:r w:rsidRPr="00B83578">
          <w:rPr>
            <w:rStyle w:val="IntenseEmphasis"/>
            <w:i w:val="0"/>
            <w:iCs w:val="0"/>
            <w:color w:val="auto"/>
          </w:rPr>
          <w:t xml:space="preserve"> (irfcg.me)</w:t>
        </w:r>
      </w:hyperlink>
      <w:r w:rsidRPr="00B83578">
        <w:rPr>
          <w:rStyle w:val="IntenseEmphasis"/>
          <w:i w:val="0"/>
          <w:iCs w:val="0"/>
          <w:color w:val="auto"/>
        </w:rPr>
        <w:t xml:space="preserve"> </w:t>
      </w:r>
    </w:p>
  </w:footnote>
  <w:footnote w:id="58">
    <w:p w14:paraId="62609317" w14:textId="622AACC5" w:rsidR="00B54ABB" w:rsidRPr="00B83578" w:rsidRDefault="00B54ABB" w:rsidP="00B31753">
      <w:pPr>
        <w:pStyle w:val="FootnoteText"/>
      </w:pPr>
      <w:r w:rsidRPr="00B83578">
        <w:rPr>
          <w:rStyle w:val="FootnoteReference"/>
        </w:rPr>
        <w:footnoteRef/>
      </w:r>
      <w:r w:rsidRPr="00B83578">
        <w:t xml:space="preserve"> </w:t>
      </w:r>
      <w:r>
        <w:t>Program je predviđen za 2024. godinu</w:t>
      </w:r>
      <w:r w:rsidRPr="00B83578">
        <w:t xml:space="preserve"> </w:t>
      </w:r>
      <w:hyperlink r:id="rId22" w:history="1">
        <w:r w:rsidRPr="00B83578">
          <w:rPr>
            <w:rStyle w:val="Hyperlink"/>
          </w:rPr>
          <w:t>1716463159-bord-prg-13-19-eu-easi-program-podrske-investicijama.pdf (irfcg.me)</w:t>
        </w:r>
      </w:hyperlink>
      <w:r w:rsidRPr="00B83578">
        <w:t xml:space="preserve"> </w:t>
      </w:r>
    </w:p>
  </w:footnote>
  <w:footnote w:id="59">
    <w:p w14:paraId="7204F450" w14:textId="5F49C95A" w:rsidR="00B54ABB" w:rsidRPr="00B83578" w:rsidRDefault="00B54ABB" w:rsidP="00B31753">
      <w:pPr>
        <w:pStyle w:val="FootnoteText"/>
      </w:pPr>
      <w:r w:rsidRPr="00B83578">
        <w:rPr>
          <w:rStyle w:val="FootnoteReference"/>
        </w:rPr>
        <w:footnoteRef/>
      </w:r>
      <w:r w:rsidRPr="00B83578">
        <w:t xml:space="preserve"> </w:t>
      </w:r>
      <w:r w:rsidRPr="00F8235A">
        <w:t>Evropski poljoprivredni fond za ruralni razvoj, Evropski fond za pomorstvo, ribarstvo i akvakulturu i Fond za azil, migracije i integraciju</w:t>
      </w:r>
      <w:r>
        <w:t>.</w:t>
      </w:r>
    </w:p>
  </w:footnote>
  <w:footnote w:id="60">
    <w:p w14:paraId="50B2D53A" w14:textId="77777777" w:rsidR="00B54ABB" w:rsidRPr="00B83578" w:rsidRDefault="00B54ABB" w:rsidP="00B31753">
      <w:pPr>
        <w:pStyle w:val="FootnoteText"/>
      </w:pPr>
      <w:r w:rsidRPr="00B83578">
        <w:rPr>
          <w:rStyle w:val="FootnoteReference"/>
        </w:rPr>
        <w:footnoteRef/>
      </w:r>
      <w:r w:rsidRPr="00B83578">
        <w:t xml:space="preserve"> </w:t>
      </w:r>
      <w:hyperlink r:id="rId23" w:history="1">
        <w:r w:rsidRPr="00B83578">
          <w:rPr>
            <w:rStyle w:val="Hyperlink"/>
          </w:rPr>
          <w:t>https://ec.europa.eu/commission/presscorner/detail/en/ip_25_486</w:t>
        </w:r>
      </w:hyperlink>
      <w:r w:rsidRPr="00B83578">
        <w:t xml:space="preserve"> </w:t>
      </w:r>
    </w:p>
  </w:footnote>
  <w:footnote w:id="61">
    <w:p w14:paraId="3D0057C2" w14:textId="64963BC7" w:rsidR="00B54ABB" w:rsidRPr="00B83578" w:rsidRDefault="00B54ABB" w:rsidP="00B75F03">
      <w:pPr>
        <w:pStyle w:val="FootnoteText"/>
      </w:pPr>
      <w:r w:rsidRPr="00B83578">
        <w:rPr>
          <w:rStyle w:val="FootnoteReference"/>
        </w:rPr>
        <w:footnoteRef/>
      </w:r>
      <w:r w:rsidRPr="00B83578">
        <w:t xml:space="preserve"> </w:t>
      </w:r>
      <w:r w:rsidRPr="00F8235A">
        <w:t xml:space="preserve">Podrška planiranju, programiranju i koordinaciji u vezi sa finansijskom </w:t>
      </w:r>
      <w:r>
        <w:t>podrškom</w:t>
      </w:r>
      <w:r w:rsidRPr="00F8235A">
        <w:t xml:space="preserve"> EU i ostalom finansijskom </w:t>
      </w:r>
      <w:r>
        <w:t>podrškom</w:t>
      </w:r>
      <w:r w:rsidRPr="00F8235A">
        <w:t>, uključujući sektorske operativne programe i Pregovaračko poglavlje 22.</w:t>
      </w:r>
      <w:r w:rsidRPr="00B83578">
        <w:t>.</w:t>
      </w:r>
    </w:p>
  </w:footnote>
  <w:footnote w:id="62">
    <w:p w14:paraId="07B3F265" w14:textId="3C9E4663" w:rsidR="00B54ABB" w:rsidRPr="00B83578" w:rsidRDefault="00B54ABB" w:rsidP="00956102">
      <w:pPr>
        <w:pStyle w:val="FootnoteText"/>
      </w:pPr>
      <w:r w:rsidRPr="00B83578">
        <w:rPr>
          <w:rStyle w:val="FootnoteReference"/>
        </w:rPr>
        <w:footnoteRef/>
      </w:r>
      <w:r w:rsidRPr="00B83578">
        <w:t xml:space="preserve"> </w:t>
      </w:r>
      <w:r>
        <w:t>Podaci preuzeti sa</w:t>
      </w:r>
      <w:r w:rsidRPr="00B83578">
        <w:t xml:space="preserve"> Open Data </w:t>
      </w:r>
      <w:r>
        <w:t>p</w:t>
      </w:r>
      <w:r w:rsidRPr="00B83578">
        <w:t>ortal</w:t>
      </w:r>
      <w:r>
        <w:t>a</w:t>
      </w:r>
      <w:r w:rsidRPr="00B83578">
        <w:t xml:space="preserve"> </w:t>
      </w:r>
      <w:hyperlink r:id="rId24" w:history="1">
        <w:r w:rsidRPr="00B83578">
          <w:rPr>
            <w:rStyle w:val="Hyperlink"/>
          </w:rPr>
          <w:t>https://cohesiondata.ec.europa.eu/</w:t>
        </w:r>
      </w:hyperlink>
    </w:p>
  </w:footnote>
  <w:footnote w:id="63">
    <w:p w14:paraId="59B1BEC8" w14:textId="305401D9" w:rsidR="00B54ABB" w:rsidRPr="00B83578" w:rsidRDefault="00B54ABB" w:rsidP="00697400">
      <w:pPr>
        <w:pStyle w:val="FootnoteText"/>
      </w:pPr>
      <w:r w:rsidRPr="00B83578">
        <w:rPr>
          <w:rStyle w:val="FootnoteReference"/>
        </w:rPr>
        <w:footnoteRef/>
      </w:r>
      <w:r w:rsidRPr="00B83578">
        <w:t xml:space="preserve"> </w:t>
      </w:r>
      <w:r w:rsidRPr="006C6DB0">
        <w:t>Identifikovana su tri glavna scenarija ili opcije za Crnu Goru: jedan program Kohezione politike, dva programa Kohezione politike (sa dv</w:t>
      </w:r>
      <w:r>
        <w:t>ij</w:t>
      </w:r>
      <w:r w:rsidRPr="006C6DB0">
        <w:t>e varijante) i tri programa Kohezione politike (sa tri varijante). Svaka opcija je analizirana prema ponderisanim kriterijumima i oc</w:t>
      </w:r>
      <w:r>
        <w:t>ij</w:t>
      </w:r>
      <w:r w:rsidRPr="006C6DB0">
        <w:t>enjena.</w:t>
      </w:r>
    </w:p>
  </w:footnote>
  <w:footnote w:id="64">
    <w:p w14:paraId="4420FFE9" w14:textId="68423D15" w:rsidR="00B54ABB" w:rsidRPr="00B83578" w:rsidRDefault="00B54ABB" w:rsidP="00697400">
      <w:pPr>
        <w:pStyle w:val="FootnoteText"/>
      </w:pPr>
      <w:r w:rsidRPr="00B83578">
        <w:rPr>
          <w:rStyle w:val="FootnoteReference"/>
        </w:rPr>
        <w:footnoteRef/>
      </w:r>
      <w:r w:rsidRPr="00B83578">
        <w:t xml:space="preserve"> </w:t>
      </w:r>
      <w:r w:rsidRPr="004E66DF">
        <w:t>Prvi izv</w:t>
      </w:r>
      <w:r>
        <w:t>j</w:t>
      </w:r>
      <w:r w:rsidRPr="004E66DF">
        <w:t>eštaj o samoproc</w:t>
      </w:r>
      <w:r>
        <w:t>j</w:t>
      </w:r>
      <w:r w:rsidRPr="004E66DF">
        <w:t>eni je završen u februaru 2025. godine</w:t>
      </w:r>
      <w:r w:rsidRPr="00B83578">
        <w:t>.</w:t>
      </w:r>
    </w:p>
  </w:footnote>
  <w:footnote w:id="65">
    <w:p w14:paraId="29741657" w14:textId="5BCC535F" w:rsidR="00B54ABB" w:rsidRPr="00B83578" w:rsidRDefault="00B54ABB" w:rsidP="002B4184">
      <w:pPr>
        <w:pStyle w:val="FootnoteText"/>
      </w:pPr>
      <w:r w:rsidRPr="00B83578">
        <w:rPr>
          <w:rStyle w:val="FootnoteReference"/>
        </w:rPr>
        <w:footnoteRef/>
      </w:r>
      <w:r w:rsidRPr="00B83578">
        <w:t xml:space="preserve"> </w:t>
      </w:r>
      <w:bookmarkStart w:id="39" w:name="_Hlk176039160"/>
      <w:r w:rsidRPr="00B83578">
        <w:fldChar w:fldCharType="begin"/>
      </w:r>
      <w:r w:rsidRPr="00B83578">
        <w:instrText>HYPERLINK "https://ec.europa.eu/regional_policy/policy/communities-and-networks/ecopp_en"</w:instrText>
      </w:r>
      <w:r w:rsidRPr="00B83578">
        <w:fldChar w:fldCharType="separate"/>
      </w:r>
      <w:r w:rsidRPr="00B83578">
        <w:rPr>
          <w:rStyle w:val="Hyperlink"/>
        </w:rPr>
        <w:t>Inforegio - European Community of Practice on Partnership (ECoPP) (europa.eu)</w:t>
      </w:r>
      <w:r w:rsidRPr="00B83578">
        <w:fldChar w:fldCharType="end"/>
      </w:r>
      <w:r w:rsidRPr="00B83578">
        <w:t>.</w:t>
      </w:r>
      <w:bookmarkEnd w:id="39"/>
      <w:r w:rsidRPr="00B83578">
        <w:t xml:space="preserve"> </w:t>
      </w:r>
      <w:r w:rsidRPr="004E66DF">
        <w:t xml:space="preserve">ECoPP je takođe dao neke preporuke u vezi sa trenutno važećim </w:t>
      </w:r>
      <w:r>
        <w:t>EKPP</w:t>
      </w:r>
      <w:r w:rsidRPr="004E66DF">
        <w:t xml:space="preserve">-om u dokumentu SG 4 Izgradnja kapaciteta zainteresovanih strana: </w:t>
      </w:r>
      <w:r>
        <w:t>EKPP</w:t>
      </w:r>
      <w:r w:rsidRPr="004E66DF">
        <w:t xml:space="preserve"> preporuke, koji je dostupan na linku.</w:t>
      </w:r>
    </w:p>
  </w:footnote>
  <w:footnote w:id="66">
    <w:p w14:paraId="7787D352" w14:textId="6C3DDC7C" w:rsidR="00B54ABB" w:rsidRPr="00B83578" w:rsidRDefault="00B54ABB" w:rsidP="001750F9">
      <w:pPr>
        <w:pStyle w:val="FootnoteText"/>
      </w:pPr>
      <w:r w:rsidRPr="00B83578">
        <w:rPr>
          <w:rStyle w:val="FootnoteReference"/>
        </w:rPr>
        <w:footnoteRef/>
      </w:r>
      <w:r w:rsidRPr="00B83578">
        <w:t xml:space="preserve"> </w:t>
      </w:r>
      <w:r w:rsidRPr="004E66DF">
        <w:t xml:space="preserve">Pod uslovom da Crnoj Gori bude dostavljen dokument ekvivalentan </w:t>
      </w:r>
      <w:r>
        <w:t>Aneksu</w:t>
      </w:r>
      <w:r w:rsidRPr="004E66DF">
        <w:t xml:space="preserve"> D Izv</w:t>
      </w:r>
      <w:r>
        <w:t>j</w:t>
      </w:r>
      <w:r w:rsidRPr="004E66DF">
        <w:t>eštaja po zemljama u okviru Evropskog semestra, koji iznosi preliminarne stavove službi Komisije o prioritetnim oblastima ulaganja i okvirnim uslovima za efikasn</w:t>
      </w:r>
      <w:r>
        <w:t>u</w:t>
      </w:r>
      <w:r w:rsidRPr="004E66DF">
        <w:t xml:space="preserve"> </w:t>
      </w:r>
      <w:r>
        <w:t>implementaciju</w:t>
      </w:r>
      <w:r w:rsidRPr="004E66DF">
        <w:t xml:space="preserve"> Kohezione politike nakon 2027. godine, za perspektivu 2028-2034.</w:t>
      </w:r>
    </w:p>
  </w:footnote>
  <w:footnote w:id="67">
    <w:p w14:paraId="0EFAC887" w14:textId="77777777" w:rsidR="00B54ABB" w:rsidRPr="00B83578" w:rsidRDefault="00B54ABB" w:rsidP="00402589">
      <w:pPr>
        <w:pStyle w:val="FootnoteText"/>
        <w:rPr>
          <w:rFonts w:ascii="Arial Narrow" w:hAnsi="Arial Narrow"/>
        </w:rPr>
      </w:pPr>
      <w:r w:rsidRPr="00B83578">
        <w:rPr>
          <w:rStyle w:val="FootnoteReference"/>
          <w:rFonts w:ascii="Arial Narrow" w:hAnsi="Arial Narrow"/>
        </w:rPr>
        <w:footnoteRef/>
      </w:r>
      <w:r w:rsidRPr="00B83578">
        <w:rPr>
          <w:rFonts w:ascii="Arial Narrow" w:hAnsi="Arial Narrow"/>
        </w:rPr>
        <w:t xml:space="preserve"> </w:t>
      </w:r>
      <w:hyperlink r:id="rId25" w:history="1">
        <w:r w:rsidRPr="00B83578">
          <w:rPr>
            <w:rStyle w:val="Hyperlink"/>
            <w:rFonts w:ascii="Arial Narrow" w:hAnsi="Arial Narrow"/>
          </w:rPr>
          <w:t>https://ec.europa.eu/regional_policy/sources/policy/how/improving-investment/roadmap_toolkit.pdf</w:t>
        </w:r>
      </w:hyperlink>
      <w:r w:rsidRPr="00B83578">
        <w:rPr>
          <w:rFonts w:ascii="Arial Narrow" w:hAnsi="Arial Narrow"/>
        </w:rPr>
        <w:t xml:space="preserve"> </w:t>
      </w:r>
    </w:p>
  </w:footnote>
  <w:footnote w:id="68">
    <w:p w14:paraId="71DA6DF0" w14:textId="19AD6826" w:rsidR="00B54ABB" w:rsidRPr="00B83578" w:rsidRDefault="00B54ABB" w:rsidP="007B60BB">
      <w:pPr>
        <w:pStyle w:val="FootnoteText"/>
      </w:pPr>
      <w:r w:rsidRPr="00B83578">
        <w:rPr>
          <w:rStyle w:val="FootnoteReference"/>
          <w:rFonts w:ascii="Arial Narrow" w:hAnsi="Arial Narrow"/>
        </w:rPr>
        <w:footnoteRef/>
      </w:r>
      <w:r w:rsidRPr="00B83578">
        <w:t xml:space="preserve"> </w:t>
      </w:r>
      <w:r>
        <w:t xml:space="preserve">ISključujući </w:t>
      </w:r>
      <w:r w:rsidRPr="00B83578">
        <w:t xml:space="preserve">IPARD </w:t>
      </w:r>
      <w:r>
        <w:t>i</w:t>
      </w:r>
      <w:r w:rsidRPr="00B83578">
        <w:t xml:space="preserve"> </w:t>
      </w:r>
      <w:r>
        <w:t>PGS</w:t>
      </w:r>
      <w:r w:rsidRPr="00B83578">
        <w:t xml:space="preserve"> stru</w:t>
      </w:r>
      <w:r>
        <w:t>kture</w:t>
      </w:r>
      <w:r w:rsidRPr="00B83578">
        <w:t>.</w:t>
      </w:r>
    </w:p>
  </w:footnote>
  <w:footnote w:id="69">
    <w:p w14:paraId="4A87169C" w14:textId="18CE0A8F" w:rsidR="00B54ABB" w:rsidRPr="00B83578" w:rsidRDefault="00B54ABB" w:rsidP="00402589">
      <w:pPr>
        <w:pStyle w:val="FootnoteText"/>
      </w:pPr>
      <w:r w:rsidRPr="00B83578">
        <w:rPr>
          <w:rStyle w:val="FootnoteReference"/>
          <w:rFonts w:ascii="Arial Narrow" w:hAnsi="Arial Narrow"/>
        </w:rPr>
        <w:footnoteRef/>
      </w:r>
      <w:r w:rsidRPr="00B83578">
        <w:t xml:space="preserve"> </w:t>
      </w:r>
      <w:r w:rsidRPr="007B60BB">
        <w:t>Uključeni su i zadaci koji se odnose na pripremu Reformske Agende, kao i opšte pripreme za Poglavlje 22.</w:t>
      </w:r>
      <w:r w:rsidRPr="00B83578">
        <w:t>.</w:t>
      </w:r>
    </w:p>
  </w:footnote>
  <w:footnote w:id="70">
    <w:p w14:paraId="7FA50771" w14:textId="77777777" w:rsidR="00B54ABB" w:rsidRPr="00B83578" w:rsidRDefault="00B54ABB" w:rsidP="00B65807">
      <w:pPr>
        <w:pStyle w:val="FootnoteText"/>
      </w:pPr>
      <w:r w:rsidRPr="00B83578">
        <w:rPr>
          <w:rStyle w:val="FootnoteReference"/>
        </w:rPr>
        <w:footnoteRef/>
      </w:r>
      <w:r w:rsidRPr="00B83578">
        <w:t xml:space="preserve"> </w:t>
      </w:r>
      <w:hyperlink r:id="rId26" w:history="1">
        <w:r w:rsidRPr="00B83578">
          <w:rPr>
            <w:rStyle w:val="Hyperlink"/>
          </w:rPr>
          <w:t>https://ec.europa.eu/regional_policy/sources/policy/how/improving-investment/roadmap_toolkit.pdf</w:t>
        </w:r>
      </w:hyperlink>
      <w:r w:rsidRPr="00B83578">
        <w:t xml:space="preserve"> </w:t>
      </w:r>
    </w:p>
  </w:footnote>
  <w:footnote w:id="71">
    <w:p w14:paraId="78B18A05" w14:textId="77777777" w:rsidR="00B54ABB" w:rsidRPr="00B83578" w:rsidRDefault="00B54ABB" w:rsidP="00B65807">
      <w:pPr>
        <w:pStyle w:val="FootnoteText"/>
      </w:pPr>
      <w:r w:rsidRPr="00B83578">
        <w:rPr>
          <w:rStyle w:val="FootnoteReference"/>
        </w:rPr>
        <w:footnoteRef/>
      </w:r>
      <w:r w:rsidRPr="00B83578">
        <w:t xml:space="preserve"> </w:t>
      </w:r>
      <w:hyperlink r:id="rId27" w:history="1">
        <w:r w:rsidRPr="00B83578">
          <w:rPr>
            <w:rStyle w:val="Hyperlink"/>
          </w:rPr>
          <w:t>https://ec.europa.eu/regional_policy/sources/policy/how/improving-investment/ACB_Self_assessment_Instrument.pdF</w:t>
        </w:r>
      </w:hyperlink>
      <w:r w:rsidRPr="00B83578">
        <w:t xml:space="preserve"> </w:t>
      </w:r>
    </w:p>
  </w:footnote>
  <w:footnote w:id="72">
    <w:p w14:paraId="1B91A7F6" w14:textId="73C43005" w:rsidR="00B54ABB" w:rsidRPr="00B83578" w:rsidRDefault="00B54ABB" w:rsidP="008F5007">
      <w:pPr>
        <w:spacing w:after="0"/>
        <w:rPr>
          <w:color w:val="000000" w:themeColor="text1"/>
          <w:sz w:val="16"/>
          <w:szCs w:val="16"/>
        </w:rPr>
      </w:pPr>
      <w:r w:rsidRPr="00B83578">
        <w:rPr>
          <w:rStyle w:val="FootnoteReference"/>
          <w:color w:val="000000" w:themeColor="text1"/>
          <w:sz w:val="14"/>
          <w:szCs w:val="14"/>
        </w:rPr>
        <w:footnoteRef/>
      </w:r>
      <w:r w:rsidRPr="00B83578">
        <w:rPr>
          <w:color w:val="000000" w:themeColor="text1"/>
          <w:sz w:val="14"/>
          <w:szCs w:val="14"/>
        </w:rPr>
        <w:t xml:space="preserve"> </w:t>
      </w:r>
      <w:r w:rsidRPr="0072079B">
        <w:rPr>
          <w:color w:val="000000" w:themeColor="text1"/>
          <w:sz w:val="14"/>
          <w:szCs w:val="14"/>
        </w:rPr>
        <w:t>Konsolidovani tekst: Direktiva (EU) 2019/1937 Evropskog parlamenta i Sav</w:t>
      </w:r>
      <w:r>
        <w:rPr>
          <w:color w:val="000000" w:themeColor="text1"/>
          <w:sz w:val="14"/>
          <w:szCs w:val="14"/>
        </w:rPr>
        <w:t>j</w:t>
      </w:r>
      <w:r w:rsidRPr="0072079B">
        <w:rPr>
          <w:color w:val="000000" w:themeColor="text1"/>
          <w:sz w:val="14"/>
          <w:szCs w:val="14"/>
        </w:rPr>
        <w:t xml:space="preserve">eta od 23. oktobra 2019. godine o zaštiti lica koja prijavljuju kršenja </w:t>
      </w:r>
      <w:r>
        <w:rPr>
          <w:color w:val="000000" w:themeColor="text1"/>
          <w:sz w:val="14"/>
          <w:szCs w:val="14"/>
        </w:rPr>
        <w:t>zakona</w:t>
      </w:r>
      <w:r w:rsidRPr="0072079B">
        <w:rPr>
          <w:color w:val="000000" w:themeColor="text1"/>
          <w:sz w:val="14"/>
          <w:szCs w:val="14"/>
        </w:rPr>
        <w:t xml:space="preserve"> Unije </w:t>
      </w:r>
      <w:hyperlink r:id="rId28" w:history="1">
        <w:r w:rsidRPr="00E40B03">
          <w:rPr>
            <w:rStyle w:val="Hyperlink"/>
            <w:sz w:val="14"/>
            <w:szCs w:val="14"/>
          </w:rPr>
          <w:t>https://eur-lex.europa.eu/eli/dir/2019/1937/2024-12-30</w:t>
        </w:r>
      </w:hyperlink>
      <w:r>
        <w:rPr>
          <w:color w:val="000000" w:themeColor="text1"/>
          <w:sz w:val="14"/>
          <w:szCs w:val="14"/>
        </w:rPr>
        <w:t xml:space="preserve"> </w:t>
      </w:r>
    </w:p>
  </w:footnote>
  <w:footnote w:id="73">
    <w:p w14:paraId="7EF1FD58" w14:textId="77777777" w:rsidR="00B54ABB" w:rsidRPr="00FD6633" w:rsidRDefault="00B54ABB" w:rsidP="008F5007">
      <w:pPr>
        <w:pStyle w:val="FootnoteText"/>
        <w:rPr>
          <w:lang w:val="pl-PL"/>
        </w:rPr>
      </w:pPr>
      <w:r w:rsidRPr="00B83578">
        <w:rPr>
          <w:rStyle w:val="FootnoteReference"/>
          <w:color w:val="000000" w:themeColor="text1"/>
        </w:rPr>
        <w:footnoteRef/>
      </w:r>
      <w:r w:rsidRPr="00FD6633">
        <w:rPr>
          <w:lang w:val="pl-PL"/>
        </w:rPr>
        <w:t xml:space="preserve"> </w:t>
      </w:r>
      <w:hyperlink r:id="rId29" w:history="1">
        <w:r w:rsidRPr="00FD6633">
          <w:rPr>
            <w:rStyle w:val="Hyperlink"/>
            <w:color w:val="000000" w:themeColor="text1"/>
            <w:lang w:val="pl-PL"/>
          </w:rPr>
          <w:t>Izvještaj o realizaciji Akcionog plana Strategije digitalne transformacije Crne Gore 2022-2026 za 2022. godinu - zaključci</w:t>
        </w:r>
      </w:hyperlink>
    </w:p>
  </w:footnote>
  <w:footnote w:id="74">
    <w:p w14:paraId="655EBF77" w14:textId="77777777" w:rsidR="00B54ABB" w:rsidRPr="00FD6633" w:rsidRDefault="00B54ABB" w:rsidP="008F5007">
      <w:pPr>
        <w:pStyle w:val="FootnoteText"/>
        <w:rPr>
          <w:lang w:val="pl-PL"/>
        </w:rPr>
      </w:pPr>
      <w:r w:rsidRPr="00B83578">
        <w:rPr>
          <w:rStyle w:val="FootnoteReference"/>
        </w:rPr>
        <w:footnoteRef/>
      </w:r>
      <w:r w:rsidRPr="00FD6633">
        <w:rPr>
          <w:lang w:val="pl-PL"/>
        </w:rPr>
        <w:t xml:space="preserve"> </w:t>
      </w:r>
      <w:r w:rsidRPr="00FD6633">
        <w:rPr>
          <w:rFonts w:eastAsia="Calibri"/>
          <w:kern w:val="0"/>
          <w:szCs w:val="20"/>
          <w:lang w:val="pl-PL"/>
        </w:rPr>
        <w:t>Izvještaj o realizaciji Akcionog plana Strategije digitalne transformacije Crne Gore 2022-2026 za 2023. godinu</w:t>
      </w:r>
      <w:r w:rsidRPr="00FD6633">
        <w:rPr>
          <w:lang w:val="pl-PL"/>
        </w:rPr>
        <w:t xml:space="preserve">  </w:t>
      </w:r>
      <w:hyperlink r:id="rId30" w:history="1">
        <w:r w:rsidRPr="00FD6633">
          <w:rPr>
            <w:rStyle w:val="Hyperlink"/>
            <w:lang w:val="pl-PL"/>
          </w:rPr>
          <w:t>https://wapi.gov.me/download-preview/15041a2f-bb4d-42b0-a670-10c8b3323597?version=1.0</w:t>
        </w:r>
      </w:hyperlink>
      <w:r w:rsidRPr="00FD6633">
        <w:rPr>
          <w:lang w:val="pl-PL"/>
        </w:rPr>
        <w:t xml:space="preserve"> </w:t>
      </w:r>
    </w:p>
  </w:footnote>
  <w:footnote w:id="75">
    <w:p w14:paraId="7BB1550E" w14:textId="76D71E3C" w:rsidR="00B54ABB" w:rsidRPr="00B83578" w:rsidRDefault="00B54ABB" w:rsidP="00D52F16">
      <w:pPr>
        <w:pStyle w:val="FootnoteText"/>
      </w:pPr>
      <w:r w:rsidRPr="00B83578">
        <w:rPr>
          <w:rStyle w:val="FootnoteReference"/>
          <w:sz w:val="18"/>
          <w:szCs w:val="18"/>
        </w:rPr>
        <w:footnoteRef/>
      </w:r>
      <w:r w:rsidRPr="00B83578">
        <w:t xml:space="preserve"> </w:t>
      </w:r>
      <w:r w:rsidRPr="00B4524B">
        <w:t>Evropska komisija (2012). Mjerenje uticaja promjena u regulatornim zahtjevima na administrativne troškove i administrativno opterećenje upravljanja strukturnim fondovima EU (</w:t>
      </w:r>
      <w:r>
        <w:t>EFRR</w:t>
      </w:r>
      <w:r w:rsidRPr="00B4524B">
        <w:t xml:space="preserve"> i Kohezioni fondovi), jun 2012</w:t>
      </w:r>
      <w:r w:rsidRPr="00B83578">
        <w:t xml:space="preserve">. </w:t>
      </w:r>
      <w:hyperlink r:id="rId31" w:history="1">
        <w:r w:rsidRPr="00B83578">
          <w:rPr>
            <w:rStyle w:val="Hyperlink"/>
            <w:sz w:val="18"/>
            <w:szCs w:val="18"/>
          </w:rPr>
          <w:t>http://ec.europa.eu/regional_policy/sources/docgener/studies/pdf/measuring/measuring_impact_report.pdf</w:t>
        </w:r>
      </w:hyperlink>
      <w:r w:rsidRPr="00B83578">
        <w:t xml:space="preserve"> </w:t>
      </w:r>
    </w:p>
  </w:footnote>
  <w:footnote w:id="76">
    <w:p w14:paraId="3ACEB792" w14:textId="7AE75323" w:rsidR="00B54ABB" w:rsidRPr="00B83578" w:rsidRDefault="00B54ABB" w:rsidP="00D52F16">
      <w:pPr>
        <w:pStyle w:val="FootnoteText"/>
      </w:pPr>
      <w:r w:rsidRPr="00B83578">
        <w:rPr>
          <w:rStyle w:val="FootnoteReference"/>
          <w:sz w:val="18"/>
          <w:szCs w:val="18"/>
        </w:rPr>
        <w:footnoteRef/>
      </w:r>
      <w:r w:rsidRPr="00B83578">
        <w:t xml:space="preserve"> </w:t>
      </w:r>
      <w:r w:rsidRPr="00B4524B">
        <w:t>Evropska komisija (2022). Evaluacija e-Kohezije 2014-2020, Završni izv</w:t>
      </w:r>
      <w:r>
        <w:t>j</w:t>
      </w:r>
      <w:r w:rsidRPr="00B4524B">
        <w:t>eštaj, april 2022.</w:t>
      </w:r>
      <w:hyperlink r:id="rId32" w:history="1">
        <w:r w:rsidRPr="00B83578">
          <w:rPr>
            <w:rStyle w:val="Hyperlink"/>
            <w:sz w:val="18"/>
            <w:szCs w:val="18"/>
          </w:rPr>
          <w:t>https://ec.europa.eu/regional_policy/sources/studies/e-cohesion/eval_ecohesion_2014_2020.pdf</w:t>
        </w:r>
      </w:hyperlink>
    </w:p>
  </w:footnote>
  <w:footnote w:id="77">
    <w:p w14:paraId="677CE4B0" w14:textId="4CC45137" w:rsidR="00B54ABB" w:rsidRPr="00B83578" w:rsidRDefault="00B54ABB" w:rsidP="00D52F16">
      <w:pPr>
        <w:pStyle w:val="FootnoteText"/>
        <w:rPr>
          <w:rStyle w:val="IntenseEmphasis"/>
          <w:i w:val="0"/>
          <w:iCs w:val="0"/>
          <w:color w:val="auto"/>
          <w:sz w:val="18"/>
          <w:szCs w:val="18"/>
        </w:rPr>
      </w:pPr>
      <w:r w:rsidRPr="00B83578">
        <w:rPr>
          <w:rStyle w:val="IntenseEmphasis"/>
          <w:i w:val="0"/>
          <w:iCs w:val="0"/>
          <w:color w:val="auto"/>
          <w:sz w:val="18"/>
          <w:szCs w:val="18"/>
          <w:vertAlign w:val="superscript"/>
        </w:rPr>
        <w:footnoteRef/>
      </w:r>
      <w:r w:rsidRPr="00B83578">
        <w:rPr>
          <w:rStyle w:val="IntenseEmphasis"/>
          <w:i w:val="0"/>
          <w:iCs w:val="0"/>
          <w:color w:val="auto"/>
          <w:sz w:val="18"/>
          <w:szCs w:val="18"/>
        </w:rPr>
        <w:t xml:space="preserve"> </w:t>
      </w:r>
      <w:r w:rsidRPr="00B4524B">
        <w:rPr>
          <w:rStyle w:val="IntenseEmphasis"/>
          <w:i w:val="0"/>
          <w:iCs w:val="0"/>
          <w:color w:val="auto"/>
          <w:sz w:val="18"/>
          <w:szCs w:val="18"/>
        </w:rPr>
        <w:t>Evropska komisija (2021). Učinak, monitoring i evaluacija Evropskog fonda za regionalni razvoj, Kohezionog fonda i Fonda za pravednu tranziciju u periodu 2021–2027. [pdf] Brisel: Evropska komisija</w:t>
      </w:r>
      <w:r w:rsidRPr="00B83578">
        <w:rPr>
          <w:rStyle w:val="IntenseEmphasis"/>
          <w:i w:val="0"/>
          <w:iCs w:val="0"/>
          <w:color w:val="auto"/>
          <w:sz w:val="18"/>
          <w:szCs w:val="18"/>
        </w:rPr>
        <w:t xml:space="preserve">. </w:t>
      </w:r>
      <w:r>
        <w:rPr>
          <w:rStyle w:val="IntenseEmphasis"/>
          <w:i w:val="0"/>
          <w:iCs w:val="0"/>
          <w:color w:val="auto"/>
          <w:sz w:val="18"/>
          <w:szCs w:val="18"/>
        </w:rPr>
        <w:t>Dostupno na</w:t>
      </w:r>
      <w:r w:rsidRPr="00B83578">
        <w:rPr>
          <w:rStyle w:val="IntenseEmphasis"/>
          <w:i w:val="0"/>
          <w:iCs w:val="0"/>
          <w:color w:val="auto"/>
          <w:sz w:val="18"/>
          <w:szCs w:val="18"/>
        </w:rPr>
        <w:t xml:space="preserve">: </w:t>
      </w:r>
      <w:hyperlink r:id="rId33" w:history="1">
        <w:r w:rsidRPr="00E40B03">
          <w:rPr>
            <w:rStyle w:val="Hyperlink"/>
            <w:sz w:val="18"/>
            <w:szCs w:val="18"/>
          </w:rPr>
          <w:t>https://ec.europa.eu/regional_policy/sources/evaluation/performance2127/performance2127_swd.pdf</w:t>
        </w:r>
      </w:hyperlink>
      <w:r>
        <w:rPr>
          <w:rStyle w:val="IntenseEmphasis"/>
          <w:i w:val="0"/>
          <w:iCs w:val="0"/>
          <w:color w:val="auto"/>
          <w:sz w:val="18"/>
          <w:szCs w:val="18"/>
        </w:rPr>
        <w:t xml:space="preserve"> </w:t>
      </w:r>
      <w:r w:rsidRPr="00B83578">
        <w:rPr>
          <w:rStyle w:val="IntenseEmphasis"/>
          <w:i w:val="0"/>
          <w:iCs w:val="0"/>
          <w:color w:val="auto"/>
          <w:sz w:val="18"/>
          <w:szCs w:val="18"/>
        </w:rPr>
        <w:t xml:space="preserve">  </w:t>
      </w:r>
    </w:p>
  </w:footnote>
  <w:footnote w:id="78">
    <w:p w14:paraId="2B005213" w14:textId="6436D75D" w:rsidR="00B54ABB" w:rsidRPr="00B83578" w:rsidRDefault="00B54ABB" w:rsidP="00D52F16">
      <w:pPr>
        <w:spacing w:after="0"/>
        <w:rPr>
          <w:rFonts w:cs="Arial"/>
          <w:sz w:val="16"/>
          <w:szCs w:val="16"/>
        </w:rPr>
      </w:pPr>
      <w:r w:rsidRPr="00B83578">
        <w:rPr>
          <w:rFonts w:cs="Arial"/>
          <w:sz w:val="16"/>
          <w:szCs w:val="16"/>
          <w:vertAlign w:val="superscript"/>
        </w:rPr>
        <w:footnoteRef/>
      </w:r>
      <w:r w:rsidRPr="00B83578">
        <w:rPr>
          <w:rFonts w:cs="Arial"/>
          <w:sz w:val="16"/>
          <w:szCs w:val="16"/>
        </w:rPr>
        <w:t xml:space="preserve"> </w:t>
      </w:r>
      <w:r w:rsidRPr="00B4524B">
        <w:rPr>
          <w:rFonts w:cs="Arial"/>
          <w:sz w:val="16"/>
          <w:szCs w:val="16"/>
        </w:rPr>
        <w:t>Predstavnik tijela zaduženog za javnu digitalnu infrastrukturu u Crnoj Gori.</w:t>
      </w:r>
    </w:p>
  </w:footnote>
  <w:footnote w:id="79">
    <w:p w14:paraId="5E7F769B" w14:textId="43722A3B" w:rsidR="00B54ABB" w:rsidRPr="00B83578" w:rsidRDefault="00B54ABB" w:rsidP="005A5E21">
      <w:pPr>
        <w:pStyle w:val="FootnoteText"/>
      </w:pPr>
      <w:r w:rsidRPr="00B83578">
        <w:rPr>
          <w:rStyle w:val="FootnoteReference"/>
        </w:rPr>
        <w:footnoteRef/>
      </w:r>
      <w:r w:rsidRPr="00B83578">
        <w:t xml:space="preserve"> </w:t>
      </w:r>
      <w:r w:rsidRPr="00B4524B">
        <w:t xml:space="preserve">Konsolidovani tekst: Regulativa (EU) 2021/1060 Evropskog parlamenta i Savjeta od 24. juna 2021. godine kojom se utvrđuju zajedničke odredbe o Evropskom fondu za regionalni razvoj, Evropskom socijalnom fondu plus, Kohezionom fondu, Fondu za pravednu tranziciju i Evropskom fondu za pomorstvo, ribarstvo i akvakulturu i finansijska pravila za njih, kao i za Fond za azil, migracije i integraciju, Fond za unutrašnju bezbjednost i Instrument finansijske podrške za upravljanje granicama i viznu politiku. </w:t>
      </w:r>
      <w:hyperlink r:id="rId34" w:history="1">
        <w:r w:rsidRPr="00B83578">
          <w:rPr>
            <w:rStyle w:val="Hyperlink"/>
          </w:rPr>
          <w:t>https://eur-lex.europa.eu/eli/reg/2021/1060/2024-03-01</w:t>
        </w:r>
      </w:hyperlink>
      <w:r w:rsidRPr="00B83578">
        <w:t>.</w:t>
      </w:r>
    </w:p>
  </w:footnote>
  <w:footnote w:id="80">
    <w:p w14:paraId="3F480611" w14:textId="1EC6A0F4" w:rsidR="00B54ABB" w:rsidRPr="00B83578" w:rsidRDefault="00B54ABB" w:rsidP="005A5E21">
      <w:pPr>
        <w:pStyle w:val="FootnoteText"/>
      </w:pPr>
      <w:r w:rsidRPr="00B83578">
        <w:rPr>
          <w:rStyle w:val="FootnoteReference"/>
        </w:rPr>
        <w:footnoteRef/>
      </w:r>
      <w:r w:rsidRPr="00B83578">
        <w:t xml:space="preserve"> </w:t>
      </w:r>
      <w:hyperlink r:id="rId35" w:history="1">
        <w:r w:rsidRPr="00E40B03">
          <w:rPr>
            <w:rStyle w:val="Hyperlink"/>
          </w:rPr>
          <w:t>https://eur-lex.europa.eu/eli/reg_del/2014/240/oj</w:t>
        </w:r>
      </w:hyperlink>
      <w:r>
        <w:t xml:space="preserve"> </w:t>
      </w:r>
    </w:p>
  </w:footnote>
  <w:footnote w:id="81">
    <w:p w14:paraId="73803031" w14:textId="34696CC0" w:rsidR="00B54ABB" w:rsidRPr="00B83578" w:rsidRDefault="00B54ABB" w:rsidP="005A5E21">
      <w:pPr>
        <w:pStyle w:val="FootnoteText"/>
      </w:pPr>
      <w:r w:rsidRPr="00B83578">
        <w:rPr>
          <w:rStyle w:val="FootnoteReference"/>
        </w:rPr>
        <w:footnoteRef/>
      </w:r>
      <w:r w:rsidRPr="00B83578">
        <w:t xml:space="preserve">  </w:t>
      </w:r>
      <w:r>
        <w:t>RZO</w:t>
      </w:r>
      <w:r w:rsidRPr="00B4524B">
        <w:t xml:space="preserve"> predviđa šifre za rodnu dimenziju ESF+, </w:t>
      </w:r>
      <w:r>
        <w:t>EFRR</w:t>
      </w:r>
      <w:r w:rsidRPr="00B4524B">
        <w:t>, Kohezionog fonda i Fonda za pravednu tranziciju, kako bi se omogućilo finansijsko praćenje rashoda u smislu rodne ravnopravnosti (Prilog 1, Tabela 7). One se zasnivaju na markerima koje je uspostavio OECD: ciljanje na rodnu ravnopravnost; uvođenje principa rodne ravnopravnosti; i rodna neutralnost, kako bi se obezbijedilo poštovanje osnovnih prava i usklađenost sa Poveljom Evropske unije o osnovnim pravima u sprovođenju Kohezionih fondova. Pogledajte: Definicija i minimalni preporučeni kriterijumi za DAC marker za rodnu ravnopravnost, OECD-DAC mreža za rodnu ravnopravnost, OECD, 2016.</w:t>
      </w:r>
    </w:p>
  </w:footnote>
  <w:footnote w:id="82">
    <w:p w14:paraId="52B74B82" w14:textId="023F21A1" w:rsidR="00B54ABB" w:rsidRPr="00B83578" w:rsidRDefault="00B54ABB" w:rsidP="007A0669">
      <w:pPr>
        <w:pStyle w:val="FootnoteText"/>
      </w:pPr>
      <w:r w:rsidRPr="00B83578">
        <w:rPr>
          <w:rStyle w:val="FootnoteReference"/>
        </w:rPr>
        <w:footnoteRef/>
      </w:r>
      <w:r w:rsidRPr="00B83578">
        <w:t xml:space="preserve"> </w:t>
      </w:r>
      <w:r w:rsidRPr="00D56867">
        <w:t>Ova tri tematska uslova koji omogućavaju realizaciju primjenjiva su samo na aktivnosti programirane u okviru odgovarajućeg specifičnog cilja.</w:t>
      </w:r>
    </w:p>
  </w:footnote>
  <w:footnote w:id="83">
    <w:p w14:paraId="34C9EF0B" w14:textId="50BC6764" w:rsidR="00B54ABB" w:rsidRPr="00B83578" w:rsidRDefault="00B54ABB" w:rsidP="007A0669">
      <w:pPr>
        <w:pStyle w:val="FootnoteText"/>
      </w:pPr>
      <w:r w:rsidRPr="00B83578">
        <w:rPr>
          <w:rStyle w:val="FootnoteReference"/>
        </w:rPr>
        <w:footnoteRef/>
      </w:r>
      <w:r w:rsidRPr="00B83578">
        <w:t xml:space="preserve"> </w:t>
      </w:r>
      <w:hyperlink r:id="rId36" w:history="1">
        <w:r w:rsidRPr="00E40B03">
          <w:rPr>
            <w:rStyle w:val="Hyperlink"/>
          </w:rPr>
          <w:t>https://eur-lex.europa.eu/eli/reg/2020/852/oj</w:t>
        </w:r>
      </w:hyperlink>
      <w:r>
        <w:t xml:space="preserve"> </w:t>
      </w:r>
    </w:p>
  </w:footnote>
  <w:footnote w:id="84">
    <w:p w14:paraId="5970D2A1" w14:textId="0342732B" w:rsidR="00B54ABB" w:rsidRPr="00B83578" w:rsidRDefault="00B54ABB" w:rsidP="002914F8">
      <w:pPr>
        <w:pStyle w:val="FootnoteText"/>
      </w:pPr>
      <w:r w:rsidRPr="00B83578">
        <w:rPr>
          <w:rStyle w:val="FootnoteReference"/>
        </w:rPr>
        <w:footnoteRef/>
      </w:r>
      <w:r w:rsidRPr="00B83578">
        <w:t xml:space="preserve"> </w:t>
      </w:r>
      <w:hyperlink r:id="rId37" w:history="1">
        <w:r w:rsidRPr="00E40B03">
          <w:rPr>
            <w:rStyle w:val="Hyperlink"/>
          </w:rPr>
          <w:t>https://eur-lex.europa.eu/eli/reg/2021/1059/oj</w:t>
        </w:r>
      </w:hyperlink>
      <w:r>
        <w:t xml:space="preserve"> </w:t>
      </w:r>
    </w:p>
  </w:footnote>
  <w:footnote w:id="85">
    <w:p w14:paraId="44026AFE" w14:textId="5C864259" w:rsidR="00B54ABB" w:rsidRPr="00B83578" w:rsidRDefault="00B54ABB" w:rsidP="002914F8">
      <w:pPr>
        <w:pStyle w:val="FootnoteText"/>
      </w:pPr>
      <w:r w:rsidRPr="00B83578">
        <w:rPr>
          <w:rStyle w:val="FootnoteReference"/>
        </w:rPr>
        <w:footnoteRef/>
      </w:r>
      <w:r w:rsidRPr="00B83578">
        <w:t xml:space="preserve"> </w:t>
      </w:r>
      <w:r w:rsidRPr="00D56867">
        <w:rPr>
          <w:shd w:val="clear" w:color="auto" w:fill="FFFFFF"/>
        </w:rPr>
        <w:t xml:space="preserve">Konsolidovani tekst: </w:t>
      </w:r>
      <w:r>
        <w:rPr>
          <w:shd w:val="clear" w:color="auto" w:fill="FFFFFF"/>
        </w:rPr>
        <w:t>Regulativa</w:t>
      </w:r>
      <w:r w:rsidRPr="00D56867">
        <w:rPr>
          <w:shd w:val="clear" w:color="auto" w:fill="FFFFFF"/>
        </w:rPr>
        <w:t xml:space="preserve"> (</w:t>
      </w:r>
      <w:r>
        <w:rPr>
          <w:shd w:val="clear" w:color="auto" w:fill="FFFFFF"/>
        </w:rPr>
        <w:t>EZ</w:t>
      </w:r>
      <w:r w:rsidRPr="00D56867">
        <w:rPr>
          <w:shd w:val="clear" w:color="auto" w:fill="FFFFFF"/>
        </w:rPr>
        <w:t>) br. 1082/2006 Evropskog parlamenta i Sav</w:t>
      </w:r>
      <w:r>
        <w:rPr>
          <w:shd w:val="clear" w:color="auto" w:fill="FFFFFF"/>
        </w:rPr>
        <w:t>j</w:t>
      </w:r>
      <w:r w:rsidRPr="00D56867">
        <w:rPr>
          <w:shd w:val="clear" w:color="auto" w:fill="FFFFFF"/>
        </w:rPr>
        <w:t>eta od 5. jula 2006. o Evropsko</w:t>
      </w:r>
      <w:r>
        <w:rPr>
          <w:shd w:val="clear" w:color="auto" w:fill="FFFFFF"/>
        </w:rPr>
        <w:t>m</w:t>
      </w:r>
      <w:r w:rsidRPr="00D56867">
        <w:rPr>
          <w:shd w:val="clear" w:color="auto" w:fill="FFFFFF"/>
        </w:rPr>
        <w:t xml:space="preserve"> grup</w:t>
      </w:r>
      <w:r>
        <w:rPr>
          <w:shd w:val="clear" w:color="auto" w:fill="FFFFFF"/>
        </w:rPr>
        <w:t>isanju</w:t>
      </w:r>
      <w:r w:rsidRPr="00D56867">
        <w:rPr>
          <w:shd w:val="clear" w:color="auto" w:fill="FFFFFF"/>
        </w:rPr>
        <w:t xml:space="preserve"> za teritorijalnu saradnju (</w:t>
      </w:r>
      <w:r>
        <w:rPr>
          <w:shd w:val="clear" w:color="auto" w:fill="FFFFFF"/>
        </w:rPr>
        <w:t>EGTS</w:t>
      </w:r>
      <w:r w:rsidRPr="00D56867">
        <w:rPr>
          <w:shd w:val="clear" w:color="auto" w:fill="FFFFFF"/>
        </w:rPr>
        <w:t>)</w:t>
      </w:r>
      <w:hyperlink r:id="rId38" w:history="1">
        <w:r w:rsidRPr="00B83578">
          <w:rPr>
            <w:rStyle w:val="Hyperlink"/>
            <w:shd w:val="clear" w:color="auto" w:fill="FFFFFF"/>
          </w:rPr>
          <w:t>https://eur-lex.europa.eu/eli/reg/2006/1082/2014-06-22</w:t>
        </w:r>
      </w:hyperlink>
    </w:p>
  </w:footnote>
  <w:footnote w:id="86">
    <w:p w14:paraId="2402C82A" w14:textId="042FF9D9" w:rsidR="00B54ABB" w:rsidRPr="00B83578" w:rsidRDefault="00B54ABB" w:rsidP="006D523E">
      <w:pPr>
        <w:pStyle w:val="FootnoteText"/>
      </w:pPr>
      <w:r w:rsidRPr="00B83578">
        <w:rPr>
          <w:rStyle w:val="FootnoteReference"/>
        </w:rPr>
        <w:footnoteRef/>
      </w:r>
      <w:r w:rsidRPr="00B83578">
        <w:t xml:space="preserve"> </w:t>
      </w:r>
      <w:r w:rsidRPr="00D56867">
        <w:t>Relevantne informacije o trenutnim kapacitetima ljudskih resursa biće predstavljene u poglavlju o jačanju administrativnih kapaciteta</w:t>
      </w:r>
      <w:r w:rsidRPr="00B83578">
        <w:t>.</w:t>
      </w:r>
    </w:p>
  </w:footnote>
  <w:footnote w:id="87">
    <w:p w14:paraId="48FF48BD" w14:textId="04A35FD4" w:rsidR="00B54ABB" w:rsidRPr="007C03E2" w:rsidRDefault="00B54ABB">
      <w:pPr>
        <w:pStyle w:val="FootnoteText"/>
        <w:rPr>
          <w:lang w:val="sr-Latn-ME"/>
        </w:rPr>
      </w:pPr>
      <w:r>
        <w:rPr>
          <w:rStyle w:val="FootnoteReference"/>
        </w:rPr>
        <w:footnoteRef/>
      </w:r>
      <w:r>
        <w:t xml:space="preserve"> </w:t>
      </w:r>
      <w:r w:rsidRPr="00D56867">
        <w:t>Operativni programi za period 2024-2027. godine odobreni su implementacionom odlukom Komisije 5.8.2024. C(2024) 5738 o finansiranju višegodišnjeg akcionog plana za Operativni program za zapošljavanje i socijalnu inkluziju u korist Crne Gore za period 2024-2027. godine i 5.8.2024. C(2024) 5739 o finansiranju višegodišnjeg akcionog plana za Operativni program za životnu sredinu i klimatske promjene u korist Crne Gore za period 2024-2027. godine. U skladu sa Okvirnim sporazumom o finansijskom partnerstvu za IPA III, član 53, Sektorski odbor za monitoring mora biti uspostavljen najkasnije šest mjeseci nakon stupanja na snagu prvog sporazuma o finansiranju u tom sektoru.</w:t>
      </w:r>
    </w:p>
  </w:footnote>
  <w:footnote w:id="88">
    <w:p w14:paraId="1BB3D2CC" w14:textId="69F361A3" w:rsidR="00B54ABB" w:rsidRPr="00B83578" w:rsidRDefault="00B54ABB" w:rsidP="00A1475B">
      <w:pPr>
        <w:pStyle w:val="FootnoteText"/>
      </w:pPr>
      <w:r w:rsidRPr="00B83578">
        <w:rPr>
          <w:rStyle w:val="FootnoteReference"/>
        </w:rPr>
        <w:footnoteRef/>
      </w:r>
      <w:r w:rsidRPr="00B83578">
        <w:t xml:space="preserve"> </w:t>
      </w:r>
      <w:r>
        <w:t>Delegirana Regulativa Komisije</w:t>
      </w:r>
      <w:r w:rsidRPr="00B83578">
        <w:t xml:space="preserve"> 240/2014).</w:t>
      </w:r>
    </w:p>
  </w:footnote>
  <w:footnote w:id="89">
    <w:p w14:paraId="47C79F15" w14:textId="3FEBA611" w:rsidR="00B54ABB" w:rsidRPr="00B83578" w:rsidRDefault="00B54ABB" w:rsidP="00A1475B">
      <w:pPr>
        <w:pStyle w:val="FootnoteText"/>
      </w:pPr>
      <w:r w:rsidRPr="00B83578">
        <w:rPr>
          <w:rStyle w:val="FootnoteReference"/>
        </w:rPr>
        <w:footnoteRef/>
      </w:r>
      <w:r w:rsidRPr="00B83578">
        <w:t xml:space="preserve"> </w:t>
      </w:r>
      <w:hyperlink r:id="rId39" w:history="1">
        <w:r w:rsidRPr="00B83578">
          <w:rPr>
            <w:rStyle w:val="Hyperlink"/>
          </w:rPr>
          <w:t>Montenegro Report 2024 - European Commission</w:t>
        </w:r>
      </w:hyperlink>
      <w:r w:rsidRPr="00B83578">
        <w:t xml:space="preserve"> </w:t>
      </w:r>
      <w:r>
        <w:t>str</w:t>
      </w:r>
      <w:r w:rsidRPr="00B83578">
        <w:t>. 18-19.</w:t>
      </w:r>
    </w:p>
  </w:footnote>
  <w:footnote w:id="90">
    <w:p w14:paraId="051BE562" w14:textId="4919DF7D" w:rsidR="00B54ABB" w:rsidRPr="00B83578" w:rsidRDefault="00B54ABB" w:rsidP="00684D2A">
      <w:pPr>
        <w:pStyle w:val="FootnoteText"/>
        <w:rPr>
          <w:rStyle w:val="IntenseEmphasis"/>
          <w:i w:val="0"/>
          <w:iCs w:val="0"/>
          <w:color w:val="000000" w:themeColor="text1"/>
        </w:rPr>
      </w:pPr>
      <w:r w:rsidRPr="00B83578">
        <w:footnoteRef/>
      </w:r>
      <w:r w:rsidRPr="00B83578">
        <w:t xml:space="preserve"> </w:t>
      </w:r>
      <w:r w:rsidRPr="003A5C72">
        <w:t>Prečišćeni tekst Zakona o pravima i slobodama manjina uključuje sljedeće propise: 1. Zakon o pravima i slobodama manjina (Službeni list, br. 031/06 od 12.05.2006), 2. Odluka Ustavnog suda Crne Gore U br. 53/06, od 11. jula 2006. godine, sa izdvojenim mišljenjem (Službeni list, br. 051/06 od 04.08.2006), 3. Zakon o izmjenama i dopunama Zakona o pravima i slobodama manjina (Službeni glasnik, br. 038/07 od 22.06.2007), 4. Zakon o izmjenama i dopunama Zakona o pravima i slobodama manjina (Službeni list, br. 002/11 od 12.01.2011), 5. Ispravka Zakona o izmjenama i dopunama Zakona o pravima i slobodama manjina (Službeni list, br. 008/11 od 04.02.2011), 6. Zakon o izmjenama i dopunama Zakona o pravima i slobodama manjina (Službeni list, br. 031/17 od 12.05.2017), u kojem je naznačen datum njegove primjene. Zakon o pravima i slobodama manjina (Službeni list, br. 031/06 od 12.05.2006, 051/06 od 04.08.2006, 038/07 od 22.06.2007, Službeni list, br. 002/11 od 12.01.2011, 008/11 od 04.02.2011, 031/17 od 12.05.2017).</w:t>
      </w:r>
    </w:p>
  </w:footnote>
  <w:footnote w:id="91">
    <w:p w14:paraId="71B27113" w14:textId="47AA8244" w:rsidR="00B54ABB" w:rsidRPr="00B83578" w:rsidRDefault="00B54ABB" w:rsidP="00684D2A">
      <w:pPr>
        <w:pStyle w:val="FootnoteText"/>
        <w:rPr>
          <w:rStyle w:val="IntenseEmphasis"/>
          <w:i w:val="0"/>
          <w:iCs w:val="0"/>
          <w:color w:val="000000" w:themeColor="text1"/>
        </w:rPr>
      </w:pPr>
      <w:r w:rsidRPr="00B83578">
        <w:rPr>
          <w:rStyle w:val="IntenseEmphasis"/>
          <w:i w:val="0"/>
          <w:iCs w:val="0"/>
          <w:color w:val="000000" w:themeColor="text1"/>
        </w:rPr>
        <w:footnoteRef/>
      </w:r>
      <w:r w:rsidRPr="00B83578">
        <w:rPr>
          <w:rStyle w:val="IntenseEmphasis"/>
          <w:i w:val="0"/>
          <w:iCs w:val="0"/>
          <w:color w:val="000000" w:themeColor="text1"/>
        </w:rPr>
        <w:t xml:space="preserve">  </w:t>
      </w:r>
      <w:r w:rsidRPr="003A5C72">
        <w:rPr>
          <w:rStyle w:val="IntenseEmphasis"/>
          <w:i w:val="0"/>
          <w:iCs w:val="0"/>
          <w:color w:val="000000" w:themeColor="text1"/>
        </w:rPr>
        <w:t>Službeni list Crne Gore, br.</w:t>
      </w:r>
      <w:r w:rsidRPr="00B83578">
        <w:rPr>
          <w:rStyle w:val="IntenseEmphasis"/>
          <w:i w:val="0"/>
          <w:iCs w:val="0"/>
          <w:color w:val="000000" w:themeColor="text1"/>
        </w:rPr>
        <w:t>. 42/2011, 32/2014</w:t>
      </w:r>
    </w:p>
  </w:footnote>
  <w:footnote w:id="92">
    <w:p w14:paraId="645AAF2F" w14:textId="6C3369B1" w:rsidR="00B54ABB" w:rsidRPr="00B83578" w:rsidRDefault="00B54ABB" w:rsidP="00684D2A">
      <w:pPr>
        <w:pStyle w:val="FootnoteText"/>
        <w:rPr>
          <w:rStyle w:val="IntenseEmphasis"/>
          <w:i w:val="0"/>
          <w:iCs w:val="0"/>
          <w:color w:val="000000" w:themeColor="text1"/>
        </w:rPr>
      </w:pPr>
      <w:r w:rsidRPr="00B83578">
        <w:rPr>
          <w:rStyle w:val="IntenseEmphasis"/>
          <w:i w:val="0"/>
          <w:iCs w:val="0"/>
          <w:color w:val="000000" w:themeColor="text1"/>
        </w:rPr>
        <w:footnoteRef/>
      </w:r>
      <w:r w:rsidRPr="00B83578">
        <w:rPr>
          <w:rStyle w:val="IntenseEmphasis"/>
          <w:i w:val="0"/>
          <w:iCs w:val="0"/>
          <w:color w:val="000000" w:themeColor="text1"/>
        </w:rPr>
        <w:t xml:space="preserve"> </w:t>
      </w:r>
      <w:r w:rsidRPr="003A5C72">
        <w:rPr>
          <w:rStyle w:val="IntenseEmphasis"/>
          <w:i w:val="0"/>
          <w:iCs w:val="0"/>
          <w:color w:val="000000" w:themeColor="text1"/>
        </w:rPr>
        <w:t>Službeni list Crne Gore, br.</w:t>
      </w:r>
      <w:r w:rsidRPr="00B83578">
        <w:rPr>
          <w:rStyle w:val="IntenseEmphasis"/>
          <w:i w:val="0"/>
          <w:iCs w:val="0"/>
          <w:color w:val="000000" w:themeColor="text1"/>
        </w:rPr>
        <w:t>. 46/2010, 18/2014</w:t>
      </w:r>
    </w:p>
  </w:footnote>
  <w:footnote w:id="93">
    <w:p w14:paraId="62697748" w14:textId="15BF7B76" w:rsidR="00B54ABB" w:rsidRPr="00B83578" w:rsidRDefault="00B54ABB" w:rsidP="00684D2A">
      <w:pPr>
        <w:pStyle w:val="FootnoteText"/>
        <w:rPr>
          <w:rStyle w:val="IntenseEmphasis"/>
          <w:i w:val="0"/>
          <w:iCs w:val="0"/>
          <w:color w:val="000000" w:themeColor="text1"/>
        </w:rPr>
      </w:pPr>
      <w:r w:rsidRPr="00B83578">
        <w:rPr>
          <w:rStyle w:val="IntenseEmphasis"/>
          <w:i w:val="0"/>
          <w:iCs w:val="0"/>
          <w:color w:val="000000" w:themeColor="text1"/>
        </w:rPr>
        <w:footnoteRef/>
      </w:r>
      <w:r w:rsidRPr="00B83578">
        <w:rPr>
          <w:rStyle w:val="IntenseEmphasis"/>
          <w:i w:val="0"/>
          <w:iCs w:val="0"/>
          <w:color w:val="000000" w:themeColor="text1"/>
        </w:rPr>
        <w:t xml:space="preserve"> </w:t>
      </w:r>
      <w:r w:rsidRPr="003A5C72">
        <w:rPr>
          <w:rStyle w:val="IntenseEmphasis"/>
          <w:i w:val="0"/>
          <w:iCs w:val="0"/>
          <w:color w:val="000000" w:themeColor="text1"/>
        </w:rPr>
        <w:t>Službeni list Crne Gore, br.</w:t>
      </w:r>
      <w:r w:rsidRPr="00B83578">
        <w:rPr>
          <w:rStyle w:val="IntenseEmphasis"/>
          <w:i w:val="0"/>
          <w:iCs w:val="0"/>
          <w:color w:val="000000" w:themeColor="text1"/>
        </w:rPr>
        <w:t>. 35/2015</w:t>
      </w:r>
    </w:p>
  </w:footnote>
  <w:footnote w:id="94">
    <w:p w14:paraId="4E95D054" w14:textId="2DA550D7" w:rsidR="00B54ABB" w:rsidRPr="00B83578" w:rsidRDefault="00B54ABB" w:rsidP="00684D2A">
      <w:pPr>
        <w:pStyle w:val="FootnoteText"/>
        <w:rPr>
          <w:rStyle w:val="IntenseEmphasis"/>
          <w:i w:val="0"/>
          <w:iCs w:val="0"/>
          <w:color w:val="000000" w:themeColor="text1"/>
        </w:rPr>
      </w:pPr>
      <w:r w:rsidRPr="00B83578">
        <w:rPr>
          <w:rStyle w:val="IntenseEmphasis"/>
          <w:i w:val="0"/>
          <w:iCs w:val="0"/>
          <w:color w:val="000000" w:themeColor="text1"/>
        </w:rPr>
        <w:footnoteRef/>
      </w:r>
      <w:r w:rsidRPr="00B83578">
        <w:rPr>
          <w:rStyle w:val="IntenseEmphasis"/>
          <w:i w:val="0"/>
          <w:iCs w:val="0"/>
          <w:color w:val="000000" w:themeColor="text1"/>
        </w:rPr>
        <w:t xml:space="preserve"> </w:t>
      </w:r>
      <w:r w:rsidRPr="003A5C72">
        <w:rPr>
          <w:rStyle w:val="IntenseEmphasis"/>
          <w:i w:val="0"/>
          <w:iCs w:val="0"/>
          <w:color w:val="000000" w:themeColor="text1"/>
        </w:rPr>
        <w:t>Službeni list Crne Gore, br.</w:t>
      </w:r>
      <w:r w:rsidRPr="00B83578">
        <w:rPr>
          <w:rStyle w:val="IntenseEmphasis"/>
          <w:i w:val="0"/>
          <w:iCs w:val="0"/>
          <w:color w:val="000000" w:themeColor="text1"/>
        </w:rPr>
        <w:t>. 46/2007, 35/2015</w:t>
      </w:r>
    </w:p>
  </w:footnote>
  <w:footnote w:id="95">
    <w:p w14:paraId="776C4A47" w14:textId="4D5EB3D1" w:rsidR="00B54ABB" w:rsidRPr="00B83578" w:rsidRDefault="00B54ABB" w:rsidP="00684D2A">
      <w:pPr>
        <w:pStyle w:val="FootnoteText"/>
        <w:rPr>
          <w:rStyle w:val="IntenseEmphasis"/>
          <w:i w:val="0"/>
          <w:iCs w:val="0"/>
          <w:color w:val="000000" w:themeColor="text1"/>
        </w:rPr>
      </w:pPr>
      <w:r w:rsidRPr="00B83578">
        <w:rPr>
          <w:rStyle w:val="IntenseEmphasis"/>
          <w:i w:val="0"/>
          <w:iCs w:val="0"/>
          <w:color w:val="000000" w:themeColor="text1"/>
        </w:rPr>
        <w:footnoteRef/>
      </w:r>
      <w:r w:rsidRPr="00B83578">
        <w:rPr>
          <w:rStyle w:val="IntenseEmphasis"/>
          <w:i w:val="0"/>
          <w:iCs w:val="0"/>
          <w:color w:val="000000" w:themeColor="text1"/>
        </w:rPr>
        <w:t xml:space="preserve"> </w:t>
      </w:r>
      <w:hyperlink r:id="rId40" w:history="1">
        <w:r w:rsidRPr="00E40B03">
          <w:rPr>
            <w:rStyle w:val="Hyperlink"/>
          </w:rPr>
          <w:t>https://equineteurope.org/author/montenegro_phrf/</w:t>
        </w:r>
      </w:hyperlink>
      <w:r>
        <w:rPr>
          <w:rStyle w:val="IntenseEmphasis"/>
          <w:i w:val="0"/>
          <w:iCs w:val="0"/>
          <w:color w:val="000000" w:themeColor="text1"/>
        </w:rPr>
        <w:t xml:space="preserve"> </w:t>
      </w:r>
    </w:p>
  </w:footnote>
  <w:footnote w:id="96">
    <w:p w14:paraId="16563170" w14:textId="33CDCA01" w:rsidR="00B54ABB" w:rsidRPr="00B83578" w:rsidRDefault="00B54ABB" w:rsidP="00684D2A">
      <w:pPr>
        <w:pStyle w:val="FootnoteText"/>
      </w:pPr>
      <w:r w:rsidRPr="00B83578">
        <w:rPr>
          <w:rStyle w:val="IntenseEmphasis"/>
          <w:i w:val="0"/>
          <w:iCs w:val="0"/>
          <w:color w:val="000000" w:themeColor="text1"/>
        </w:rPr>
        <w:footnoteRef/>
      </w:r>
      <w:r w:rsidRPr="00B83578">
        <w:rPr>
          <w:rStyle w:val="IntenseEmphasis"/>
          <w:i w:val="0"/>
          <w:iCs w:val="0"/>
          <w:color w:val="000000" w:themeColor="text1"/>
        </w:rPr>
        <w:t xml:space="preserve"> </w:t>
      </w:r>
      <w:r>
        <w:rPr>
          <w:rStyle w:val="IntenseEmphasis"/>
          <w:i w:val="0"/>
          <w:iCs w:val="0"/>
          <w:color w:val="000000" w:themeColor="text1"/>
        </w:rPr>
        <w:t>Godišnji izvještaj Ombudsmana Crne Gore</w:t>
      </w:r>
      <w:r w:rsidRPr="00B83578">
        <w:rPr>
          <w:rStyle w:val="IntenseEmphasis"/>
          <w:i w:val="0"/>
          <w:iCs w:val="0"/>
          <w:color w:val="000000" w:themeColor="text1"/>
        </w:rPr>
        <w:t xml:space="preserve"> (</w:t>
      </w:r>
      <w:r>
        <w:rPr>
          <w:rStyle w:val="IntenseEmphasis"/>
          <w:i w:val="0"/>
          <w:iCs w:val="0"/>
          <w:color w:val="000000" w:themeColor="text1"/>
        </w:rPr>
        <w:t>Izvještaj</w:t>
      </w:r>
      <w:r w:rsidRPr="00B83578">
        <w:rPr>
          <w:rStyle w:val="IntenseEmphasis"/>
          <w:i w:val="0"/>
          <w:iCs w:val="0"/>
          <w:color w:val="000000" w:themeColor="text1"/>
        </w:rPr>
        <w:t xml:space="preserve"> 2023)  </w:t>
      </w:r>
      <w:hyperlink r:id="rId41" w:history="1">
        <w:r w:rsidRPr="00B83578">
          <w:rPr>
            <w:rStyle w:val="IntenseEmphasis"/>
            <w:i w:val="0"/>
            <w:iCs w:val="0"/>
            <w:color w:val="000000" w:themeColor="text1"/>
          </w:rPr>
          <w:t>https://www.ombudsman.co.me/docs/1715154847_finalizvjestaj_29042024%20_zastitnik.pdf</w:t>
        </w:r>
      </w:hyperlink>
      <w:r w:rsidRPr="00B83578">
        <w:rPr>
          <w:rStyle w:val="IntenseEmphasis"/>
          <w:i w:val="0"/>
          <w:iCs w:val="0"/>
          <w:color w:val="000000" w:themeColor="text1"/>
        </w:rPr>
        <w:t xml:space="preserve">; </w:t>
      </w:r>
      <w:r w:rsidRPr="00441C14">
        <w:rPr>
          <w:rStyle w:val="IntenseEmphasis"/>
          <w:i w:val="0"/>
          <w:iCs w:val="0"/>
          <w:color w:val="000000" w:themeColor="text1"/>
        </w:rPr>
        <w:t>Godišnji izvještaji Nacionalnog mehanizma za prevenciju torture (NPM)</w:t>
      </w:r>
      <w:r w:rsidRPr="00B83578">
        <w:rPr>
          <w:rStyle w:val="IntenseEmphasis"/>
          <w:i w:val="0"/>
          <w:iCs w:val="0"/>
          <w:color w:val="000000" w:themeColor="text1"/>
        </w:rPr>
        <w:t>https://www.ombudsman.co.me/NPM_Izvjestaji.html</w:t>
      </w:r>
    </w:p>
  </w:footnote>
  <w:footnote w:id="97">
    <w:p w14:paraId="0A5B03B1" w14:textId="68FABFED" w:rsidR="00B54ABB" w:rsidRPr="00B83578" w:rsidRDefault="00B54ABB" w:rsidP="00F9387A">
      <w:pPr>
        <w:pStyle w:val="FootnoteText"/>
      </w:pPr>
      <w:r w:rsidRPr="00B83578">
        <w:rPr>
          <w:rStyle w:val="FootnoteReference"/>
          <w:sz w:val="14"/>
          <w:szCs w:val="14"/>
        </w:rPr>
        <w:footnoteRef/>
      </w:r>
      <w:r w:rsidRPr="00B83578">
        <w:t xml:space="preserve"> </w:t>
      </w:r>
      <w:r w:rsidRPr="009F5BA9">
        <w:t>Službeni list</w:t>
      </w:r>
      <w:r>
        <w:t xml:space="preserve"> Crne Gore br.</w:t>
      </w:r>
      <w:r w:rsidRPr="009F5BA9">
        <w:t xml:space="preserve"> 80/2005, Službeni list Crne Gore 73/2010, 40/11, 59/2011, 52/2016</w:t>
      </w:r>
      <w:r w:rsidRPr="00B83578">
        <w:t>.</w:t>
      </w:r>
    </w:p>
  </w:footnote>
  <w:footnote w:id="98">
    <w:p w14:paraId="5ED674B8" w14:textId="2A693B1F" w:rsidR="00B54ABB" w:rsidRPr="00B83578" w:rsidRDefault="00B54ABB" w:rsidP="00DF2737">
      <w:pPr>
        <w:pStyle w:val="FootnoteText"/>
      </w:pPr>
      <w:r w:rsidRPr="00B83578">
        <w:rPr>
          <w:rStyle w:val="FootnoteReference"/>
        </w:rPr>
        <w:footnoteRef/>
      </w:r>
      <w:r w:rsidRPr="00B83578">
        <w:t xml:space="preserve"> </w:t>
      </w:r>
      <w:r w:rsidRPr="009F5BA9">
        <w:t xml:space="preserve">Službeni list </w:t>
      </w:r>
      <w:r>
        <w:t xml:space="preserve">Crne Gore </w:t>
      </w:r>
      <w:r w:rsidRPr="009F5BA9">
        <w:t>br. 80/2005, 40/2010 i 27/2013, 75/2018 i povezani podzakonski akti. Vrste projekata za koje je potrebna procjena uticaja na životnu sredinu (</w:t>
      </w:r>
      <w:r>
        <w:t>PUŽS</w:t>
      </w:r>
      <w:r w:rsidRPr="009F5BA9">
        <w:t xml:space="preserve">) određene su „Uredbom o određivanju projekata za koje se sprovodi procjena uticaja na životnu sredinu“ – </w:t>
      </w:r>
      <w:r>
        <w:t>Uredba</w:t>
      </w:r>
      <w:r w:rsidRPr="009F5BA9">
        <w:t xml:space="preserve"> o </w:t>
      </w:r>
      <w:r>
        <w:t>PUŽS</w:t>
      </w:r>
      <w:r w:rsidRPr="009F5BA9">
        <w:t xml:space="preserve"> (Službeni list </w:t>
      </w:r>
      <w:r>
        <w:t>Crne Gore</w:t>
      </w:r>
      <w:r w:rsidRPr="009F5BA9">
        <w:t>br. 20/2007).</w:t>
      </w:r>
    </w:p>
  </w:footnote>
  <w:footnote w:id="99">
    <w:p w14:paraId="09877C2C" w14:textId="5DD443F3" w:rsidR="00B54ABB" w:rsidRPr="00B83578" w:rsidRDefault="00B54ABB" w:rsidP="00DF2737">
      <w:pPr>
        <w:pStyle w:val="FootnoteText"/>
      </w:pPr>
      <w:r w:rsidRPr="00B83578">
        <w:rPr>
          <w:rStyle w:val="IntenseEmphasis"/>
        </w:rPr>
        <w:footnoteRef/>
      </w:r>
      <w:r w:rsidRPr="00B83578">
        <w:rPr>
          <w:rStyle w:val="IntenseEmphasis"/>
        </w:rPr>
        <w:t xml:space="preserve"> </w:t>
      </w:r>
      <w:hyperlink r:id="rId42" w:history="1">
        <w:r w:rsidRPr="009F5BA9">
          <w:rPr>
            <w:rStyle w:val="Hyperlink"/>
          </w:rPr>
          <w:t>Regulativa (EU) 2019/2088 Evropskog parlamenta i Savjeta od 27. novembra 2019. o objavljivanju informacija u vezi sa održivošću u sektoru finansijskih usluga (poznata kao SFDR ili Regulativa o objavljivanju informacija).</w:t>
        </w:r>
      </w:hyperlink>
      <w:r w:rsidRPr="009F5BA9">
        <w:t xml:space="preserve"> </w:t>
      </w:r>
      <w:hyperlink r:id="rId43" w:history="1">
        <w:r w:rsidRPr="009F5BA9">
          <w:rPr>
            <w:rStyle w:val="Hyperlink"/>
          </w:rPr>
          <w:t xml:space="preserve">Regulativa(EU) 2020/852 Evropskog parlamenta i Saveta od 18. juna 2020. (poznata kao </w:t>
        </w:r>
        <w:r>
          <w:rPr>
            <w:rStyle w:val="Hyperlink"/>
          </w:rPr>
          <w:t>Regulativa</w:t>
        </w:r>
        <w:r w:rsidRPr="009F5BA9">
          <w:rPr>
            <w:rStyle w:val="Hyperlink"/>
          </w:rPr>
          <w:t xml:space="preserve"> o taksonomiji) kojom se uspostavlja okvir za olakšavanje održivog ulaganja i kojom se mijenja Regulativa (EU) 2019/2088.</w:t>
        </w:r>
      </w:hyperlink>
    </w:p>
  </w:footnote>
  <w:footnote w:id="100">
    <w:p w14:paraId="28E239DA" w14:textId="4E9E868B" w:rsidR="00B54ABB" w:rsidRPr="00B83578" w:rsidRDefault="00B54ABB" w:rsidP="00541DB2">
      <w:pPr>
        <w:pStyle w:val="FootnoteText"/>
      </w:pPr>
      <w:r w:rsidRPr="00B83578">
        <w:rPr>
          <w:rStyle w:val="FootnoteReference"/>
        </w:rPr>
        <w:footnoteRef/>
      </w:r>
      <w:r w:rsidRPr="00B83578">
        <w:t xml:space="preserve"> </w:t>
      </w:r>
      <w:r w:rsidRPr="009F5BA9">
        <w:t>Naime, i kriterijumi za Horizontalni preduslov za omogućavanje 3, kao i kriterijumi 2 i 3 za Horizontalni preduslov za omogućavanje 4.</w:t>
      </w:r>
    </w:p>
  </w:footnote>
  <w:footnote w:id="101">
    <w:p w14:paraId="620F09C9" w14:textId="77777777" w:rsidR="00B54ABB" w:rsidRPr="00B83578" w:rsidRDefault="00B54ABB" w:rsidP="00735D99">
      <w:pPr>
        <w:pStyle w:val="FootnoteText"/>
      </w:pPr>
      <w:r w:rsidRPr="00B83578">
        <w:rPr>
          <w:rStyle w:val="FootnoteReference"/>
        </w:rPr>
        <w:footnoteRef/>
      </w:r>
      <w:r w:rsidRPr="00B83578">
        <w:t xml:space="preserve"> </w:t>
      </w:r>
      <w:hyperlink r:id="rId44" w:history="1">
        <w:r w:rsidRPr="00B83578">
          <w:rPr>
            <w:rStyle w:val="Hyperlink"/>
          </w:rPr>
          <w:t>Inforegio - European Community of Practice on Partnership (ECoPP) (europa.eu)</w:t>
        </w:r>
      </w:hyperlink>
    </w:p>
  </w:footnote>
  <w:footnote w:id="102">
    <w:p w14:paraId="121B901A" w14:textId="563BD80E" w:rsidR="00B54ABB" w:rsidRPr="00B83578" w:rsidRDefault="00B54ABB" w:rsidP="00C83EA6">
      <w:pPr>
        <w:pStyle w:val="FootnoteText"/>
      </w:pPr>
      <w:r w:rsidRPr="00B83578">
        <w:rPr>
          <w:rStyle w:val="FootnoteReference"/>
          <w:vertAlign w:val="baseline"/>
        </w:rPr>
        <w:footnoteRef/>
      </w:r>
      <w:r w:rsidRPr="00B83578">
        <w:t xml:space="preserve"> </w:t>
      </w:r>
      <w:hyperlink r:id="rId45" w:history="1">
        <w:r w:rsidRPr="00E40B03">
          <w:rPr>
            <w:rStyle w:val="Hyperlink"/>
          </w:rPr>
          <w:t>https://eur-lex.europa.eu/eli/reg/2021/1059/oj</w:t>
        </w:r>
      </w:hyperlink>
      <w:r>
        <w:t xml:space="preserve"> </w:t>
      </w:r>
    </w:p>
  </w:footnote>
  <w:footnote w:id="103">
    <w:p w14:paraId="2EEE34DB" w14:textId="53188E01" w:rsidR="00B54ABB" w:rsidRPr="00B83578" w:rsidRDefault="00B54ABB" w:rsidP="00CE064E">
      <w:pPr>
        <w:pStyle w:val="FootnoteText"/>
      </w:pPr>
      <w:r w:rsidRPr="00B83578">
        <w:rPr>
          <w:rStyle w:val="FootnoteReference"/>
        </w:rPr>
        <w:footnoteRef/>
      </w:r>
      <w:r w:rsidRPr="00B83578">
        <w:t xml:space="preserve"> </w:t>
      </w:r>
      <w:r w:rsidRPr="00422E3B">
        <w:t>Polazeći od pretpostavke da će Crna Gora pristupiti EU 2028. godine, mogli bi se predvid</w:t>
      </w:r>
      <w:r>
        <w:t>j</w:t>
      </w:r>
      <w:r w:rsidRPr="00422E3B">
        <w:t>eti programi prekogranične saradnje sa sl</w:t>
      </w:r>
      <w:r>
        <w:t>j</w:t>
      </w:r>
      <w:r w:rsidRPr="00422E3B">
        <w:t>edećim zemljama korisnicama IPA fondova: Albanijom, Bosnom i Hercegovinom, Kosovom* i Srbijom.</w:t>
      </w:r>
    </w:p>
  </w:footnote>
  <w:footnote w:id="104">
    <w:p w14:paraId="6C918644" w14:textId="0A1FB9AF" w:rsidR="00B54ABB" w:rsidRPr="00B83578" w:rsidRDefault="00B54ABB" w:rsidP="00685D86">
      <w:pPr>
        <w:pStyle w:val="FootnoteText"/>
      </w:pPr>
      <w:r w:rsidRPr="00B83578">
        <w:rPr>
          <w:rStyle w:val="FootnoteReference"/>
        </w:rPr>
        <w:footnoteRef/>
      </w:r>
      <w:r w:rsidRPr="00B83578">
        <w:t xml:space="preserve"> </w:t>
      </w:r>
      <w:hyperlink r:id="rId46" w:history="1">
        <w:r w:rsidRPr="00E40B03">
          <w:rPr>
            <w:rStyle w:val="Hyperlink"/>
          </w:rPr>
          <w:t>https://www.paragraf.me/propisi-crnegore/zakon_o_drzavnim_sluzbenicima_i_namjestenicima.html</w:t>
        </w:r>
      </w:hyperlink>
      <w:r>
        <w:t xml:space="preserve"> </w:t>
      </w:r>
    </w:p>
  </w:footnote>
  <w:footnote w:id="105">
    <w:p w14:paraId="146DFF9C" w14:textId="7417E9C4" w:rsidR="00B54ABB" w:rsidRPr="00B83578" w:rsidRDefault="00B54ABB" w:rsidP="00685D86">
      <w:pPr>
        <w:pStyle w:val="FootnoteText"/>
      </w:pPr>
      <w:r w:rsidRPr="00B83578">
        <w:rPr>
          <w:rStyle w:val="FootnoteReference"/>
        </w:rPr>
        <w:footnoteRef/>
      </w:r>
      <w:r w:rsidRPr="00B83578">
        <w:t xml:space="preserve"> </w:t>
      </w:r>
      <w:hyperlink r:id="rId47" w:history="1">
        <w:r w:rsidRPr="00422E3B">
          <w:rPr>
            <w:rStyle w:val="Hyperlink"/>
          </w:rPr>
          <w:t>Strategija reforme javne uprave 2022-2026</w:t>
        </w:r>
      </w:hyperlink>
    </w:p>
  </w:footnote>
  <w:footnote w:id="106">
    <w:p w14:paraId="2A2331E2" w14:textId="77777777" w:rsidR="00B54ABB" w:rsidRPr="00B83578" w:rsidRDefault="00B54ABB" w:rsidP="00685D86">
      <w:pPr>
        <w:pStyle w:val="FootnoteText"/>
      </w:pPr>
      <w:r w:rsidRPr="00B83578">
        <w:rPr>
          <w:rStyle w:val="FootnoteReference"/>
        </w:rPr>
        <w:footnoteRef/>
      </w:r>
      <w:r w:rsidRPr="00B83578">
        <w:t xml:space="preserve"> </w:t>
      </w:r>
      <w:hyperlink r:id="rId48" w:history="1">
        <w:r w:rsidRPr="00B83578">
          <w:rPr>
            <w:rStyle w:val="Hyperlink"/>
          </w:rPr>
          <w:t>https://www.gov.me/dokumenta/e33c0494-bb77-45bb-bb9c-f3382522e07e</w:t>
        </w:r>
      </w:hyperlink>
      <w:r w:rsidRPr="00B83578">
        <w:t xml:space="preserve"> </w:t>
      </w:r>
    </w:p>
  </w:footnote>
  <w:footnote w:id="107">
    <w:p w14:paraId="57A006E5" w14:textId="33AA16D5" w:rsidR="00B54ABB" w:rsidRPr="00B83578" w:rsidRDefault="00B54ABB" w:rsidP="003E7BBA">
      <w:pPr>
        <w:pStyle w:val="FootnoteText"/>
      </w:pPr>
      <w:r w:rsidRPr="00B83578">
        <w:rPr>
          <w:rStyle w:val="FootnoteReference"/>
        </w:rPr>
        <w:footnoteRef/>
      </w:r>
      <w:r w:rsidRPr="00B83578">
        <w:t xml:space="preserve"> SIGMA</w:t>
      </w:r>
      <w:r w:rsidRPr="00422E3B">
        <w:t xml:space="preserve"> (Podrška unaprjeđenju upravljanja i rukovođenja) je zajednička inicijativa OECD-a i Evropske unije</w:t>
      </w:r>
      <w:r w:rsidRPr="00B83578">
        <w:t xml:space="preserve"> . </w:t>
      </w:r>
      <w:hyperlink r:id="rId49" w:history="1">
        <w:r w:rsidRPr="00B83578">
          <w:rPr>
            <w:rStyle w:val="Hyperlink"/>
          </w:rPr>
          <w:t>https://www.sigmaweb.org/about/</w:t>
        </w:r>
      </w:hyperlink>
      <w:r w:rsidRPr="00B83578">
        <w:t xml:space="preserve"> </w:t>
      </w:r>
    </w:p>
  </w:footnote>
  <w:footnote w:id="108">
    <w:p w14:paraId="592C2ED9" w14:textId="442439FC" w:rsidR="00B54ABB" w:rsidRPr="00B83578" w:rsidRDefault="00B54ABB" w:rsidP="003E7BBA">
      <w:pPr>
        <w:pStyle w:val="FootnoteText"/>
      </w:pPr>
      <w:r w:rsidRPr="00B83578">
        <w:rPr>
          <w:rStyle w:val="FootnoteReference"/>
        </w:rPr>
        <w:footnoteRef/>
      </w:r>
      <w:r w:rsidRPr="00422E3B">
        <w:t>Prijedlogom se utvrđuje da se za nemenadžerske pozicije bira najbolje rangirani kandidat, dok se za menadžerske pozicije izbor vrši između tri najbolje rangirana kandidata</w:t>
      </w:r>
      <w:r w:rsidRPr="00B83578">
        <w:t xml:space="preserve"> .</w:t>
      </w:r>
    </w:p>
  </w:footnote>
  <w:footnote w:id="109">
    <w:p w14:paraId="39BFF656" w14:textId="09DD04A4" w:rsidR="00B54ABB" w:rsidRPr="00B83578" w:rsidRDefault="00B54ABB" w:rsidP="00234C6C">
      <w:pPr>
        <w:pStyle w:val="FootnoteText"/>
      </w:pPr>
      <w:r w:rsidRPr="00B83578">
        <w:rPr>
          <w:rStyle w:val="FootnoteReference"/>
        </w:rPr>
        <w:footnoteRef/>
      </w:r>
      <w:r w:rsidRPr="00B83578">
        <w:t xml:space="preserve"> </w:t>
      </w:r>
      <w:hyperlink r:id="rId50" w:history="1">
        <w:r w:rsidRPr="00E40B03">
          <w:rPr>
            <w:rStyle w:val="Hyperlink"/>
          </w:rPr>
          <w:t>https://www.gov.me/dokumenta/1b60309b-7065-449e-b331-f46c37d9c901</w:t>
        </w:r>
      </w:hyperlink>
      <w:r>
        <w:t xml:space="preserve"> </w:t>
      </w:r>
    </w:p>
  </w:footnote>
  <w:footnote w:id="110">
    <w:p w14:paraId="45C1676A" w14:textId="5CD4EDB1" w:rsidR="00B54ABB" w:rsidRPr="00B83578" w:rsidRDefault="00B54ABB" w:rsidP="00234C6C">
      <w:pPr>
        <w:pStyle w:val="FootnoteText"/>
      </w:pPr>
      <w:r w:rsidRPr="00B83578">
        <w:rPr>
          <w:rStyle w:val="FootnoteReference"/>
        </w:rPr>
        <w:footnoteRef/>
      </w:r>
      <w:r w:rsidRPr="00B83578">
        <w:t xml:space="preserve"> </w:t>
      </w:r>
      <w:r>
        <w:t>Tehnička pomoć</w:t>
      </w:r>
      <w:r w:rsidRPr="00422E3B">
        <w:t xml:space="preserve"> Crnoj Gori u oblasti pružanja javnih usluga i upravljanja ljudskim resursima u okviru IPA 2022 EU 4 Javna uprava</w:t>
      </w:r>
    </w:p>
  </w:footnote>
  <w:footnote w:id="111">
    <w:p w14:paraId="375A53C1" w14:textId="77777777" w:rsidR="00B54ABB" w:rsidRPr="00B83578" w:rsidRDefault="00B54ABB" w:rsidP="00D10B64">
      <w:pPr>
        <w:pStyle w:val="FootnoteText"/>
      </w:pPr>
      <w:r w:rsidRPr="00B83578">
        <w:rPr>
          <w:rStyle w:val="FootnoteReference"/>
        </w:rPr>
        <w:footnoteRef/>
      </w:r>
      <w:r w:rsidRPr="00B83578">
        <w:t xml:space="preserve"> </w:t>
      </w:r>
      <w:hyperlink r:id="rId51" w:history="1">
        <w:r w:rsidRPr="00B83578">
          <w:rPr>
            <w:rStyle w:val="Hyperlink"/>
            <w:color w:val="auto"/>
          </w:rPr>
          <w:t>Uredba o ocjenjivanju rada državnih službenika i namještenika (www.gov.me)</w:t>
        </w:r>
      </w:hyperlink>
      <w:r w:rsidRPr="00B83578">
        <w:t xml:space="preserve"> and https://www.gov.me/dokumenta/7c5b38ca-95b6-445d-be34-f26a0841ccfa</w:t>
      </w:r>
    </w:p>
  </w:footnote>
  <w:footnote w:id="112">
    <w:p w14:paraId="3C34B4C4" w14:textId="282064EF" w:rsidR="00B54ABB" w:rsidRPr="00B83578" w:rsidRDefault="00B54ABB" w:rsidP="00D10B64">
      <w:pPr>
        <w:pStyle w:val="FootnoteText"/>
      </w:pPr>
      <w:r w:rsidRPr="00B83578">
        <w:rPr>
          <w:rStyle w:val="FootnoteReference"/>
        </w:rPr>
        <w:footnoteRef/>
      </w:r>
      <w:r w:rsidRPr="00000EE3">
        <w:t xml:space="preserve">Podržano od strane projekta </w:t>
      </w:r>
      <w:r>
        <w:t>tehničke pomoći</w:t>
      </w:r>
      <w:r w:rsidRPr="00000EE3">
        <w:t xml:space="preserve"> „Zapošljavanje na osnovu zasluga – obezbjeđivanje efikasnog mehanizma kontrole i nadzora”, koji sprovodi UNDP, a finansira Ambasada Velike Britanije.</w:t>
      </w:r>
    </w:p>
  </w:footnote>
  <w:footnote w:id="113">
    <w:p w14:paraId="32861D1A" w14:textId="2E09C188" w:rsidR="00B54ABB" w:rsidRPr="00B83578" w:rsidRDefault="00B54ABB" w:rsidP="00D10B64">
      <w:pPr>
        <w:pStyle w:val="FootnoteText"/>
      </w:pPr>
      <w:r w:rsidRPr="00B83578">
        <w:rPr>
          <w:rStyle w:val="FootnoteReference"/>
        </w:rPr>
        <w:footnoteRef/>
      </w:r>
      <w:r w:rsidRPr="00B83578">
        <w:t xml:space="preserve"> </w:t>
      </w:r>
      <w:r w:rsidRPr="00000EE3">
        <w:t>Metodologija za sprovođenje analize potreba za stručnim usavršavanjem, odnosno obukom 2021</w:t>
      </w:r>
      <w:r w:rsidRPr="00B83578">
        <w:t xml:space="preserve">. </w:t>
      </w:r>
      <w:hyperlink r:id="rId52" w:history="1">
        <w:r w:rsidRPr="00B83578">
          <w:rPr>
            <w:rStyle w:val="Hyperlink"/>
            <w:color w:val="auto"/>
            <w:u w:val="none"/>
          </w:rPr>
          <w:t>https://wapi.gov.me/download-preview/cb51fe73-fec7-4147-adbe-eab4786d6ab1?version=1.0</w:t>
        </w:r>
      </w:hyperlink>
      <w:r>
        <w:rPr>
          <w:rStyle w:val="Hyperlink"/>
          <w:color w:val="auto"/>
          <w:u w:val="none"/>
        </w:rPr>
        <w:t xml:space="preserve"> </w:t>
      </w:r>
      <w:r w:rsidRPr="00B83578">
        <w:t xml:space="preserve"> </w:t>
      </w:r>
    </w:p>
  </w:footnote>
  <w:footnote w:id="114">
    <w:p w14:paraId="73E97C35" w14:textId="059F1AFE" w:rsidR="00B54ABB" w:rsidRPr="00B83578" w:rsidRDefault="00B54ABB" w:rsidP="00D10B64">
      <w:pPr>
        <w:pStyle w:val="FootnoteText"/>
      </w:pPr>
      <w:r w:rsidRPr="00B83578">
        <w:rPr>
          <w:rStyle w:val="FootnoteReference"/>
        </w:rPr>
        <w:footnoteRef/>
      </w:r>
      <w:r w:rsidRPr="00B83578">
        <w:t xml:space="preserve"> </w:t>
      </w:r>
      <w:r w:rsidRPr="00000EE3">
        <w:t>Program obuke za sticanje ključnih vještina za obavljanje poslova menadžera integriteta; Program stručnog usavršavanja službenika u oblasti strateškog planiranja; Program obuke za sticanje ključnih vještina za upravljanje ljudskim resursima; i Program obuke za sticanje ključnih vještina za komunikaciju sa javnošću u javnom sektoru.</w:t>
      </w:r>
    </w:p>
  </w:footnote>
  <w:footnote w:id="115">
    <w:p w14:paraId="3C573C96" w14:textId="77777777" w:rsidR="00B54ABB" w:rsidRPr="00B83578" w:rsidRDefault="00B54ABB" w:rsidP="00F56F1E">
      <w:pPr>
        <w:pStyle w:val="FootnoteText"/>
      </w:pPr>
      <w:r w:rsidRPr="00B83578">
        <w:rPr>
          <w:rStyle w:val="FootnoteReference"/>
        </w:rPr>
        <w:footnoteRef/>
      </w:r>
      <w:r w:rsidRPr="00B83578">
        <w:t xml:space="preserve"> https://www.gov.me/clanak/digitalna-akademija</w:t>
      </w:r>
    </w:p>
  </w:footnote>
  <w:footnote w:id="116">
    <w:p w14:paraId="2EA87FB5" w14:textId="77777777" w:rsidR="00B54ABB" w:rsidRPr="00B83578" w:rsidRDefault="00B54ABB" w:rsidP="00F56F1E">
      <w:pPr>
        <w:pStyle w:val="FootnoteText"/>
      </w:pPr>
      <w:r w:rsidRPr="00B83578">
        <w:rPr>
          <w:rStyle w:val="FootnoteReference"/>
        </w:rPr>
        <w:footnoteRef/>
      </w:r>
      <w:r w:rsidRPr="00B83578">
        <w:t xml:space="preserve"> </w:t>
      </w:r>
      <w:hyperlink r:id="rId53" w:history="1">
        <w:r w:rsidRPr="00B83578">
          <w:rPr>
            <w:rStyle w:val="Hyperlink"/>
          </w:rPr>
          <w:t>https://www.respaweb.eu/0/news/716/handjiska-trendafilova-at-ready4eu-kick-off-honoured-to-contribute-to-the-design-and-implementation-of-this-crucial-training-programme</w:t>
        </w:r>
      </w:hyperlink>
      <w:r w:rsidRPr="00B83578">
        <w:t xml:space="preserve"> </w:t>
      </w:r>
    </w:p>
  </w:footnote>
  <w:footnote w:id="117">
    <w:p w14:paraId="78A02B2E" w14:textId="77777777" w:rsidR="00B54ABB" w:rsidRPr="00B83578" w:rsidRDefault="00B54ABB" w:rsidP="00877D41">
      <w:pPr>
        <w:pStyle w:val="FootnoteText"/>
      </w:pPr>
      <w:r w:rsidRPr="00B83578">
        <w:rPr>
          <w:rStyle w:val="FootnoteReference"/>
        </w:rPr>
        <w:footnoteRef/>
      </w:r>
      <w:r w:rsidRPr="00B83578">
        <w:t xml:space="preserve"> </w:t>
      </w:r>
      <w:hyperlink r:id="rId54" w:history="1">
        <w:r w:rsidRPr="00B83578">
          <w:rPr>
            <w:rStyle w:val="Hyperlink"/>
            <w:color w:val="auto"/>
            <w:u w:val="none"/>
          </w:rPr>
          <w:t>https://neighbourhood-enlargement.ec.europa.eu/document/download/7274053e-9234-4425-9b4a-73a4208f073e_en?filename=C_2022_9162_F1_ANNEX_EN_V3_P1_2341612.PDF</w:t>
        </w:r>
      </w:hyperlink>
      <w:r w:rsidRPr="00B83578">
        <w:t xml:space="preserve"> </w:t>
      </w:r>
    </w:p>
  </w:footnote>
  <w:footnote w:id="118">
    <w:p w14:paraId="08AC5583" w14:textId="01519B25" w:rsidR="00B54ABB" w:rsidRPr="00B83578" w:rsidRDefault="00B54ABB" w:rsidP="00877D41">
      <w:pPr>
        <w:pStyle w:val="FootnoteText"/>
      </w:pPr>
      <w:r w:rsidRPr="00B83578">
        <w:rPr>
          <w:rStyle w:val="FootnoteReference"/>
        </w:rPr>
        <w:footnoteRef/>
      </w:r>
      <w:r w:rsidRPr="00B83578">
        <w:t xml:space="preserve"> </w:t>
      </w:r>
      <w:r w:rsidRPr="00000EE3">
        <w:t xml:space="preserve">Metodologija za interno izvještavanje; Metodologija za prenos poslova finansijskog upravljanja i interne kontrole u javnom sektoru. Ministarstvo finansija je u junu 2024. godine uputilo dopis svim ministarstvima sa zahtjevom za dostavljanje informacija o ispunjenosti indikatora koji se odnosi na broj ministarstava koja delegiraju finansijsko upravljanje i internu kontrolu na više rukovodstvo u skladu sa odgovarajućom Uredbom. Od 19 ministarstava, 68,4% je odgovorilo, dok 31,6% nije dostavilo nikakve informacije. Od 13 ministarstava koja su odgovorila, 61,5% je dostavilo odgovarajuće dokaze o delegiranju ovlašćenja, dok je 5 ministarstava navelo da do danas nemaju primjere formalnog delegiranja ovlašćenja.   </w:t>
      </w:r>
      <w:r w:rsidRPr="00B83578">
        <w:t>.</w:t>
      </w:r>
    </w:p>
  </w:footnote>
  <w:footnote w:id="119">
    <w:p w14:paraId="76419D19" w14:textId="3E9E609D" w:rsidR="00B54ABB" w:rsidRPr="00B83578" w:rsidRDefault="00B54ABB" w:rsidP="006D523E">
      <w:pPr>
        <w:pStyle w:val="FootnoteText"/>
      </w:pPr>
      <w:r w:rsidRPr="00B83578">
        <w:rPr>
          <w:rStyle w:val="FootnoteReference"/>
        </w:rPr>
        <w:footnoteRef/>
      </w:r>
      <w:r w:rsidRPr="00B83578">
        <w:t xml:space="preserve"> </w:t>
      </w:r>
      <w:r w:rsidRPr="00000EE3">
        <w:t xml:space="preserve">Relevantni ulazni podaci će biti obezbijeđeni iz izvještaja o procjeni kapaciteta u okviru TNA, IPA III, koji je trenutno u pripremi.    </w:t>
      </w:r>
      <w:r w:rsidRPr="00B83578">
        <w:t>.</w:t>
      </w:r>
    </w:p>
  </w:footnote>
  <w:footnote w:id="120">
    <w:p w14:paraId="580B2D02" w14:textId="7D65F883" w:rsidR="00B54ABB" w:rsidRPr="00B83578" w:rsidRDefault="00B54ABB" w:rsidP="00543777">
      <w:pPr>
        <w:pStyle w:val="FootnoteText"/>
      </w:pPr>
      <w:r w:rsidRPr="00B83578">
        <w:rPr>
          <w:rStyle w:val="FootnoteReference"/>
        </w:rPr>
        <w:footnoteRef/>
      </w:r>
      <w:r w:rsidRPr="00B83578">
        <w:t xml:space="preserve"> </w:t>
      </w:r>
      <w:r w:rsidRPr="00000EE3">
        <w:t>Sistem IPA III je osnova za ovu analizu, uzimajući u obzir da je IPA II još uvijek u fazi implementacije sa drugačijom strukturom za indirektno upravljanje.</w:t>
      </w:r>
    </w:p>
  </w:footnote>
  <w:footnote w:id="121">
    <w:p w14:paraId="5C4106D0" w14:textId="15CC737B" w:rsidR="00B54ABB" w:rsidRPr="00B83578" w:rsidRDefault="00B54ABB" w:rsidP="00543777">
      <w:pPr>
        <w:pStyle w:val="FootnoteText"/>
      </w:pPr>
      <w:r w:rsidRPr="00B83578">
        <w:rPr>
          <w:rStyle w:val="FootnoteReference"/>
        </w:rPr>
        <w:footnoteRef/>
      </w:r>
      <w:r w:rsidRPr="00B83578">
        <w:t xml:space="preserve"> </w:t>
      </w:r>
      <w:r w:rsidRPr="00000EE3">
        <w:t xml:space="preserve">Sastoji se od Kancelarije za podršku NAO i </w:t>
      </w:r>
      <w:r>
        <w:t>Tijela za r</w:t>
      </w:r>
      <w:r w:rsidRPr="00000EE3">
        <w:t>ačunovodstv</w:t>
      </w:r>
      <w:r>
        <w:t>o</w:t>
      </w:r>
      <w:r w:rsidRPr="00000EE3">
        <w:t>, kako je utvrđeno Finansijskim okvirom i Aneksom A Sporazuma o partnerstvu, stav 5.</w:t>
      </w:r>
    </w:p>
  </w:footnote>
  <w:footnote w:id="122">
    <w:p w14:paraId="69E7C60C" w14:textId="78C24E12" w:rsidR="00B54ABB" w:rsidRPr="00B83578" w:rsidRDefault="00B54ABB" w:rsidP="00543777">
      <w:pPr>
        <w:pStyle w:val="FootnoteText"/>
      </w:pPr>
      <w:r w:rsidRPr="00B83578">
        <w:rPr>
          <w:rStyle w:val="FootnoteReference"/>
        </w:rPr>
        <w:footnoteRef/>
      </w:r>
      <w:r w:rsidRPr="00B83578">
        <w:t xml:space="preserve"> </w:t>
      </w:r>
      <w:r w:rsidRPr="00000EE3">
        <w:t>Posebno kada dođe do promjena u državnim strukturama, kao što je bila rekonstrukcija vlade u julu 2024</w:t>
      </w:r>
      <w:r w:rsidRPr="00B83578">
        <w:t>.</w:t>
      </w:r>
    </w:p>
  </w:footnote>
  <w:footnote w:id="123">
    <w:p w14:paraId="2348335A" w14:textId="10D0C768" w:rsidR="00B54ABB" w:rsidRPr="00B83578" w:rsidRDefault="00B54ABB" w:rsidP="00B76AAD">
      <w:pPr>
        <w:pStyle w:val="FootnoteText"/>
      </w:pPr>
      <w:r w:rsidRPr="00B83578">
        <w:rPr>
          <w:rStyle w:val="FootnoteReference"/>
        </w:rPr>
        <w:footnoteRef/>
      </w:r>
      <w:r w:rsidRPr="00B83578">
        <w:t xml:space="preserve"> </w:t>
      </w:r>
      <w:r w:rsidRPr="003864AC">
        <w:t>U 2024. godini, fokus je na finansijskom upravljanju; sistemu interne kontrole; pripremi tenderske dokumentacije; evaluaciji i praćenju ugovora u okviru indirektnog upravljanja; nepravilnostima; upravljanju rizicima; i prihvatljivosti troškova.</w:t>
      </w:r>
    </w:p>
  </w:footnote>
  <w:footnote w:id="124">
    <w:p w14:paraId="1CA9FC15" w14:textId="21C62A15" w:rsidR="00B54ABB" w:rsidRPr="00B83578" w:rsidRDefault="00B54ABB" w:rsidP="00DB103E">
      <w:pPr>
        <w:pStyle w:val="FootnoteText"/>
      </w:pPr>
      <w:r w:rsidRPr="00B83578">
        <w:rPr>
          <w:rStyle w:val="FootnoteReference"/>
        </w:rPr>
        <w:footnoteRef/>
      </w:r>
      <w:r w:rsidRPr="00B83578">
        <w:t xml:space="preserve"> </w:t>
      </w:r>
      <w:r w:rsidRPr="003864AC">
        <w:t>Jačanje kapaciteta Zavoda za zapošljavanje Crne Gore u pogledu implementacije aktivnih mjera tržišta rada, budućeg učešća u Evropskom socijalnom fondu i olakšavanja mobilnosti radne snage MN 20 IPA SO 01 22 – Tvining; Unaprijeđeno kreiranje politika zasnovano na dokazima, prakse implementacije i koordinacija u sektoru ESP</w:t>
      </w:r>
      <w:r>
        <w:t xml:space="preserve"> </w:t>
      </w:r>
      <w:r w:rsidRPr="003864AC">
        <w:t xml:space="preserve">i ojačani kapaciteti za učešće u ESF-u; Instrument za pripremu projekata za sektor životne sredine i klimatskih promena           </w:t>
      </w:r>
    </w:p>
  </w:footnote>
  <w:footnote w:id="125">
    <w:p w14:paraId="02F18EA0" w14:textId="73C6E869" w:rsidR="00B54ABB" w:rsidRPr="00B83578" w:rsidRDefault="00B54ABB" w:rsidP="00DB103E">
      <w:pPr>
        <w:pStyle w:val="FootnoteText"/>
      </w:pPr>
      <w:r w:rsidRPr="00B83578">
        <w:rPr>
          <w:rStyle w:val="FootnoteReference"/>
        </w:rPr>
        <w:footnoteRef/>
      </w:r>
      <w:r w:rsidRPr="00B83578">
        <w:t xml:space="preserve"> </w:t>
      </w:r>
      <w:r>
        <w:t>Isključujući</w:t>
      </w:r>
      <w:r w:rsidRPr="00B83578">
        <w:t xml:space="preserve"> IPARD </w:t>
      </w:r>
      <w:r>
        <w:t>i</w:t>
      </w:r>
      <w:r w:rsidRPr="00B83578">
        <w:t xml:space="preserve"> </w:t>
      </w:r>
      <w:r>
        <w:t>PGS</w:t>
      </w:r>
      <w:r w:rsidRPr="00B83578">
        <w:t xml:space="preserve"> stru</w:t>
      </w:r>
      <w:r>
        <w:t>kture</w:t>
      </w:r>
      <w:r w:rsidRPr="00B83578">
        <w:t>.</w:t>
      </w:r>
    </w:p>
  </w:footnote>
  <w:footnote w:id="126">
    <w:p w14:paraId="56A89FD8" w14:textId="10B3EB81" w:rsidR="00B54ABB" w:rsidRPr="00B83578" w:rsidRDefault="00B54ABB" w:rsidP="00DB103E">
      <w:pPr>
        <w:pStyle w:val="FootnoteText"/>
      </w:pPr>
      <w:r w:rsidRPr="00B83578">
        <w:rPr>
          <w:rStyle w:val="FootnoteReference"/>
        </w:rPr>
        <w:footnoteRef/>
      </w:r>
      <w:r w:rsidRPr="00B83578">
        <w:t xml:space="preserve"> </w:t>
      </w:r>
      <w:r w:rsidRPr="003864AC">
        <w:t>Takođe su uključeni zadaci vezani za pripremu Reformske agende i opšte pripreme za Poglavlje 22.</w:t>
      </w:r>
      <w:r w:rsidRPr="00B83578">
        <w:t>.</w:t>
      </w:r>
    </w:p>
  </w:footnote>
  <w:footnote w:id="127">
    <w:p w14:paraId="4A9DCA4C" w14:textId="4982F557" w:rsidR="00B54ABB" w:rsidRPr="00B83578" w:rsidRDefault="00B54ABB" w:rsidP="009B61FA">
      <w:pPr>
        <w:pStyle w:val="FootnoteText"/>
      </w:pPr>
      <w:r w:rsidRPr="00B83578">
        <w:rPr>
          <w:rStyle w:val="FootnoteReference"/>
        </w:rPr>
        <w:footnoteRef/>
      </w:r>
      <w:r w:rsidRPr="00B83578">
        <w:t xml:space="preserve"> </w:t>
      </w:r>
      <w:r w:rsidRPr="00655711">
        <w:t>Ukupno je potpisano 116 ugovora o grantovima u okviru indirektnog upravljanja za nacionalni IPA.</w:t>
      </w:r>
      <w:r w:rsidRPr="00B83578">
        <w:t>.</w:t>
      </w:r>
    </w:p>
  </w:footnote>
  <w:footnote w:id="128">
    <w:p w14:paraId="25D29E5A" w14:textId="77F6EC70" w:rsidR="00B54ABB" w:rsidRPr="00B83578" w:rsidRDefault="00B54ABB" w:rsidP="009B61FA">
      <w:pPr>
        <w:pStyle w:val="FootnoteText"/>
      </w:pPr>
      <w:r w:rsidRPr="00B83578">
        <w:rPr>
          <w:rStyle w:val="FootnoteReference"/>
        </w:rPr>
        <w:footnoteRef/>
      </w:r>
      <w:r w:rsidRPr="00B83578">
        <w:t xml:space="preserve"> </w:t>
      </w:r>
      <w:r w:rsidRPr="00655711">
        <w:t>Svi članovi Radne grupe za Poglavlje 22 biće pozvani da prisustvuju; ovo uključuje predstavnike Zajednice opština i neke organizacije civilnog društva.</w:t>
      </w:r>
    </w:p>
  </w:footnote>
  <w:footnote w:id="129">
    <w:p w14:paraId="00C8ED25" w14:textId="77777777" w:rsidR="00B54ABB" w:rsidRPr="00B83578" w:rsidRDefault="00B54ABB" w:rsidP="00A33F18">
      <w:pPr>
        <w:pStyle w:val="FootnoteText"/>
      </w:pPr>
      <w:r w:rsidRPr="00B83578">
        <w:rPr>
          <w:rStyle w:val="FootnoteReference"/>
        </w:rPr>
        <w:footnoteRef/>
      </w:r>
      <w:r w:rsidRPr="00B83578">
        <w:t xml:space="preserve"> </w:t>
      </w:r>
      <w:hyperlink r:id="rId55" w:history="1">
        <w:r w:rsidRPr="00B83578">
          <w:rPr>
            <w:rStyle w:val="Hyperlink"/>
            <w:color w:val="auto"/>
          </w:rPr>
          <w:t>https://ec.europa.eu/regional_policy/sources/policy/how/improving-investment/roadmap_toolkit.pdf</w:t>
        </w:r>
      </w:hyperlink>
      <w:r w:rsidRPr="00B83578">
        <w:t xml:space="preserve"> </w:t>
      </w:r>
    </w:p>
  </w:footnote>
  <w:footnote w:id="130">
    <w:p w14:paraId="54A2A99E" w14:textId="40C10ECB" w:rsidR="00B54ABB" w:rsidRPr="00B83578" w:rsidRDefault="00B54ABB" w:rsidP="004141C4">
      <w:pPr>
        <w:pStyle w:val="FootnoteText"/>
      </w:pPr>
      <w:r w:rsidRPr="00B83578">
        <w:rPr>
          <w:rStyle w:val="FootnoteReference"/>
        </w:rPr>
        <w:footnoteRef/>
      </w:r>
      <w:r w:rsidRPr="00B83578">
        <w:t xml:space="preserve"> </w:t>
      </w:r>
      <w:r w:rsidRPr="00655711">
        <w:t xml:space="preserve">Jedno od završnih mjerila je "Crna Gora usvaja individualne strategije organizacionog razvoja za sve ključne organizacije uključene u upravljanje/implementaciju budućih ESI fondova (uključujući analizu snaga, slabosti, prilika i prijetnji, procjenu potreba za obukama, planove zapošljavanja, plan obuke/jačanja kapaciteta), kao i sveukupnu strategiju institucionalnog razvoja i jačanja kapaciteta/obuke, zasnovanu na adekvatnoj procjeni rizika svih uključenih tijela (uključujući korisnike, gdje su već identifikovani)". Međutim, na osnovu novog pristupa Kohezionoj politici i revidiranih smjernica za Poglavlje 22, pretpostavlja se da će biti zatražena Mapa puta za </w:t>
      </w:r>
      <w:r>
        <w:t>jačanje</w:t>
      </w:r>
      <w:r w:rsidRPr="00655711">
        <w:t xml:space="preserve"> administrativnih kapaciteta, u skladu sa metodologijom Evropske komisije.</w:t>
      </w:r>
    </w:p>
  </w:footnote>
  <w:footnote w:id="131">
    <w:p w14:paraId="28452778" w14:textId="77777777" w:rsidR="00B54ABB" w:rsidRPr="00B83578" w:rsidRDefault="00B54ABB" w:rsidP="004141C4">
      <w:pPr>
        <w:pStyle w:val="FootnoteText"/>
      </w:pPr>
      <w:r w:rsidRPr="00B83578">
        <w:rPr>
          <w:rStyle w:val="FootnoteReference"/>
        </w:rPr>
        <w:footnoteRef/>
      </w:r>
      <w:r w:rsidRPr="00B83578">
        <w:t xml:space="preserve"> </w:t>
      </w:r>
      <w:hyperlink r:id="rId56" w:history="1">
        <w:r w:rsidRPr="00B83578">
          <w:rPr>
            <w:rStyle w:val="Hyperlink"/>
          </w:rPr>
          <w:t>https://ec.europa.eu/regional_policy/sources/policy/how/improving-investment/ACB_Self_assessment_Instrument.pdF</w:t>
        </w:r>
      </w:hyperlink>
      <w:r w:rsidRPr="00B83578">
        <w:t xml:space="preserve"> </w:t>
      </w:r>
    </w:p>
  </w:footnote>
  <w:footnote w:id="132">
    <w:p w14:paraId="5E39FA4A" w14:textId="5C530BEA" w:rsidR="00B54ABB" w:rsidRPr="00B83578" w:rsidRDefault="00B54ABB" w:rsidP="004141C4">
      <w:pPr>
        <w:pStyle w:val="FootnoteText"/>
      </w:pPr>
      <w:r w:rsidRPr="00B83578">
        <w:rPr>
          <w:rStyle w:val="FootnoteReference"/>
        </w:rPr>
        <w:footnoteRef/>
      </w:r>
      <w:r w:rsidRPr="00B83578">
        <w:t xml:space="preserve"> </w:t>
      </w:r>
      <w:r w:rsidRPr="00655711">
        <w:t xml:space="preserve">S obzirom na vremenski okvir za odobravanje programa nakon pristupanja, imenovanje nadležnih </w:t>
      </w:r>
      <w:r>
        <w:t>tijela</w:t>
      </w:r>
      <w:r w:rsidRPr="00655711">
        <w:t xml:space="preserve"> i objavljivanje poziva, važno je da se analiza potreba za obukama (TNA) za potencijalne korisnike ne sprovodi prerano, jer bi to moglo biti kontraproduktivno i stvoriti neosnovana očekivanja.</w:t>
      </w:r>
    </w:p>
  </w:footnote>
  <w:footnote w:id="133">
    <w:p w14:paraId="06BA1655" w14:textId="39DF87C1" w:rsidR="00B54ABB" w:rsidRPr="00B83578" w:rsidRDefault="00B54ABB" w:rsidP="0095190B">
      <w:pPr>
        <w:pStyle w:val="FootnoteText"/>
      </w:pPr>
      <w:r w:rsidRPr="00B83578">
        <w:rPr>
          <w:rStyle w:val="FootnoteReference"/>
        </w:rPr>
        <w:footnoteRef/>
      </w:r>
      <w:r w:rsidRPr="00B83578">
        <w:t xml:space="preserve"> </w:t>
      </w:r>
      <w:r w:rsidRPr="00655711">
        <w:t>Ovo su sva javna tijela koja imaju relevantan mandat za politiku ili implementacione odgovornosti u tematskim oblastima Kohezione politike</w:t>
      </w:r>
      <w:r w:rsidRPr="00B83578">
        <w:t xml:space="preserve">. </w:t>
      </w:r>
    </w:p>
  </w:footnote>
  <w:footnote w:id="134">
    <w:p w14:paraId="5DF602D7" w14:textId="142AAB4C" w:rsidR="00B54ABB" w:rsidRPr="00B83578" w:rsidRDefault="00B54ABB" w:rsidP="0095190B">
      <w:pPr>
        <w:pStyle w:val="FootnoteText"/>
      </w:pPr>
      <w:r w:rsidRPr="00B83578">
        <w:rPr>
          <w:rStyle w:val="FootnoteReference"/>
        </w:rPr>
        <w:footnoteRef/>
      </w:r>
      <w:r w:rsidRPr="00B83578">
        <w:t xml:space="preserve"> </w:t>
      </w:r>
      <w:r w:rsidRPr="00655711">
        <w:t>Iako je rana obuka neophodna za implementaciju projekata iz kapitalnog budžeta, obuka potencijalnih korisnika prije razvoja mjera i uspostavljanja procedura mogla bi biti kontraproduktivna i izazvati frustraciju ako se sprovede prerano. U tom smislu, obuku ne treba miješati sa pripremanjem informacija o mogućnostima koje su dostupne u okviru Kohezione politike uopšte.</w:t>
      </w:r>
    </w:p>
  </w:footnote>
  <w:footnote w:id="135">
    <w:p w14:paraId="18644F90" w14:textId="19FE17B3" w:rsidR="00B54ABB" w:rsidRPr="00B83578" w:rsidRDefault="00B54ABB" w:rsidP="00916167">
      <w:pPr>
        <w:pStyle w:val="FootnoteText"/>
      </w:pPr>
      <w:r w:rsidRPr="00B83578">
        <w:rPr>
          <w:rStyle w:val="FootnoteReference"/>
        </w:rPr>
        <w:footnoteRef/>
      </w:r>
      <w:r w:rsidRPr="00B83578">
        <w:t xml:space="preserve"> </w:t>
      </w:r>
      <w:r>
        <w:t>Uključeno kao Aneks</w:t>
      </w:r>
      <w:r w:rsidRPr="00B83578">
        <w:t xml:space="preserve"> Regulati</w:t>
      </w:r>
      <w:r>
        <w:t>vi</w:t>
      </w:r>
      <w:r w:rsidRPr="00B83578">
        <w:t xml:space="preserve"> (EU) 2021/1059</w:t>
      </w:r>
    </w:p>
  </w:footnote>
  <w:footnote w:id="136">
    <w:p w14:paraId="0C218342" w14:textId="2D66C426" w:rsidR="00B54ABB" w:rsidRPr="00B83578" w:rsidRDefault="00B54ABB" w:rsidP="00622DA1">
      <w:pPr>
        <w:pStyle w:val="FootnoteText"/>
      </w:pPr>
      <w:r w:rsidRPr="00B83578">
        <w:rPr>
          <w:rStyle w:val="FootnoteReference"/>
        </w:rPr>
        <w:footnoteRef/>
      </w:r>
      <w:r w:rsidRPr="00B83578">
        <w:t xml:space="preserve"> </w:t>
      </w:r>
      <w:r w:rsidRPr="00A04B46">
        <w:t xml:space="preserve">Evropski socijalni fond (ESF), Fond evropske </w:t>
      </w:r>
      <w:r>
        <w:t>podrške</w:t>
      </w:r>
      <w:r w:rsidRPr="00A04B46">
        <w:t xml:space="preserve"> za najugroženije (FEAD) i Inicijativa za zapošljavanje mladih (YEI).</w:t>
      </w:r>
    </w:p>
  </w:footnote>
  <w:footnote w:id="137">
    <w:p w14:paraId="7690D8AC" w14:textId="403BE342" w:rsidR="00B54ABB" w:rsidRPr="00B83578" w:rsidRDefault="00B54ABB" w:rsidP="00622DA1">
      <w:pPr>
        <w:pStyle w:val="FootnoteText"/>
      </w:pPr>
      <w:r w:rsidRPr="00B83578">
        <w:rPr>
          <w:rStyle w:val="FootnoteReference"/>
        </w:rPr>
        <w:footnoteRef/>
      </w:r>
      <w:r w:rsidRPr="00B83578">
        <w:t xml:space="preserve"> </w:t>
      </w:r>
      <w:r w:rsidRPr="00A04B46">
        <w:t xml:space="preserve">Pored komponente zajedničkog upravljanja, koja je relevantna za ovaj </w:t>
      </w:r>
      <w:r>
        <w:t>Plan aktivnosti</w:t>
      </w:r>
      <w:r w:rsidRPr="00A04B46">
        <w:t>, obuhvata i komponentu zapošljavanja i socijalnih inovacija (EaSI) pod direktnim i indirektnim upravljanjem</w:t>
      </w:r>
      <w:r w:rsidRPr="00B83578">
        <w:t>.</w:t>
      </w:r>
    </w:p>
  </w:footnote>
  <w:footnote w:id="138">
    <w:p w14:paraId="0203705B" w14:textId="2EF1CEFB" w:rsidR="00B54ABB" w:rsidRPr="00B83578" w:rsidRDefault="00B54ABB" w:rsidP="00622DA1">
      <w:pPr>
        <w:pStyle w:val="FootnoteText"/>
      </w:pPr>
      <w:r w:rsidRPr="00B83578">
        <w:rPr>
          <w:rStyle w:val="FootnoteReference"/>
        </w:rPr>
        <w:footnoteRef/>
      </w:r>
      <w:r w:rsidRPr="00B83578">
        <w:t xml:space="preserve"> </w:t>
      </w:r>
      <w:r w:rsidRPr="00A04B46">
        <w:t>Države članice koje su imale prosječnu stopu rizika od siromaštva ili socijalne isključenosti djece mlađe od 18 godina iznad prosjeka Unije za period između 2017. i 2019. godine, na osnovu podataka Eurostata, dodeljuju najmanje 5 % svojih sredstava iz komponente ESF+ u okviru podijeljenog upravljanja za podršku ciljanim akcijama i strukturnim reformama za borbu protiv siromaštva dece.</w:t>
      </w:r>
    </w:p>
  </w:footnote>
  <w:footnote w:id="139">
    <w:p w14:paraId="0421B96A" w14:textId="77ADD4F7" w:rsidR="00B54ABB" w:rsidRPr="00B83578" w:rsidRDefault="00B54ABB" w:rsidP="00622DA1">
      <w:pPr>
        <w:pStyle w:val="FootnoteText"/>
      </w:pPr>
      <w:r w:rsidRPr="00B83578">
        <w:rPr>
          <w:rStyle w:val="FootnoteReference"/>
        </w:rPr>
        <w:footnoteRef/>
      </w:r>
      <w:r w:rsidRPr="00B83578">
        <w:t xml:space="preserve"> </w:t>
      </w:r>
      <w:r w:rsidRPr="00A04B46">
        <w:t>Države članice koje su imale prosječnu stopu mladih od 15 do 29 godina koji nijesu zaposleni, na školovanju ili obučavanju, iznad prosjeka Unije za period između 2017. i 2019. godine, na osnovu podataka Eurostata, dodjeljuju najmanje 12,5% svojih resursa iz komponente ESF+ u okviru zajedničkog upravljanja za godine od 2021. do 2027. za podršku zapošljavanju mladih.</w:t>
      </w:r>
      <w:r w:rsidRPr="00B83578">
        <w:t>.</w:t>
      </w:r>
    </w:p>
  </w:footnote>
  <w:footnote w:id="140">
    <w:p w14:paraId="7A19BD8B" w14:textId="06D33A74" w:rsidR="00B54ABB" w:rsidRPr="00B83578" w:rsidRDefault="00B54ABB" w:rsidP="00622DA1">
      <w:pPr>
        <w:pStyle w:val="FootnoteText"/>
      </w:pPr>
      <w:r w:rsidRPr="00B83578">
        <w:rPr>
          <w:rStyle w:val="FootnoteReference"/>
        </w:rPr>
        <w:footnoteRef/>
      </w:r>
      <w:r w:rsidRPr="00B83578">
        <w:t xml:space="preserve"> IPA III </w:t>
      </w:r>
      <w:r>
        <w:t>korisnik</w:t>
      </w:r>
      <w:r w:rsidRPr="00B83578">
        <w:t xml:space="preserve">. </w:t>
      </w:r>
    </w:p>
  </w:footnote>
  <w:footnote w:id="141">
    <w:p w14:paraId="236BD605" w14:textId="05EBD155" w:rsidR="00B54ABB" w:rsidRPr="00B83578" w:rsidRDefault="00B54ABB" w:rsidP="006D523E">
      <w:pPr>
        <w:pStyle w:val="FootnoteText"/>
      </w:pPr>
      <w:r w:rsidRPr="00B83578">
        <w:rPr>
          <w:rStyle w:val="FootnoteReference"/>
        </w:rPr>
        <w:footnoteRef/>
      </w:r>
      <w:r w:rsidRPr="00B83578">
        <w:t xml:space="preserve"> </w:t>
      </w:r>
      <w:r w:rsidRPr="00A04B46">
        <w:t xml:space="preserve">Relevantne informacije o trenutnim kapacitetima ljudskih resursa biće predstavljene u poglavlju Jačanje administrativnih kapaciteta.  </w:t>
      </w:r>
    </w:p>
  </w:footnote>
  <w:footnote w:id="142">
    <w:p w14:paraId="0AF93FE0" w14:textId="088C2EB3" w:rsidR="00B54ABB" w:rsidRPr="00B83578" w:rsidRDefault="00B54ABB" w:rsidP="006F5BD2">
      <w:pPr>
        <w:pStyle w:val="FootnoteText"/>
      </w:pPr>
      <w:r w:rsidRPr="00B83578">
        <w:rPr>
          <w:rStyle w:val="FootnoteReference"/>
        </w:rPr>
        <w:footnoteRef/>
      </w:r>
      <w:r w:rsidRPr="00B83578">
        <w:t xml:space="preserve"> </w:t>
      </w:r>
      <w:r w:rsidRPr="00A04B46">
        <w:t>Kao što je navedeno u najnovijem SIGMA izvještaju na str. 20, „U oblasti koordinacije i razvoja politika, Crna Gora ima nekoliko prednosti. Institucije centra vlade (CoG) ispunjavaju svoj mandat, donošenje odluka u Vladi je transparentno; sistem za planiranje politika je dobro implementiran; i procedure za procjenu uticaja propisa (RIA) se poštuju.”</w:t>
      </w:r>
      <w:r w:rsidRPr="00B83578">
        <w:t xml:space="preserve"> </w:t>
      </w:r>
      <w:hyperlink r:id="rId57" w:history="1">
        <w:r w:rsidRPr="00B83578">
          <w:rPr>
            <w:rStyle w:val="Hyperlink"/>
          </w:rPr>
          <w:t>https://www.oecd.org/en/publications/public-administration-in-montenegro-2024_6b3dec38-en.html</w:t>
        </w:r>
      </w:hyperlink>
    </w:p>
  </w:footnote>
  <w:footnote w:id="143">
    <w:p w14:paraId="574CBB60" w14:textId="77777777" w:rsidR="00B54ABB" w:rsidRPr="00B83578" w:rsidRDefault="00B54ABB" w:rsidP="006F5BD2">
      <w:pPr>
        <w:pStyle w:val="FootnoteText"/>
      </w:pPr>
      <w:r w:rsidRPr="00B83578">
        <w:rPr>
          <w:rStyle w:val="FootnoteReference"/>
        </w:rPr>
        <w:footnoteRef/>
      </w:r>
      <w:r w:rsidRPr="00B83578">
        <w:t xml:space="preserve"> Ibid.</w:t>
      </w:r>
    </w:p>
  </w:footnote>
  <w:footnote w:id="144">
    <w:p w14:paraId="2C9789FA" w14:textId="77777777" w:rsidR="00B54ABB" w:rsidRPr="00B83578" w:rsidRDefault="00B54ABB" w:rsidP="006F5BD2">
      <w:pPr>
        <w:pStyle w:val="FootnoteText"/>
      </w:pPr>
      <w:r w:rsidRPr="00B83578">
        <w:rPr>
          <w:rStyle w:val="FootnoteReference"/>
        </w:rPr>
        <w:footnoteRef/>
      </w:r>
      <w:r w:rsidRPr="00B83578">
        <w:t xml:space="preserve"> </w:t>
      </w:r>
      <w:hyperlink r:id="rId58" w:history="1">
        <w:r w:rsidRPr="00B83578">
          <w:rPr>
            <w:rStyle w:val="Hyperlink"/>
          </w:rPr>
          <w:t>https://www.gov.me/dokumenta/823842f4-2ffd-4a0d-936e-c1b00c669115</w:t>
        </w:r>
      </w:hyperlink>
      <w:r w:rsidRPr="00B83578">
        <w:t xml:space="preserve"> </w:t>
      </w:r>
    </w:p>
  </w:footnote>
  <w:footnote w:id="145">
    <w:p w14:paraId="0274307E" w14:textId="77777777" w:rsidR="00B54ABB" w:rsidRPr="00B83578" w:rsidRDefault="00B54ABB" w:rsidP="006F5BD2">
      <w:pPr>
        <w:pStyle w:val="FootnoteText"/>
      </w:pPr>
      <w:r w:rsidRPr="00B83578">
        <w:rPr>
          <w:rStyle w:val="FootnoteReference"/>
        </w:rPr>
        <w:footnoteRef/>
      </w:r>
      <w:r w:rsidRPr="00B83578">
        <w:t xml:space="preserve"> </w:t>
      </w:r>
      <w:hyperlink r:id="rId59" w:history="1">
        <w:r w:rsidRPr="00B83578">
          <w:rPr>
            <w:rStyle w:val="Hyperlink"/>
          </w:rPr>
          <w:t>https://www.gov.me/dokumenta/0c37736f-0645-4737-87c1-02b1fb39fd32</w:t>
        </w:r>
      </w:hyperlink>
    </w:p>
  </w:footnote>
  <w:footnote w:id="146">
    <w:p w14:paraId="6D82BDFA" w14:textId="1B897031" w:rsidR="00B54ABB" w:rsidRPr="00B83578" w:rsidRDefault="00B54ABB" w:rsidP="006F5BD2">
      <w:pPr>
        <w:pStyle w:val="FootnoteText"/>
      </w:pPr>
      <w:r w:rsidRPr="00B83578">
        <w:rPr>
          <w:rStyle w:val="FootnoteReference"/>
        </w:rPr>
        <w:footnoteRef/>
      </w:r>
      <w:r w:rsidRPr="00B83578">
        <w:t xml:space="preserve"> </w:t>
      </w:r>
      <w:r w:rsidRPr="002F2D68">
        <w:t>Obim Uredbe ne obuhvata strateška dokumenta koje usvajaju lokalne samouprave niti dokumenta za prostorno planiranje</w:t>
      </w:r>
      <w:r w:rsidRPr="00B83578">
        <w:t>.</w:t>
      </w:r>
    </w:p>
  </w:footnote>
  <w:footnote w:id="147">
    <w:p w14:paraId="2037F814" w14:textId="791DD0A6" w:rsidR="00B54ABB" w:rsidRPr="00B83578" w:rsidRDefault="00B54ABB" w:rsidP="00BA68E6">
      <w:pPr>
        <w:pStyle w:val="FootnoteText"/>
      </w:pPr>
      <w:r w:rsidRPr="00B83578">
        <w:rPr>
          <w:rStyle w:val="FootnoteReference"/>
        </w:rPr>
        <w:footnoteRef/>
      </w:r>
      <w:r w:rsidRPr="00B83578">
        <w:t xml:space="preserve"> </w:t>
      </w:r>
      <w:r>
        <w:t>MEtodologija i obrasci za evaluaciju su dostupni na</w:t>
      </w:r>
      <w:r w:rsidRPr="00B83578">
        <w:t xml:space="preserve"> </w:t>
      </w:r>
      <w:hyperlink r:id="rId60" w:tgtFrame="_blank" w:history="1">
        <w:r w:rsidRPr="00B83578">
          <w:rPr>
            <w:rStyle w:val="Hyperlink"/>
          </w:rPr>
          <w:t>https://www.gov.me/clanak/sektor-za-koordinaciju-pracenje-uskladenosti-i-pracenje-sprovodenja-strategija-kojima-se-utvrduju-javne-politike</w:t>
        </w:r>
      </w:hyperlink>
    </w:p>
  </w:footnote>
  <w:footnote w:id="148">
    <w:p w14:paraId="2A58223E" w14:textId="45D69FE3" w:rsidR="00B54ABB" w:rsidRPr="00B83578" w:rsidRDefault="00B54ABB" w:rsidP="00BA68E6">
      <w:pPr>
        <w:pStyle w:val="FootnoteText"/>
      </w:pPr>
      <w:r w:rsidRPr="00B83578">
        <w:rPr>
          <w:rStyle w:val="FootnoteReference"/>
        </w:rPr>
        <w:footnoteRef/>
      </w:r>
      <w:r w:rsidRPr="00B83578">
        <w:t xml:space="preserve"> </w:t>
      </w:r>
      <w:r>
        <w:t>Podržano od strane OEBS Treće izdanje</w:t>
      </w:r>
      <w:r w:rsidRPr="00B83578">
        <w:t xml:space="preserve">  </w:t>
      </w:r>
      <w:hyperlink r:id="rId61" w:history="1">
        <w:r w:rsidRPr="00B83578">
          <w:rPr>
            <w:rStyle w:val="Hyperlink"/>
            <w:color w:val="auto"/>
          </w:rPr>
          <w:t>543931.pdf (osce.org)</w:t>
        </w:r>
      </w:hyperlink>
      <w:r w:rsidRPr="00B83578">
        <w:t xml:space="preserve">, </w:t>
      </w:r>
    </w:p>
  </w:footnote>
  <w:footnote w:id="149">
    <w:p w14:paraId="0C917B22" w14:textId="1C5C84A0" w:rsidR="00B54ABB" w:rsidRPr="00B83578" w:rsidRDefault="00B54ABB" w:rsidP="00BA68E6">
      <w:pPr>
        <w:pStyle w:val="FootnoteText"/>
      </w:pPr>
      <w:r w:rsidRPr="00B83578">
        <w:rPr>
          <w:rStyle w:val="FootnoteReference"/>
        </w:rPr>
        <w:footnoteRef/>
      </w:r>
      <w:r w:rsidRPr="00B83578">
        <w:t xml:space="preserve"> </w:t>
      </w:r>
      <w:r w:rsidRPr="002F2D68">
        <w:t>Ovo uključuje formiranje ekspertskih radnih grupa; izbor predstavnika nevladinih organizacija za radne grupe; konsultacije sa zainteresovanom javnošću u početnoj fazi izrade nacrta, kao i održavanje javnih rasprava o nacrtu strateškog dokumenta.</w:t>
      </w:r>
      <w:r w:rsidRPr="00B83578">
        <w:t xml:space="preserve">. </w:t>
      </w:r>
    </w:p>
  </w:footnote>
  <w:footnote w:id="150">
    <w:p w14:paraId="200424E8" w14:textId="5D06D15E" w:rsidR="00B54ABB" w:rsidRPr="00B83578" w:rsidRDefault="00B54ABB" w:rsidP="00BA68E6">
      <w:pPr>
        <w:pStyle w:val="FootnoteText"/>
      </w:pPr>
      <w:r w:rsidRPr="00B83578">
        <w:rPr>
          <w:rStyle w:val="FootnoteReference"/>
        </w:rPr>
        <w:footnoteRef/>
      </w:r>
      <w:r w:rsidRPr="00B83578">
        <w:t xml:space="preserve"> </w:t>
      </w:r>
      <w:hyperlink r:id="rId62" w:history="1">
        <w:r w:rsidRPr="00B83578">
          <w:rPr>
            <w:rStyle w:val="Hyperlink"/>
            <w:color w:val="auto"/>
          </w:rPr>
          <w:t>Economic Reform Programme 2025-2027 (www.gov.me)</w:t>
        </w:r>
      </w:hyperlink>
      <w:r w:rsidRPr="00B83578">
        <w:t xml:space="preserve"> </w:t>
      </w:r>
      <w:r>
        <w:t>Program ekonomske reforme, vidjeti Poglavlje 6 i Aneks 2.</w:t>
      </w:r>
    </w:p>
  </w:footnote>
  <w:footnote w:id="151">
    <w:p w14:paraId="7E609362" w14:textId="5757F36A" w:rsidR="00B54ABB" w:rsidRPr="00B83578" w:rsidRDefault="00B54ABB" w:rsidP="00BA68E6">
      <w:pPr>
        <w:pStyle w:val="FootnoteText"/>
      </w:pPr>
      <w:r w:rsidRPr="00B83578">
        <w:rPr>
          <w:rStyle w:val="FootnoteReference"/>
        </w:rPr>
        <w:footnoteRef/>
      </w:r>
      <w:r w:rsidRPr="00B83578">
        <w:t xml:space="preserve"> </w:t>
      </w:r>
      <w:r w:rsidRPr="002F2D68">
        <w:t xml:space="preserve">Inicijalni vremenski okvir koji je DG NEAR predstavio zemljama Zapadnog Balkana predviđao je zvanično podnošenje Reformskih agendi Komisiji i donošenje implementacionih odluka Komisije u aprilu 2024. godine; do 30. septembra 2024. godine, pet nacrta Reformskih agendi podnijetih Komisiji (uključujući i Crnu Goru) smatraju se zrelim i predstavljeni su IPA komitetu, o čemu je obaviješten Evropski parlamentarni komitet AFET i komitet BUDG. </w:t>
      </w:r>
      <w:hyperlink r:id="rId63" w:history="1">
        <w:r w:rsidRPr="00B83578">
          <w:rPr>
            <w:rStyle w:val="Hyperlink"/>
            <w:color w:val="auto"/>
          </w:rPr>
          <w:t>https://multimedia.europarl.europa.eu/en/webstreaming/joint-committee-on-foreign-affairs-and-committee-on-budgets_20240930-1545-COMMITTEE-AFET-BUDG</w:t>
        </w:r>
      </w:hyperlink>
      <w:r w:rsidRPr="00B83578">
        <w:t xml:space="preserve"> </w:t>
      </w:r>
    </w:p>
  </w:footnote>
  <w:footnote w:id="152">
    <w:p w14:paraId="59FB7796" w14:textId="36C36A0B" w:rsidR="00B54ABB" w:rsidRPr="00B83578" w:rsidRDefault="00B54ABB" w:rsidP="00BA68E6">
      <w:pPr>
        <w:pStyle w:val="FootnoteText"/>
      </w:pPr>
      <w:r w:rsidRPr="00B83578">
        <w:rPr>
          <w:rStyle w:val="FootnoteReference"/>
        </w:rPr>
        <w:footnoteRef/>
      </w:r>
      <w:r w:rsidRPr="00B83578">
        <w:t xml:space="preserve"> Regulati</w:t>
      </w:r>
      <w:r>
        <w:t>va je objavljena u Službenom listu</w:t>
      </w:r>
      <w:r w:rsidRPr="00B83578">
        <w:t xml:space="preserve"> 24</w:t>
      </w:r>
      <w:r>
        <w:t>.</w:t>
      </w:r>
      <w:r w:rsidRPr="00B83578">
        <w:t xml:space="preserve"> </w:t>
      </w:r>
      <w:r>
        <w:t>maja</w:t>
      </w:r>
      <w:r w:rsidRPr="00B83578">
        <w:t xml:space="preserve"> 2024.</w:t>
      </w:r>
      <w:r>
        <w:t xml:space="preserve"> godine</w:t>
      </w:r>
      <w:r w:rsidRPr="00B83578">
        <w:t xml:space="preserve"> </w:t>
      </w:r>
      <w:hyperlink r:id="rId64" w:history="1">
        <w:r w:rsidRPr="00B83578">
          <w:rPr>
            <w:rStyle w:val="Hyperlink"/>
            <w:color w:val="auto"/>
          </w:rPr>
          <w:t>http://data.europa.eu/eli/reg/2024/1449/oj</w:t>
        </w:r>
      </w:hyperlink>
      <w:r w:rsidRPr="00B83578">
        <w:t xml:space="preserve"> </w:t>
      </w:r>
    </w:p>
  </w:footnote>
  <w:footnote w:id="153">
    <w:p w14:paraId="01F2893B" w14:textId="29EE5B57" w:rsidR="00B54ABB" w:rsidRPr="00B83578" w:rsidRDefault="00B54ABB" w:rsidP="00BA68E6">
      <w:pPr>
        <w:pStyle w:val="FootnoteText"/>
      </w:pPr>
      <w:r w:rsidRPr="00B83578">
        <w:rPr>
          <w:rStyle w:val="FootnoteReference"/>
        </w:rPr>
        <w:footnoteRef/>
      </w:r>
      <w:r w:rsidRPr="00B83578">
        <w:t xml:space="preserve"> </w:t>
      </w:r>
      <w:r w:rsidRPr="002F2D68">
        <w:t xml:space="preserve">Različiti vremenski okviri, šabloni i instrukcije/uputstva su bili obezbijeđeni tokom procesa, što je dovelo do dodatnog </w:t>
      </w:r>
      <w:r>
        <w:t>administrativnih</w:t>
      </w:r>
      <w:r w:rsidRPr="002F2D68">
        <w:t xml:space="preserve"> opterećenja. Na primer, Excel tabela je poslata nacionalnim IPA koordinatorima (NIPA</w:t>
      </w:r>
      <w:r>
        <w:t>K</w:t>
      </w:r>
      <w:r w:rsidRPr="002F2D68">
        <w:t>) nakon TAIEX događaja od 6. i 7. februara 2024. godine o Reformskoj agendi; 12. marta, NIPA</w:t>
      </w:r>
      <w:r>
        <w:t>K</w:t>
      </w:r>
      <w:r w:rsidRPr="002F2D68">
        <w:t xml:space="preserve"> su putem mejla obaviješteni da koriste pojednostavljenu Excel tabelu, nakon što su mjesec dana radili na prethodnoj tabeli. U istom mejlu su obaviješteni da će do kraja marta DG NEAR-u biti potrebna “Reformska agenda (Word šablon) i priložena pojednostavljena tabela sa reformama i koracima, usaglašena prethodno sa delegacijama EU i relevantnim geografskim jedinicama DG NEAR”.    </w:t>
      </w:r>
    </w:p>
  </w:footnote>
  <w:footnote w:id="154">
    <w:p w14:paraId="5525B3BB" w14:textId="4A4A3375" w:rsidR="00B54ABB" w:rsidRPr="00B83578" w:rsidRDefault="00B54ABB" w:rsidP="00BA68E6">
      <w:pPr>
        <w:pStyle w:val="FootnoteText"/>
      </w:pPr>
      <w:r w:rsidRPr="00B83578">
        <w:rPr>
          <w:rStyle w:val="FootnoteReference"/>
        </w:rPr>
        <w:footnoteRef/>
      </w:r>
      <w:r w:rsidRPr="00B83578">
        <w:t xml:space="preserve"> </w:t>
      </w:r>
      <w:r w:rsidRPr="003424FF">
        <w:t xml:space="preserve">Potreba za konsultacijama sa zainteresovanim stranama je istaknuta od strane članova Evropskog parlamenta tokom predstavljanja prijedloga regulative o uspostavljanju Instrumenta za reforme i rast za Zapadni Balkan komitetima AFET i BUDG od strane Komisije u srijedu, 24. januara. </w:t>
      </w:r>
      <w:hyperlink r:id="rId65" w:history="1">
        <w:r w:rsidRPr="003424FF">
          <w:rPr>
            <w:rStyle w:val="Hyperlink"/>
          </w:rPr>
          <w:t xml:space="preserve">Zajednički komitet za budžet i komitet za spoljne poslove - Multimedijalni centar (europa.eu) </w:t>
        </w:r>
      </w:hyperlink>
      <w:r w:rsidRPr="003424FF">
        <w:t xml:space="preserve">  </w:t>
      </w:r>
    </w:p>
  </w:footnote>
  <w:footnote w:id="155">
    <w:p w14:paraId="0E778F5E" w14:textId="1B73D497" w:rsidR="00B54ABB" w:rsidRPr="00B83578" w:rsidRDefault="00B54ABB" w:rsidP="0017479D">
      <w:pPr>
        <w:pStyle w:val="FootnoteText"/>
      </w:pPr>
      <w:r w:rsidRPr="00B83578">
        <w:rPr>
          <w:rStyle w:val="FootnoteReference"/>
        </w:rPr>
        <w:footnoteRef/>
      </w:r>
      <w:r w:rsidRPr="00B83578">
        <w:t xml:space="preserve"> </w:t>
      </w:r>
      <w:r w:rsidRPr="003424FF">
        <w:t xml:space="preserve">2023. godini izvršene su izmjene Metodologije za izradu, nacrt i monitoring implementacije strateških dokumenata, kao što je ranije navedeno, i sprovedena je obuka od strane OEBS-a | </w:t>
      </w:r>
      <w:r w:rsidRPr="003424FF">
        <w:rPr>
          <w:u w:val="single"/>
        </w:rPr>
        <w:t>Sveobuhvatni pristup Misije OEBS-a u podršci ravnopravnosti muškaraca i žena i rodnoj ravnopravnosti u radu javne uprave Crne Gore.</w:t>
      </w:r>
      <w:r w:rsidRPr="003424FF">
        <w:t xml:space="preserve">      </w:t>
      </w:r>
    </w:p>
  </w:footnote>
  <w:footnote w:id="156">
    <w:p w14:paraId="1FD7799A" w14:textId="2ED5AD61" w:rsidR="00B54ABB" w:rsidRPr="00B83578" w:rsidRDefault="00B54ABB" w:rsidP="002E306F">
      <w:pPr>
        <w:pStyle w:val="FootnoteText"/>
      </w:pPr>
      <w:r w:rsidRPr="00B83578">
        <w:rPr>
          <w:rStyle w:val="FootnoteReference"/>
        </w:rPr>
        <w:footnoteRef/>
      </w:r>
      <w:r w:rsidRPr="00B83578">
        <w:t xml:space="preserve"> PORTODIMARE, ARIEL, ADRION 5 SENSES, </w:t>
      </w:r>
      <w:r>
        <w:t>i</w:t>
      </w:r>
      <w:r w:rsidRPr="00B83578">
        <w:t xml:space="preserve"> BlueMed Ini</w:t>
      </w:r>
      <w:r>
        <w:t>cijativa</w:t>
      </w:r>
      <w:r w:rsidRPr="00B83578">
        <w:t>.</w:t>
      </w:r>
    </w:p>
  </w:footnote>
  <w:footnote w:id="157">
    <w:p w14:paraId="36A4F149" w14:textId="4D5D808C" w:rsidR="00B54ABB" w:rsidRPr="00B83578" w:rsidRDefault="00B54ABB" w:rsidP="00DC460B">
      <w:pPr>
        <w:pStyle w:val="FootnoteText"/>
      </w:pPr>
      <w:r w:rsidRPr="00B83578">
        <w:rPr>
          <w:rStyle w:val="FootnoteReference"/>
        </w:rPr>
        <w:footnoteRef/>
      </w:r>
      <w:r w:rsidRPr="00B83578">
        <w:t xml:space="preserve"> </w:t>
      </w:r>
      <w:r w:rsidRPr="003424FF">
        <w:t>Odluka o osnivanju Savjeta za javne investicije objavljena je u Službenom listu Crne Gore broj 2/2024. Njegovo osnivanje je dovelo do ukidanja Nacionalnog investicionog komiteta, koji je prethodno bio zadužen za odobravanje Nacionalne jedinstvene liste prioritetnih infrastrukturnih projekata</w:t>
      </w:r>
      <w:r w:rsidRPr="00B83578">
        <w:t xml:space="preserve">. </w:t>
      </w:r>
    </w:p>
  </w:footnote>
  <w:footnote w:id="158">
    <w:p w14:paraId="099647B6" w14:textId="2F30E37B" w:rsidR="00B54ABB" w:rsidRPr="00B83578" w:rsidRDefault="00B54ABB" w:rsidP="00DC460B">
      <w:pPr>
        <w:pStyle w:val="FootnoteText"/>
      </w:pPr>
      <w:r w:rsidRPr="00B83578">
        <w:rPr>
          <w:rStyle w:val="FootnoteReference"/>
        </w:rPr>
        <w:footnoteRef/>
      </w:r>
      <w:r w:rsidRPr="00B83578">
        <w:t xml:space="preserve"> </w:t>
      </w:r>
      <w:r w:rsidRPr="00E6510D">
        <w:t xml:space="preserve">Odluka o </w:t>
      </w:r>
      <w:r>
        <w:t>izradi</w:t>
      </w:r>
      <w:r w:rsidRPr="00E6510D">
        <w:t xml:space="preserve"> Kapitalnog Budžeta</w:t>
      </w:r>
      <w:r w:rsidRPr="00B83578">
        <w:t xml:space="preserve">, </w:t>
      </w:r>
      <w:r w:rsidRPr="003A5C72">
        <w:t>Službeni list Crne Gore, br.</w:t>
      </w:r>
      <w:r w:rsidRPr="00B83578">
        <w:t xml:space="preserve"> 36/2024 18</w:t>
      </w:r>
      <w:r>
        <w:t>.</w:t>
      </w:r>
      <w:r w:rsidRPr="00B83578">
        <w:t xml:space="preserve"> </w:t>
      </w:r>
      <w:r>
        <w:t>a</w:t>
      </w:r>
      <w:r w:rsidRPr="00B83578">
        <w:t>pril 2024.</w:t>
      </w:r>
      <w:r>
        <w:t xml:space="preserve"> godine </w:t>
      </w:r>
    </w:p>
  </w:footnote>
  <w:footnote w:id="159">
    <w:p w14:paraId="75796BCE" w14:textId="4BA20F3E" w:rsidR="00B54ABB" w:rsidRPr="00B83578" w:rsidRDefault="00B54ABB" w:rsidP="00C4536C">
      <w:pPr>
        <w:pStyle w:val="FootnoteText"/>
      </w:pPr>
      <w:r w:rsidRPr="00B83578">
        <w:rPr>
          <w:rStyle w:val="FootnoteReference"/>
        </w:rPr>
        <w:footnoteRef/>
      </w:r>
      <w:r w:rsidRPr="00B83578">
        <w:t xml:space="preserve"> </w:t>
      </w:r>
      <w:r w:rsidRPr="00E6510D">
        <w:t>Kao što su princip „Ne nanosi značajnu štetu“ i sm</w:t>
      </w:r>
      <w:r>
        <w:t>j</w:t>
      </w:r>
      <w:r w:rsidRPr="00E6510D">
        <w:t xml:space="preserve">ernice Komisije o klimatskoj otpornosti investicija </w:t>
      </w:r>
      <w:r w:rsidRPr="00B83578">
        <w:t>https://eur-lex.europa.eu/legal-content/EN/TXT/?uri=CELEX:52021XC0916(03).</w:t>
      </w:r>
    </w:p>
  </w:footnote>
  <w:footnote w:id="160">
    <w:p w14:paraId="7DCCB8B2" w14:textId="43286ECA" w:rsidR="00B54ABB" w:rsidRPr="00B83578" w:rsidRDefault="00B54ABB" w:rsidP="006E1E96">
      <w:pPr>
        <w:pStyle w:val="FootnoteText"/>
      </w:pPr>
      <w:r w:rsidRPr="00B83578">
        <w:rPr>
          <w:rStyle w:val="FootnoteReference"/>
        </w:rPr>
        <w:footnoteRef/>
      </w:r>
      <w:r w:rsidRPr="00B83578">
        <w:t xml:space="preserve"> </w:t>
      </w:r>
      <w:r w:rsidRPr="00E6510D">
        <w:t>Objavljeni su pozivi za izražavanje interesovanja od strane organizacija civilnog društva (</w:t>
      </w:r>
      <w:r>
        <w:t>OCD</w:t>
      </w:r>
      <w:r w:rsidRPr="00E6510D">
        <w:t xml:space="preserve">), a sve  </w:t>
      </w:r>
      <w:r>
        <w:t>OCD</w:t>
      </w:r>
      <w:r w:rsidRPr="00E6510D">
        <w:t xml:space="preserve"> koje ispunjavaju zahtjeve postavljene za učešće uključene su u aktivnosti Sektorske radne grupe. Sličan pristup primijenjen je i za Odbor za monitoring IPA i </w:t>
      </w:r>
      <w:r>
        <w:t>S</w:t>
      </w:r>
      <w:r w:rsidRPr="00E6510D">
        <w:t>ektorske odbore za monitoring IPA.</w:t>
      </w:r>
    </w:p>
  </w:footnote>
  <w:footnote w:id="161">
    <w:p w14:paraId="7FF93476" w14:textId="488EBEAE" w:rsidR="00B54ABB" w:rsidRPr="00B83578" w:rsidRDefault="00B54ABB" w:rsidP="00AE16B0">
      <w:pPr>
        <w:pStyle w:val="FootnoteText"/>
      </w:pPr>
      <w:r w:rsidRPr="00B83578">
        <w:rPr>
          <w:rStyle w:val="FootnoteReference"/>
        </w:rPr>
        <w:footnoteRef/>
      </w:r>
      <w:r w:rsidRPr="00B83578">
        <w:t xml:space="preserve"> </w:t>
      </w:r>
      <w:r w:rsidRPr="00E6510D">
        <w:t>IPA Programski okvir – prozor 1: Vladavina prava, osnovna prava i demokratija; prozor 2: Dobro upravljanje, usklađivanje sa pravnom tekovinom EU, dobrosus</w:t>
      </w:r>
      <w:r>
        <w:t>j</w:t>
      </w:r>
      <w:r w:rsidRPr="00E6510D">
        <w:t>edski odnosi i strateška komunikacija; prozor 3: Zelena agenda i održiva povezanost; i prozor 4: Konkurentnost i inkluzivni rast.</w:t>
      </w:r>
    </w:p>
  </w:footnote>
  <w:footnote w:id="162">
    <w:p w14:paraId="0D4A705F" w14:textId="226D4E85" w:rsidR="00B54ABB" w:rsidRPr="00B83578" w:rsidRDefault="00B54ABB" w:rsidP="00AE16B0">
      <w:pPr>
        <w:pStyle w:val="FootnoteText"/>
      </w:pPr>
      <w:r w:rsidRPr="00B83578">
        <w:rPr>
          <w:rStyle w:val="FootnoteReference"/>
        </w:rPr>
        <w:footnoteRef/>
      </w:r>
      <w:r w:rsidRPr="00B83578">
        <w:t xml:space="preserve"> </w:t>
      </w:r>
      <w:r w:rsidRPr="009506A8">
        <w:t>Iako Okvir programiranja IPA III upućuje na to da bi trebalo poštovati Evropski kodeks ponašanja o partnerstvu i za programiranje IPA III u periodu 2021-2027, takva referenca ne postoji u FFPA potpisanom između Komisije i Vlade Crne Gore za IPA III.</w:t>
      </w:r>
      <w:r w:rsidRPr="00B83578">
        <w:t xml:space="preserve">. </w:t>
      </w:r>
    </w:p>
  </w:footnote>
  <w:footnote w:id="163">
    <w:p w14:paraId="7A4E39ED" w14:textId="152CB049" w:rsidR="00B54ABB" w:rsidRPr="00B83578" w:rsidRDefault="00B54ABB" w:rsidP="002B40FA">
      <w:pPr>
        <w:pStyle w:val="FootnoteText"/>
      </w:pPr>
      <w:r w:rsidRPr="00B83578">
        <w:rPr>
          <w:rStyle w:val="FootnoteReference"/>
        </w:rPr>
        <w:footnoteRef/>
      </w:r>
      <w:r w:rsidRPr="00B83578">
        <w:t xml:space="preserve"> La</w:t>
      </w:r>
      <w:r>
        <w:t>nsiranje</w:t>
      </w:r>
      <w:r w:rsidRPr="00B83578">
        <w:t xml:space="preserve"> IPA III 2025-2027 Not</w:t>
      </w:r>
      <w:r>
        <w:t>a o programiranju</w:t>
      </w:r>
      <w:r w:rsidRPr="00B83578">
        <w:t xml:space="preserve"> Montenegro, Ref.ARES(2024)5548182 dat</w:t>
      </w:r>
      <w:r>
        <w:t>um</w:t>
      </w:r>
      <w:r w:rsidRPr="00B83578">
        <w:t xml:space="preserve"> 31/07/2024.</w:t>
      </w:r>
    </w:p>
  </w:footnote>
  <w:footnote w:id="164">
    <w:p w14:paraId="0F38E5B8" w14:textId="3D515376" w:rsidR="00B54ABB" w:rsidRPr="00B83578" w:rsidRDefault="00B54ABB" w:rsidP="00DE23BF">
      <w:pPr>
        <w:pStyle w:val="FootnoteText"/>
      </w:pPr>
      <w:r w:rsidRPr="00B83578">
        <w:rPr>
          <w:rStyle w:val="FootnoteReference"/>
        </w:rPr>
        <w:footnoteRef/>
      </w:r>
      <w:r w:rsidRPr="00B83578">
        <w:t xml:space="preserve"> </w:t>
      </w:r>
      <w:r w:rsidRPr="009506A8">
        <w:t>Kao što je opisano u Operativnom programu</w:t>
      </w:r>
      <w:r w:rsidRPr="00B83578">
        <w:t xml:space="preserve"> </w:t>
      </w:r>
      <w:hyperlink r:id="rId66" w:history="1">
        <w:r w:rsidRPr="00B83578">
          <w:rPr>
            <w:rStyle w:val="Hyperlink"/>
            <w:color w:val="auto"/>
          </w:rPr>
          <w:t>d92cfd3b-49c2-4ec5-9b70-470204f2244d_en (europa.eu)</w:t>
        </w:r>
      </w:hyperlink>
    </w:p>
  </w:footnote>
  <w:footnote w:id="165">
    <w:p w14:paraId="74BD085F" w14:textId="17B07A07" w:rsidR="00B54ABB" w:rsidRPr="00B83578" w:rsidRDefault="00B54ABB" w:rsidP="00DE23BF">
      <w:pPr>
        <w:pStyle w:val="FootnoteText"/>
      </w:pPr>
      <w:r w:rsidRPr="00B83578">
        <w:rPr>
          <w:rStyle w:val="FootnoteReference"/>
        </w:rPr>
        <w:footnoteRef/>
      </w:r>
      <w:r w:rsidRPr="00B83578">
        <w:t xml:space="preserve"> </w:t>
      </w:r>
      <w:r w:rsidRPr="009506A8">
        <w:t>Kao što je opisano u Operativnom programu</w:t>
      </w:r>
      <w:r w:rsidRPr="00B83578">
        <w:t xml:space="preserve"> </w:t>
      </w:r>
      <w:hyperlink r:id="rId67" w:history="1">
        <w:r w:rsidRPr="00B83578">
          <w:rPr>
            <w:rStyle w:val="Hyperlink"/>
            <w:color w:val="auto"/>
          </w:rPr>
          <w:t>114e8f96-664e-4187-8140-b96761d4192b_en (europa.eu)</w:t>
        </w:r>
      </w:hyperlink>
    </w:p>
  </w:footnote>
  <w:footnote w:id="166">
    <w:p w14:paraId="3B389D0B" w14:textId="00390ED3" w:rsidR="00B54ABB" w:rsidRPr="00B83578" w:rsidRDefault="00B54ABB" w:rsidP="00DA2775">
      <w:pPr>
        <w:pStyle w:val="FootnoteText"/>
      </w:pPr>
      <w:r w:rsidRPr="00B83578">
        <w:rPr>
          <w:rStyle w:val="FootnoteReference"/>
        </w:rPr>
        <w:footnoteRef/>
      </w:r>
      <w:r w:rsidRPr="00B83578">
        <w:t xml:space="preserve"> </w:t>
      </w:r>
      <w:r w:rsidRPr="009506A8">
        <w:t>IPARD III Program, usvojen od strane Komisije 29. juna 2022. godine, bio je praćen procesom konsultacija sa svim relevantnim stranama; nadležno Ministarstvo poljoprivrede, šumarstva i vodoprivrede uspostavilo je mehanizme za efikasnu unutar-ministarsku koordinaciju i konsultacije na početku programiranja, a formirana je i radna grupa koju su činili predstavnici organa, tijela i socio-ekonomskih partnera kako bi usmjeravali proces programiranja i davali komentare i pr</w:t>
      </w:r>
      <w:r>
        <w:t>ij</w:t>
      </w:r>
      <w:r w:rsidRPr="009506A8">
        <w:t>edloge. Pored objavljivanja nacrta programskog dokumenta na veb stranici Ministarstva i promocije putem društvenih mreža radi dobijanja komentara, organizovane su radionice u sjevernom, centralnom i južnom dijelu Crne Gore za više od sto poljoprivrednih proizvođača, predstavnika udruženja proizvođača i predstavnika lokalne samouprave. Među konsultovanim partnerima su bili: relevantni državni organi i tijela, ekonomski, socijalni i ekološki partneri, poljoprivrednici i predstavnici industrije, lokalne samouprave – koje zastupa Zajednica opština Crne Gore, bilateralne i multilateralne donatorske organizacije i akademske i istraživačke institucije, kao što je predstavljeno u Poglavlju 13 IPARD Programa. Rezultati konsultacija su sumirani u Prilogu VII.</w:t>
      </w:r>
    </w:p>
  </w:footnote>
  <w:footnote w:id="167">
    <w:p w14:paraId="7E3F147E" w14:textId="3C479615" w:rsidR="00B54ABB" w:rsidRPr="00DC3C0F" w:rsidRDefault="00B54ABB" w:rsidP="00DA2775">
      <w:pPr>
        <w:pStyle w:val="FootnoteText"/>
        <w:rPr>
          <w:lang w:val="en-US"/>
        </w:rPr>
      </w:pPr>
      <w:r w:rsidRPr="00B83578">
        <w:rPr>
          <w:rStyle w:val="FootnoteReference"/>
        </w:rPr>
        <w:footnoteRef/>
      </w:r>
      <w:r w:rsidRPr="00B83578">
        <w:t xml:space="preserve"> </w:t>
      </w:r>
      <w:r w:rsidRPr="009506A8">
        <w:t>Kao što je navedeno u Programu, u maju 2021. godine distribuirana je onlajn anketa na 977 imejl adresa, sa liste sastavljene u saradnji sa Nacionalnim vlastima; od 192 odgovora na upitnik, 90 odgovora je bilo od hrvatskih zainteresovanih strana, 83 od zainteresovanih strana iz Bosne i Hercegovine i 19 od crnogorskih zainteresovanih strana.</w:t>
      </w:r>
      <w:r w:rsidRPr="00B83578">
        <w:t xml:space="preserve"> </w:t>
      </w:r>
      <w:hyperlink r:id="rId68" w:history="1">
        <w:r w:rsidRPr="00DC3C0F">
          <w:rPr>
            <w:rStyle w:val="Hyperlink"/>
            <w:color w:val="auto"/>
            <w:lang w:val="en-US"/>
          </w:rPr>
          <w:t>Interreg-VI-A-IPA-Croatia-Bosnia-and-Herzegovina-Montenegro_version-1.1.pdf (interreg-hr-ba-me.eu)</w:t>
        </w:r>
      </w:hyperlink>
    </w:p>
  </w:footnote>
  <w:footnote w:id="168">
    <w:p w14:paraId="78E3D249" w14:textId="77777777" w:rsidR="00B54ABB" w:rsidRPr="00DC3C0F" w:rsidRDefault="00B54ABB" w:rsidP="00DA2775">
      <w:pPr>
        <w:pStyle w:val="FootnoteText"/>
        <w:rPr>
          <w:lang w:val="en-US"/>
        </w:rPr>
      </w:pPr>
      <w:r w:rsidRPr="00B83578">
        <w:rPr>
          <w:rStyle w:val="FootnoteReference"/>
        </w:rPr>
        <w:footnoteRef/>
      </w:r>
      <w:r w:rsidRPr="00DC3C0F">
        <w:rPr>
          <w:lang w:val="en-US"/>
        </w:rPr>
        <w:t xml:space="preserve"> </w:t>
      </w:r>
      <w:hyperlink r:id="rId69" w:history="1">
        <w:r w:rsidRPr="00DC3C0F">
          <w:rPr>
            <w:rStyle w:val="Hyperlink"/>
            <w:color w:val="auto"/>
            <w:lang w:val="en-US"/>
          </w:rPr>
          <w:t>https://www.italy-albania-montenegro.eu/sites/default/files/2022-09/Interreg_IPA_South_Adriatic_C%282022%296940_v1_2_26092022.pdf</w:t>
        </w:r>
      </w:hyperlink>
      <w:r w:rsidRPr="00DC3C0F">
        <w:rPr>
          <w:lang w:val="en-US"/>
        </w:rPr>
        <w:t xml:space="preserve"> Chapter 4.</w:t>
      </w:r>
    </w:p>
  </w:footnote>
  <w:footnote w:id="169">
    <w:p w14:paraId="01898C1D" w14:textId="21A70CE8" w:rsidR="00B54ABB" w:rsidRPr="00B83578" w:rsidRDefault="00B54ABB" w:rsidP="00A103A2">
      <w:pPr>
        <w:pStyle w:val="FootnoteText"/>
      </w:pPr>
      <w:r w:rsidRPr="00B83578">
        <w:rPr>
          <w:rStyle w:val="FootnoteReference"/>
        </w:rPr>
        <w:footnoteRef/>
      </w:r>
      <w:r w:rsidRPr="00B83578">
        <w:t xml:space="preserve"> </w:t>
      </w:r>
      <w:r w:rsidRPr="009506A8">
        <w:t>Transnacionalna saradnja na većim transnacionalnim teritorijama ili oko morskih basena, koja uključuje nacionalne, regionalne i lokalne programske partnere u državama članicama, trećim zemljama i zemljama partnerima i OCT-ima, sa ciljem postizanja višeg stepena teritorijalne integracije – Član 3 (2) Regulative o Evropskoj teritorijalnoj saradnji (</w:t>
      </w:r>
      <w:r>
        <w:t>ETS</w:t>
      </w:r>
      <w:r w:rsidRPr="009506A8">
        <w:t>).</w:t>
      </w:r>
    </w:p>
  </w:footnote>
  <w:footnote w:id="170">
    <w:p w14:paraId="314EB4C2" w14:textId="7B25B89D" w:rsidR="00B54ABB" w:rsidRPr="00B83578" w:rsidRDefault="00B54ABB" w:rsidP="00A103A2">
      <w:pPr>
        <w:pStyle w:val="FootnoteText"/>
      </w:pPr>
      <w:r w:rsidRPr="00B83578">
        <w:rPr>
          <w:rStyle w:val="FootnoteReference"/>
        </w:rPr>
        <w:footnoteRef/>
      </w:r>
      <w:r w:rsidRPr="00B83578">
        <w:t xml:space="preserve"> </w:t>
      </w:r>
      <w:r>
        <w:t xml:space="preserve">Uključujući posmatrača u </w:t>
      </w:r>
      <w:r w:rsidRPr="00B83578">
        <w:t>ESPON</w:t>
      </w:r>
      <w:r>
        <w:t>-u</w:t>
      </w:r>
      <w:r w:rsidRPr="00B83578">
        <w:t>.</w:t>
      </w:r>
    </w:p>
  </w:footnote>
  <w:footnote w:id="171">
    <w:p w14:paraId="4507FB1C" w14:textId="77777777" w:rsidR="00B54ABB" w:rsidRPr="00B83578" w:rsidRDefault="00B54ABB" w:rsidP="00E11B9E">
      <w:pPr>
        <w:pStyle w:val="FootnoteText"/>
      </w:pPr>
      <w:r w:rsidRPr="00B83578">
        <w:rPr>
          <w:rStyle w:val="FootnoteReference"/>
        </w:rPr>
        <w:footnoteRef/>
      </w:r>
      <w:r w:rsidRPr="00B83578">
        <w:t xml:space="preserve"> </w:t>
      </w:r>
      <w:hyperlink r:id="rId70" w:history="1">
        <w:r w:rsidRPr="00B83578">
          <w:rPr>
            <w:rStyle w:val="Hyperlink"/>
          </w:rPr>
          <w:t>https://www.gov.me/clanak/izvjestaj-o-sprovedenoj-javnoj-raspravi-o-nacrtu-zakona-o-regionalnom-razvoju</w:t>
        </w:r>
      </w:hyperlink>
      <w:r w:rsidRPr="00B83578">
        <w:t xml:space="preserve">. </w:t>
      </w:r>
    </w:p>
  </w:footnote>
  <w:footnote w:id="172">
    <w:p w14:paraId="215B0E02" w14:textId="77777777" w:rsidR="00B54ABB" w:rsidRPr="00DC3C0F" w:rsidRDefault="00B54ABB" w:rsidP="00E11B9E">
      <w:pPr>
        <w:pStyle w:val="FootnoteText"/>
        <w:rPr>
          <w:lang w:val="en-US"/>
        </w:rPr>
      </w:pPr>
      <w:r w:rsidRPr="00B83578">
        <w:rPr>
          <w:rStyle w:val="FootnoteReference"/>
        </w:rPr>
        <w:footnoteRef/>
      </w:r>
      <w:r w:rsidRPr="00DC3C0F">
        <w:rPr>
          <w:lang w:val="en-US"/>
        </w:rPr>
        <w:t xml:space="preserve"> </w:t>
      </w:r>
      <w:hyperlink r:id="rId71" w:history="1">
        <w:r w:rsidRPr="00DC3C0F">
          <w:rPr>
            <w:rStyle w:val="Hyperlink"/>
            <w:color w:val="auto"/>
            <w:lang w:val="en-US"/>
          </w:rPr>
          <w:t>Strategija regionalnog razvoja Crne Gore 2023-2027 (www.gov.me)</w:t>
        </w:r>
      </w:hyperlink>
    </w:p>
  </w:footnote>
  <w:footnote w:id="173">
    <w:p w14:paraId="1E276A3A" w14:textId="75766D82" w:rsidR="00B54ABB" w:rsidRPr="00B83578" w:rsidRDefault="00B54ABB" w:rsidP="00AD2D97">
      <w:pPr>
        <w:pStyle w:val="FootnoteText"/>
      </w:pPr>
      <w:r w:rsidRPr="00B83578">
        <w:rPr>
          <w:rStyle w:val="FootnoteReference"/>
        </w:rPr>
        <w:footnoteRef/>
      </w:r>
      <w:r w:rsidRPr="00B83578">
        <w:t xml:space="preserve"> </w:t>
      </w:r>
      <w:r w:rsidRPr="00CF0B02">
        <w:t>Indeks konkurentnosti je složeni indikator zasnovan na 143 indikatora, i to: 110 statističkih i 33 faktora zasnovanih na anketama, strukturiranih u osam klastera (pod-faktora), koji čine dva faktora konkurentnosti: poslovno okruženje i poslovni sektor, u skladu sa Pravilnikom o metodologiji za izračunavanje Indeksa konkurentnosti jedinica lokalne samouprave</w:t>
      </w:r>
      <w:r w:rsidRPr="00B83578">
        <w:t xml:space="preserve">. </w:t>
      </w:r>
    </w:p>
  </w:footnote>
  <w:footnote w:id="174">
    <w:p w14:paraId="2EF5E8C5" w14:textId="3F53F5C4" w:rsidR="00B54ABB" w:rsidRPr="00B83578" w:rsidRDefault="00B54ABB" w:rsidP="00AD2D97">
      <w:pPr>
        <w:pStyle w:val="FootnoteText"/>
      </w:pPr>
      <w:r w:rsidRPr="00B83578">
        <w:rPr>
          <w:rStyle w:val="FootnoteReference"/>
        </w:rPr>
        <w:footnoteRef/>
      </w:r>
      <w:r w:rsidRPr="00B83578">
        <w:t xml:space="preserve"> </w:t>
      </w:r>
      <w:r>
        <w:t>Uspješan primjer u tom smislu može biti viđen u Hrvatskoj</w:t>
      </w:r>
      <w:r w:rsidRPr="00B83578">
        <w:t xml:space="preserve">. </w:t>
      </w:r>
    </w:p>
  </w:footnote>
  <w:footnote w:id="175">
    <w:p w14:paraId="61BE6B02" w14:textId="77777777" w:rsidR="00B54ABB" w:rsidRPr="00B83578" w:rsidRDefault="00B54ABB" w:rsidP="00AD2D97">
      <w:pPr>
        <w:pStyle w:val="FootnoteText"/>
      </w:pPr>
      <w:r w:rsidRPr="00B83578">
        <w:rPr>
          <w:rStyle w:val="FootnoteReference"/>
        </w:rPr>
        <w:footnoteRef/>
      </w:r>
      <w:r w:rsidRPr="00B83578">
        <w:t xml:space="preserve"> </w:t>
      </w:r>
      <w:hyperlink r:id="rId72" w:history="1">
        <w:r w:rsidRPr="00B83578">
          <w:rPr>
            <w:rStyle w:val="Hyperlink"/>
          </w:rPr>
          <w:t>https://www.energy-community.org/dam/jcr:af9fe606-98a7-4eec-83ab-1a8a9035f63e/NECP%20Montegro_all%20chapters_9%20Dec%202024.pdf</w:t>
        </w:r>
      </w:hyperlink>
      <w:r w:rsidRPr="00B83578">
        <w:t xml:space="preserve"> </w:t>
      </w:r>
    </w:p>
  </w:footnote>
  <w:footnote w:id="176">
    <w:p w14:paraId="31BB3871" w14:textId="256F0FFA" w:rsidR="00B54ABB" w:rsidRPr="00B83578" w:rsidRDefault="00B54ABB" w:rsidP="00A86674">
      <w:pPr>
        <w:pStyle w:val="FootnoteText"/>
      </w:pPr>
      <w:r w:rsidRPr="00B83578">
        <w:rPr>
          <w:rStyle w:val="FootnoteReference"/>
        </w:rPr>
        <w:footnoteRef/>
      </w:r>
      <w:r w:rsidRPr="00B83578">
        <w:t xml:space="preserve"> </w:t>
      </w:r>
      <w:r w:rsidRPr="00CF0B02">
        <w:t xml:space="preserve">Na inicijativu UNDP-a, proces pravedne tranzicije za Crnu Goru započeo je 2021. godine uz finansijsku podršku Vlade </w:t>
      </w:r>
      <w:r>
        <w:t xml:space="preserve">Republike </w:t>
      </w:r>
      <w:r w:rsidRPr="00CF0B02">
        <w:t>Slovačke (Slovak Aid).</w:t>
      </w:r>
    </w:p>
  </w:footnote>
  <w:footnote w:id="177">
    <w:p w14:paraId="2615480E" w14:textId="77777777" w:rsidR="00B54ABB" w:rsidRPr="00B83578" w:rsidRDefault="00B54ABB" w:rsidP="00A86674">
      <w:pPr>
        <w:pStyle w:val="FootnoteText"/>
      </w:pPr>
      <w:r w:rsidRPr="00B83578">
        <w:rPr>
          <w:rStyle w:val="FootnoteReference"/>
        </w:rPr>
        <w:footnoteRef/>
      </w:r>
      <w:r w:rsidRPr="00B83578">
        <w:t xml:space="preserve"> </w:t>
      </w:r>
      <w:hyperlink r:id="rId73" w:history="1">
        <w:r w:rsidRPr="00B83578">
          <w:rPr>
            <w:rStyle w:val="Hyperlink"/>
            <w:color w:val="auto"/>
          </w:rPr>
          <w:t>https://www.undp.org/montenegro/publications/diagnostics-socio-economic-situation-coal-region-pljevlja</w:t>
        </w:r>
      </w:hyperlink>
      <w:r w:rsidRPr="00B83578">
        <w:t xml:space="preserve"> </w:t>
      </w:r>
    </w:p>
  </w:footnote>
  <w:footnote w:id="178">
    <w:p w14:paraId="6BE577B2" w14:textId="23442A51" w:rsidR="00B54ABB" w:rsidRPr="00B83578" w:rsidRDefault="00B54ABB" w:rsidP="002B4425">
      <w:pPr>
        <w:pStyle w:val="FootnoteText"/>
        <w:rPr>
          <w:rStyle w:val="IntenseEmphasis"/>
          <w:color w:val="auto"/>
        </w:rPr>
      </w:pPr>
      <w:r w:rsidRPr="00B83578">
        <w:rPr>
          <w:rStyle w:val="IntenseEmphasis"/>
          <w:color w:val="auto"/>
          <w:vertAlign w:val="superscript"/>
        </w:rPr>
        <w:footnoteRef/>
      </w:r>
      <w:r w:rsidRPr="00B83578">
        <w:rPr>
          <w:rStyle w:val="IntenseEmphasis"/>
          <w:color w:val="auto"/>
        </w:rPr>
        <w:t xml:space="preserve"> </w:t>
      </w:r>
      <w:r w:rsidRPr="00CF0B02">
        <w:rPr>
          <w:rStyle w:val="IntenseEmphasis"/>
          <w:color w:val="auto"/>
        </w:rPr>
        <w:t>Reformska agenda uključuje relevantne korake za pravednu tranziciju, npr. podoblast 2.2.1 Kratkoročne mjere razvoja ljudskog kapitala, sa fokusom na prekvalifikaciju i ponovno zapošljavanje u regionu Pljevalja, završene su u skladu sa akcionim planom za pravednu tranziciju</w:t>
      </w:r>
      <w:r w:rsidRPr="00B83578">
        <w:rPr>
          <w:rStyle w:val="IntenseEmphasis"/>
          <w:color w:val="auto"/>
        </w:rPr>
        <w:t>.</w:t>
      </w:r>
    </w:p>
  </w:footnote>
  <w:footnote w:id="179">
    <w:p w14:paraId="3833FBF6" w14:textId="358301D8" w:rsidR="00B54ABB" w:rsidRPr="00B83578" w:rsidRDefault="00B54ABB" w:rsidP="00314B7F">
      <w:pPr>
        <w:pStyle w:val="FootnoteText"/>
        <w:rPr>
          <w:rStyle w:val="IntenseEmphasis"/>
          <w:color w:val="auto"/>
        </w:rPr>
      </w:pPr>
      <w:r w:rsidRPr="00B83578">
        <w:rPr>
          <w:rStyle w:val="IntenseEmphasis"/>
          <w:color w:val="auto"/>
          <w:vertAlign w:val="superscript"/>
        </w:rPr>
        <w:footnoteRef/>
      </w:r>
      <w:r w:rsidRPr="00B83578">
        <w:rPr>
          <w:rStyle w:val="IntenseEmphasis"/>
          <w:color w:val="auto"/>
          <w:vertAlign w:val="superscript"/>
        </w:rPr>
        <w:t xml:space="preserve"> </w:t>
      </w:r>
      <w:r w:rsidRPr="00CF0B02">
        <w:rPr>
          <w:rStyle w:val="IntenseEmphasis"/>
          <w:color w:val="auto"/>
        </w:rPr>
        <w:t>Kao što je navedeno u IPARD III Programu, postoje neke neformalne Lokalne akcione grupe.</w:t>
      </w:r>
      <w:r w:rsidRPr="00B83578">
        <w:rPr>
          <w:rStyle w:val="IntenseEmphasis"/>
          <w:color w:val="auto"/>
        </w:rPr>
        <w:t>.</w:t>
      </w:r>
    </w:p>
  </w:footnote>
  <w:footnote w:id="180">
    <w:p w14:paraId="2BA0EA77" w14:textId="5F2CEB85" w:rsidR="00B54ABB" w:rsidRPr="00B83578" w:rsidRDefault="00B54ABB" w:rsidP="00314B7F">
      <w:pPr>
        <w:pStyle w:val="FootnoteText"/>
        <w:rPr>
          <w:rStyle w:val="IntenseEmphasis"/>
          <w:color w:val="auto"/>
        </w:rPr>
      </w:pPr>
      <w:r w:rsidRPr="00B83578">
        <w:rPr>
          <w:rStyle w:val="IntenseEmphasis"/>
          <w:color w:val="auto"/>
          <w:vertAlign w:val="superscript"/>
        </w:rPr>
        <w:footnoteRef/>
      </w:r>
      <w:r w:rsidRPr="00B83578">
        <w:rPr>
          <w:rStyle w:val="IntenseEmphasis"/>
          <w:color w:val="auto"/>
        </w:rPr>
        <w:t xml:space="preserve"> </w:t>
      </w:r>
      <w:r w:rsidRPr="00CF0B02">
        <w:rPr>
          <w:rStyle w:val="IntenseEmphasis"/>
          <w:color w:val="auto"/>
        </w:rPr>
        <w:t>Na primjer, u dokumentu Programa Južnog Jadrana se navodi: „Ne planira se korišćenje specifičnih teritorijalnih instrumenata, uglavnom zato što se oni još uvijek ne koriste u zemljama u pretpristupnom procesu koje učestvuju u programu, te su stoga nedovoljno poznati u ovom kontekstu.“</w:t>
      </w:r>
    </w:p>
  </w:footnote>
  <w:footnote w:id="181">
    <w:p w14:paraId="0D14BB93" w14:textId="6AA12A5C" w:rsidR="00B54ABB" w:rsidRPr="00B83578" w:rsidRDefault="00B54ABB" w:rsidP="00314B7F">
      <w:pPr>
        <w:pStyle w:val="FootnoteText"/>
        <w:rPr>
          <w:rStyle w:val="IntenseEmphasis"/>
          <w:color w:val="auto"/>
        </w:rPr>
      </w:pPr>
      <w:r w:rsidRPr="00B83578">
        <w:rPr>
          <w:rStyle w:val="IntenseEmphasis"/>
          <w:color w:val="auto"/>
          <w:vertAlign w:val="superscript"/>
        </w:rPr>
        <w:footnoteRef/>
      </w:r>
      <w:r w:rsidRPr="00B83578">
        <w:rPr>
          <w:rStyle w:val="IntenseEmphasis"/>
          <w:color w:val="auto"/>
          <w:vertAlign w:val="superscript"/>
        </w:rPr>
        <w:t xml:space="preserve"> </w:t>
      </w:r>
      <w:r w:rsidRPr="00945395">
        <w:rPr>
          <w:rStyle w:val="IntenseEmphasis"/>
          <w:color w:val="auto"/>
        </w:rPr>
        <w:t>LEADER – "Liaison Entre Actions de Development de l’Économie Rural" – pristup lokalnom razvoju pod vođstvom zajednice (</w:t>
      </w:r>
      <w:r>
        <w:rPr>
          <w:rStyle w:val="IntenseEmphasis"/>
          <w:color w:val="auto"/>
        </w:rPr>
        <w:t>LRPVZ</w:t>
      </w:r>
      <w:r w:rsidRPr="00945395">
        <w:rPr>
          <w:rStyle w:val="IntenseEmphasis"/>
          <w:color w:val="auto"/>
        </w:rPr>
        <w:t xml:space="preserve">); u programskom periodu 2014-2020, </w:t>
      </w:r>
      <w:r>
        <w:rPr>
          <w:rStyle w:val="IntenseEmphasis"/>
          <w:color w:val="auto"/>
        </w:rPr>
        <w:t>LRPVZ</w:t>
      </w:r>
      <w:r w:rsidRPr="00945395">
        <w:rPr>
          <w:rStyle w:val="IntenseEmphasis"/>
          <w:color w:val="auto"/>
        </w:rPr>
        <w:t xml:space="preserve">, zasnovan na LEADER pristupu, uveden je za ESI fondove – Evropske strukturne i investicione fondove, odnosno Evropski fond za regionalni razvoj, Evropski socijalni fond, Evropski poljoprivredni fond za ruralni razvoj i Evropski fond za pomorstvo i ribarstvo. </w:t>
      </w:r>
      <w:r>
        <w:rPr>
          <w:rStyle w:val="IntenseEmphasis"/>
          <w:color w:val="auto"/>
        </w:rPr>
        <w:t>RZO</w:t>
      </w:r>
      <w:r w:rsidRPr="00945395">
        <w:rPr>
          <w:rStyle w:val="IntenseEmphasis"/>
          <w:color w:val="auto"/>
        </w:rPr>
        <w:t xml:space="preserve"> 2021-2027 ne uključuje Evropski poljoprivredni fond za ruralni razvoj, ali je </w:t>
      </w:r>
      <w:r>
        <w:rPr>
          <w:rStyle w:val="IntenseEmphasis"/>
          <w:color w:val="auto"/>
        </w:rPr>
        <w:t>LRPVZ</w:t>
      </w:r>
      <w:r w:rsidRPr="00945395">
        <w:rPr>
          <w:rStyle w:val="IntenseEmphasis"/>
          <w:color w:val="auto"/>
        </w:rPr>
        <w:t xml:space="preserve"> predviđen kao jedan od oblika integrisanog teritorijalnog razvoja</w:t>
      </w:r>
      <w:r w:rsidRPr="00B83578">
        <w:rPr>
          <w:rStyle w:val="IntenseEmphasis"/>
          <w:color w:val="auto"/>
        </w:rPr>
        <w:t xml:space="preserve">. </w:t>
      </w:r>
    </w:p>
  </w:footnote>
  <w:footnote w:id="182">
    <w:p w14:paraId="34AFDE80" w14:textId="75A9C8AB" w:rsidR="00B54ABB" w:rsidRPr="00B83578" w:rsidRDefault="00B54ABB" w:rsidP="006D523E">
      <w:pPr>
        <w:pStyle w:val="FootnoteText"/>
        <w:rPr>
          <w:rStyle w:val="IntenseEmphasis"/>
          <w:color w:val="auto"/>
        </w:rPr>
      </w:pPr>
      <w:r w:rsidRPr="00B83578">
        <w:rPr>
          <w:rStyle w:val="IntenseEmphasis"/>
          <w:color w:val="auto"/>
          <w:vertAlign w:val="superscript"/>
        </w:rPr>
        <w:footnoteRef/>
      </w:r>
      <w:r w:rsidRPr="00B83578">
        <w:rPr>
          <w:rStyle w:val="IntenseEmphasis"/>
          <w:color w:val="auto"/>
          <w:vertAlign w:val="superscript"/>
        </w:rPr>
        <w:t xml:space="preserve"> </w:t>
      </w:r>
      <w:r w:rsidRPr="00945395">
        <w:rPr>
          <w:rStyle w:val="IntenseEmphasis"/>
          <w:color w:val="auto"/>
        </w:rPr>
        <w:t xml:space="preserve">Iskustvo prijavljeno za finansijske instrumente nije u skladu sa zahtjevima utvrđenim u </w:t>
      </w:r>
      <w:r>
        <w:rPr>
          <w:rStyle w:val="IntenseEmphasis"/>
          <w:color w:val="auto"/>
        </w:rPr>
        <w:t>RZO</w:t>
      </w:r>
      <w:r w:rsidRPr="00945395">
        <w:rPr>
          <w:rStyle w:val="IntenseEmphasis"/>
          <w:color w:val="auto"/>
        </w:rPr>
        <w:t>-u za korišćenje finansijskih instrumenata od strane fondova Kohezione politike</w:t>
      </w:r>
      <w:r w:rsidRPr="00B83578">
        <w:rPr>
          <w:rStyle w:val="IntenseEmphasis"/>
          <w:color w:val="auto"/>
        </w:rPr>
        <w:t>.</w:t>
      </w:r>
    </w:p>
  </w:footnote>
  <w:footnote w:id="183">
    <w:p w14:paraId="0E1D9B5A" w14:textId="559F12F4" w:rsidR="00B54ABB" w:rsidRPr="00B83578" w:rsidRDefault="00B54ABB" w:rsidP="00314B7F">
      <w:pPr>
        <w:pStyle w:val="FootnoteText"/>
        <w:rPr>
          <w:rStyle w:val="IntenseEmphasis"/>
          <w:color w:val="auto"/>
        </w:rPr>
      </w:pPr>
      <w:r w:rsidRPr="00B83578">
        <w:rPr>
          <w:rStyle w:val="IntenseEmphasis"/>
          <w:color w:val="auto"/>
          <w:vertAlign w:val="superscript"/>
        </w:rPr>
        <w:footnoteRef/>
      </w:r>
      <w:r w:rsidRPr="00B83578">
        <w:rPr>
          <w:rStyle w:val="IntenseEmphasis"/>
          <w:color w:val="auto"/>
        </w:rPr>
        <w:t xml:space="preserve"> </w:t>
      </w:r>
      <w:hyperlink r:id="rId74" w:history="1">
        <w:r w:rsidRPr="00B83578">
          <w:rPr>
            <w:rStyle w:val="IntenseEmphasis"/>
            <w:color w:val="auto"/>
          </w:rPr>
          <w:t>Inve</w:t>
        </w:r>
        <w:r>
          <w:rPr>
            <w:rStyle w:val="IntenseEmphasis"/>
            <w:color w:val="auto"/>
          </w:rPr>
          <w:t>sticiono-razvojni fond Crne Gore</w:t>
        </w:r>
        <w:r w:rsidRPr="00B83578">
          <w:rPr>
            <w:rStyle w:val="IntenseEmphasis"/>
            <w:color w:val="auto"/>
          </w:rPr>
          <w:t xml:space="preserve"> (irfcg.me)</w:t>
        </w:r>
      </w:hyperlink>
      <w:r w:rsidRPr="00B83578">
        <w:rPr>
          <w:rStyle w:val="IntenseEmphasis"/>
          <w:color w:val="auto"/>
        </w:rPr>
        <w:t xml:space="preserve"> </w:t>
      </w:r>
    </w:p>
  </w:footnote>
  <w:footnote w:id="184">
    <w:p w14:paraId="08DC0820" w14:textId="433DA37F" w:rsidR="00B54ABB" w:rsidRPr="00B83578" w:rsidRDefault="00B54ABB" w:rsidP="00314B7F">
      <w:pPr>
        <w:pStyle w:val="FootnoteText"/>
      </w:pPr>
      <w:r w:rsidRPr="00B83578">
        <w:rPr>
          <w:rStyle w:val="FootnoteReference"/>
        </w:rPr>
        <w:footnoteRef/>
      </w:r>
      <w:r w:rsidRPr="00B83578">
        <w:t xml:space="preserve"> </w:t>
      </w:r>
      <w:r>
        <w:t>Program je predviđen za</w:t>
      </w:r>
      <w:r w:rsidRPr="00B83578">
        <w:t xml:space="preserve"> 2024</w:t>
      </w:r>
      <w:r>
        <w:t>. godinu</w:t>
      </w:r>
      <w:r w:rsidRPr="00B83578">
        <w:t xml:space="preserve"> </w:t>
      </w:r>
      <w:hyperlink r:id="rId75" w:history="1">
        <w:r w:rsidRPr="00B83578">
          <w:rPr>
            <w:rStyle w:val="Hyperlink"/>
            <w:color w:val="auto"/>
            <w:u w:val="none"/>
          </w:rPr>
          <w:t>1716463159-bord-prg-13-19-eu-easi-program-podrske-investicijama.pdf (irfcg.me)</w:t>
        </w:r>
      </w:hyperlink>
      <w:r w:rsidRPr="00B83578">
        <w:t xml:space="preserve"> </w:t>
      </w:r>
    </w:p>
  </w:footnote>
  <w:footnote w:id="185">
    <w:p w14:paraId="728D8571" w14:textId="6A0A030F" w:rsidR="00B54ABB" w:rsidRPr="00B83578" w:rsidRDefault="00B54ABB" w:rsidP="00314B7F">
      <w:pPr>
        <w:pStyle w:val="FootnoteText"/>
      </w:pPr>
      <w:r w:rsidRPr="00B83578">
        <w:rPr>
          <w:rStyle w:val="FootnoteReference"/>
        </w:rPr>
        <w:footnoteRef/>
      </w:r>
      <w:r w:rsidRPr="00B83578">
        <w:t xml:space="preserve"> </w:t>
      </w:r>
      <w:r w:rsidRPr="00945395">
        <w:t>Evropski poljoprivredni fond za ruralni razvoj, Evropski fond za pomorstvo, ribarstvo i akvakulturu i Fond za azil, migracije i integraciju.</w:t>
      </w:r>
    </w:p>
  </w:footnote>
  <w:footnote w:id="186">
    <w:p w14:paraId="3D438720" w14:textId="098688CC" w:rsidR="00B54ABB" w:rsidRPr="00B83578" w:rsidRDefault="00B54ABB" w:rsidP="00E770D5">
      <w:pPr>
        <w:pStyle w:val="FootnoteText"/>
      </w:pPr>
      <w:r w:rsidRPr="00B83578">
        <w:rPr>
          <w:rStyle w:val="FootnoteReference"/>
        </w:rPr>
        <w:footnoteRef/>
      </w:r>
      <w:r w:rsidRPr="00B83578">
        <w:t xml:space="preserve"> </w:t>
      </w:r>
      <w:r w:rsidRPr="00945395">
        <w:t xml:space="preserve">Podrška planiranju, programiranju i koordinaciji u vezi sa finansijskom </w:t>
      </w:r>
      <w:r>
        <w:t>podrškom</w:t>
      </w:r>
      <w:r w:rsidRPr="00945395">
        <w:t xml:space="preserve"> EU i drugom finansijskom </w:t>
      </w:r>
      <w:r>
        <w:t>podrškom</w:t>
      </w:r>
      <w:r w:rsidRPr="00945395">
        <w:t>, uključujući sektorske operativne programe i pregovaračko poglavlje 22</w:t>
      </w:r>
      <w:r w:rsidRPr="00B83578">
        <w:t>.</w:t>
      </w:r>
    </w:p>
  </w:footnote>
  <w:footnote w:id="187">
    <w:p w14:paraId="24F3D9FB" w14:textId="33A2DE52" w:rsidR="00B54ABB" w:rsidRPr="00B83578" w:rsidRDefault="00B54ABB" w:rsidP="00E770D5">
      <w:pPr>
        <w:pStyle w:val="FootnoteText"/>
      </w:pPr>
      <w:r w:rsidRPr="00B83578">
        <w:rPr>
          <w:rStyle w:val="FootnoteReference"/>
        </w:rPr>
        <w:footnoteRef/>
      </w:r>
      <w:r w:rsidRPr="00B83578">
        <w:t xml:space="preserve"> </w:t>
      </w:r>
      <w:r>
        <w:t>Podaci preuzeti sa</w:t>
      </w:r>
      <w:r w:rsidRPr="00B83578">
        <w:t xml:space="preserve"> Open Data Portal</w:t>
      </w:r>
      <w:r>
        <w:t>a</w:t>
      </w:r>
      <w:r w:rsidRPr="00B83578">
        <w:t xml:space="preserve">  </w:t>
      </w:r>
      <w:hyperlink r:id="rId76" w:history="1">
        <w:r w:rsidRPr="00B83578">
          <w:rPr>
            <w:rStyle w:val="Hyperlink"/>
          </w:rPr>
          <w:t>https://cohesiondata.ec.europa.eu/</w:t>
        </w:r>
      </w:hyperlink>
    </w:p>
  </w:footnote>
  <w:footnote w:id="188">
    <w:p w14:paraId="32A536C4" w14:textId="5038989F" w:rsidR="00B54ABB" w:rsidRPr="00B83578" w:rsidRDefault="00B54ABB" w:rsidP="00B60EDC">
      <w:pPr>
        <w:pStyle w:val="FootnoteText"/>
      </w:pPr>
      <w:r w:rsidRPr="00B83578">
        <w:rPr>
          <w:rStyle w:val="FootnoteReference"/>
        </w:rPr>
        <w:footnoteRef/>
      </w:r>
      <w:r w:rsidRPr="00B83578">
        <w:t xml:space="preserve"> </w:t>
      </w:r>
      <w:r w:rsidRPr="00945395">
        <w:t>Za Crnu Goru su identifikovana tri glavna scenarija ili opcije: jedan program kohezione politike, 2 programa kohezione politike (sa 2 varijante) i 3 programa kohezione politike (sa 3 varijante). Svaka opcija je analizirana prema ponderisanim kriterijumima i oc</w:t>
      </w:r>
      <w:r>
        <w:t>ij</w:t>
      </w:r>
      <w:r w:rsidRPr="00945395">
        <w:t>enjena.</w:t>
      </w:r>
    </w:p>
  </w:footnote>
  <w:footnote w:id="189">
    <w:p w14:paraId="14910202" w14:textId="299A78F7" w:rsidR="00B54ABB" w:rsidRPr="00B83578" w:rsidRDefault="00B54ABB" w:rsidP="00D13417">
      <w:pPr>
        <w:pStyle w:val="FootnoteText"/>
      </w:pPr>
      <w:r w:rsidRPr="00B83578">
        <w:rPr>
          <w:rStyle w:val="FootnoteReference"/>
        </w:rPr>
        <w:footnoteRef/>
      </w:r>
      <w:r w:rsidRPr="00B83578">
        <w:t xml:space="preserve"> </w:t>
      </w:r>
      <w:r w:rsidRPr="009F3B02">
        <w:t>Na primjer, u Irskoj je proces programiranja započeo u julu 2020. godine procjenom potreba, a Sporazum o partnerstvu je podnijet Komisiji u julu 2022. i usvojen u septembru 2022. godine.</w:t>
      </w:r>
      <w:r w:rsidRPr="00B83578">
        <w:t>.</w:t>
      </w:r>
    </w:p>
  </w:footnote>
  <w:footnote w:id="190">
    <w:p w14:paraId="51F6A9A8" w14:textId="25B5170A" w:rsidR="00B54ABB" w:rsidRPr="00B83578" w:rsidRDefault="00B54ABB" w:rsidP="00D13417">
      <w:pPr>
        <w:pStyle w:val="FootnoteText"/>
      </w:pPr>
      <w:r w:rsidRPr="00B83578">
        <w:rPr>
          <w:rStyle w:val="FootnoteReference"/>
        </w:rPr>
        <w:footnoteRef/>
      </w:r>
      <w:r w:rsidRPr="00B83578">
        <w:t xml:space="preserve"> </w:t>
      </w:r>
      <w:r w:rsidRPr="00AE0F6C">
        <w:t xml:space="preserve">Za države članice, ovo je bio aneks prijedlogu Komisije za </w:t>
      </w:r>
      <w:r>
        <w:t>RZO</w:t>
      </w:r>
      <w:r w:rsidRPr="00AE0F6C">
        <w:t xml:space="preserve">  za period 2021–2027, objavljenom 29. maja 2018</w:t>
      </w:r>
      <w:r w:rsidRPr="00B83578">
        <w:t xml:space="preserve">. </w:t>
      </w:r>
    </w:p>
  </w:footnote>
  <w:footnote w:id="191">
    <w:p w14:paraId="78E25A1F" w14:textId="1B449421" w:rsidR="00B54ABB" w:rsidRPr="009F3B02" w:rsidRDefault="00B54ABB">
      <w:pPr>
        <w:pStyle w:val="FootnoteText"/>
        <w:rPr>
          <w:lang w:val="sr-Latn-ME"/>
        </w:rPr>
      </w:pPr>
      <w:r>
        <w:rPr>
          <w:rStyle w:val="FootnoteReference"/>
        </w:rPr>
        <w:footnoteRef/>
      </w:r>
      <w:r>
        <w:t xml:space="preserve"> </w:t>
      </w:r>
      <w:r w:rsidRPr="00AE0F6C">
        <w:t xml:space="preserve">Vademecum za ekonomsku procjenu 2021-2027 - Opšti principi i sektorske primjene    </w:t>
      </w:r>
    </w:p>
  </w:footnote>
  <w:footnote w:id="192">
    <w:p w14:paraId="00C0D1A7" w14:textId="464235E4" w:rsidR="00B54ABB" w:rsidRPr="00B83578" w:rsidRDefault="00B54ABB" w:rsidP="00D13417">
      <w:pPr>
        <w:pStyle w:val="FootnoteText"/>
      </w:pPr>
      <w:r w:rsidRPr="00B83578">
        <w:rPr>
          <w:rStyle w:val="FootnoteReference"/>
        </w:rPr>
        <w:footnoteRef/>
      </w:r>
      <w:r w:rsidRPr="00B83578">
        <w:t xml:space="preserve"> </w:t>
      </w:r>
      <w:r>
        <w:t>Na primjer procjena uticaja na bezbjednost saobraćaja</w:t>
      </w:r>
      <w:r w:rsidRPr="00B83578">
        <w:t xml:space="preserve"> </w:t>
      </w:r>
    </w:p>
  </w:footnote>
  <w:footnote w:id="193">
    <w:p w14:paraId="58339D28" w14:textId="22BF3800" w:rsidR="00B54ABB" w:rsidRPr="00B83578" w:rsidRDefault="00B54ABB" w:rsidP="00206379">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r w:rsidRPr="00AE0F6C">
        <w:rPr>
          <w:rStyle w:val="IntenseEmphasis"/>
          <w:i w:val="0"/>
          <w:iCs w:val="0"/>
          <w:color w:val="auto"/>
        </w:rPr>
        <w:t xml:space="preserve">Prečišćeni tekst: Regulativa (EU) 2021/1060 Evropskog parlamenta i Savjeta od 24. juna 2021. godine kojom se utvrđuju zajedničke odredbe o Evropskom fondu za regionalni razvoj, Evropskom socijalnom fondu plus, Kohezionom fondu, Fondu za pravednu tranziciju i Evropskom fondu za pomorstvo, ribarstvo i akvakulturu i finansijska pravila za te fondove, kao i za Fond za azil, migracije i integracije, Fond za unutrašnju bezbjednost i Instrument finansijske podrške za upravljanje granicama i viznu politiku </w:t>
      </w:r>
      <w:hyperlink r:id="rId77" w:history="1">
        <w:r w:rsidRPr="00B83578">
          <w:rPr>
            <w:rStyle w:val="IntenseEmphasis"/>
            <w:color w:val="auto"/>
          </w:rPr>
          <w:t>https://eur-lex.europa.eu/eli/reg/2021/1060/2024-03-01</w:t>
        </w:r>
      </w:hyperlink>
      <w:r>
        <w:rPr>
          <w:rStyle w:val="IntenseEmphasis"/>
          <w:color w:val="auto"/>
        </w:rPr>
        <w:t xml:space="preserve"> </w:t>
      </w:r>
      <w:r w:rsidRPr="00B83578">
        <w:rPr>
          <w:rStyle w:val="IntenseEmphasis"/>
          <w:i w:val="0"/>
          <w:iCs w:val="0"/>
          <w:color w:val="auto"/>
        </w:rPr>
        <w:t xml:space="preserve"> </w:t>
      </w:r>
    </w:p>
  </w:footnote>
  <w:footnote w:id="194">
    <w:p w14:paraId="05AAA5CD" w14:textId="0D4CDE55" w:rsidR="00B54ABB" w:rsidRPr="00B83578" w:rsidRDefault="00B54ABB" w:rsidP="00206379">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r w:rsidRPr="00AE0F6C">
        <w:rPr>
          <w:rStyle w:val="IntenseEmphasis"/>
          <w:i w:val="0"/>
          <w:iCs w:val="0"/>
          <w:color w:val="auto"/>
        </w:rPr>
        <w:t xml:space="preserve">Okvir za učinak se uspostavlja u okviru procesa programiranja, ali se zatim koristi i u svrhe monitoringa i evaluacije. U Regulativi o zajedničkim odredbama, članovi koji se odnose na okvir za učinak se ne nalaze ni u poglavlju o programiranju, niti u poglavljima o monitoringu i evaluaciji. Odlučeno je da se aktivnosti koje se odnose na uspostavljanje okvira za učinak uključe u ovo poglavlje </w:t>
      </w:r>
      <w:r>
        <w:rPr>
          <w:rStyle w:val="IntenseEmphasis"/>
          <w:i w:val="0"/>
          <w:iCs w:val="0"/>
          <w:color w:val="auto"/>
        </w:rPr>
        <w:t>Plana aktivnosti</w:t>
      </w:r>
      <w:r w:rsidRPr="00AE0F6C">
        <w:rPr>
          <w:rStyle w:val="IntenseEmphasis"/>
          <w:i w:val="0"/>
          <w:iCs w:val="0"/>
          <w:color w:val="auto"/>
        </w:rPr>
        <w:t xml:space="preserve"> (o monitoringu i evaluaciji).</w:t>
      </w:r>
    </w:p>
  </w:footnote>
  <w:footnote w:id="195">
    <w:p w14:paraId="5BBE2FBF" w14:textId="70BF0491" w:rsidR="00B54ABB" w:rsidRPr="00B83578" w:rsidRDefault="00B54ABB" w:rsidP="00206379">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r w:rsidRPr="00AE0F6C">
        <w:rPr>
          <w:rStyle w:val="IntenseEmphasis"/>
          <w:i w:val="0"/>
          <w:iCs w:val="0"/>
          <w:color w:val="auto"/>
        </w:rPr>
        <w:t>Primjer metodologije za uspostavljanje okvira učinka se može pronaći</w:t>
      </w:r>
      <w:r>
        <w:rPr>
          <w:rStyle w:val="IntenseEmphasis"/>
          <w:i w:val="0"/>
          <w:iCs w:val="0"/>
          <w:color w:val="auto"/>
        </w:rPr>
        <w:t xml:space="preserve"> na</w:t>
      </w:r>
      <w:r w:rsidRPr="00B83578">
        <w:rPr>
          <w:rStyle w:val="IntenseEmphasis"/>
          <w:i w:val="0"/>
          <w:iCs w:val="0"/>
          <w:color w:val="auto"/>
        </w:rPr>
        <w:t>: https://www.ita-slo.eu/sites/default/files/media/document/Performance%20Framework%20-%20v%20ANGLE%C5%A0%C4%8CINI.pdf</w:t>
      </w:r>
    </w:p>
  </w:footnote>
  <w:footnote w:id="196">
    <w:p w14:paraId="154E3BAF" w14:textId="581174B5" w:rsidR="00B54ABB" w:rsidRPr="00B83578" w:rsidRDefault="00B54ABB" w:rsidP="00206379">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vertAlign w:val="superscript"/>
        </w:rPr>
        <w:t xml:space="preserve"> </w:t>
      </w:r>
      <w:r w:rsidRPr="00E26D99">
        <w:rPr>
          <w:rStyle w:val="IntenseEmphasis"/>
          <w:i w:val="0"/>
          <w:iCs w:val="0"/>
          <w:color w:val="auto"/>
        </w:rPr>
        <w:t>Prečišćeni tekst: Regulativa (EU) 2021/1058 Evropskog parlamenta i Savjeta od 24. juna 2021. godine o Evropskom fondu za regionalni razvoj i Kohezionom fondu, kako je izmijenjena Regulativom (EU) 2024/795 Evropskog parlamenta i Savjeta od 29. februara 2024. godine o uspostavljanju Platforme za strateške tehnologije za Evropu (STEP) i izmjena Direktive 2003/87/</w:t>
      </w:r>
      <w:r>
        <w:rPr>
          <w:rStyle w:val="IntenseEmphasis"/>
          <w:i w:val="0"/>
          <w:iCs w:val="0"/>
          <w:color w:val="auto"/>
        </w:rPr>
        <w:t>EZ</w:t>
      </w:r>
      <w:r w:rsidRPr="00E26D99">
        <w:rPr>
          <w:rStyle w:val="IntenseEmphasis"/>
          <w:i w:val="0"/>
          <w:iCs w:val="0"/>
          <w:color w:val="auto"/>
        </w:rPr>
        <w:t xml:space="preserve"> i Regulativa (EU) 2021/1058, (EU) 2021/1056, (EU) 2021/1057, (EU) br. 1303/2013, (EU) br. 223/2014, (EU) 2021/1060, (EU) 2021/523, (EU) 2021/695, (EU) 2021/697 i (EU) 2021/241 https://eur-lex.europa.eu/eli/reg/2021/1058/2024-03-01.</w:t>
      </w:r>
    </w:p>
  </w:footnote>
  <w:footnote w:id="197">
    <w:p w14:paraId="0C7EF49B" w14:textId="19192DF6" w:rsidR="00B54ABB" w:rsidRPr="00B83578" w:rsidRDefault="00B54ABB" w:rsidP="00206379">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vertAlign w:val="superscript"/>
        </w:rPr>
        <w:t xml:space="preserve"> </w:t>
      </w:r>
      <w:r w:rsidRPr="00E26D99">
        <w:rPr>
          <w:rStyle w:val="IntenseEmphasis"/>
          <w:i w:val="0"/>
          <w:iCs w:val="0"/>
          <w:color w:val="auto"/>
        </w:rPr>
        <w:t xml:space="preserve">Prečišćeni tekst: Regulativa (EU) 2021/1056 Evropskog parlamenta i Savjeta od 24. juna 2021. o uspostavljanju Fonda za pravednu tranziciju </w:t>
      </w:r>
      <w:hyperlink r:id="rId78" w:history="1">
        <w:r w:rsidRPr="0029121D">
          <w:rPr>
            <w:rStyle w:val="Hyperlink"/>
          </w:rPr>
          <w:t>https://eur-lex.europa.eu/eli/reg/2021/1056/2024-03-01</w:t>
        </w:r>
      </w:hyperlink>
      <w:r>
        <w:rPr>
          <w:rStyle w:val="IntenseEmphasis"/>
          <w:i w:val="0"/>
          <w:iCs w:val="0"/>
          <w:color w:val="auto"/>
        </w:rPr>
        <w:t xml:space="preserve"> </w:t>
      </w:r>
    </w:p>
  </w:footnote>
  <w:footnote w:id="198">
    <w:p w14:paraId="0D425301" w14:textId="67C573CD" w:rsidR="00B54ABB" w:rsidRPr="00B83578" w:rsidRDefault="00B54ABB" w:rsidP="00206379">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r w:rsidRPr="00E26D99">
        <w:rPr>
          <w:rStyle w:val="IntenseEmphasis"/>
          <w:i w:val="0"/>
          <w:iCs w:val="0"/>
          <w:color w:val="auto"/>
        </w:rPr>
        <w:t xml:space="preserve">Prečišćeni tekst: Regulativa (EU) 2021/1057 Evropskog parlamenta i Savjeta od 24. juna 2021. godine o uspostavljanju Evropskog socijalnog fonda plus (ESF+) i stavljanju van snage Regulative (EU) br. 1296/2013 </w:t>
      </w:r>
      <w:hyperlink r:id="rId79" w:history="1">
        <w:r w:rsidRPr="0029121D">
          <w:rPr>
            <w:rStyle w:val="Hyperlink"/>
          </w:rPr>
          <w:t>https://eur-lex.europa.eu/eli/reg/2021/1057/2024-03-01</w:t>
        </w:r>
      </w:hyperlink>
      <w:r>
        <w:rPr>
          <w:rStyle w:val="IntenseEmphasis"/>
          <w:iCs w:val="0"/>
          <w:color w:val="auto"/>
        </w:rPr>
        <w:t xml:space="preserve"> </w:t>
      </w:r>
    </w:p>
  </w:footnote>
  <w:footnote w:id="199">
    <w:p w14:paraId="3AE96431" w14:textId="08054AB1" w:rsidR="00B54ABB" w:rsidRPr="00B83578" w:rsidRDefault="00B54ABB" w:rsidP="00206379">
      <w:pPr>
        <w:pStyle w:val="FootnoteText"/>
        <w:rPr>
          <w:rStyle w:val="IntenseEmphasis"/>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r w:rsidRPr="00E26D99">
        <w:rPr>
          <w:rStyle w:val="IntenseEmphasis"/>
          <w:i w:val="0"/>
          <w:iCs w:val="0"/>
          <w:color w:val="auto"/>
        </w:rPr>
        <w:t xml:space="preserve">Regulativa (EU) 2021/1059 Evropskog parlamenta i Savjeta od 24. juna 2021. o posebnim odredbama za cilj evropske teritorijalne saradnje (Interreg) koji se podržava iz Evropskog fonda za regionalni razvoj i instrumenata za spoljno finansiranje </w:t>
      </w:r>
      <w:hyperlink r:id="rId80" w:history="1">
        <w:r w:rsidRPr="0029121D">
          <w:rPr>
            <w:rStyle w:val="Hyperlink"/>
          </w:rPr>
          <w:t>https://eur-lex.europa.eu/eli/reg/2021/1059/oj</w:t>
        </w:r>
      </w:hyperlink>
      <w:r>
        <w:rPr>
          <w:rStyle w:val="IntenseEmphasis"/>
          <w:color w:val="auto"/>
        </w:rPr>
        <w:t xml:space="preserve"> </w:t>
      </w:r>
    </w:p>
  </w:footnote>
  <w:footnote w:id="200">
    <w:p w14:paraId="3948ED81" w14:textId="7EE28043" w:rsidR="00B54ABB" w:rsidRPr="00B83578" w:rsidRDefault="00B54ABB" w:rsidP="00670E53">
      <w:pPr>
        <w:pStyle w:val="FootnoteText"/>
      </w:pPr>
      <w:r w:rsidRPr="00B83578">
        <w:rPr>
          <w:rStyle w:val="FootnoteReference"/>
          <w:i/>
          <w:iCs/>
        </w:rPr>
        <w:footnoteRef/>
      </w:r>
      <w:r w:rsidRPr="00B83578">
        <w:rPr>
          <w:i/>
          <w:iCs/>
        </w:rPr>
        <w:t xml:space="preserve"> </w:t>
      </w:r>
      <w:r w:rsidRPr="00624648">
        <w:t>(Prečišćeni tekst) Regulativa (EU) 2016/679 Evropskog parlamenta i Savjeta od 27. aprila 2016. o zaštiti fizičkih lica u pogledu obrade ličnih podataka i o slobodnom kretanju takvih podataka, i o stavljanju van snage Direktive 95/46/</w:t>
      </w:r>
      <w:r>
        <w:t>EZ</w:t>
      </w:r>
      <w:r w:rsidRPr="00624648">
        <w:t xml:space="preserve"> (Opšta regulativa o zaštiti podataka).</w:t>
      </w:r>
    </w:p>
  </w:footnote>
  <w:footnote w:id="201">
    <w:p w14:paraId="130C96D5" w14:textId="74B9EC62" w:rsidR="00B54ABB" w:rsidRPr="00B83578" w:rsidRDefault="00B54ABB" w:rsidP="00670E53">
      <w:pPr>
        <w:pStyle w:val="FootnoteText"/>
      </w:pPr>
      <w:r w:rsidRPr="00B83578">
        <w:rPr>
          <w:rStyle w:val="FootnoteReference"/>
        </w:rPr>
        <w:footnoteRef/>
      </w:r>
      <w:r w:rsidRPr="00B83578">
        <w:t xml:space="preserve"> </w:t>
      </w:r>
      <w:r w:rsidRPr="00624648">
        <w:t xml:space="preserve">Detaljni </w:t>
      </w:r>
      <w:r>
        <w:t>dokazi</w:t>
      </w:r>
      <w:r w:rsidRPr="00624648">
        <w:t xml:space="preserve"> o transakcijama koje su naplaćene iz Fond</w:t>
      </w:r>
      <w:r>
        <w:t>ova</w:t>
      </w:r>
      <w:r w:rsidRPr="00B83578">
        <w:t>.</w:t>
      </w:r>
    </w:p>
  </w:footnote>
  <w:footnote w:id="202">
    <w:p w14:paraId="7E0364C2" w14:textId="021DAC87" w:rsidR="00B54ABB" w:rsidRPr="00B83578" w:rsidRDefault="00B54ABB" w:rsidP="003E2A14">
      <w:pPr>
        <w:pStyle w:val="FootnoteText"/>
      </w:pPr>
      <w:r w:rsidRPr="00B83578">
        <w:rPr>
          <w:rStyle w:val="FootnoteReference"/>
        </w:rPr>
        <w:footnoteRef/>
      </w:r>
      <w:r w:rsidRPr="00B83578">
        <w:t xml:space="preserve"> </w:t>
      </w:r>
      <w:r w:rsidRPr="00B83578">
        <w:rPr>
          <w:i/>
          <w:iCs/>
        </w:rPr>
        <w:t>AN</w:t>
      </w:r>
      <w:r>
        <w:rPr>
          <w:i/>
          <w:iCs/>
        </w:rPr>
        <w:t>EKS</w:t>
      </w:r>
      <w:r w:rsidRPr="00B83578">
        <w:rPr>
          <w:i/>
          <w:iCs/>
        </w:rPr>
        <w:t xml:space="preserve"> XVII </w:t>
      </w:r>
      <w:r>
        <w:rPr>
          <w:i/>
          <w:iCs/>
        </w:rPr>
        <w:t>RZO-a</w:t>
      </w:r>
      <w:r w:rsidRPr="00B83578">
        <w:rPr>
          <w:i/>
          <w:iCs/>
        </w:rPr>
        <w:t xml:space="preserve">: </w:t>
      </w:r>
      <w:r w:rsidRPr="00624648">
        <w:t>Podaci koji se evidentiraju i elektronski pohranjuju za svaku operaciju – tačka (e) člana 72. stav 1.</w:t>
      </w:r>
    </w:p>
  </w:footnote>
  <w:footnote w:id="203">
    <w:p w14:paraId="21A0B0FA" w14:textId="09E729D7" w:rsidR="00B54ABB" w:rsidRPr="00B83578" w:rsidRDefault="00B54ABB" w:rsidP="006D523E">
      <w:pPr>
        <w:pStyle w:val="FootnoteText"/>
      </w:pPr>
      <w:r w:rsidRPr="00B83578">
        <w:rPr>
          <w:rStyle w:val="FootnoteReference"/>
        </w:rPr>
        <w:footnoteRef/>
      </w:r>
      <w:r w:rsidRPr="00B83578">
        <w:t xml:space="preserve"> </w:t>
      </w:r>
      <w:r w:rsidRPr="00624648">
        <w:t xml:space="preserve">Relevantne informacije o trenutnim kapacitetima ljudskih resursa biće predstavljene u poglavlju </w:t>
      </w:r>
      <w:r>
        <w:t>Jačanje</w:t>
      </w:r>
      <w:r w:rsidRPr="00624648">
        <w:t xml:space="preserve"> administrativnih kapaciteta.</w:t>
      </w:r>
      <w:r w:rsidRPr="00B83578">
        <w:t>.</w:t>
      </w:r>
    </w:p>
  </w:footnote>
  <w:footnote w:id="204">
    <w:p w14:paraId="02F8BE52" w14:textId="5BA3A840" w:rsidR="00B54ABB" w:rsidRPr="00B83578" w:rsidRDefault="00B54ABB" w:rsidP="0039738B">
      <w:pPr>
        <w:pStyle w:val="FootnoteText"/>
      </w:pPr>
      <w:r w:rsidRPr="00B83578">
        <w:rPr>
          <w:rStyle w:val="FootnoteReference"/>
        </w:rPr>
        <w:footnoteRef/>
      </w:r>
      <w:r w:rsidRPr="00B83578">
        <w:t xml:space="preserve"> </w:t>
      </w:r>
      <w:r w:rsidRPr="00624648">
        <w:t xml:space="preserve">Zakon o </w:t>
      </w:r>
      <w:r>
        <w:t>ratifikaciji</w:t>
      </w:r>
      <w:r w:rsidRPr="00624648">
        <w:t xml:space="preserve"> Okvirnog sporazuma između Crne Gore, koju zastupa Vlada Crne Gore, i Evropske komisije o aranžmanima za </w:t>
      </w:r>
      <w:r>
        <w:t>implementaciju</w:t>
      </w:r>
      <w:r w:rsidRPr="00624648">
        <w:t xml:space="preserve"> finansijske </w:t>
      </w:r>
      <w:r>
        <w:t>podrške</w:t>
      </w:r>
      <w:r w:rsidRPr="00624648">
        <w:t xml:space="preserve"> Unije Crnoj Gori u okviru Instrumenta za pretpristupnu </w:t>
      </w:r>
      <w:r>
        <w:t>podršku</w:t>
      </w:r>
      <w:r w:rsidRPr="00624648">
        <w:t xml:space="preserve"> (IPA II).</w:t>
      </w:r>
    </w:p>
  </w:footnote>
  <w:footnote w:id="205">
    <w:p w14:paraId="6C470664" w14:textId="2B65C8B6" w:rsidR="00B54ABB" w:rsidRPr="00B83578" w:rsidRDefault="00B54ABB" w:rsidP="0039738B">
      <w:pPr>
        <w:pStyle w:val="FootnoteText"/>
      </w:pPr>
      <w:r w:rsidRPr="00B83578">
        <w:rPr>
          <w:rStyle w:val="FootnoteReference"/>
        </w:rPr>
        <w:footnoteRef/>
      </w:r>
      <w:r w:rsidRPr="00B83578">
        <w:t xml:space="preserve"> </w:t>
      </w:r>
      <w:r w:rsidRPr="007B4787">
        <w:t xml:space="preserve">Zakon o ratifikaciji Okvirnog finansijskog partnerskog sporazuma između Evropske komisije i Crne Gore, koju zastupa Vlada Crne Gore, o posebnim аranžmanima za implementaciju finansijske </w:t>
      </w:r>
      <w:r>
        <w:t>podrške</w:t>
      </w:r>
      <w:r w:rsidRPr="007B4787">
        <w:t xml:space="preserve"> Unije Crnoj Gori u okviru Instrumenta pretpristupne </w:t>
      </w:r>
      <w:r>
        <w:t>podrške</w:t>
      </w:r>
      <w:r w:rsidRPr="007B4787">
        <w:t xml:space="preserve"> (IPA III), Službeni list – Međunarodni ugovori 6/2022.</w:t>
      </w:r>
      <w:r w:rsidRPr="00B83578">
        <w:t>.</w:t>
      </w:r>
    </w:p>
  </w:footnote>
  <w:footnote w:id="206">
    <w:p w14:paraId="7BCA205E" w14:textId="638F3568" w:rsidR="00B54ABB" w:rsidRPr="00B83578" w:rsidRDefault="00B54ABB" w:rsidP="00006A6F">
      <w:pPr>
        <w:spacing w:after="0"/>
        <w:rPr>
          <w:rFonts w:cs="Arial"/>
          <w:sz w:val="16"/>
          <w:szCs w:val="16"/>
        </w:rPr>
      </w:pPr>
      <w:r w:rsidRPr="00B83578">
        <w:rPr>
          <w:rStyle w:val="FootnoteReference"/>
          <w:sz w:val="16"/>
          <w:szCs w:val="16"/>
        </w:rPr>
        <w:footnoteRef/>
      </w:r>
      <w:r w:rsidRPr="00B83578">
        <w:rPr>
          <w:sz w:val="16"/>
          <w:szCs w:val="16"/>
        </w:rPr>
        <w:t xml:space="preserve"> </w:t>
      </w:r>
      <w:r>
        <w:rPr>
          <w:sz w:val="16"/>
          <w:szCs w:val="16"/>
        </w:rPr>
        <w:t>Broj ugovora</w:t>
      </w:r>
      <w:r w:rsidRPr="00B83578">
        <w:rPr>
          <w:rFonts w:cs="Arial"/>
          <w:sz w:val="16"/>
          <w:szCs w:val="16"/>
        </w:rPr>
        <w:t>: CFCU/MNE/177. Referenc</w:t>
      </w:r>
      <w:r>
        <w:rPr>
          <w:rFonts w:cs="Arial"/>
          <w:sz w:val="16"/>
          <w:szCs w:val="16"/>
        </w:rPr>
        <w:t>a publikacije</w:t>
      </w:r>
      <w:r w:rsidRPr="00B83578">
        <w:rPr>
          <w:rFonts w:cs="Arial"/>
          <w:sz w:val="16"/>
          <w:szCs w:val="16"/>
        </w:rPr>
        <w:t>: CAP2017/1-EUIF/SER-simp-EVIPAII</w:t>
      </w:r>
    </w:p>
    <w:p w14:paraId="1448B5D4" w14:textId="77777777" w:rsidR="00B54ABB" w:rsidRPr="00B83578" w:rsidRDefault="00B54ABB" w:rsidP="00006A6F">
      <w:pPr>
        <w:pStyle w:val="FootnoteText"/>
      </w:pPr>
    </w:p>
  </w:footnote>
  <w:footnote w:id="207">
    <w:p w14:paraId="13DC96EB" w14:textId="77777777" w:rsidR="00B54ABB" w:rsidRPr="00B83578" w:rsidRDefault="00B54ABB" w:rsidP="00082837">
      <w:pPr>
        <w:pStyle w:val="FootnoteText"/>
      </w:pPr>
      <w:r w:rsidRPr="00B83578">
        <w:rPr>
          <w:rStyle w:val="FootnoteReference"/>
        </w:rPr>
        <w:footnoteRef/>
      </w:r>
      <w:r w:rsidRPr="00B83578">
        <w:t xml:space="preserve"> </w:t>
      </w:r>
      <w:hyperlink r:id="rId81" w:history="1">
        <w:r w:rsidRPr="00B83578">
          <w:rPr>
            <w:rStyle w:val="Hyperlink"/>
            <w:color w:val="auto"/>
          </w:rPr>
          <w:t>https://data.consilium.europa.eu/doc/document/ST-5037-2023-INIT/en/pdf</w:t>
        </w:r>
      </w:hyperlink>
      <w:r w:rsidRPr="00B83578">
        <w:t xml:space="preserve"> </w:t>
      </w:r>
    </w:p>
  </w:footnote>
  <w:footnote w:id="208">
    <w:p w14:paraId="7F222725" w14:textId="1C46E331" w:rsidR="00B54ABB" w:rsidRPr="00B83578" w:rsidRDefault="00B54ABB" w:rsidP="00D05395">
      <w:pPr>
        <w:pStyle w:val="FootnoteText"/>
      </w:pPr>
      <w:r w:rsidRPr="00B83578">
        <w:rPr>
          <w:rStyle w:val="FootnoteReference"/>
        </w:rPr>
        <w:footnoteRef/>
      </w:r>
      <w:r w:rsidRPr="00B83578">
        <w:t xml:space="preserve"> </w:t>
      </w:r>
      <w:r>
        <w:t>Na primjer</w:t>
      </w:r>
      <w:r w:rsidRPr="00B83578">
        <w:t xml:space="preserve">: </w:t>
      </w:r>
      <w:hyperlink r:id="rId82" w:history="1">
        <w:r w:rsidRPr="00B83578">
          <w:rPr>
            <w:rStyle w:val="Hyperlink"/>
            <w:color w:val="auto"/>
          </w:rPr>
          <w:t>SA_FS_1_1_Strategic_and_performance_framework_19102022.pdf (italy-albania-montenegro.eu)</w:t>
        </w:r>
      </w:hyperlink>
      <w:r w:rsidRPr="00B83578">
        <w:t xml:space="preserve"> </w:t>
      </w:r>
    </w:p>
  </w:footnote>
  <w:footnote w:id="209">
    <w:p w14:paraId="224F4F64" w14:textId="0209E8B1" w:rsidR="00B54ABB" w:rsidRPr="00B83578" w:rsidRDefault="00B54ABB" w:rsidP="00D05395">
      <w:pPr>
        <w:pStyle w:val="FootnoteText"/>
      </w:pPr>
      <w:r w:rsidRPr="00B83578">
        <w:rPr>
          <w:rStyle w:val="FootnoteReference"/>
        </w:rPr>
        <w:footnoteRef/>
      </w:r>
      <w:r w:rsidRPr="00B83578">
        <w:t xml:space="preserve"> </w:t>
      </w:r>
      <w:r w:rsidRPr="00EB3B07">
        <w:t>Mapiranje kapaciteta za višegodišnje operativne programe IPA III: Anketa i izv</w:t>
      </w:r>
      <w:r>
        <w:t>j</w:t>
      </w:r>
      <w:r w:rsidRPr="00EB3B07">
        <w:t>eštaj zasnovani na kompetencijama</w:t>
      </w:r>
    </w:p>
  </w:footnote>
  <w:footnote w:id="210">
    <w:p w14:paraId="71C97AB5" w14:textId="348F365A" w:rsidR="00B54ABB" w:rsidRPr="00B83578" w:rsidRDefault="00B54ABB" w:rsidP="008955B0">
      <w:pPr>
        <w:pStyle w:val="FootnoteText"/>
      </w:pPr>
      <w:r w:rsidRPr="00B83578">
        <w:rPr>
          <w:rStyle w:val="FootnoteReference"/>
        </w:rPr>
        <w:footnoteRef/>
      </w:r>
      <w:r w:rsidRPr="00B83578">
        <w:t xml:space="preserve"> </w:t>
      </w:r>
      <w:r w:rsidRPr="00EB3B07">
        <w:t>Evropska komisija (2012). Mjerenje uticaja promjenljivih regulatornih zahtjeva na administrativne troškove i administrativno opterećenje upravljanja strukturnim fondovima EU (</w:t>
      </w:r>
      <w:r>
        <w:t>EFRR</w:t>
      </w:r>
      <w:r w:rsidRPr="00EB3B07">
        <w:t xml:space="preserve"> i Kohezionim fondovima), jun 2012.</w:t>
      </w:r>
      <w:r w:rsidRPr="00B83578">
        <w:t xml:space="preserve">. </w:t>
      </w:r>
      <w:hyperlink r:id="rId83" w:history="1">
        <w:r w:rsidRPr="00B83578">
          <w:rPr>
            <w:rStyle w:val="Hyperlink"/>
          </w:rPr>
          <w:t>http://ec.europa.eu/regional_policy/sources/docgener/studies/pdf/measuring/measuring_impact_report.pdf</w:t>
        </w:r>
      </w:hyperlink>
      <w:r w:rsidRPr="00B83578">
        <w:t xml:space="preserve"> </w:t>
      </w:r>
    </w:p>
  </w:footnote>
  <w:footnote w:id="211">
    <w:p w14:paraId="1469EE46" w14:textId="3A7B2F37" w:rsidR="00B54ABB" w:rsidRPr="00B83578" w:rsidRDefault="00B54ABB" w:rsidP="008955B0">
      <w:pPr>
        <w:spacing w:after="0"/>
        <w:rPr>
          <w:rFonts w:cs="Arial"/>
          <w:sz w:val="16"/>
          <w:szCs w:val="16"/>
        </w:rPr>
      </w:pPr>
      <w:r w:rsidRPr="00B83578">
        <w:rPr>
          <w:rFonts w:cs="Arial"/>
          <w:sz w:val="16"/>
          <w:szCs w:val="16"/>
          <w:vertAlign w:val="superscript"/>
        </w:rPr>
        <w:footnoteRef/>
      </w:r>
      <w:r w:rsidRPr="00B83578">
        <w:rPr>
          <w:rFonts w:cs="Arial"/>
          <w:sz w:val="16"/>
          <w:szCs w:val="16"/>
        </w:rPr>
        <w:t xml:space="preserve"> </w:t>
      </w:r>
      <w:r w:rsidRPr="00EB3B07">
        <w:rPr>
          <w:rFonts w:cs="Arial"/>
          <w:sz w:val="16"/>
          <w:szCs w:val="16"/>
        </w:rPr>
        <w:t>Predstavnik t</w:t>
      </w:r>
      <w:r>
        <w:rPr>
          <w:rFonts w:cs="Arial"/>
          <w:sz w:val="16"/>
          <w:szCs w:val="16"/>
        </w:rPr>
        <w:t>ij</w:t>
      </w:r>
      <w:r w:rsidRPr="00EB3B07">
        <w:rPr>
          <w:rFonts w:cs="Arial"/>
          <w:sz w:val="16"/>
          <w:szCs w:val="16"/>
        </w:rPr>
        <w:t>ela zaduženog za javnu digitalnu infrastrukturu u Crnoj Gori.</w:t>
      </w:r>
    </w:p>
  </w:footnote>
  <w:footnote w:id="212">
    <w:p w14:paraId="147FE87B" w14:textId="13A8890F" w:rsidR="00B54ABB" w:rsidRPr="00B83578" w:rsidRDefault="00B54ABB" w:rsidP="000C223D">
      <w:pPr>
        <w:pStyle w:val="Default"/>
        <w:jc w:val="both"/>
        <w:rPr>
          <w:rStyle w:val="IntenseEmphasis"/>
          <w:rFonts w:ascii="Arial" w:hAnsi="Arial" w:cs="Arial"/>
          <w:i w:val="0"/>
          <w:iCs w:val="0"/>
          <w:color w:val="auto"/>
          <w:sz w:val="16"/>
          <w:szCs w:val="16"/>
          <w:lang w:val="en-GB"/>
        </w:rPr>
      </w:pPr>
      <w:r w:rsidRPr="00B83578">
        <w:rPr>
          <w:rStyle w:val="IntenseEmphasis"/>
          <w:rFonts w:ascii="Arial" w:hAnsi="Arial" w:cs="Arial"/>
          <w:color w:val="auto"/>
          <w:sz w:val="16"/>
          <w:szCs w:val="16"/>
          <w:vertAlign w:val="superscript"/>
          <w:lang w:val="en-GB"/>
        </w:rPr>
        <w:footnoteRef/>
      </w:r>
      <w:r w:rsidRPr="00B83578">
        <w:rPr>
          <w:rStyle w:val="IntenseEmphasis"/>
          <w:rFonts w:ascii="Arial" w:hAnsi="Arial" w:cs="Arial"/>
          <w:color w:val="auto"/>
          <w:sz w:val="16"/>
          <w:szCs w:val="16"/>
          <w:lang w:val="en-GB"/>
        </w:rPr>
        <w:t xml:space="preserve"> </w:t>
      </w:r>
      <w:r w:rsidRPr="00EB3B07">
        <w:rPr>
          <w:rStyle w:val="IntenseEmphasis"/>
          <w:rFonts w:ascii="Arial" w:hAnsi="Arial" w:cs="Arial"/>
          <w:i w:val="0"/>
          <w:iCs w:val="0"/>
          <w:color w:val="auto"/>
          <w:sz w:val="16"/>
          <w:szCs w:val="16"/>
          <w:lang w:val="en-GB"/>
        </w:rPr>
        <w:t xml:space="preserve">Očekuje se da će Sistem za monitoring informacija biti dio šireg opsega </w:t>
      </w:r>
      <w:r>
        <w:rPr>
          <w:rStyle w:val="IntenseEmphasis"/>
          <w:rFonts w:ascii="Arial" w:hAnsi="Arial" w:cs="Arial"/>
          <w:i w:val="0"/>
          <w:iCs w:val="0"/>
          <w:color w:val="auto"/>
          <w:sz w:val="16"/>
          <w:szCs w:val="16"/>
          <w:lang w:val="en-GB"/>
        </w:rPr>
        <w:t>ISU</w:t>
      </w:r>
      <w:r w:rsidRPr="00EB3B07">
        <w:rPr>
          <w:rStyle w:val="IntenseEmphasis"/>
          <w:rFonts w:ascii="Arial" w:hAnsi="Arial" w:cs="Arial"/>
          <w:i w:val="0"/>
          <w:iCs w:val="0"/>
          <w:color w:val="auto"/>
          <w:sz w:val="16"/>
          <w:szCs w:val="16"/>
          <w:lang w:val="en-GB"/>
        </w:rPr>
        <w:t>-a, koji se koristi za upravljanje, kao i monitoring i evaluaciju</w:t>
      </w:r>
      <w:r w:rsidRPr="00B83578">
        <w:rPr>
          <w:rStyle w:val="IntenseEmphasis"/>
          <w:rFonts w:ascii="Arial" w:hAnsi="Arial" w:cs="Arial"/>
          <w:i w:val="0"/>
          <w:iCs w:val="0"/>
          <w:color w:val="auto"/>
          <w:sz w:val="16"/>
          <w:szCs w:val="16"/>
          <w:lang w:val="en-GB"/>
        </w:rPr>
        <w:t>.</w:t>
      </w:r>
    </w:p>
  </w:footnote>
  <w:footnote w:id="213">
    <w:p w14:paraId="1EA06360" w14:textId="242FEAF6" w:rsidR="00B54ABB" w:rsidRPr="00B83578" w:rsidRDefault="00B54ABB" w:rsidP="000C223D">
      <w:pPr>
        <w:pStyle w:val="FootnoteText"/>
      </w:pPr>
      <w:r w:rsidRPr="00B83578">
        <w:rPr>
          <w:rStyle w:val="FootnoteReference"/>
        </w:rPr>
        <w:footnoteRef/>
      </w:r>
      <w:r w:rsidRPr="00B83578">
        <w:t xml:space="preserve"> </w:t>
      </w:r>
      <w:r w:rsidRPr="002C188C">
        <w:t>Pretpostavlja se da će Crna Gora učestvovati na relevantnim sastancima i diskusijama o potrebama za zajedničkim sistemom monitoringa za INTERREG nakon 2027. godine, te da će ga razviti INTERACT.</w:t>
      </w:r>
    </w:p>
  </w:footnote>
  <w:footnote w:id="214">
    <w:p w14:paraId="3684269E" w14:textId="18F6BA7A" w:rsidR="00B54ABB" w:rsidRPr="00B83578" w:rsidRDefault="00B54ABB" w:rsidP="00114239">
      <w:pPr>
        <w:pStyle w:val="FootnoteText"/>
      </w:pPr>
      <w:r w:rsidRPr="00B83578">
        <w:rPr>
          <w:rStyle w:val="FootnoteReference"/>
        </w:rPr>
        <w:footnoteRef/>
      </w:r>
      <w:r w:rsidRPr="00B83578">
        <w:t xml:space="preserve"> </w:t>
      </w:r>
      <w:r w:rsidRPr="002C188C">
        <w:t xml:space="preserve">Molimo pogledajte Četvrto poglavlje ovog </w:t>
      </w:r>
      <w:r>
        <w:rPr>
          <w:rStyle w:val="IntenseEmphasis"/>
          <w:i w:val="0"/>
          <w:iCs w:val="0"/>
          <w:color w:val="auto"/>
        </w:rPr>
        <w:t>Plana aktivnosti</w:t>
      </w:r>
      <w:r w:rsidRPr="00AE0F6C">
        <w:rPr>
          <w:rStyle w:val="IntenseEmphasis"/>
          <w:i w:val="0"/>
          <w:iCs w:val="0"/>
          <w:color w:val="auto"/>
        </w:rPr>
        <w:t xml:space="preserve"> </w:t>
      </w:r>
      <w:r w:rsidRPr="002C188C">
        <w:t>u vezi sa vremenskim okvirom za izradu Programa.</w:t>
      </w:r>
    </w:p>
  </w:footnote>
  <w:footnote w:id="215">
    <w:p w14:paraId="077DE52B" w14:textId="38B7744D" w:rsidR="00B54ABB" w:rsidRPr="00636F11" w:rsidRDefault="00B54ABB" w:rsidP="00A65069">
      <w:pPr>
        <w:pStyle w:val="FootnoteText"/>
        <w:rPr>
          <w:color w:val="000000" w:themeColor="text1"/>
        </w:rPr>
      </w:pPr>
      <w:r w:rsidRPr="00B83578">
        <w:rPr>
          <w:rStyle w:val="FootnoteReference"/>
        </w:rPr>
        <w:footnoteRef/>
      </w:r>
      <w:r w:rsidRPr="00B83578">
        <w:t xml:space="preserve"> </w:t>
      </w:r>
      <w:r w:rsidRPr="002F783F">
        <w:rPr>
          <w:color w:val="000000" w:themeColor="text1"/>
        </w:rPr>
        <w:t>Bez obzira na broj Programa u okviru Cilja 1, Crna Gora može u budućnosti odlučiti da ima jedan Odbor za monitoring. Međutim, za IPA INTERREG programe sa IPA korisnicima kojima upravlja Crna Gora, moraće da se uspostave posebni Odbori za monitoring.</w:t>
      </w:r>
    </w:p>
  </w:footnote>
  <w:footnote w:id="216">
    <w:p w14:paraId="4FCC3A1F" w14:textId="26396468" w:rsidR="00B54ABB" w:rsidRPr="00B83578" w:rsidRDefault="00B54ABB" w:rsidP="006B36CC">
      <w:pPr>
        <w:pStyle w:val="FootnoteText"/>
      </w:pPr>
      <w:r w:rsidRPr="00636F11">
        <w:rPr>
          <w:rStyle w:val="FootnoteReference"/>
          <w:color w:val="000000" w:themeColor="text1"/>
        </w:rPr>
        <w:footnoteRef/>
      </w:r>
      <w:r w:rsidRPr="00636F11">
        <w:rPr>
          <w:color w:val="000000" w:themeColor="text1"/>
        </w:rPr>
        <w:t xml:space="preserve"> </w:t>
      </w:r>
      <w:hyperlink r:id="rId84" w:history="1">
        <w:r w:rsidRPr="0029121D">
          <w:rPr>
            <w:rStyle w:val="Hyperlink"/>
          </w:rPr>
          <w:t>https://ec.europa.eu/regional_policy/policy/evaluations/network_en</w:t>
        </w:r>
      </w:hyperlink>
      <w:r>
        <w:t xml:space="preserve"> </w:t>
      </w:r>
      <w:r w:rsidRPr="00B83578">
        <w:t xml:space="preserve"> </w:t>
      </w:r>
    </w:p>
  </w:footnote>
  <w:footnote w:id="217">
    <w:p w14:paraId="2F94273D" w14:textId="06B7B5BD" w:rsidR="00B54ABB" w:rsidRPr="00B83578" w:rsidRDefault="00B54ABB" w:rsidP="00A747E2">
      <w:pPr>
        <w:pStyle w:val="FootnoteText"/>
        <w:rPr>
          <w:rStyle w:val="IntenseEmphasis"/>
          <w:i w:val="0"/>
          <w:iCs w:val="0"/>
          <w:color w:val="auto"/>
        </w:rPr>
      </w:pPr>
      <w:r w:rsidRPr="00B83578">
        <w:rPr>
          <w:rStyle w:val="IntenseEmphasis"/>
          <w:color w:val="auto"/>
        </w:rPr>
        <w:footnoteRef/>
      </w:r>
      <w:r w:rsidRPr="00B83578">
        <w:rPr>
          <w:rStyle w:val="IntenseEmphasis"/>
          <w:color w:val="auto"/>
        </w:rPr>
        <w:t xml:space="preserve"> </w:t>
      </w:r>
      <w:r w:rsidRPr="002F783F">
        <w:rPr>
          <w:rStyle w:val="IntenseEmphasis"/>
          <w:i w:val="0"/>
          <w:iCs w:val="0"/>
          <w:color w:val="auto"/>
        </w:rPr>
        <w:t>Na ovu temu: Smjernice Komisije o upotrebi pojednostavljenih opcija troškova unutar Evropskih strukturnih i investicionih fondova (ESI) – Revizija (2021/C 200/01) Uputstvo o pojednostavljenim opcijama troškova (POT): Fiksna finansiranja, Standardne skale jediničnih troškova, Paušalni iznosi (prema članu 67. i 68, 68a i 68b Regulative (EU) br. 1303/2013, članu 14. Uredbe (EU) br. 1304/2013 i članu 19. Regulative (EU) br. 1299/2013) Revizija nakon stupanja na snagu Regulative (EU, Euratom) 2018/1046 https://eur-lex.europa.eu/legal-content/EN/TXT/PDF/?uri=CELEX:52021XC0527(02) – vidi Poglavlje 5 o reviziji i kontroli; Bilješka Komisije o dvostrukom finansiranju u okviru Mehanizma za oporavak i otpornost.</w:t>
      </w:r>
      <w:r w:rsidRPr="00B83578">
        <w:rPr>
          <w:rStyle w:val="IntenseEmphasis"/>
          <w:i w:val="0"/>
          <w:iCs w:val="0"/>
          <w:color w:val="auto"/>
        </w:rPr>
        <w:t xml:space="preserve"> Ref. Ares(2023)845411 -06022023 </w:t>
      </w:r>
      <w:hyperlink r:id="rId85" w:history="1">
        <w:r w:rsidRPr="00B83578">
          <w:rPr>
            <w:rStyle w:val="IntenseEmphasis"/>
            <w:i w:val="0"/>
            <w:iCs w:val="0"/>
            <w:color w:val="auto"/>
          </w:rPr>
          <w:t>https://www.gov.si/assets/organi-v-sestavi/URSOO/Pojasnilo-in-interpretacija-sluzb-Evropske-komisije-glede-dvojnega-financiranja-pri-Mehanizmu-za-okrevanje-in-odpornost.pdf</w:t>
        </w:r>
      </w:hyperlink>
      <w:r w:rsidRPr="00B83578">
        <w:rPr>
          <w:rStyle w:val="IntenseEmphasis"/>
          <w:i w:val="0"/>
          <w:iCs w:val="0"/>
          <w:color w:val="auto"/>
        </w:rPr>
        <w:t xml:space="preserve"> </w:t>
      </w:r>
    </w:p>
  </w:footnote>
  <w:footnote w:id="218">
    <w:p w14:paraId="2D06C01A" w14:textId="77777777" w:rsidR="00B54ABB" w:rsidRPr="00B83578" w:rsidRDefault="00B54ABB" w:rsidP="00A747E2">
      <w:pPr>
        <w:pStyle w:val="FootnoteText"/>
        <w:rPr>
          <w:rStyle w:val="IntenseEmphasis"/>
          <w:i w:val="0"/>
          <w:iCs w:val="0"/>
          <w:color w:val="auto"/>
        </w:rPr>
      </w:pPr>
      <w:r w:rsidRPr="00B83578">
        <w:rPr>
          <w:rStyle w:val="IntenseEmphasis"/>
          <w:i w:val="0"/>
          <w:iCs w:val="0"/>
          <w:color w:val="auto"/>
        </w:rPr>
        <w:footnoteRef/>
      </w:r>
      <w:r w:rsidRPr="00B83578">
        <w:rPr>
          <w:rStyle w:val="IntenseEmphasis"/>
          <w:i w:val="0"/>
          <w:iCs w:val="0"/>
          <w:color w:val="auto"/>
        </w:rPr>
        <w:t xml:space="preserve"> https://wikis.ec.europa.eu/display/ExactExternalWiki/ePRAG</w:t>
      </w:r>
    </w:p>
  </w:footnote>
  <w:footnote w:id="219">
    <w:p w14:paraId="58035398" w14:textId="0D143781" w:rsidR="00B54ABB" w:rsidRPr="00B83578" w:rsidRDefault="00B54ABB" w:rsidP="004618B1">
      <w:pPr>
        <w:spacing w:after="0"/>
        <w:rPr>
          <w:sz w:val="16"/>
          <w:szCs w:val="16"/>
        </w:rPr>
      </w:pPr>
      <w:r w:rsidRPr="00B83578">
        <w:rPr>
          <w:rStyle w:val="FootnoteReference"/>
          <w:color w:val="000000" w:themeColor="text1"/>
          <w:sz w:val="16"/>
          <w:szCs w:val="16"/>
        </w:rPr>
        <w:footnoteRef/>
      </w:r>
      <w:r w:rsidRPr="00B83578">
        <w:rPr>
          <w:color w:val="000000" w:themeColor="text1"/>
          <w:sz w:val="16"/>
          <w:szCs w:val="16"/>
        </w:rPr>
        <w:t xml:space="preserve"> </w:t>
      </w:r>
      <w:r w:rsidRPr="007A1118">
        <w:rPr>
          <w:color w:val="000000" w:themeColor="text1"/>
          <w:sz w:val="16"/>
          <w:szCs w:val="16"/>
        </w:rPr>
        <w:t xml:space="preserve">Prečišćeni tekst: Direktiva (EU) 2019/1937 Evropskog parlamenta i Savjeta od 23. oktobra 2019. godine o zaštiti lica koja prijavljuju kršenja zakona Unije </w:t>
      </w:r>
      <w:hyperlink r:id="rId86" w:history="1">
        <w:r w:rsidRPr="0029121D">
          <w:rPr>
            <w:rStyle w:val="Hyperlink"/>
            <w:sz w:val="16"/>
            <w:szCs w:val="16"/>
          </w:rPr>
          <w:t>https://eur-lex.europa.eu/eli/dir/2019/1937/2024-12-30</w:t>
        </w:r>
      </w:hyperlink>
      <w:r>
        <w:rPr>
          <w:color w:val="000000" w:themeColor="text1"/>
          <w:sz w:val="16"/>
          <w:szCs w:val="16"/>
        </w:rPr>
        <w:t xml:space="preserve"> </w:t>
      </w:r>
    </w:p>
  </w:footnote>
  <w:footnote w:id="220">
    <w:p w14:paraId="51A48759" w14:textId="11E9D926" w:rsidR="00B54ABB" w:rsidRPr="00B83578" w:rsidRDefault="00B54ABB" w:rsidP="006D523E">
      <w:pPr>
        <w:pStyle w:val="FootnoteText"/>
        <w:rPr>
          <w:rStyle w:val="IntenseEmphasis"/>
          <w:i w:val="0"/>
          <w:iCs w:val="0"/>
          <w:color w:val="auto"/>
        </w:rPr>
      </w:pPr>
      <w:r w:rsidRPr="00B83578">
        <w:rPr>
          <w:rStyle w:val="IntenseEmphasis"/>
          <w:i w:val="0"/>
          <w:iCs w:val="0"/>
          <w:color w:val="auto"/>
          <w:vertAlign w:val="superscript"/>
        </w:rPr>
        <w:footnoteRef/>
      </w:r>
      <w:r w:rsidRPr="00B83578">
        <w:rPr>
          <w:rStyle w:val="IntenseEmphasis"/>
          <w:i w:val="0"/>
          <w:iCs w:val="0"/>
          <w:color w:val="auto"/>
        </w:rPr>
        <w:t xml:space="preserve"> </w:t>
      </w:r>
      <w:r>
        <w:rPr>
          <w:rStyle w:val="IntenseEmphasis"/>
          <w:i w:val="0"/>
          <w:iCs w:val="0"/>
          <w:color w:val="auto"/>
        </w:rPr>
        <w:t>Relevantne informacije o trenutnim kapacitetima ljudskih resursa biće predstavljene u poglavlju Jačanje administrativnih kapaciteta</w:t>
      </w:r>
      <w:r w:rsidRPr="00B83578">
        <w:rPr>
          <w:rStyle w:val="IntenseEmphasis"/>
          <w:i w:val="0"/>
          <w:iCs w:val="0"/>
          <w:color w:val="auto"/>
        </w:rPr>
        <w:t>.</w:t>
      </w:r>
    </w:p>
  </w:footnote>
  <w:footnote w:id="221">
    <w:p w14:paraId="0DCD1629" w14:textId="2CED9960" w:rsidR="00B54ABB" w:rsidRPr="00B83578" w:rsidRDefault="00B54ABB" w:rsidP="00C255D2">
      <w:pPr>
        <w:pStyle w:val="FootnoteText"/>
      </w:pPr>
      <w:r w:rsidRPr="00B83578">
        <w:rPr>
          <w:rStyle w:val="FootnoteReference"/>
        </w:rPr>
        <w:footnoteRef/>
      </w:r>
      <w:r w:rsidRPr="00B83578">
        <w:t xml:space="preserve"> </w:t>
      </w:r>
      <w:r w:rsidRPr="007A1118">
        <w:t xml:space="preserve">Podaci i analiza o stopama odbijanja i suspenzije navedeni su u Aneksu I </w:t>
      </w:r>
      <w:r>
        <w:t>Plana aktivnosti</w:t>
      </w:r>
      <w:r w:rsidRPr="00B83578">
        <w:t xml:space="preserve">. </w:t>
      </w:r>
    </w:p>
  </w:footnote>
  <w:footnote w:id="222">
    <w:p w14:paraId="7BE27C9F" w14:textId="64D7C0C9" w:rsidR="00B54ABB" w:rsidRPr="00B83578" w:rsidRDefault="00B54ABB" w:rsidP="008E62D9">
      <w:pPr>
        <w:pStyle w:val="FootnoteText"/>
      </w:pPr>
      <w:r w:rsidRPr="00B83578">
        <w:rPr>
          <w:rStyle w:val="FootnoteReference"/>
        </w:rPr>
        <w:footnoteRef/>
      </w:r>
      <w:r w:rsidRPr="00B83578">
        <w:t xml:space="preserve"> </w:t>
      </w:r>
      <w:r w:rsidRPr="007A1118">
        <w:t xml:space="preserve">'Održivost IPA III </w:t>
      </w:r>
      <w:r>
        <w:t>podrške</w:t>
      </w:r>
      <w:r w:rsidRPr="007A1118">
        <w:t xml:space="preserve">' označava stepen u kojem se rezultati koji su generisani i na koje je finansijska </w:t>
      </w:r>
      <w:r>
        <w:t>podrška</w:t>
      </w:r>
      <w:r w:rsidRPr="007A1118">
        <w:t xml:space="preserve"> direktno uticala nastavljaju ili će se v</w:t>
      </w:r>
      <w:r>
        <w:t>j</w:t>
      </w:r>
      <w:r w:rsidRPr="007A1118">
        <w:t>erovatno nastaviti i nakon završetka perioda implementacije aktivnosti.</w:t>
      </w:r>
    </w:p>
  </w:footnote>
  <w:footnote w:id="223">
    <w:p w14:paraId="1B8E0F1C" w14:textId="5426BBAF" w:rsidR="00B54ABB" w:rsidRPr="00B83578" w:rsidRDefault="00B54ABB" w:rsidP="00105295">
      <w:pPr>
        <w:pStyle w:val="FootnoteText"/>
      </w:pPr>
      <w:r w:rsidRPr="00B83578">
        <w:rPr>
          <w:rStyle w:val="FootnoteReference"/>
        </w:rPr>
        <w:footnoteRef/>
      </w:r>
      <w:r w:rsidRPr="00B83578">
        <w:t xml:space="preserve"> </w:t>
      </w:r>
      <w:r w:rsidRPr="007A1118">
        <w:t xml:space="preserve">Shodno tome, mjere za jačanje kapaciteta su predviđene u okviru Mape puta o jačanju administrativnih kapaciteta planirane u okviru Poglavlja 3 ovog ažuriranog </w:t>
      </w:r>
      <w:r>
        <w:t>Plana aktivnosti</w:t>
      </w:r>
      <w:r w:rsidRPr="007A1118">
        <w:t>.</w:t>
      </w:r>
    </w:p>
  </w:footnote>
  <w:footnote w:id="224">
    <w:p w14:paraId="7DC3634F" w14:textId="48F7ABD1" w:rsidR="00B54ABB" w:rsidRPr="00B83578" w:rsidRDefault="00B54ABB" w:rsidP="000106A9">
      <w:pPr>
        <w:pStyle w:val="FootnoteText"/>
      </w:pPr>
      <w:r w:rsidRPr="00B83578">
        <w:rPr>
          <w:rStyle w:val="FootnoteReference"/>
        </w:rPr>
        <w:footnoteRef/>
      </w:r>
      <w:r w:rsidRPr="00B83578">
        <w:t xml:space="preserve"> </w:t>
      </w:r>
      <w:r>
        <w:t>Ne odnosi se na Državnu revizorsku instituciju Crne Gore.</w:t>
      </w:r>
    </w:p>
  </w:footnote>
  <w:footnote w:id="225">
    <w:p w14:paraId="21C3E6D0" w14:textId="77F7E1BA" w:rsidR="00B54ABB" w:rsidRPr="00B83578" w:rsidRDefault="00B54ABB" w:rsidP="00D6482C">
      <w:pPr>
        <w:pStyle w:val="FootnoteText"/>
      </w:pPr>
      <w:r w:rsidRPr="00B83578">
        <w:rPr>
          <w:rStyle w:val="FootnoteReference"/>
        </w:rPr>
        <w:footnoteRef/>
      </w:r>
      <w:r w:rsidRPr="00B83578">
        <w:t xml:space="preserve"> </w:t>
      </w:r>
      <w:r w:rsidRPr="00EF0274">
        <w:t xml:space="preserve">Za IPARD II, zahtjevi za sredstva se podnose istovremeno sa tromjesečnim izjavama o troškovima, tako da se zahjtevi za sredstva podnose kvartalno.   </w:t>
      </w:r>
    </w:p>
  </w:footnote>
  <w:footnote w:id="226">
    <w:p w14:paraId="1643C955" w14:textId="0463C07B" w:rsidR="00B54ABB" w:rsidRPr="00B83578" w:rsidRDefault="00B54ABB" w:rsidP="00D6482C">
      <w:pPr>
        <w:pStyle w:val="FootnoteText"/>
      </w:pPr>
      <w:r w:rsidRPr="00B83578">
        <w:rPr>
          <w:rStyle w:val="FootnoteReference"/>
        </w:rPr>
        <w:footnoteRef/>
      </w:r>
      <w:r w:rsidRPr="00B83578">
        <w:t xml:space="preserve"> </w:t>
      </w:r>
      <w:r w:rsidRPr="00EF0274">
        <w:t>Što će takođe obuhvatiti IPA III.</w:t>
      </w:r>
    </w:p>
  </w:footnote>
  <w:footnote w:id="227">
    <w:p w14:paraId="1286BB37" w14:textId="4ACDD439" w:rsidR="00B54ABB" w:rsidRPr="00B83578" w:rsidRDefault="00B54ABB" w:rsidP="006D523E">
      <w:pPr>
        <w:pStyle w:val="FootnoteText"/>
      </w:pPr>
      <w:r w:rsidRPr="00B83578">
        <w:rPr>
          <w:rStyle w:val="FootnoteReference"/>
        </w:rPr>
        <w:footnoteRef/>
      </w:r>
      <w:r w:rsidRPr="00B83578">
        <w:t xml:space="preserve"> </w:t>
      </w:r>
      <w:r>
        <w:t>Relevantne informacije o trenutnim kapacitetima ljudskih resursa biće predstavljene u poglavlju Jačanje administrativnih kapaciteta</w:t>
      </w:r>
    </w:p>
  </w:footnote>
  <w:footnote w:id="228">
    <w:p w14:paraId="51DB7AFD" w14:textId="5A95F6E5" w:rsidR="00B54ABB" w:rsidRPr="00B83578" w:rsidRDefault="00B54ABB" w:rsidP="00A15818">
      <w:pPr>
        <w:pStyle w:val="FootnoteText"/>
      </w:pPr>
      <w:r w:rsidRPr="00B83578">
        <w:rPr>
          <w:rStyle w:val="FootnoteReference"/>
        </w:rPr>
        <w:footnoteRef/>
      </w:r>
      <w:r w:rsidRPr="00B83578">
        <w:t xml:space="preserve"> </w:t>
      </w:r>
      <w:r>
        <w:t>Na primjer</w:t>
      </w:r>
      <w:r w:rsidRPr="00B83578">
        <w:t xml:space="preserve">, </w:t>
      </w:r>
      <w:hyperlink r:id="rId87" w:history="1">
        <w:r w:rsidRPr="00B83578">
          <w:rPr>
            <w:rStyle w:val="Hyperlink"/>
            <w:color w:val="auto"/>
          </w:rPr>
          <w:t>https://www.eu.me/en/ipa-iii-2021-2027/</w:t>
        </w:r>
      </w:hyperlink>
      <w:r w:rsidRPr="00B83578">
        <w:t xml:space="preserve"> </w:t>
      </w:r>
    </w:p>
  </w:footnote>
  <w:footnote w:id="229">
    <w:p w14:paraId="1169A15B" w14:textId="77777777" w:rsidR="00B54ABB" w:rsidRPr="00B83578" w:rsidRDefault="00B54ABB" w:rsidP="00A15818">
      <w:pPr>
        <w:pStyle w:val="FootnoteText"/>
      </w:pPr>
      <w:r w:rsidRPr="00B83578">
        <w:rPr>
          <w:rStyle w:val="FootnoteReference"/>
        </w:rPr>
        <w:footnoteRef/>
      </w:r>
      <w:r w:rsidRPr="00B83578">
        <w:t xml:space="preserve"> </w:t>
      </w:r>
      <w:hyperlink w:tgtFrame="_blank" w:history="1">
        <w:r w:rsidRPr="00B83578">
          <w:t>Predlog strategije informisanja javnosti o pristupanju Crne Gore EU 2023 – 2026. godine, sa Predlogom akcionog plana za 2023. godinu (www.gov.me)</w:t>
        </w:r>
      </w:hyperlink>
    </w:p>
  </w:footnote>
  <w:footnote w:id="230">
    <w:p w14:paraId="7921F061" w14:textId="77777777" w:rsidR="00B54ABB" w:rsidRPr="00B83578" w:rsidRDefault="00B54ABB" w:rsidP="00A15818">
      <w:pPr>
        <w:pStyle w:val="FootnoteText"/>
      </w:pPr>
      <w:r w:rsidRPr="00B83578">
        <w:rPr>
          <w:rStyle w:val="FootnoteReference"/>
        </w:rPr>
        <w:footnoteRef/>
      </w:r>
      <w:r w:rsidRPr="00B83578">
        <w:t xml:space="preserve"> </w:t>
      </w:r>
      <w:hyperlink r:id="rId88" w:history="1">
        <w:r w:rsidRPr="00B83578">
          <w:rPr>
            <w:rStyle w:val="Hyperlink"/>
            <w:color w:val="auto"/>
          </w:rPr>
          <w:t>https://international-partnerships.ec.europa.eu/knowledge-hub/communicating-and-raising-eu-visibility-guidance-external-actions_en</w:t>
        </w:r>
      </w:hyperlink>
      <w:r w:rsidRPr="00B83578">
        <w:t xml:space="preserve"> </w:t>
      </w:r>
    </w:p>
  </w:footnote>
  <w:footnote w:id="231">
    <w:p w14:paraId="55E197A1" w14:textId="485C8C4C" w:rsidR="00B54ABB" w:rsidRPr="00B83578" w:rsidRDefault="00B54ABB" w:rsidP="00A15818">
      <w:pPr>
        <w:pStyle w:val="FootnoteText"/>
      </w:pPr>
      <w:r w:rsidRPr="00B83578">
        <w:rPr>
          <w:rStyle w:val="FootnoteReference"/>
        </w:rPr>
        <w:footnoteRef/>
      </w:r>
      <w:r w:rsidRPr="00B83578">
        <w:t xml:space="preserve"> </w:t>
      </w:r>
      <w:hyperlink r:id="rId89" w:history="1">
        <w:r w:rsidRPr="00B83578">
          <w:rPr>
            <w:rStyle w:val="Hyperlink"/>
            <w:color w:val="auto"/>
          </w:rPr>
          <w:t>www.cbc-mne-alb.org</w:t>
        </w:r>
      </w:hyperlink>
      <w:r w:rsidRPr="00B83578">
        <w:t xml:space="preserve"> </w:t>
      </w:r>
      <w:r>
        <w:t>i</w:t>
      </w:r>
      <w:r w:rsidRPr="00B83578">
        <w:t xml:space="preserve"> </w:t>
      </w:r>
      <w:hyperlink r:id="rId90" w:history="1">
        <w:r w:rsidRPr="00B83578">
          <w:rPr>
            <w:rStyle w:val="Hyperlink"/>
            <w:color w:val="auto"/>
          </w:rPr>
          <w:t>www.cbc-mne-kos.org</w:t>
        </w:r>
      </w:hyperlink>
      <w:r w:rsidRPr="00B83578">
        <w:t xml:space="preserve">:   IPA II </w:t>
      </w:r>
      <w:r>
        <w:t>i</w:t>
      </w:r>
      <w:r w:rsidRPr="00B83578">
        <w:t xml:space="preserve"> IPA III. </w:t>
      </w:r>
    </w:p>
  </w:footnote>
  <w:footnote w:id="232">
    <w:p w14:paraId="40353C85" w14:textId="53C13596" w:rsidR="00B54ABB" w:rsidRPr="00B83578" w:rsidRDefault="00B54ABB" w:rsidP="00A15818">
      <w:pPr>
        <w:pStyle w:val="FootnoteText"/>
      </w:pPr>
      <w:r w:rsidRPr="00B83578">
        <w:rPr>
          <w:rStyle w:val="FootnoteReference"/>
        </w:rPr>
        <w:footnoteRef/>
      </w:r>
      <w:r w:rsidRPr="00B83578">
        <w:t xml:space="preserve"> </w:t>
      </w:r>
      <w:hyperlink r:id="rId91" w:history="1">
        <w:r w:rsidRPr="00B83578">
          <w:rPr>
            <w:rStyle w:val="Hyperlink"/>
            <w:color w:val="auto"/>
          </w:rPr>
          <w:t>https://www.gov.me/ipard</w:t>
        </w:r>
      </w:hyperlink>
      <w:r w:rsidRPr="00B83578">
        <w:t xml:space="preserve"> </w:t>
      </w:r>
      <w:r w:rsidRPr="00397FD1">
        <w:t>IPARD se može smatrati konsolidovanim primjerom i praksom u pogledu zahtjeva za transparentnost, vidljivost i komunikaciju za sredstva EU, iako nije preteča programa finansiranih iz Kohezione politike.</w:t>
      </w:r>
      <w:r w:rsidRPr="00B83578">
        <w:t xml:space="preserve">. </w:t>
      </w:r>
    </w:p>
  </w:footnote>
  <w:footnote w:id="233">
    <w:p w14:paraId="36130581" w14:textId="77777777" w:rsidR="00B54ABB" w:rsidRPr="00B83578" w:rsidRDefault="00B54ABB" w:rsidP="00A15818">
      <w:pPr>
        <w:pStyle w:val="FootnoteText"/>
      </w:pPr>
      <w:r w:rsidRPr="00B83578">
        <w:rPr>
          <w:rStyle w:val="FootnoteReference"/>
        </w:rPr>
        <w:footnoteRef/>
      </w:r>
      <w:r w:rsidRPr="00B83578">
        <w:t xml:space="preserve"> </w:t>
      </w:r>
      <w:hyperlink r:id="rId92" w:history="1">
        <w:r w:rsidRPr="00B83578">
          <w:rPr>
            <w:rStyle w:val="Hyperlink"/>
            <w:color w:val="auto"/>
          </w:rPr>
          <w:t>https://www.gov.me/dokumenta/68fd0b75-9a4b-45f5-827a-6dec74bdc0e9</w:t>
        </w:r>
      </w:hyperlink>
      <w:r w:rsidRPr="00B83578">
        <w:t xml:space="preserve"> </w:t>
      </w:r>
    </w:p>
  </w:footnote>
  <w:footnote w:id="234">
    <w:p w14:paraId="2C60D3DE" w14:textId="77777777" w:rsidR="00B54ABB" w:rsidRPr="00B83578" w:rsidRDefault="00B54ABB" w:rsidP="00A15818">
      <w:pPr>
        <w:pStyle w:val="FootnoteText"/>
      </w:pPr>
      <w:r w:rsidRPr="00B83578">
        <w:rPr>
          <w:rStyle w:val="FootnoteReference"/>
        </w:rPr>
        <w:footnoteRef/>
      </w:r>
      <w:r w:rsidRPr="00B83578">
        <w:t xml:space="preserve"> </w:t>
      </w:r>
      <w:hyperlink r:id="rId93" w:history="1">
        <w:r w:rsidRPr="00B83578">
          <w:rPr>
            <w:rStyle w:val="Hyperlink"/>
            <w:color w:val="auto"/>
          </w:rPr>
          <w:t>https://www.gov.me/dokumenta/109034c5-be60-4720-8315-d570a6c1ce47</w:t>
        </w:r>
      </w:hyperlink>
      <w:r w:rsidRPr="00B83578">
        <w:t xml:space="preserve"> </w:t>
      </w:r>
    </w:p>
  </w:footnote>
  <w:footnote w:id="235">
    <w:p w14:paraId="530E86F3" w14:textId="77777777" w:rsidR="00B54ABB" w:rsidRPr="00B83578" w:rsidRDefault="00B54ABB" w:rsidP="00A15818">
      <w:pPr>
        <w:pStyle w:val="FootnoteText"/>
      </w:pPr>
      <w:r w:rsidRPr="00B83578">
        <w:rPr>
          <w:rStyle w:val="FootnoteReference"/>
        </w:rPr>
        <w:footnoteRef/>
      </w:r>
      <w:r w:rsidRPr="00B83578">
        <w:t xml:space="preserve"> </w:t>
      </w:r>
      <w:hyperlink r:id="rId94" w:history="1">
        <w:r w:rsidRPr="00B83578">
          <w:rPr>
            <w:rStyle w:val="Hyperlink"/>
            <w:color w:val="auto"/>
          </w:rPr>
          <w:t>https://www.gov.me/ipard/ipard-ii/lista-aktivnosti-i-korisnika-podrske-ipard-ii-programa</w:t>
        </w:r>
      </w:hyperlink>
      <w:r w:rsidRPr="00B83578">
        <w:t xml:space="preserve"> </w:t>
      </w:r>
    </w:p>
  </w:footnote>
  <w:footnote w:id="236">
    <w:p w14:paraId="06E3B5A1" w14:textId="0F09718D" w:rsidR="00B54ABB" w:rsidRPr="00B83578" w:rsidRDefault="00B54ABB" w:rsidP="00343F2E">
      <w:pPr>
        <w:pStyle w:val="FootnoteText"/>
      </w:pPr>
      <w:r w:rsidRPr="00B83578">
        <w:rPr>
          <w:rStyle w:val="FootnoteReference"/>
        </w:rPr>
        <w:footnoteRef/>
      </w:r>
      <w:r w:rsidRPr="00B83578">
        <w:t xml:space="preserve"> </w:t>
      </w:r>
      <w:hyperlink r:id="rId95" w:history="1">
        <w:r w:rsidRPr="00B83578">
          <w:rPr>
            <w:rStyle w:val="Hyperlink"/>
            <w:color w:val="auto"/>
          </w:rPr>
          <w:t>https://www.gov.me/ujr</w:t>
        </w:r>
      </w:hyperlink>
      <w:r w:rsidRPr="00397FD1">
        <w:t xml:space="preserve">Napominje se da je, nakon sajber napada u 2022. godini, došlo do prekida u objavljivanju poziva za tendere i informacija o korisnicima IPA sredstava, jer relevantni veb sajtovi nijesu bili funkcionalni usled okolnosti više sile. Shodno tome, objavljivanje traženih informacija je bilo u nadležnosti Delegacije Evropske unije u Crnoj Gori i putem objava u lokalnim novinama, gdje je to bilo primenljivo. Međutim, glavni problemi su riješeni za CFCU, te se nove informacije o </w:t>
      </w:r>
      <w:r>
        <w:t>PGS</w:t>
      </w:r>
      <w:r w:rsidRPr="00397FD1">
        <w:t xml:space="preserve">  programima kojima upravlja Crna Gora sada objavljuju preko CFCU. </w:t>
      </w:r>
      <w:hyperlink r:id="rId96" w:history="1">
        <w:r w:rsidRPr="00B83578">
          <w:rPr>
            <w:rStyle w:val="Hyperlink"/>
            <w:color w:val="auto"/>
          </w:rPr>
          <w:t>https://www.gov.me/clanak/poziv-za-dostavljanje-prijedloga-projekata-za-program-prekogranicne-saradnje-crna-gora-kosovo-2021-2027</w:t>
        </w:r>
      </w:hyperlink>
      <w:r w:rsidRPr="00B83578">
        <w:t>.</w:t>
      </w:r>
    </w:p>
  </w:footnote>
  <w:footnote w:id="237">
    <w:p w14:paraId="480E4AD2" w14:textId="77777777" w:rsidR="00B54ABB" w:rsidRPr="00B83578" w:rsidRDefault="00B54ABB" w:rsidP="00343F2E">
      <w:pPr>
        <w:pStyle w:val="FootnoteText"/>
      </w:pPr>
      <w:r w:rsidRPr="00B83578">
        <w:rPr>
          <w:rStyle w:val="FootnoteReference"/>
        </w:rPr>
        <w:footnoteRef/>
      </w:r>
      <w:r w:rsidRPr="00B83578">
        <w:t xml:space="preserve"> </w:t>
      </w:r>
      <w:hyperlink r:id="rId97" w:history="1">
        <w:r w:rsidRPr="00B83578">
          <w:rPr>
            <w:rStyle w:val="Hyperlink"/>
            <w:color w:val="auto"/>
          </w:rPr>
          <w:t>https://neighbourhood-enlargement.ec.europa.eu/document/download/4cd89ebc-e04c-413e-8703-b9965fb257c1_en?filename=C_2024_5739_F1_COMMISSION_IMPLEMENTING_DECISION_EN_V3_P1_3562754.PDF</w:t>
        </w:r>
      </w:hyperlink>
      <w:r w:rsidRPr="00B83578">
        <w:t xml:space="preserve">; </w:t>
      </w:r>
      <w:hyperlink r:id="rId98" w:history="1">
        <w:r w:rsidRPr="00B83578">
          <w:rPr>
            <w:rStyle w:val="Hyperlink"/>
            <w:color w:val="auto"/>
          </w:rPr>
          <w:t>https://neighbourhood-enlargement.ec.europa.eu/document/download/9d1abb34-923a-453b-a3ed-661ce5edef19_en?filename=C_2024_5738_F1_COMMISSION_IMPLEMENTING_DECISION_EN_V3_P1_3556534.PDF</w:t>
        </w:r>
      </w:hyperlink>
      <w:r w:rsidRPr="00B83578">
        <w:t xml:space="preserve"> </w:t>
      </w:r>
    </w:p>
  </w:footnote>
  <w:footnote w:id="238">
    <w:p w14:paraId="7D1C3F6A" w14:textId="72F6A531" w:rsidR="00B54ABB" w:rsidRPr="00B83578" w:rsidRDefault="00B54ABB" w:rsidP="00343F2E">
      <w:pPr>
        <w:pStyle w:val="FootnoteText"/>
      </w:pPr>
      <w:r w:rsidRPr="00B83578">
        <w:rPr>
          <w:rStyle w:val="FootnoteReference"/>
        </w:rPr>
        <w:footnoteRef/>
      </w:r>
      <w:r w:rsidRPr="00F4279E">
        <w:t xml:space="preserve">Podrška u komunikaciji biće takođe pružena putem Akcionog dokumenta Podrška EU za zapošljavanje i socijalnu politiku u Crnoj Gori – Priprema za implementaciju Sektorskog operativnog programa 2024-2027. </w:t>
      </w:r>
      <w:hyperlink r:id="rId99" w:history="1">
        <w:r w:rsidRPr="00B83578">
          <w:rPr>
            <w:rStyle w:val="Hyperlink"/>
            <w:color w:val="auto"/>
          </w:rPr>
          <w:t>https://neighbourhood-enlargement.ec.europa.eu/document/download/2a6525bd-7948-45d9-b716-d8f9d6c4be26_en?filename=C_2024_3543_F1_ANNEX_EN_V1_P1_3383454.PDF</w:t>
        </w:r>
      </w:hyperlink>
      <w:r w:rsidRPr="00B83578">
        <w:t xml:space="preserve"> </w:t>
      </w:r>
    </w:p>
  </w:footnote>
  <w:footnote w:id="239">
    <w:p w14:paraId="3F3C82A4" w14:textId="09A13968" w:rsidR="00B54ABB" w:rsidRPr="00B83578" w:rsidRDefault="00B54ABB" w:rsidP="00343F2E">
      <w:pPr>
        <w:pStyle w:val="FootnoteText"/>
      </w:pPr>
      <w:r w:rsidRPr="00B83578">
        <w:rPr>
          <w:rStyle w:val="FootnoteReference"/>
        </w:rPr>
        <w:footnoteRef/>
      </w:r>
      <w:r w:rsidRPr="00B83578">
        <w:t xml:space="preserve"> </w:t>
      </w:r>
      <w:hyperlink r:id="rId100" w:history="1">
        <w:r w:rsidRPr="00663FE0">
          <w:rPr>
            <w:rStyle w:val="Hyperlink"/>
          </w:rPr>
          <w:t>TREĆI IMC ZA IPARD III - 20.06.2024. KONAČNO (www.gov.me)</w:t>
        </w:r>
      </w:hyperlink>
    </w:p>
  </w:footnote>
  <w:footnote w:id="240">
    <w:p w14:paraId="5B4E3C01" w14:textId="77777777" w:rsidR="00B54ABB" w:rsidRPr="00B83578" w:rsidRDefault="00B54ABB" w:rsidP="00343F2E">
      <w:pPr>
        <w:pStyle w:val="FootnoteText"/>
      </w:pPr>
      <w:r w:rsidRPr="00B83578">
        <w:rPr>
          <w:rStyle w:val="FootnoteReference"/>
        </w:rPr>
        <w:footnoteRef/>
      </w:r>
      <w:r w:rsidRPr="00B83578">
        <w:t xml:space="preserve"> </w:t>
      </w:r>
      <w:hyperlink r:id="rId101" w:history="1">
        <w:r w:rsidRPr="00B83578">
          <w:rPr>
            <w:rStyle w:val="Hyperlink"/>
            <w:color w:val="auto"/>
          </w:rPr>
          <w:t>https://ec.europa.eu/regional_policy/policy/communication/inform-network_en</w:t>
        </w:r>
      </w:hyperlink>
      <w:r w:rsidRPr="00B83578">
        <w:t xml:space="preserve"> </w:t>
      </w:r>
    </w:p>
  </w:footnote>
  <w:footnote w:id="241">
    <w:p w14:paraId="7FC0D907" w14:textId="3D77EFBB" w:rsidR="00B54ABB" w:rsidRPr="00B83578" w:rsidRDefault="00B54ABB" w:rsidP="005B027C">
      <w:pPr>
        <w:pStyle w:val="FootnoteText"/>
      </w:pPr>
      <w:r w:rsidRPr="00B83578">
        <w:rPr>
          <w:rStyle w:val="FootnoteReference"/>
        </w:rPr>
        <w:footnoteRef/>
      </w:r>
      <w:r w:rsidRPr="00B83578">
        <w:t xml:space="preserve"> </w:t>
      </w:r>
      <w:r w:rsidRPr="00663FE0">
        <w:t xml:space="preserve">Pod </w:t>
      </w:r>
      <w:r>
        <w:t>RZO</w:t>
      </w:r>
      <w:r w:rsidRPr="00663FE0">
        <w:t xml:space="preserve">, čl. 50.3. otkazivanjem do 3% podrške iz fondova za dotičnu operaciju; u slučaju INTERREG prema </w:t>
      </w:r>
      <w:r>
        <w:t>ETS</w:t>
      </w:r>
      <w:r w:rsidRPr="00663FE0">
        <w:t xml:space="preserve"> regulativi, čl. 36.6. otkazivanjem do 2% podrške iz fondova za dotičnog korisnika ili krajnjeg korisnika.</w:t>
      </w:r>
    </w:p>
  </w:footnote>
  <w:footnote w:id="242">
    <w:p w14:paraId="24C413A8" w14:textId="2E6A579B" w:rsidR="00B54ABB" w:rsidRPr="00B83578" w:rsidRDefault="00B54ABB" w:rsidP="005B027C">
      <w:pPr>
        <w:pStyle w:val="FootnoteText"/>
      </w:pPr>
      <w:r w:rsidRPr="00B83578">
        <w:rPr>
          <w:rStyle w:val="FootnoteReference"/>
        </w:rPr>
        <w:footnoteRef/>
      </w:r>
      <w:r w:rsidRPr="00B83578">
        <w:t xml:space="preserve"> </w:t>
      </w:r>
      <w:r>
        <w:t>Ovaj aspekt je obrađen u Poglavlju 3.</w:t>
      </w:r>
    </w:p>
  </w:footnote>
  <w:footnote w:id="243">
    <w:p w14:paraId="639CC7E0" w14:textId="59D35857" w:rsidR="00B54ABB" w:rsidRPr="00B83578" w:rsidRDefault="00B54ABB" w:rsidP="00367C5F">
      <w:pPr>
        <w:pStyle w:val="FootnoteText"/>
      </w:pPr>
      <w:r w:rsidRPr="00B83578">
        <w:rPr>
          <w:rStyle w:val="FootnoteReference"/>
          <w:vertAlign w:val="baseline"/>
        </w:rPr>
        <w:footnoteRef/>
      </w:r>
      <w:r w:rsidRPr="00B83578">
        <w:t xml:space="preserve"> </w:t>
      </w:r>
      <w:hyperlink r:id="rId102" w:history="1">
        <w:r w:rsidRPr="0029121D">
          <w:rPr>
            <w:rStyle w:val="Hyperlink"/>
          </w:rPr>
          <w:t>https://eur-lex.europa.eu/LexUriServ/LexUriServ.do?uri=CELEX:12012E/TXT:en:PDF</w:t>
        </w:r>
      </w:hyperlink>
      <w:r>
        <w:t xml:space="preserve"> </w:t>
      </w:r>
    </w:p>
  </w:footnote>
  <w:footnote w:id="244">
    <w:p w14:paraId="0C1E54AD" w14:textId="57A42CCC" w:rsidR="00B54ABB" w:rsidRPr="00B83578" w:rsidRDefault="00B54ABB" w:rsidP="00367C5F">
      <w:pPr>
        <w:pStyle w:val="FootnoteText"/>
      </w:pPr>
      <w:r w:rsidRPr="00B83578">
        <w:rPr>
          <w:rStyle w:val="FootnoteReference"/>
          <w:vertAlign w:val="baseline"/>
        </w:rPr>
        <w:footnoteRef/>
      </w:r>
      <w:r w:rsidRPr="00B83578">
        <w:t xml:space="preserve">  </w:t>
      </w:r>
      <w:hyperlink r:id="rId103" w:history="1">
        <w:r w:rsidRPr="0029121D">
          <w:rPr>
            <w:rStyle w:val="Hyperlink"/>
          </w:rPr>
          <w:t>https://cohesiondata.ec.europa.eu/2021-2027/Regions-by-cohesion-policy-category-2021-2027/hsqz-g45p/about_data</w:t>
        </w:r>
      </w:hyperlink>
      <w:r>
        <w:t xml:space="preserve"> </w:t>
      </w:r>
    </w:p>
  </w:footnote>
  <w:footnote w:id="245">
    <w:p w14:paraId="22D1EF73" w14:textId="02248749" w:rsidR="00B54ABB" w:rsidRPr="00B83578" w:rsidRDefault="00B54ABB" w:rsidP="00367C5F">
      <w:pPr>
        <w:pStyle w:val="FootnoteText"/>
      </w:pPr>
      <w:r w:rsidRPr="00B83578">
        <w:rPr>
          <w:rStyle w:val="FootnoteReference"/>
          <w:vertAlign w:val="baseline"/>
        </w:rPr>
        <w:footnoteRef/>
      </w:r>
      <w:r w:rsidRPr="00B83578">
        <w:t xml:space="preserve"> </w:t>
      </w:r>
      <w:r w:rsidRPr="00663FE0">
        <w:t xml:space="preserve">Za period 2021–2027: Implementaciona odluka Komisije (EU) 2021/1130 od 5. jula 2021. kojom se utvrđuje popis regiona koji ispunjavaju uslove za finansiranje iz Evropskog fonda za regionalni razvoj i Evropskog socijalnog fonda plus i država članica koje ispunjavaju uslove za finansiranje iz Kohezionog fonda za period 2021–2027.  </w:t>
      </w:r>
      <w:hyperlink r:id="rId104" w:history="1">
        <w:r w:rsidRPr="0029121D">
          <w:rPr>
            <w:rStyle w:val="Hyperlink"/>
          </w:rPr>
          <w:t>https://eur-lex.europa.eu/eli/dec_impl/2021/1130/oj</w:t>
        </w:r>
      </w:hyperlink>
      <w:r>
        <w:t xml:space="preserve"> </w:t>
      </w:r>
    </w:p>
  </w:footnote>
  <w:footnote w:id="246">
    <w:p w14:paraId="30493BFD" w14:textId="4A96139A" w:rsidR="00B54ABB" w:rsidRPr="00B83578" w:rsidRDefault="00B54ABB" w:rsidP="00367C5F">
      <w:pPr>
        <w:pStyle w:val="FootnoteText"/>
      </w:pPr>
      <w:r w:rsidRPr="00B83578">
        <w:rPr>
          <w:rStyle w:val="FootnoteReference"/>
          <w:vertAlign w:val="baseline"/>
        </w:rPr>
        <w:footnoteRef/>
      </w:r>
      <w:r w:rsidRPr="00B83578">
        <w:t xml:space="preserve"> </w:t>
      </w:r>
      <w:r w:rsidRPr="000B7217">
        <w:t xml:space="preserve">Jedini izuzetak je popis stanovništva, koji zahtijeva podatke na nižem teritorijalnom nivou, odnosno opštinama ili </w:t>
      </w:r>
      <w:r>
        <w:t>LAJ</w:t>
      </w:r>
      <w:r w:rsidRPr="000B7217">
        <w:t xml:space="preserve"> 1 jedinicama i naseljima kao </w:t>
      </w:r>
      <w:r>
        <w:t>LAJ</w:t>
      </w:r>
      <w:r w:rsidRPr="000B7217">
        <w:t xml:space="preserve"> 2 nivo.</w:t>
      </w:r>
    </w:p>
  </w:footnote>
  <w:footnote w:id="247">
    <w:p w14:paraId="3A780581" w14:textId="1EF16A06" w:rsidR="00B54ABB" w:rsidRPr="00B83578" w:rsidRDefault="00B54ABB" w:rsidP="001E4D9B">
      <w:pPr>
        <w:pStyle w:val="FootnoteText"/>
      </w:pPr>
      <w:r w:rsidRPr="00B83578">
        <w:rPr>
          <w:rStyle w:val="FootnoteReference"/>
          <w:rFonts w:ascii="Aptos" w:hAnsi="Aptos" w:cs="Calibri"/>
          <w:vertAlign w:val="baseline"/>
        </w:rPr>
        <w:footnoteRef/>
      </w:r>
      <w:r w:rsidRPr="00B83578">
        <w:t xml:space="preserve"> </w:t>
      </w:r>
      <w:r w:rsidRPr="000B7217">
        <w:rPr>
          <w:shd w:val="clear" w:color="auto" w:fill="FFFFFF"/>
        </w:rPr>
        <w:t>Prečišćeni tekst: Regulativa (</w:t>
      </w:r>
      <w:r>
        <w:rPr>
          <w:shd w:val="clear" w:color="auto" w:fill="FFFFFF"/>
        </w:rPr>
        <w:t>EZ</w:t>
      </w:r>
      <w:r w:rsidRPr="000B7217">
        <w:rPr>
          <w:shd w:val="clear" w:color="auto" w:fill="FFFFFF"/>
        </w:rPr>
        <w:t>) br. 1059/2003 Evropskog parlamenta i Savjeta od 26. maja 2003. o uspostavljanju zajedničke klasifikacije teritorijalnih jedinica za statistiku (</w:t>
      </w:r>
      <w:r>
        <w:rPr>
          <w:shd w:val="clear" w:color="auto" w:fill="FFFFFF"/>
        </w:rPr>
        <w:t>TJZS</w:t>
      </w:r>
      <w:r w:rsidRPr="000B7217">
        <w:rPr>
          <w:shd w:val="clear" w:color="auto" w:fill="FFFFFF"/>
        </w:rPr>
        <w:t>)</w:t>
      </w:r>
      <w:hyperlink r:id="rId105" w:history="1">
        <w:r w:rsidRPr="00B83578">
          <w:rPr>
            <w:rStyle w:val="Hyperlink"/>
            <w:rFonts w:ascii="Aptos" w:hAnsi="Aptos" w:cs="Calibri"/>
            <w:shd w:val="clear" w:color="auto" w:fill="FFFFFF"/>
          </w:rPr>
          <w:t>https://eur-lex.europa.eu/legal-content/EN/TXT/?uri=CELEX%3A02003R1059-20240101</w:t>
        </w:r>
      </w:hyperlink>
      <w:r w:rsidRPr="00B83578">
        <w:rPr>
          <w:shd w:val="clear" w:color="auto" w:fill="FFFFFF"/>
        </w:rPr>
        <w:t xml:space="preserve"> </w:t>
      </w:r>
    </w:p>
  </w:footnote>
  <w:footnote w:id="248">
    <w:p w14:paraId="2CACB3AC" w14:textId="06607288" w:rsidR="00B54ABB" w:rsidRPr="00B83578" w:rsidRDefault="00B54ABB" w:rsidP="001E4D9B">
      <w:pPr>
        <w:pStyle w:val="FootnoteText"/>
      </w:pPr>
      <w:r w:rsidRPr="00B83578">
        <w:rPr>
          <w:rStyle w:val="FootnoteReference"/>
          <w:rFonts w:ascii="Aptos" w:hAnsi="Aptos"/>
          <w:vertAlign w:val="baseline"/>
        </w:rPr>
        <w:footnoteRef/>
      </w:r>
      <w:r w:rsidRPr="00B83578">
        <w:t xml:space="preserve"> </w:t>
      </w:r>
      <w:r w:rsidRPr="000B7217">
        <w:t xml:space="preserve">Regulativa (EU) br. 2023/734 Evropskog parlamenta i Savjeta primjenjuje se od septembra 2024. godine. Od tog datuma, zemlje koje se sastoje od samo jedne teritorijalne jedinice </w:t>
      </w:r>
      <w:r>
        <w:t>TJZS</w:t>
      </w:r>
      <w:r w:rsidRPr="000B7217">
        <w:t xml:space="preserve"> 2 ili 3 nivoa, kako je definisano u nomenklaturi teritorijalnih jedinica za statistiku u Regulativi (</w:t>
      </w:r>
      <w:r>
        <w:t>EZ</w:t>
      </w:r>
      <w:r w:rsidRPr="000B7217">
        <w:t xml:space="preserve">) br. 1059/2003, neće biti obavezne da dostavljaju varijabile za regionalni nivo </w:t>
      </w:r>
      <w:r>
        <w:t>TJZS</w:t>
      </w:r>
      <w:r w:rsidRPr="000B7217">
        <w:t xml:space="preserve"> 2 ili 3, u zavisnosti od slučaja.</w:t>
      </w:r>
      <w:r w:rsidRPr="00B83578">
        <w:t xml:space="preserve"> </w:t>
      </w:r>
      <w:hyperlink r:id="rId106" w:history="1">
        <w:r w:rsidRPr="0029121D">
          <w:rPr>
            <w:rStyle w:val="Hyperlink"/>
          </w:rPr>
          <w:t>https://eur-lex.europa.eu/eli/reg/2023/734/oj</w:t>
        </w:r>
      </w:hyperlink>
      <w:r>
        <w:t xml:space="preserve">  </w:t>
      </w:r>
    </w:p>
  </w:footnote>
  <w:footnote w:id="249">
    <w:p w14:paraId="74594066" w14:textId="77777777" w:rsidR="00B54ABB" w:rsidRPr="00B83578" w:rsidRDefault="00B54ABB" w:rsidP="001E4D9B">
      <w:pPr>
        <w:pStyle w:val="FootnoteText"/>
        <w:rPr>
          <w:rFonts w:ascii="Aptos" w:hAnsi="Aptos" w:cs="Calibri"/>
        </w:rPr>
      </w:pPr>
      <w:r w:rsidRPr="00B83578">
        <w:rPr>
          <w:rStyle w:val="FootnoteReference"/>
          <w:rFonts w:ascii="Aptos" w:hAnsi="Aptos" w:cs="Calibri"/>
          <w:vertAlign w:val="baseline"/>
        </w:rPr>
        <w:footnoteRef/>
      </w:r>
      <w:r w:rsidRPr="00B83578">
        <w:rPr>
          <w:rFonts w:ascii="Aptos" w:hAnsi="Aptos" w:cs="Calibri"/>
        </w:rPr>
        <w:t xml:space="preserve"> </w:t>
      </w:r>
      <w:hyperlink r:id="rId107" w:history="1">
        <w:r w:rsidRPr="00B83578">
          <w:rPr>
            <w:rStyle w:val="Hyperlink"/>
            <w:rFonts w:ascii="Aptos" w:hAnsi="Aptos" w:cs="Calibri"/>
          </w:rPr>
          <w:t>https://cohesiondata.ec.europa.eu/stories/s/2021-2027-categorisation-information-system/hhu3-atyz/</w:t>
        </w:r>
      </w:hyperlink>
      <w:r w:rsidRPr="00B83578">
        <w:rPr>
          <w:rFonts w:ascii="Aptos" w:hAnsi="Aptos" w:cs="Calibri"/>
        </w:rPr>
        <w:t xml:space="preserve"> </w:t>
      </w:r>
    </w:p>
  </w:footnote>
  <w:footnote w:id="250">
    <w:p w14:paraId="7643A290" w14:textId="718B0FAD" w:rsidR="00B54ABB" w:rsidRPr="00B83578" w:rsidRDefault="00B54ABB" w:rsidP="009048F4">
      <w:pPr>
        <w:pStyle w:val="FootnoteText"/>
      </w:pPr>
      <w:r w:rsidRPr="00B83578">
        <w:rPr>
          <w:rStyle w:val="FootnoteReference"/>
          <w:rFonts w:ascii="Aptos" w:hAnsi="Aptos" w:cs="Calibri"/>
          <w:vertAlign w:val="baseline"/>
        </w:rPr>
        <w:footnoteRef/>
      </w:r>
      <w:r w:rsidRPr="00B83578">
        <w:t xml:space="preserve"> </w:t>
      </w:r>
      <w:hyperlink r:id="rId108" w:history="1">
        <w:r w:rsidRPr="0029121D">
          <w:rPr>
            <w:rStyle w:val="Hyperlink"/>
          </w:rPr>
          <w:t>https://eur-lex.europa.eu/eli/dir/2007/2/oj</w:t>
        </w:r>
      </w:hyperlink>
      <w:r>
        <w:t xml:space="preserve"> </w:t>
      </w:r>
    </w:p>
  </w:footnote>
  <w:footnote w:id="251">
    <w:p w14:paraId="00D61CEB" w14:textId="69F36437" w:rsidR="00B54ABB" w:rsidRPr="00B83578" w:rsidRDefault="00B54ABB" w:rsidP="009048F4">
      <w:pPr>
        <w:pStyle w:val="FootnoteText"/>
      </w:pPr>
      <w:r w:rsidRPr="00B83578">
        <w:rPr>
          <w:rStyle w:val="FootnoteReference"/>
          <w:rFonts w:ascii="Aptos" w:hAnsi="Aptos" w:cs="Calibri"/>
          <w:vertAlign w:val="baseline"/>
        </w:rPr>
        <w:footnoteRef/>
      </w:r>
      <w:r w:rsidRPr="00B83578">
        <w:t xml:space="preserve"> </w:t>
      </w:r>
      <w:hyperlink r:id="rId109" w:history="1">
        <w:r w:rsidRPr="0029121D">
          <w:rPr>
            <w:rStyle w:val="Hyperlink"/>
          </w:rPr>
          <w:t>https://eur-lex.europa.eu/eli/reg_impl/2019/1130/oj</w:t>
        </w:r>
      </w:hyperlink>
      <w:r>
        <w:t xml:space="preserve"> </w:t>
      </w:r>
    </w:p>
  </w:footnote>
  <w:footnote w:id="252">
    <w:p w14:paraId="1118FE05" w14:textId="4CC8FAD6" w:rsidR="00B54ABB" w:rsidRPr="00B83578" w:rsidRDefault="00B54ABB" w:rsidP="009048F4">
      <w:pPr>
        <w:pStyle w:val="FootnoteText"/>
      </w:pPr>
      <w:r w:rsidRPr="00B83578">
        <w:rPr>
          <w:rStyle w:val="FootnoteReference"/>
          <w:rFonts w:ascii="Aptos" w:hAnsi="Aptos" w:cs="Calibri"/>
          <w:vertAlign w:val="baseline"/>
        </w:rPr>
        <w:footnoteRef/>
      </w:r>
      <w:r w:rsidRPr="00B83578">
        <w:t xml:space="preserve"> </w:t>
      </w:r>
      <w:hyperlink r:id="rId110" w:history="1">
        <w:r w:rsidRPr="0029121D">
          <w:rPr>
            <w:rStyle w:val="Hyperlink"/>
          </w:rPr>
          <w:t>https://eur-lex.europa.eu/eli/reg/2017/2391/oj</w:t>
        </w:r>
      </w:hyperlink>
      <w:r>
        <w:t xml:space="preserve"> </w:t>
      </w:r>
    </w:p>
  </w:footnote>
  <w:footnote w:id="253">
    <w:p w14:paraId="5D0A5E68" w14:textId="43B7D277" w:rsidR="00B54ABB" w:rsidRPr="00B83578" w:rsidRDefault="00B54ABB" w:rsidP="009048F4">
      <w:pPr>
        <w:pStyle w:val="FootnoteText"/>
      </w:pPr>
      <w:r w:rsidRPr="00B83578">
        <w:rPr>
          <w:rStyle w:val="FootnoteReference"/>
          <w:rFonts w:ascii="Aptos" w:hAnsi="Aptos"/>
          <w:vertAlign w:val="baseline"/>
        </w:rPr>
        <w:footnoteRef/>
      </w:r>
      <w:r w:rsidRPr="00B83578">
        <w:t xml:space="preserve"> </w:t>
      </w:r>
      <w:hyperlink r:id="rId111" w:history="1">
        <w:r w:rsidRPr="0029121D">
          <w:rPr>
            <w:rStyle w:val="Hyperlink"/>
          </w:rPr>
          <w:t>https://eur-lex.europa.eu/eli/reg_impl/2018/1799/oj</w:t>
        </w:r>
      </w:hyperlink>
      <w:r>
        <w:t xml:space="preserve"> </w:t>
      </w:r>
    </w:p>
  </w:footnote>
  <w:footnote w:id="254">
    <w:p w14:paraId="23369C27" w14:textId="7A40A727" w:rsidR="00B54ABB" w:rsidRPr="00B83578" w:rsidRDefault="00B54ABB" w:rsidP="006D523E">
      <w:pPr>
        <w:pStyle w:val="FootnoteText"/>
      </w:pPr>
      <w:r w:rsidRPr="00B83578">
        <w:rPr>
          <w:rStyle w:val="FootnoteReference"/>
          <w:vertAlign w:val="baseline"/>
        </w:rPr>
        <w:footnoteRef/>
      </w:r>
      <w:r w:rsidRPr="00B83578">
        <w:t xml:space="preserve"> </w:t>
      </w:r>
      <w:r>
        <w:t>Relevantne informacije o trenutnim kapacitetima ljudskih resursa biće predstavljene u poglavlju Jačanje administrativnih kapaciteta</w:t>
      </w:r>
    </w:p>
  </w:footnote>
  <w:footnote w:id="255">
    <w:p w14:paraId="3ED823BA" w14:textId="5747E4C1" w:rsidR="00B54ABB" w:rsidRPr="00B83578" w:rsidRDefault="00B54ABB" w:rsidP="009048F4">
      <w:pPr>
        <w:pStyle w:val="FootnoteText"/>
      </w:pPr>
      <w:r w:rsidRPr="00B83578">
        <w:rPr>
          <w:rStyle w:val="FootnoteReference"/>
          <w:vertAlign w:val="baseline"/>
        </w:rPr>
        <w:footnoteRef/>
      </w:r>
      <w:r w:rsidRPr="00B83578">
        <w:t xml:space="preserve"> </w:t>
      </w:r>
      <w:r w:rsidRPr="000B7217">
        <w:t xml:space="preserve">Iako su za potrebe regionalnog razvoja, u skladu sa Zakonom o regionalnom razvoju, uspostavljena tri regiona: Primorski, Središnji i Sjeverni (Službeni list Crne Gore 20/11 i kasnije izmjene i dopune), one se ne mogu transformisati u statističke regione jer broj stanovnika nije dovoljan prema pragu navedene Regulative. Pored toga, ovi regioni nijesu homogeni u smislu demografskih pokazatelja.            </w:t>
      </w:r>
    </w:p>
  </w:footnote>
  <w:footnote w:id="256">
    <w:p w14:paraId="44718764" w14:textId="49CD6490" w:rsidR="00B54ABB" w:rsidRPr="00B83578" w:rsidRDefault="00B54ABB" w:rsidP="007A33B7">
      <w:pPr>
        <w:pStyle w:val="FootnoteText"/>
      </w:pPr>
      <w:r w:rsidRPr="00B83578">
        <w:rPr>
          <w:rStyle w:val="FootnoteReference"/>
          <w:vertAlign w:val="baseline"/>
        </w:rPr>
        <w:footnoteRef/>
      </w:r>
      <w:r w:rsidRPr="00B83578">
        <w:t xml:space="preserve"> </w:t>
      </w:r>
      <w:r>
        <w:t>Pregled SDG politika Ujedinjene nacije Crna Gora: Da li je sjever Crne Gore u riziku da bude zapostavljen? Kvartal 4/4-2023 https://www.sdgmontenegro.me/assets/documents/en/2404/3_SDG_Policy_Brief_2_Is_Montenegro_North_at_risk_of_being_left_behind_0.pdf. Ovaj izvještaj navodi da sjever Crne Gore zaostaje za ostalim područjima Crne Gore po mnogim ključnim indikatorima razvoja i citira razne analize i istraživanja, kao što su godišnja anketa o dohotku i životnim uslovima (EU-SILC) koju je sproveo MONSTAT; Situaciona analiza socijalne zaštite Crne Gore, 2022, UNICEF i Svjetska banka; Zdravstveni sistemi u akciji: Crna Gora, 2022, WHO; MICS Crne Gore i MICS istraživanje romskih naselja u Crnoj Gori sprovedeno 2018. godine od strane MONSTAT-a kao dio Globalnog MICS Programa. Izvještaj, između ostalog, zaključuje da su “bolji podaci i disaggregirani podaci potrebni da bi se potpuno procijenilo gdje se sjever nalazi u poređenju s drugim područjima u Crnoj Gori. Podaci i dokazi nijesu uvijek dostupni na nivou koji je neophodan za donošenje odgovarajućih i informisanih odluka i politika koje se tiču sjevera. Neki kritični aspekti bi se odnosili na indikatore socijalne inkluzije i ljudskog kapitala, što bi podržalo pružanje usluga u opštinama na sjeveru. MICS podaci su najnoviji koji su dostupni a koji se odnose na sjever Crne Gore. Disaggregirani podaci koji pokazuju razlike između različitih regiona podržali bi donošenje politika i usmjeravanje socijalne zaštite i javnih usluga.”</w:t>
      </w:r>
    </w:p>
  </w:footnote>
  <w:footnote w:id="257">
    <w:p w14:paraId="3388D458" w14:textId="6934E04E" w:rsidR="00B54ABB" w:rsidRPr="00DC3C0F" w:rsidRDefault="00B54ABB" w:rsidP="00C55447">
      <w:pPr>
        <w:pStyle w:val="FootnoteText"/>
        <w:rPr>
          <w:lang w:val="fr-FR"/>
        </w:rPr>
      </w:pPr>
      <w:r w:rsidRPr="00B83578">
        <w:rPr>
          <w:rStyle w:val="FootnoteReference"/>
          <w:vertAlign w:val="baseline"/>
        </w:rPr>
        <w:footnoteRef/>
      </w:r>
      <w:r w:rsidRPr="00DC3C0F">
        <w:rPr>
          <w:lang w:val="fr-FR"/>
        </w:rPr>
        <w:t xml:space="preserve"> </w:t>
      </w:r>
      <w:r>
        <w:rPr>
          <w:lang w:val="fr-FR"/>
        </w:rPr>
        <w:t>Primjer</w:t>
      </w:r>
      <w:r w:rsidRPr="00DC3C0F">
        <w:rPr>
          <w:lang w:val="fr-FR"/>
        </w:rPr>
        <w:t xml:space="preserve">: </w:t>
      </w:r>
      <w:hyperlink r:id="rId112" w:history="1">
        <w:r w:rsidRPr="00DC3C0F">
          <w:rPr>
            <w:rStyle w:val="Hyperlink"/>
            <w:color w:val="auto"/>
            <w:lang w:val="fr-FR"/>
          </w:rPr>
          <w:t>https://ec.europa.eu/eurostat/web/products-manuals-and-guidelines/-/statistical-requirements-compendium-2024-edition</w:t>
        </w:r>
      </w:hyperlink>
    </w:p>
  </w:footnote>
  <w:footnote w:id="258">
    <w:p w14:paraId="42F90268" w14:textId="19087897" w:rsidR="00B54ABB" w:rsidRPr="007A33B7" w:rsidRDefault="00B54ABB" w:rsidP="007A33B7">
      <w:pPr>
        <w:pStyle w:val="FootnoteText"/>
        <w:rPr>
          <w:lang w:val="fr-FR"/>
        </w:rPr>
      </w:pPr>
      <w:r w:rsidRPr="00B83578">
        <w:rPr>
          <w:rStyle w:val="FootnoteReference"/>
          <w:vertAlign w:val="baseline"/>
        </w:rPr>
        <w:footnoteRef/>
      </w:r>
      <w:r w:rsidRPr="00DC3C0F">
        <w:rPr>
          <w:lang w:val="fr-FR"/>
        </w:rPr>
        <w:t xml:space="preserve"> </w:t>
      </w:r>
      <w:r>
        <w:rPr>
          <w:lang w:val="fr-FR"/>
        </w:rPr>
        <w:t>RZO</w:t>
      </w:r>
      <w:r w:rsidRPr="007A33B7">
        <w:rPr>
          <w:lang w:val="fr-FR"/>
        </w:rPr>
        <w:t xml:space="preserve">, Aneks XXVI, Član 10. Da bi se doprinijelo postizanju adekvatne koncentracije kohezionih sredstava u najmanje razvijenim regijama i članicama, kao i smanjenju razlika u prosječnim intenzitetima </w:t>
      </w:r>
      <w:r>
        <w:rPr>
          <w:lang w:val="fr-FR"/>
        </w:rPr>
        <w:t>podrške</w:t>
      </w:r>
      <w:r w:rsidRPr="007A33B7">
        <w:rPr>
          <w:lang w:val="fr-FR"/>
        </w:rPr>
        <w:t xml:space="preserve"> po glavi stanovnika, maksimalni nivo prenosa (capping) iz Fonda za svaku pojedinačnu članicu biće utvrđen kao procenat BDP-a članice, pri čemu će ovi procenti biti sljedeći:  </w:t>
      </w:r>
    </w:p>
    <w:p w14:paraId="65DE2845" w14:textId="11C34193" w:rsidR="00B54ABB" w:rsidRPr="007A33B7" w:rsidRDefault="00B54ABB" w:rsidP="007A33B7">
      <w:pPr>
        <w:pStyle w:val="FootnoteText"/>
        <w:rPr>
          <w:lang w:val="fr-FR"/>
        </w:rPr>
      </w:pPr>
      <w:r w:rsidRPr="007A33B7">
        <w:rPr>
          <w:lang w:val="fr-FR"/>
        </w:rPr>
        <w:t xml:space="preserve">(a) za članice čiji je prosječni GNI po glavi stanovnika (u </w:t>
      </w:r>
      <w:r>
        <w:rPr>
          <w:lang w:val="fr-FR"/>
        </w:rPr>
        <w:t>PGS</w:t>
      </w:r>
      <w:r w:rsidRPr="007A33B7">
        <w:rPr>
          <w:lang w:val="fr-FR"/>
        </w:rPr>
        <w:t xml:space="preserve">) za period 2015-2017 ispod 55% prosjeka EU-27 po glavi stanovnika: 2,3 % njihovog GDP-a;  </w:t>
      </w:r>
    </w:p>
    <w:p w14:paraId="16BBCCC4" w14:textId="3606AC2C" w:rsidR="00B54ABB" w:rsidRPr="007A33B7" w:rsidRDefault="00B54ABB" w:rsidP="007A33B7">
      <w:pPr>
        <w:pStyle w:val="FootnoteText"/>
        <w:rPr>
          <w:lang w:val="fr-FR"/>
        </w:rPr>
      </w:pPr>
      <w:r w:rsidRPr="007A33B7">
        <w:rPr>
          <w:lang w:val="fr-FR"/>
        </w:rPr>
        <w:t xml:space="preserve">(b) za članice čiji je prosječni GNI po glavi stanovnika (u </w:t>
      </w:r>
      <w:r>
        <w:rPr>
          <w:lang w:val="fr-FR"/>
        </w:rPr>
        <w:t>PGS</w:t>
      </w:r>
      <w:r w:rsidRPr="007A33B7">
        <w:rPr>
          <w:lang w:val="fr-FR"/>
        </w:rPr>
        <w:t xml:space="preserve">) za period 2015-2017 jednak ili iznad 68% prosjeka EU-27 po glavi stanovnika: 1,5 % njihovog BDP-a;  </w:t>
      </w:r>
    </w:p>
    <w:p w14:paraId="3DAB2BAF" w14:textId="7CF9EED3" w:rsidR="00B54ABB" w:rsidRPr="007A33B7" w:rsidRDefault="00B54ABB" w:rsidP="007A33B7">
      <w:pPr>
        <w:pStyle w:val="FootnoteText"/>
        <w:rPr>
          <w:lang w:val="fr-FR"/>
        </w:rPr>
      </w:pPr>
      <w:r w:rsidRPr="007A33B7">
        <w:rPr>
          <w:lang w:val="fr-FR"/>
        </w:rPr>
        <w:t xml:space="preserve">(c) za članice čiji je prosječni GNI po glavi stanovnika (u </w:t>
      </w:r>
      <w:r>
        <w:rPr>
          <w:lang w:val="fr-FR"/>
        </w:rPr>
        <w:t>PGS</w:t>
      </w:r>
      <w:r w:rsidRPr="007A33B7">
        <w:rPr>
          <w:lang w:val="fr-FR"/>
        </w:rPr>
        <w:t xml:space="preserve">) za period 2015-2017 jednak ili iznad 55% i ispod 68% prosjeka EU-27 po glavi stanovnika: procenat se dobija putem linearne interpolacije između 2,3% i 1,5% njihovog GDP-a, koja dovodi do proporcionalnog smanjenja procenta </w:t>
      </w:r>
      <w:r>
        <w:rPr>
          <w:lang w:val="fr-FR"/>
        </w:rPr>
        <w:t>ograničenja</w:t>
      </w:r>
      <w:r w:rsidRPr="007A33B7">
        <w:rPr>
          <w:lang w:val="fr-FR"/>
        </w:rPr>
        <w:t xml:space="preserve">(capping) u skladu sa povećanjem prosperiteta.  </w:t>
      </w:r>
    </w:p>
    <w:p w14:paraId="6C6A70F6" w14:textId="1838523D" w:rsidR="00B54ABB" w:rsidRPr="00B83578" w:rsidRDefault="00B54ABB" w:rsidP="007A33B7">
      <w:pPr>
        <w:pStyle w:val="FootnoteText"/>
      </w:pPr>
      <w:r>
        <w:rPr>
          <w:lang w:val="fr-FR"/>
        </w:rPr>
        <w:t>Ograničenje</w:t>
      </w:r>
      <w:r w:rsidRPr="007A33B7">
        <w:rPr>
          <w:lang w:val="fr-FR"/>
        </w:rPr>
        <w:t>(capping) će se primjenjivati na godišnjem nivou na projekcije GDP-a Komisije i će - ako je primjenjivo - proporcionalno smanjiti sve transfere (osim za razvijenije regije i cilj evropske teritorijalne saradnje (Interreg)) članici koja je pogođena kako bi se postigao maksimalni nivo prenosa.</w:t>
      </w:r>
    </w:p>
  </w:footnote>
  <w:footnote w:id="259">
    <w:p w14:paraId="31869B7B" w14:textId="5B436F8D" w:rsidR="00B54ABB" w:rsidRPr="00546DA8" w:rsidRDefault="00B54ABB" w:rsidP="00FA239E">
      <w:pPr>
        <w:pStyle w:val="FootnoteText"/>
      </w:pPr>
      <w:r w:rsidRPr="00B83578">
        <w:rPr>
          <w:rStyle w:val="FootnoteReference"/>
          <w:vertAlign w:val="baseline"/>
        </w:rPr>
        <w:footnoteRef/>
      </w:r>
      <w:r w:rsidRPr="00B83578">
        <w:t xml:space="preserve"> </w:t>
      </w:r>
      <w:r w:rsidRPr="000900A2">
        <w:t>Evropska unija, EKONOMSKI I FINANSIJSKI KOMITET, PODKOMITET ZA STATISTIKU, Brisel, ecfin.cef.cpe (2024)2532354 Izvještaj EFC o napretku u oblasti ekonomskih, monetarnih i finansijskih statistika za Zapadni Balkan, Tursku, Ukrajinu, Moldaviju i Gruziju, 6. maj 2024.</w:t>
      </w:r>
      <w:r w:rsidRPr="00B83578">
        <w:t xml:space="preserve"> </w:t>
      </w:r>
      <w:hyperlink r:id="rId113" w:history="1">
        <w:r w:rsidRPr="0029121D">
          <w:rPr>
            <w:rStyle w:val="Hyperlink"/>
          </w:rPr>
          <w:t>https://data.consilium.europa.eu/doc/document/ST-9526-2024-INIT/en/pdf</w:t>
        </w:r>
      </w:hyperlink>
      <w:r>
        <w:t xml:space="preserve"> </w:t>
      </w:r>
    </w:p>
  </w:footnote>
  <w:footnote w:id="260">
    <w:p w14:paraId="70436BEC" w14:textId="77777777" w:rsidR="00B54ABB" w:rsidRPr="00FC0E29" w:rsidRDefault="00B54ABB" w:rsidP="00091B36">
      <w:pPr>
        <w:pStyle w:val="FootnoteText"/>
      </w:pPr>
      <w:r w:rsidRPr="00FC0E29">
        <w:rPr>
          <w:rStyle w:val="FootnoteReference"/>
        </w:rPr>
        <w:footnoteRef/>
      </w:r>
      <w:r w:rsidRPr="00FC0E29">
        <w:t xml:space="preserve"> *</w:t>
      </w:r>
      <w:r w:rsidRPr="0055450C">
        <w:t xml:space="preserve"> Ova oznaka se daje bez prejudiciranja stavova o statusu i u skladu je sa Rezolucijom SB UN 1244 i Mišljenjem ICJ-a o deklaraciji nezavisnosti Kosova.</w:t>
      </w:r>
    </w:p>
  </w:footnote>
  <w:footnote w:id="261">
    <w:p w14:paraId="6590313F" w14:textId="77777777" w:rsidR="00B54ABB" w:rsidRPr="00FC0E29" w:rsidRDefault="00B54ABB" w:rsidP="00091B36">
      <w:pPr>
        <w:pStyle w:val="FootnoteText"/>
      </w:pPr>
      <w:r w:rsidRPr="00FC0E29">
        <w:rPr>
          <w:rStyle w:val="FootnoteReference"/>
        </w:rPr>
        <w:footnoteRef/>
      </w:r>
      <w:r w:rsidRPr="00FC0E29">
        <w:t>.</w:t>
      </w:r>
      <w:r w:rsidRPr="0055450C">
        <w:t xml:space="preserve"> </w:t>
      </w:r>
      <w:r>
        <w:t>Radni u</w:t>
      </w:r>
      <w:r w:rsidRPr="0055450C">
        <w:t>govori se potpisuju po programima (CAP 2014, CAP 2016, CAP 2017 i SOPEES) i po sektorima/aktivnostima, imajući u vidu broj uključenih institucija.</w:t>
      </w:r>
    </w:p>
  </w:footnote>
  <w:footnote w:id="262">
    <w:p w14:paraId="67BE291B" w14:textId="77777777" w:rsidR="00B54ABB" w:rsidRPr="00FC0E29" w:rsidRDefault="00B54ABB" w:rsidP="00091B36">
      <w:pPr>
        <w:pStyle w:val="FootnoteText"/>
      </w:pPr>
      <w:r w:rsidRPr="00FC0E29">
        <w:rPr>
          <w:rStyle w:val="FootnoteReference"/>
        </w:rPr>
        <w:footnoteRef/>
      </w:r>
      <w:r>
        <w:t xml:space="preserve"> Struktura i organizacija državnih organa se promijenila od IPA I.</w:t>
      </w:r>
    </w:p>
  </w:footnote>
  <w:footnote w:id="263">
    <w:p w14:paraId="053BEE3E" w14:textId="77777777" w:rsidR="00B54ABB" w:rsidRPr="00FC0E29" w:rsidRDefault="00B54ABB" w:rsidP="00091B36">
      <w:pPr>
        <w:pStyle w:val="FootnoteText"/>
      </w:pPr>
      <w:r w:rsidRPr="00FC0E29">
        <w:rPr>
          <w:rStyle w:val="FootnoteReference"/>
        </w:rPr>
        <w:footnoteRef/>
      </w:r>
      <w:r w:rsidRPr="00FC0E29">
        <w:t xml:space="preserve"> </w:t>
      </w:r>
      <w:r>
        <w:t>Ne radi se o Državnoj revizorskoj instituciji Crne Gore</w:t>
      </w:r>
      <w:r w:rsidRPr="00FC0E29">
        <w:t>.</w:t>
      </w:r>
    </w:p>
  </w:footnote>
  <w:footnote w:id="264">
    <w:p w14:paraId="672F768B" w14:textId="77777777" w:rsidR="00B54ABB" w:rsidRPr="005E1B42" w:rsidRDefault="00B54ABB" w:rsidP="00091B36">
      <w:pPr>
        <w:pStyle w:val="FootnoteText"/>
        <w:rPr>
          <w:lang w:val="sr-Latn-ME"/>
        </w:rPr>
      </w:pPr>
      <w:r>
        <w:rPr>
          <w:rStyle w:val="FootnoteReference"/>
        </w:rPr>
        <w:footnoteRef/>
      </w:r>
      <w:r>
        <w:t xml:space="preserve"> </w:t>
      </w:r>
      <w:r>
        <w:rPr>
          <w:lang w:val="sr-Latn-ME"/>
        </w:rPr>
        <w:t>MNE predstavlja Crnu Goru.</w:t>
      </w:r>
    </w:p>
  </w:footnote>
  <w:footnote w:id="265">
    <w:p w14:paraId="22E3B147" w14:textId="77777777" w:rsidR="00B54ABB" w:rsidRPr="00FC0E29" w:rsidRDefault="00B54ABB" w:rsidP="00091B36">
      <w:pPr>
        <w:spacing w:after="0"/>
        <w:rPr>
          <w:rFonts w:cs="Arial"/>
          <w:color w:val="000000" w:themeColor="text1"/>
        </w:rPr>
      </w:pPr>
      <w:r w:rsidRPr="00FC0E29">
        <w:rPr>
          <w:rStyle w:val="FootnoteReference"/>
          <w:rFonts w:cs="Arial"/>
          <w:color w:val="000000" w:themeColor="text1"/>
        </w:rPr>
        <w:footnoteRef/>
      </w:r>
      <w:r w:rsidRPr="00FC0E29">
        <w:rPr>
          <w:rFonts w:cs="Arial"/>
          <w:color w:val="000000" w:themeColor="text1"/>
        </w:rPr>
        <w:t xml:space="preserve"> </w:t>
      </w:r>
      <w:r w:rsidRPr="0041448C">
        <w:rPr>
          <w:rFonts w:cs="Arial"/>
          <w:color w:val="000000" w:themeColor="text1"/>
          <w:sz w:val="16"/>
          <w:szCs w:val="16"/>
        </w:rPr>
        <w:t>Na primjer, trenutni šef Ministarstva finansija – Upravljačka struktura NAO bio je uključen u sve faze prvog procesa akreditacije i radio je u Nacionalnom fondu. Trenutni šef Direkcije za Nacionalni fondu unutar Ministarstva finansija – NAO/Upravljačka struktura takođe ima opsežno iskustvo kroz rad u CFCU i bivšem Nacionalnom fondu.</w:t>
      </w:r>
    </w:p>
  </w:footnote>
  <w:footnote w:id="266">
    <w:p w14:paraId="1414B129" w14:textId="77777777" w:rsidR="00B54ABB" w:rsidRPr="00FC0E29" w:rsidRDefault="00B54ABB" w:rsidP="00091B36">
      <w:pPr>
        <w:pStyle w:val="FootnoteText"/>
      </w:pPr>
      <w:r w:rsidRPr="00FC0E29">
        <w:rPr>
          <w:rStyle w:val="FootnoteReference"/>
        </w:rPr>
        <w:footnoteRef/>
      </w:r>
      <w:r w:rsidRPr="00FC0E29">
        <w:t xml:space="preserve"> </w:t>
      </w:r>
      <w:r w:rsidRPr="0041448C">
        <w:t>Prema Aneksu I IPA Okvirne regulative, predviđeno je sljedećih pet komponenti: (a) Podrška tranziciji i izgradnja institucija; (b) Prekogranična saradnja; (c) Regionalni razvoj; (d) Razvoj ljudskih resursa i (e) Ruralni razvoj</w:t>
      </w:r>
      <w:r w:rsidRPr="00FC0E29">
        <w:t>.</w:t>
      </w:r>
    </w:p>
  </w:footnote>
  <w:footnote w:id="267">
    <w:p w14:paraId="78DD267E" w14:textId="77777777" w:rsidR="00B54ABB" w:rsidRPr="00FC0E29" w:rsidRDefault="00B54ABB" w:rsidP="00091B36">
      <w:pPr>
        <w:pStyle w:val="FootnoteText"/>
      </w:pPr>
      <w:r>
        <w:rPr>
          <w:rStyle w:val="FootnoteReference"/>
        </w:rPr>
        <w:footnoteRef/>
      </w:r>
      <w:r>
        <w:t xml:space="preserve"> Ne uključuje IPARD strukture.</w:t>
      </w:r>
    </w:p>
  </w:footnote>
  <w:footnote w:id="268">
    <w:p w14:paraId="571A9D3E" w14:textId="77777777" w:rsidR="00B54ABB" w:rsidRPr="00FC0E29" w:rsidRDefault="00B54ABB" w:rsidP="00091B36">
      <w:pPr>
        <w:pStyle w:val="FootnoteText"/>
        <w:rPr>
          <w:color w:val="C00000"/>
        </w:rPr>
      </w:pPr>
      <w:r w:rsidRPr="00FC0E29">
        <w:rPr>
          <w:rStyle w:val="FootnoteReference"/>
        </w:rPr>
        <w:footnoteRef/>
      </w:r>
      <w:r w:rsidRPr="00FC0E29">
        <w:t xml:space="preserve"> KOS </w:t>
      </w:r>
      <w:r>
        <w:t>predstavlja</w:t>
      </w:r>
      <w:r w:rsidRPr="00FC0E29">
        <w:t xml:space="preserve"> Republ</w:t>
      </w:r>
      <w:r>
        <w:t>iku</w:t>
      </w:r>
      <w:r w:rsidRPr="00FC0E29">
        <w:t xml:space="preserve"> Kosovo*.</w:t>
      </w:r>
    </w:p>
  </w:footnote>
  <w:footnote w:id="269">
    <w:p w14:paraId="330F3BE6" w14:textId="77777777" w:rsidR="00B54ABB" w:rsidRPr="00FC0E29" w:rsidRDefault="00B54ABB" w:rsidP="00091B36">
      <w:pPr>
        <w:pStyle w:val="FootnoteText"/>
      </w:pPr>
      <w:r>
        <w:rPr>
          <w:rStyle w:val="FootnoteReference"/>
        </w:rPr>
        <w:footnoteRef/>
      </w:r>
      <w:r>
        <w:t xml:space="preserve"> Ne uključuje IPA strukture.</w:t>
      </w:r>
    </w:p>
  </w:footnote>
  <w:footnote w:id="270">
    <w:p w14:paraId="6A79C15E" w14:textId="77777777" w:rsidR="00B54ABB" w:rsidRPr="00004F80" w:rsidRDefault="00B54ABB" w:rsidP="00091B36">
      <w:pPr>
        <w:pStyle w:val="FootnoteText"/>
        <w:rPr>
          <w:lang w:val="sr-Latn-ME"/>
        </w:rPr>
      </w:pPr>
      <w:r>
        <w:rPr>
          <w:rStyle w:val="FootnoteReference"/>
        </w:rPr>
        <w:footnoteRef/>
      </w:r>
      <w:r>
        <w:t xml:space="preserve"> </w:t>
      </w:r>
      <w:r>
        <w:rPr>
          <w:lang w:val="sr-Latn-ME"/>
        </w:rPr>
        <w:t>KOS predstavlja Republiku Kosovo*.</w:t>
      </w:r>
    </w:p>
  </w:footnote>
  <w:footnote w:id="271">
    <w:p w14:paraId="5BFC12AE" w14:textId="77777777" w:rsidR="00B54ABB" w:rsidRPr="0049181E" w:rsidRDefault="00B54ABB" w:rsidP="00091B36">
      <w:pPr>
        <w:pStyle w:val="FootnoteText"/>
      </w:pPr>
      <w:r w:rsidRPr="0049181E">
        <w:rPr>
          <w:rStyle w:val="FootnoteReference"/>
        </w:rPr>
        <w:footnoteRef/>
      </w:r>
      <w:r w:rsidRPr="0049181E">
        <w:t xml:space="preserve"> </w:t>
      </w:r>
      <w:r>
        <w:t>Pravilnik za jedan od PTFU-ova</w:t>
      </w:r>
      <w:r w:rsidRPr="0049181E">
        <w:t xml:space="preserve"> </w:t>
      </w:r>
      <w:r>
        <w:t>je u fazi usvajanja</w:t>
      </w:r>
      <w:r w:rsidRPr="0049181E">
        <w:t>.</w:t>
      </w:r>
    </w:p>
  </w:footnote>
  <w:footnote w:id="272">
    <w:p w14:paraId="70658DC0" w14:textId="77777777" w:rsidR="00B54ABB" w:rsidRPr="00B83578" w:rsidRDefault="00B54ABB" w:rsidP="00091B36">
      <w:pPr>
        <w:spacing w:after="0"/>
        <w:rPr>
          <w:rFonts w:cs="Arial"/>
          <w:sz w:val="16"/>
          <w:szCs w:val="16"/>
        </w:rPr>
      </w:pPr>
      <w:r w:rsidRPr="0049181E">
        <w:rPr>
          <w:rStyle w:val="FootnoteReference"/>
          <w:rFonts w:cs="Arial"/>
          <w:sz w:val="16"/>
          <w:szCs w:val="16"/>
        </w:rPr>
        <w:footnoteRef/>
      </w:r>
      <w:r w:rsidRPr="0049181E">
        <w:rPr>
          <w:rFonts w:cs="Arial"/>
          <w:sz w:val="16"/>
          <w:szCs w:val="16"/>
        </w:rPr>
        <w:t xml:space="preserve"> </w:t>
      </w:r>
      <w:r w:rsidRPr="00004F80">
        <w:rPr>
          <w:rFonts w:cs="Arial"/>
          <w:sz w:val="16"/>
          <w:szCs w:val="16"/>
        </w:rPr>
        <w:t xml:space="preserve">Na to se dodaje 6.545.644,73 EUR doprinosa EU programima Unije u okviru </w:t>
      </w:r>
      <w:r w:rsidRPr="0049181E">
        <w:rPr>
          <w:rFonts w:eastAsia="Times New Roman" w:cs="Arial"/>
          <w:kern w:val="0"/>
          <w:sz w:val="16"/>
          <w:szCs w:val="16"/>
          <w14:ligatures w14:val="none"/>
        </w:rPr>
        <w:t xml:space="preserve">CAP2014, CAP2015, CAP2017 and CAP2020. </w:t>
      </w:r>
    </w:p>
  </w:footnote>
  <w:footnote w:id="273">
    <w:p w14:paraId="02FBF836" w14:textId="77777777" w:rsidR="00B54ABB" w:rsidRPr="003B035E" w:rsidRDefault="00B54ABB" w:rsidP="00091B36">
      <w:pPr>
        <w:pStyle w:val="FootnoteText"/>
      </w:pPr>
      <w:r w:rsidRPr="003B035E">
        <w:rPr>
          <w:rStyle w:val="FootnoteReference"/>
        </w:rPr>
        <w:footnoteRef/>
      </w:r>
      <w:r w:rsidRPr="003B035E">
        <w:t xml:space="preserve"> </w:t>
      </w:r>
      <w:r w:rsidRPr="00004F80">
        <w:t>Analiza naučenih lekcija iz ex-ante kontrole dokumenata dostavljenih Delegaciji EU, period obuhvaćen: 1. januar – 31. decembar 2024, pripremljena od strane Ministarstva finansija/ DIrektorat za finansiranje, ugovaranje i sprovođenje sredstava EU podrške i Uprava za kapitalne projekte u februaru 2025. godine.</w:t>
      </w:r>
      <w:r>
        <w:t xml:space="preserve"> </w:t>
      </w:r>
    </w:p>
  </w:footnote>
  <w:footnote w:id="274">
    <w:p w14:paraId="176DF408" w14:textId="77777777" w:rsidR="00B54ABB" w:rsidRPr="00FC0E29" w:rsidRDefault="00B54ABB" w:rsidP="00091B36">
      <w:pPr>
        <w:pStyle w:val="FootnoteText"/>
      </w:pPr>
      <w:r w:rsidRPr="00FC0E29">
        <w:rPr>
          <w:rStyle w:val="FootnoteReference"/>
        </w:rPr>
        <w:footnoteRef/>
      </w:r>
      <w:r w:rsidRPr="00FC0E29">
        <w:t xml:space="preserve"> </w:t>
      </w:r>
      <w:r w:rsidRPr="005D7D33">
        <w:t>Iznosi se odnose na udio EU u finansiranju, u milionima EUR (zaokružene brojke)</w:t>
      </w:r>
      <w:r>
        <w:t>.</w:t>
      </w:r>
      <w:r w:rsidRPr="00FC0E29">
        <w:t xml:space="preserve"> </w:t>
      </w:r>
    </w:p>
  </w:footnote>
  <w:footnote w:id="275">
    <w:p w14:paraId="7037842A" w14:textId="77777777" w:rsidR="00B54ABB" w:rsidRPr="00FC0E29" w:rsidRDefault="00B54ABB" w:rsidP="00091B36">
      <w:pPr>
        <w:spacing w:after="0"/>
        <w:rPr>
          <w:rFonts w:ascii="Aptos" w:hAnsi="Aptos"/>
          <w:color w:val="000000" w:themeColor="text1"/>
          <w:sz w:val="18"/>
          <w:szCs w:val="18"/>
        </w:rPr>
      </w:pPr>
      <w:r w:rsidRPr="00FC0E29">
        <w:rPr>
          <w:rStyle w:val="FootnoteReference"/>
        </w:rPr>
        <w:footnoteRef/>
      </w:r>
      <w:r w:rsidRPr="00FC0E29">
        <w:t xml:space="preserve"> </w:t>
      </w:r>
      <w:r w:rsidRPr="005E1B42">
        <w:rPr>
          <w:sz w:val="16"/>
          <w:szCs w:val="16"/>
        </w:rPr>
        <w:t>"Povraćaj" obuhvata sve vrste povraćaja, uključujući povraćaj neiskorištenog prefinansiranja, neprihvatljivih troškova, nepravilnosti, garancija, kumulativno od početka programa do krajnjeg roka; EU + nacionalno sufinansiranje.</w:t>
      </w:r>
    </w:p>
    <w:p w14:paraId="1CD62503" w14:textId="77777777" w:rsidR="00B54ABB" w:rsidRPr="00107813" w:rsidRDefault="00B54ABB" w:rsidP="00091B36">
      <w:pPr>
        <w:pStyle w:val="FootnoteText"/>
      </w:pPr>
    </w:p>
  </w:footnote>
  <w:footnote w:id="276">
    <w:p w14:paraId="088795DA" w14:textId="77777777" w:rsidR="00B54ABB" w:rsidRDefault="00B54ABB" w:rsidP="00190415">
      <w:pPr>
        <w:pStyle w:val="FootnoteText"/>
      </w:pPr>
      <w:r>
        <w:rPr>
          <w:rStyle w:val="FootnoteReference"/>
        </w:rPr>
        <w:footnoteRef/>
      </w:r>
      <w:r>
        <w:t xml:space="preserve"> Fokus je na indirektno upravljanje od strane države korisnice</w:t>
      </w:r>
    </w:p>
  </w:footnote>
  <w:footnote w:id="277">
    <w:p w14:paraId="548C904E" w14:textId="77777777" w:rsidR="00B54ABB" w:rsidRDefault="00B54ABB" w:rsidP="00190415">
      <w:pPr>
        <w:pStyle w:val="FootnoteText"/>
      </w:pPr>
      <w:r>
        <w:rPr>
          <w:rStyle w:val="FootnoteReference"/>
        </w:rPr>
        <w:footnoteRef/>
      </w:r>
      <w:r>
        <w:t xml:space="preserve"> Moduli 7 i 16.</w:t>
      </w:r>
    </w:p>
  </w:footnote>
  <w:footnote w:id="278">
    <w:p w14:paraId="2F88DE72" w14:textId="77777777" w:rsidR="00B54ABB" w:rsidRDefault="00B54ABB" w:rsidP="00190415">
      <w:pPr>
        <w:pStyle w:val="FootnoteText"/>
      </w:pPr>
      <w:r>
        <w:rPr>
          <w:rStyle w:val="FootnoteReference"/>
        </w:rPr>
        <w:footnoteRef/>
      </w:r>
      <w:r>
        <w:t xml:space="preserve"> Na primjer,</w:t>
      </w:r>
      <w:r w:rsidRPr="00AA17A4">
        <w:rPr>
          <w:rFonts w:eastAsiaTheme="minorEastAsia" w:cstheme="minorBidi"/>
          <w:kern w:val="0"/>
          <w:sz w:val="20"/>
          <w:szCs w:val="22"/>
        </w:rPr>
        <w:t xml:space="preserve"> </w:t>
      </w:r>
      <w:hyperlink r:id="rId114" w:history="1">
        <w:r w:rsidRPr="00AA17A4">
          <w:rPr>
            <w:rStyle w:val="Hyperlink"/>
          </w:rPr>
          <w:t>Inforegio - 2021-2027 Technical seminars (europa.eu)</w:t>
        </w:r>
      </w:hyperlink>
      <w:r>
        <w:t xml:space="preserve">; </w:t>
      </w:r>
      <w:hyperlink r:id="rId115" w:history="1">
        <w:r w:rsidRPr="007B7D34">
          <w:rPr>
            <w:rStyle w:val="Hyperlink"/>
          </w:rPr>
          <w:t>|: Webinars | | (europa.eu)</w:t>
        </w:r>
      </w:hyperlink>
      <w:r>
        <w:t xml:space="preserve"> .</w:t>
      </w:r>
    </w:p>
  </w:footnote>
  <w:footnote w:id="279">
    <w:p w14:paraId="30CA9AA6" w14:textId="77777777" w:rsidR="00B54ABB" w:rsidRDefault="00B54ABB" w:rsidP="00190415">
      <w:pPr>
        <w:pStyle w:val="FootnoteText"/>
      </w:pPr>
      <w:r>
        <w:rPr>
          <w:rStyle w:val="FootnoteReference"/>
        </w:rPr>
        <w:footnoteRef/>
      </w:r>
      <w:r>
        <w:t xml:space="preserve"> Rezultati predstavljaju prosjek svih modula obuke, svih izdanja.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F7E5" w14:textId="0E33754C" w:rsidR="00B54ABB" w:rsidRPr="00B83578" w:rsidRDefault="00B54ABB">
    <w:pPr>
      <w:pStyle w:val="Header"/>
      <w:rPr>
        <w:sz w:val="16"/>
        <w:szCs w:val="18"/>
      </w:rPr>
    </w:pPr>
    <w:r>
      <w:rPr>
        <w:sz w:val="16"/>
        <w:szCs w:val="18"/>
      </w:rPr>
      <w:t>PLAN AKTIVNOSTI ZA POGLAVLJE</w:t>
    </w:r>
    <w:r w:rsidRPr="00B83578">
      <w:rPr>
        <w:sz w:val="16"/>
        <w:szCs w:val="18"/>
      </w:rPr>
      <w:t xml:space="preserve"> 22 – REGIONAL</w:t>
    </w:r>
    <w:r>
      <w:rPr>
        <w:sz w:val="16"/>
        <w:szCs w:val="18"/>
      </w:rPr>
      <w:t>NA</w:t>
    </w:r>
    <w:r w:rsidRPr="00B83578">
      <w:rPr>
        <w:sz w:val="16"/>
        <w:szCs w:val="18"/>
      </w:rPr>
      <w:t xml:space="preserve"> POLI</w:t>
    </w:r>
    <w:r>
      <w:rPr>
        <w:sz w:val="16"/>
        <w:szCs w:val="18"/>
      </w:rPr>
      <w:t>TIKA I KOORDINACIJA</w:t>
    </w:r>
    <w:r w:rsidRPr="00B83578">
      <w:rPr>
        <w:sz w:val="16"/>
        <w:szCs w:val="18"/>
      </w:rPr>
      <w:t xml:space="preserve"> </w:t>
    </w:r>
    <w:r>
      <w:rPr>
        <w:sz w:val="16"/>
        <w:szCs w:val="18"/>
      </w:rPr>
      <w:t xml:space="preserve">STRUKTURNIH </w:t>
    </w:r>
    <w:r w:rsidRPr="00B83578">
      <w:rPr>
        <w:sz w:val="16"/>
        <w:szCs w:val="18"/>
      </w:rPr>
      <w:t>INSTRUMEN</w:t>
    </w:r>
    <w:r>
      <w:rPr>
        <w:sz w:val="16"/>
        <w:szCs w:val="18"/>
      </w:rPr>
      <w: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FAD"/>
    <w:multiLevelType w:val="hybridMultilevel"/>
    <w:tmpl w:val="3E82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15695"/>
    <w:multiLevelType w:val="hybridMultilevel"/>
    <w:tmpl w:val="C252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3521E"/>
    <w:multiLevelType w:val="hybridMultilevel"/>
    <w:tmpl w:val="2474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738B8"/>
    <w:multiLevelType w:val="hybridMultilevel"/>
    <w:tmpl w:val="6C902F2C"/>
    <w:lvl w:ilvl="0" w:tplc="BCAED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B2F46"/>
    <w:multiLevelType w:val="hybridMultilevel"/>
    <w:tmpl w:val="8B1A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E534B"/>
    <w:multiLevelType w:val="hybridMultilevel"/>
    <w:tmpl w:val="7480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67776"/>
    <w:multiLevelType w:val="hybridMultilevel"/>
    <w:tmpl w:val="69A0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D7C3A"/>
    <w:multiLevelType w:val="hybridMultilevel"/>
    <w:tmpl w:val="2324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C47E8"/>
    <w:multiLevelType w:val="hybridMultilevel"/>
    <w:tmpl w:val="B1E2B8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62C8E"/>
    <w:multiLevelType w:val="multilevel"/>
    <w:tmpl w:val="33ACDF5E"/>
    <w:styleLink w:val="CurrentList2"/>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D71239"/>
    <w:multiLevelType w:val="hybridMultilevel"/>
    <w:tmpl w:val="888275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D744F"/>
    <w:multiLevelType w:val="hybridMultilevel"/>
    <w:tmpl w:val="819C9DC0"/>
    <w:lvl w:ilvl="0" w:tplc="BCAED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D1F2A"/>
    <w:multiLevelType w:val="hybridMultilevel"/>
    <w:tmpl w:val="AEA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A0AE9"/>
    <w:multiLevelType w:val="hybridMultilevel"/>
    <w:tmpl w:val="8306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D0ACA"/>
    <w:multiLevelType w:val="hybridMultilevel"/>
    <w:tmpl w:val="FDF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43737"/>
    <w:multiLevelType w:val="hybridMultilevel"/>
    <w:tmpl w:val="E1C015DC"/>
    <w:lvl w:ilvl="0" w:tplc="0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36256C"/>
    <w:multiLevelType w:val="hybridMultilevel"/>
    <w:tmpl w:val="BEE6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94262"/>
    <w:multiLevelType w:val="hybridMultilevel"/>
    <w:tmpl w:val="F518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065C8"/>
    <w:multiLevelType w:val="hybridMultilevel"/>
    <w:tmpl w:val="DEAAC638"/>
    <w:lvl w:ilvl="0" w:tplc="B70CC8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43265"/>
    <w:multiLevelType w:val="hybridMultilevel"/>
    <w:tmpl w:val="13085F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50010"/>
    <w:multiLevelType w:val="hybridMultilevel"/>
    <w:tmpl w:val="2D00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A69C1"/>
    <w:multiLevelType w:val="hybridMultilevel"/>
    <w:tmpl w:val="D4460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533D6"/>
    <w:multiLevelType w:val="hybridMultilevel"/>
    <w:tmpl w:val="B51C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E4744"/>
    <w:multiLevelType w:val="hybridMultilevel"/>
    <w:tmpl w:val="8DD6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E619B"/>
    <w:multiLevelType w:val="hybridMultilevel"/>
    <w:tmpl w:val="71F6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927E7"/>
    <w:multiLevelType w:val="hybridMultilevel"/>
    <w:tmpl w:val="005A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A64E1"/>
    <w:multiLevelType w:val="hybridMultilevel"/>
    <w:tmpl w:val="CC4E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E36F42"/>
    <w:multiLevelType w:val="hybridMultilevel"/>
    <w:tmpl w:val="240092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013A9"/>
    <w:multiLevelType w:val="hybridMultilevel"/>
    <w:tmpl w:val="EF30C3EE"/>
    <w:lvl w:ilvl="0" w:tplc="BCAED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D13F7"/>
    <w:multiLevelType w:val="multilevel"/>
    <w:tmpl w:val="3FA03D0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30" w15:restartNumberingAfterBreak="0">
    <w:nsid w:val="3ECE2805"/>
    <w:multiLevelType w:val="hybridMultilevel"/>
    <w:tmpl w:val="5972F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7773EC"/>
    <w:multiLevelType w:val="hybridMultilevel"/>
    <w:tmpl w:val="088EA800"/>
    <w:lvl w:ilvl="0" w:tplc="0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A26AE4"/>
    <w:multiLevelType w:val="hybridMultilevel"/>
    <w:tmpl w:val="D71A89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6F30E2"/>
    <w:multiLevelType w:val="hybridMultilevel"/>
    <w:tmpl w:val="0784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74352D"/>
    <w:multiLevelType w:val="hybridMultilevel"/>
    <w:tmpl w:val="6CA6ACFC"/>
    <w:lvl w:ilvl="0" w:tplc="BCAED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8367F7"/>
    <w:multiLevelType w:val="hybridMultilevel"/>
    <w:tmpl w:val="8E2C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1820DD"/>
    <w:multiLevelType w:val="hybridMultilevel"/>
    <w:tmpl w:val="EB0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832724"/>
    <w:multiLevelType w:val="hybridMultilevel"/>
    <w:tmpl w:val="7FE0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1D3C94"/>
    <w:multiLevelType w:val="hybridMultilevel"/>
    <w:tmpl w:val="85C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0E301D"/>
    <w:multiLevelType w:val="hybridMultilevel"/>
    <w:tmpl w:val="07CA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246862"/>
    <w:multiLevelType w:val="hybridMultilevel"/>
    <w:tmpl w:val="A2C8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B2144"/>
    <w:multiLevelType w:val="multilevel"/>
    <w:tmpl w:val="1F28891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48EF43B2"/>
    <w:multiLevelType w:val="hybridMultilevel"/>
    <w:tmpl w:val="973C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C77C40"/>
    <w:multiLevelType w:val="hybridMultilevel"/>
    <w:tmpl w:val="0A70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0D7495"/>
    <w:multiLevelType w:val="hybridMultilevel"/>
    <w:tmpl w:val="8ED60F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8A2ABA"/>
    <w:multiLevelType w:val="hybridMultilevel"/>
    <w:tmpl w:val="B894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7B42D0"/>
    <w:multiLevelType w:val="hybridMultilevel"/>
    <w:tmpl w:val="BF084206"/>
    <w:lvl w:ilvl="0" w:tplc="BCAED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EB2A42"/>
    <w:multiLevelType w:val="hybridMultilevel"/>
    <w:tmpl w:val="27A2E0E8"/>
    <w:lvl w:ilvl="0" w:tplc="8496E61A">
      <w:start w:val="3"/>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E45B95"/>
    <w:multiLevelType w:val="hybridMultilevel"/>
    <w:tmpl w:val="3E0E2B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F42A0A"/>
    <w:multiLevelType w:val="hybridMultilevel"/>
    <w:tmpl w:val="79E4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5A708B"/>
    <w:multiLevelType w:val="hybridMultilevel"/>
    <w:tmpl w:val="8442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127CF5"/>
    <w:multiLevelType w:val="hybridMultilevel"/>
    <w:tmpl w:val="81226BDA"/>
    <w:lvl w:ilvl="0" w:tplc="0809000F">
      <w:start w:val="1"/>
      <w:numFmt w:val="decimal"/>
      <w:lvlText w:val="%1."/>
      <w:lvlJc w:val="left"/>
      <w:pPr>
        <w:ind w:left="720" w:hanging="360"/>
      </w:pPr>
      <w:rPr>
        <w:rFonts w:hint="default"/>
      </w:rPr>
    </w:lvl>
    <w:lvl w:ilvl="1" w:tplc="E5AEC85C">
      <w:start w:val="6"/>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B657F88"/>
    <w:multiLevelType w:val="hybridMultilevel"/>
    <w:tmpl w:val="8F02CF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473860"/>
    <w:multiLevelType w:val="hybridMultilevel"/>
    <w:tmpl w:val="ED0E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164B63"/>
    <w:multiLevelType w:val="hybridMultilevel"/>
    <w:tmpl w:val="B4D28142"/>
    <w:lvl w:ilvl="0" w:tplc="BCAED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739C2"/>
    <w:multiLevelType w:val="hybridMultilevel"/>
    <w:tmpl w:val="ED4E74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726BCA"/>
    <w:multiLevelType w:val="hybridMultilevel"/>
    <w:tmpl w:val="DB7A65E0"/>
    <w:lvl w:ilvl="0" w:tplc="BCAED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35236F"/>
    <w:multiLevelType w:val="hybridMultilevel"/>
    <w:tmpl w:val="0544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B6356A"/>
    <w:multiLevelType w:val="hybridMultilevel"/>
    <w:tmpl w:val="BA140E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62D37E92"/>
    <w:multiLevelType w:val="hybridMultilevel"/>
    <w:tmpl w:val="DCC627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866717"/>
    <w:multiLevelType w:val="hybridMultilevel"/>
    <w:tmpl w:val="45F2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6C2313"/>
    <w:multiLevelType w:val="hybridMultilevel"/>
    <w:tmpl w:val="6F1036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5A402B4"/>
    <w:multiLevelType w:val="hybridMultilevel"/>
    <w:tmpl w:val="E86C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844A9D"/>
    <w:multiLevelType w:val="hybridMultilevel"/>
    <w:tmpl w:val="36D290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FC2FC4"/>
    <w:multiLevelType w:val="hybridMultilevel"/>
    <w:tmpl w:val="E8AEEB8A"/>
    <w:lvl w:ilvl="0" w:tplc="8496E61A">
      <w:start w:val="3"/>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1C57ED"/>
    <w:multiLevelType w:val="hybridMultilevel"/>
    <w:tmpl w:val="C7E0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947466"/>
    <w:multiLevelType w:val="hybridMultilevel"/>
    <w:tmpl w:val="9DDA5976"/>
    <w:lvl w:ilvl="0" w:tplc="BCAED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D521CD"/>
    <w:multiLevelType w:val="hybridMultilevel"/>
    <w:tmpl w:val="C19AD3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9F61AF"/>
    <w:multiLevelType w:val="hybridMultilevel"/>
    <w:tmpl w:val="7C4A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5F79B3"/>
    <w:multiLevelType w:val="multilevel"/>
    <w:tmpl w:val="226C0E8E"/>
    <w:styleLink w:val="CurrentList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096A9C"/>
    <w:multiLevelType w:val="hybridMultilevel"/>
    <w:tmpl w:val="2CECD7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73775C04"/>
    <w:multiLevelType w:val="hybridMultilevel"/>
    <w:tmpl w:val="945C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E02274"/>
    <w:multiLevelType w:val="hybridMultilevel"/>
    <w:tmpl w:val="C7BA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9664F0"/>
    <w:multiLevelType w:val="hybridMultilevel"/>
    <w:tmpl w:val="431E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AC25B7"/>
    <w:multiLevelType w:val="hybridMultilevel"/>
    <w:tmpl w:val="17187D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BB4854"/>
    <w:multiLevelType w:val="hybridMultilevel"/>
    <w:tmpl w:val="0DD2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192F71"/>
    <w:multiLevelType w:val="hybridMultilevel"/>
    <w:tmpl w:val="63CA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F76633"/>
    <w:multiLevelType w:val="hybridMultilevel"/>
    <w:tmpl w:val="DB14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132E10"/>
    <w:multiLevelType w:val="hybridMultilevel"/>
    <w:tmpl w:val="9254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706B8F"/>
    <w:multiLevelType w:val="hybridMultilevel"/>
    <w:tmpl w:val="34C27FA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6F1DD8"/>
    <w:multiLevelType w:val="hybridMultilevel"/>
    <w:tmpl w:val="5A58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132932"/>
    <w:multiLevelType w:val="hybridMultilevel"/>
    <w:tmpl w:val="C7A8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D9758D3"/>
    <w:multiLevelType w:val="hybridMultilevel"/>
    <w:tmpl w:val="9CA0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9"/>
  </w:num>
  <w:num w:numId="3">
    <w:abstractNumId w:val="81"/>
  </w:num>
  <w:num w:numId="4">
    <w:abstractNumId w:val="30"/>
  </w:num>
  <w:num w:numId="5">
    <w:abstractNumId w:val="31"/>
  </w:num>
  <w:num w:numId="6">
    <w:abstractNumId w:val="29"/>
  </w:num>
  <w:num w:numId="7">
    <w:abstractNumId w:val="41"/>
  </w:num>
  <w:num w:numId="8">
    <w:abstractNumId w:val="15"/>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64"/>
  </w:num>
  <w:num w:numId="12">
    <w:abstractNumId w:val="70"/>
  </w:num>
  <w:num w:numId="13">
    <w:abstractNumId w:val="6"/>
  </w:num>
  <w:num w:numId="14">
    <w:abstractNumId w:val="7"/>
  </w:num>
  <w:num w:numId="15">
    <w:abstractNumId w:val="36"/>
  </w:num>
  <w:num w:numId="16">
    <w:abstractNumId w:val="24"/>
  </w:num>
  <w:num w:numId="17">
    <w:abstractNumId w:val="75"/>
  </w:num>
  <w:num w:numId="18">
    <w:abstractNumId w:val="71"/>
  </w:num>
  <w:num w:numId="19">
    <w:abstractNumId w:val="60"/>
  </w:num>
  <w:num w:numId="20">
    <w:abstractNumId w:val="4"/>
  </w:num>
  <w:num w:numId="21">
    <w:abstractNumId w:val="13"/>
  </w:num>
  <w:num w:numId="22">
    <w:abstractNumId w:val="33"/>
  </w:num>
  <w:num w:numId="23">
    <w:abstractNumId w:val="26"/>
  </w:num>
  <w:num w:numId="24">
    <w:abstractNumId w:val="20"/>
  </w:num>
  <w:num w:numId="25">
    <w:abstractNumId w:val="49"/>
  </w:num>
  <w:num w:numId="26">
    <w:abstractNumId w:val="37"/>
  </w:num>
  <w:num w:numId="27">
    <w:abstractNumId w:val="1"/>
  </w:num>
  <w:num w:numId="28">
    <w:abstractNumId w:val="42"/>
  </w:num>
  <w:num w:numId="29">
    <w:abstractNumId w:val="16"/>
  </w:num>
  <w:num w:numId="30">
    <w:abstractNumId w:val="2"/>
  </w:num>
  <w:num w:numId="31">
    <w:abstractNumId w:val="39"/>
  </w:num>
  <w:num w:numId="32">
    <w:abstractNumId w:val="57"/>
  </w:num>
  <w:num w:numId="33">
    <w:abstractNumId w:val="50"/>
  </w:num>
  <w:num w:numId="34">
    <w:abstractNumId w:val="25"/>
  </w:num>
  <w:num w:numId="35">
    <w:abstractNumId w:val="46"/>
  </w:num>
  <w:num w:numId="36">
    <w:abstractNumId w:val="66"/>
  </w:num>
  <w:num w:numId="37">
    <w:abstractNumId w:val="56"/>
  </w:num>
  <w:num w:numId="38">
    <w:abstractNumId w:val="34"/>
  </w:num>
  <w:num w:numId="39">
    <w:abstractNumId w:val="28"/>
  </w:num>
  <w:num w:numId="40">
    <w:abstractNumId w:val="79"/>
  </w:num>
  <w:num w:numId="41">
    <w:abstractNumId w:val="19"/>
  </w:num>
  <w:num w:numId="42">
    <w:abstractNumId w:val="67"/>
  </w:num>
  <w:num w:numId="43">
    <w:abstractNumId w:val="10"/>
  </w:num>
  <w:num w:numId="44">
    <w:abstractNumId w:val="59"/>
  </w:num>
  <w:num w:numId="45">
    <w:abstractNumId w:val="48"/>
  </w:num>
  <w:num w:numId="46">
    <w:abstractNumId w:val="44"/>
  </w:num>
  <w:num w:numId="47">
    <w:abstractNumId w:val="8"/>
  </w:num>
  <w:num w:numId="48">
    <w:abstractNumId w:val="52"/>
  </w:num>
  <w:num w:numId="49">
    <w:abstractNumId w:val="27"/>
  </w:num>
  <w:num w:numId="50">
    <w:abstractNumId w:val="32"/>
  </w:num>
  <w:num w:numId="51">
    <w:abstractNumId w:val="63"/>
  </w:num>
  <w:num w:numId="52">
    <w:abstractNumId w:val="74"/>
  </w:num>
  <w:num w:numId="53">
    <w:abstractNumId w:val="45"/>
  </w:num>
  <w:num w:numId="54">
    <w:abstractNumId w:val="68"/>
  </w:num>
  <w:num w:numId="55">
    <w:abstractNumId w:val="23"/>
  </w:num>
  <w:num w:numId="56">
    <w:abstractNumId w:val="22"/>
  </w:num>
  <w:num w:numId="57">
    <w:abstractNumId w:val="78"/>
  </w:num>
  <w:num w:numId="58">
    <w:abstractNumId w:val="21"/>
  </w:num>
  <w:num w:numId="59">
    <w:abstractNumId w:val="80"/>
  </w:num>
  <w:num w:numId="60">
    <w:abstractNumId w:val="35"/>
  </w:num>
  <w:num w:numId="61">
    <w:abstractNumId w:val="58"/>
  </w:num>
  <w:num w:numId="62">
    <w:abstractNumId w:val="40"/>
  </w:num>
  <w:num w:numId="63">
    <w:abstractNumId w:val="5"/>
  </w:num>
  <w:num w:numId="64">
    <w:abstractNumId w:val="76"/>
  </w:num>
  <w:num w:numId="65">
    <w:abstractNumId w:val="14"/>
  </w:num>
  <w:num w:numId="66">
    <w:abstractNumId w:val="17"/>
  </w:num>
  <w:num w:numId="67">
    <w:abstractNumId w:val="53"/>
  </w:num>
  <w:num w:numId="68">
    <w:abstractNumId w:val="62"/>
  </w:num>
  <w:num w:numId="69">
    <w:abstractNumId w:val="18"/>
  </w:num>
  <w:num w:numId="70">
    <w:abstractNumId w:val="11"/>
  </w:num>
  <w:num w:numId="71">
    <w:abstractNumId w:val="54"/>
  </w:num>
  <w:num w:numId="72">
    <w:abstractNumId w:val="72"/>
  </w:num>
  <w:num w:numId="73">
    <w:abstractNumId w:val="73"/>
  </w:num>
  <w:num w:numId="74">
    <w:abstractNumId w:val="38"/>
  </w:num>
  <w:num w:numId="75">
    <w:abstractNumId w:val="82"/>
  </w:num>
  <w:num w:numId="76">
    <w:abstractNumId w:val="12"/>
  </w:num>
  <w:num w:numId="77">
    <w:abstractNumId w:val="65"/>
  </w:num>
  <w:num w:numId="78">
    <w:abstractNumId w:val="0"/>
  </w:num>
  <w:num w:numId="79">
    <w:abstractNumId w:val="77"/>
  </w:num>
  <w:num w:numId="80">
    <w:abstractNumId w:val="43"/>
  </w:num>
  <w:num w:numId="81">
    <w:abstractNumId w:val="61"/>
  </w:num>
  <w:num w:numId="82">
    <w:abstractNumId w:val="51"/>
  </w:num>
  <w:num w:numId="83">
    <w:abstractNumId w:val="55"/>
  </w:num>
  <w:num w:numId="84">
    <w:abstractNumId w:val="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B0195"/>
    <w:rsid w:val="00000948"/>
    <w:rsid w:val="00000C68"/>
    <w:rsid w:val="00000EE3"/>
    <w:rsid w:val="00001F1D"/>
    <w:rsid w:val="00002960"/>
    <w:rsid w:val="00003496"/>
    <w:rsid w:val="000043F9"/>
    <w:rsid w:val="000048F8"/>
    <w:rsid w:val="00004A63"/>
    <w:rsid w:val="0000678B"/>
    <w:rsid w:val="00006A6F"/>
    <w:rsid w:val="00006E46"/>
    <w:rsid w:val="00010321"/>
    <w:rsid w:val="000106A9"/>
    <w:rsid w:val="00010A63"/>
    <w:rsid w:val="00010C36"/>
    <w:rsid w:val="00013231"/>
    <w:rsid w:val="0001618B"/>
    <w:rsid w:val="00017758"/>
    <w:rsid w:val="000217E8"/>
    <w:rsid w:val="00021E07"/>
    <w:rsid w:val="00021EB4"/>
    <w:rsid w:val="00021F58"/>
    <w:rsid w:val="000221EB"/>
    <w:rsid w:val="00022BAA"/>
    <w:rsid w:val="0002385A"/>
    <w:rsid w:val="00024BC1"/>
    <w:rsid w:val="00026EC3"/>
    <w:rsid w:val="000270DD"/>
    <w:rsid w:val="0003012A"/>
    <w:rsid w:val="000310A2"/>
    <w:rsid w:val="000319ED"/>
    <w:rsid w:val="00032389"/>
    <w:rsid w:val="000323BD"/>
    <w:rsid w:val="00033C5F"/>
    <w:rsid w:val="00033C6F"/>
    <w:rsid w:val="0003655A"/>
    <w:rsid w:val="000373A7"/>
    <w:rsid w:val="0003774F"/>
    <w:rsid w:val="00037FCF"/>
    <w:rsid w:val="00041681"/>
    <w:rsid w:val="00041E1B"/>
    <w:rsid w:val="00042005"/>
    <w:rsid w:val="00042063"/>
    <w:rsid w:val="00042B56"/>
    <w:rsid w:val="00042C89"/>
    <w:rsid w:val="000430C0"/>
    <w:rsid w:val="0004376C"/>
    <w:rsid w:val="000466D2"/>
    <w:rsid w:val="00046968"/>
    <w:rsid w:val="000528EC"/>
    <w:rsid w:val="00054A20"/>
    <w:rsid w:val="00055C0C"/>
    <w:rsid w:val="000601E7"/>
    <w:rsid w:val="0006108B"/>
    <w:rsid w:val="00063244"/>
    <w:rsid w:val="000637EA"/>
    <w:rsid w:val="00063C07"/>
    <w:rsid w:val="000663FA"/>
    <w:rsid w:val="000708DE"/>
    <w:rsid w:val="00071E9C"/>
    <w:rsid w:val="0007244F"/>
    <w:rsid w:val="000726AC"/>
    <w:rsid w:val="00073CD6"/>
    <w:rsid w:val="0007436D"/>
    <w:rsid w:val="000744D1"/>
    <w:rsid w:val="000750F7"/>
    <w:rsid w:val="00076BC1"/>
    <w:rsid w:val="000805BE"/>
    <w:rsid w:val="000806EF"/>
    <w:rsid w:val="00080A71"/>
    <w:rsid w:val="000817B2"/>
    <w:rsid w:val="00082837"/>
    <w:rsid w:val="0008368A"/>
    <w:rsid w:val="00083768"/>
    <w:rsid w:val="00087AEA"/>
    <w:rsid w:val="000900A2"/>
    <w:rsid w:val="00091B36"/>
    <w:rsid w:val="00093608"/>
    <w:rsid w:val="00094723"/>
    <w:rsid w:val="000949E3"/>
    <w:rsid w:val="00096A12"/>
    <w:rsid w:val="00097367"/>
    <w:rsid w:val="000A023F"/>
    <w:rsid w:val="000A0623"/>
    <w:rsid w:val="000A21F2"/>
    <w:rsid w:val="000A2312"/>
    <w:rsid w:val="000A38F2"/>
    <w:rsid w:val="000A4B30"/>
    <w:rsid w:val="000A67D9"/>
    <w:rsid w:val="000B0955"/>
    <w:rsid w:val="000B19E6"/>
    <w:rsid w:val="000B25F6"/>
    <w:rsid w:val="000B276D"/>
    <w:rsid w:val="000B3F08"/>
    <w:rsid w:val="000B46F4"/>
    <w:rsid w:val="000B4DAA"/>
    <w:rsid w:val="000B5FEB"/>
    <w:rsid w:val="000B7217"/>
    <w:rsid w:val="000B77BB"/>
    <w:rsid w:val="000B7F39"/>
    <w:rsid w:val="000C0CFF"/>
    <w:rsid w:val="000C0F56"/>
    <w:rsid w:val="000C223D"/>
    <w:rsid w:val="000C238F"/>
    <w:rsid w:val="000C4DFD"/>
    <w:rsid w:val="000C70A6"/>
    <w:rsid w:val="000D076B"/>
    <w:rsid w:val="000D384E"/>
    <w:rsid w:val="000D407A"/>
    <w:rsid w:val="000D4543"/>
    <w:rsid w:val="000D52B4"/>
    <w:rsid w:val="000E011F"/>
    <w:rsid w:val="000E1EE9"/>
    <w:rsid w:val="000E2137"/>
    <w:rsid w:val="000E2263"/>
    <w:rsid w:val="000E26F5"/>
    <w:rsid w:val="000E316D"/>
    <w:rsid w:val="000E31A7"/>
    <w:rsid w:val="000E3D8D"/>
    <w:rsid w:val="000E52BD"/>
    <w:rsid w:val="000E5479"/>
    <w:rsid w:val="000E7F10"/>
    <w:rsid w:val="000F1DF1"/>
    <w:rsid w:val="000F2FAD"/>
    <w:rsid w:val="000F3BCE"/>
    <w:rsid w:val="00100787"/>
    <w:rsid w:val="00100B52"/>
    <w:rsid w:val="00102CBE"/>
    <w:rsid w:val="00105257"/>
    <w:rsid w:val="00105295"/>
    <w:rsid w:val="0010650A"/>
    <w:rsid w:val="00106577"/>
    <w:rsid w:val="0011084C"/>
    <w:rsid w:val="00110A71"/>
    <w:rsid w:val="00111ED6"/>
    <w:rsid w:val="00112AB0"/>
    <w:rsid w:val="00112D31"/>
    <w:rsid w:val="00112DFB"/>
    <w:rsid w:val="001134BE"/>
    <w:rsid w:val="00114239"/>
    <w:rsid w:val="00116B99"/>
    <w:rsid w:val="0012081C"/>
    <w:rsid w:val="00121E81"/>
    <w:rsid w:val="0012237A"/>
    <w:rsid w:val="00123ACE"/>
    <w:rsid w:val="00123BAF"/>
    <w:rsid w:val="00124E5C"/>
    <w:rsid w:val="0012520E"/>
    <w:rsid w:val="00125579"/>
    <w:rsid w:val="001257EF"/>
    <w:rsid w:val="00126F06"/>
    <w:rsid w:val="001273FE"/>
    <w:rsid w:val="00130A44"/>
    <w:rsid w:val="00131A5E"/>
    <w:rsid w:val="001324E4"/>
    <w:rsid w:val="0013334C"/>
    <w:rsid w:val="00133FA3"/>
    <w:rsid w:val="00134197"/>
    <w:rsid w:val="00134CF5"/>
    <w:rsid w:val="00135EB6"/>
    <w:rsid w:val="00136ACE"/>
    <w:rsid w:val="00136D63"/>
    <w:rsid w:val="001425FB"/>
    <w:rsid w:val="0014333A"/>
    <w:rsid w:val="00143961"/>
    <w:rsid w:val="00144235"/>
    <w:rsid w:val="00144517"/>
    <w:rsid w:val="00144F14"/>
    <w:rsid w:val="00146138"/>
    <w:rsid w:val="001463F0"/>
    <w:rsid w:val="00150094"/>
    <w:rsid w:val="0015170B"/>
    <w:rsid w:val="00153545"/>
    <w:rsid w:val="00154336"/>
    <w:rsid w:val="001552F6"/>
    <w:rsid w:val="00155419"/>
    <w:rsid w:val="00155C35"/>
    <w:rsid w:val="0015763B"/>
    <w:rsid w:val="00157D88"/>
    <w:rsid w:val="00157EBE"/>
    <w:rsid w:val="00161351"/>
    <w:rsid w:val="00161728"/>
    <w:rsid w:val="00162210"/>
    <w:rsid w:val="001633A3"/>
    <w:rsid w:val="00163AA1"/>
    <w:rsid w:val="00163D4B"/>
    <w:rsid w:val="0016411D"/>
    <w:rsid w:val="00166E9F"/>
    <w:rsid w:val="001709C4"/>
    <w:rsid w:val="00172D49"/>
    <w:rsid w:val="00172E61"/>
    <w:rsid w:val="001731F4"/>
    <w:rsid w:val="0017479D"/>
    <w:rsid w:val="001750F9"/>
    <w:rsid w:val="0017551E"/>
    <w:rsid w:val="001756D2"/>
    <w:rsid w:val="0017620B"/>
    <w:rsid w:val="00176788"/>
    <w:rsid w:val="00176B9F"/>
    <w:rsid w:val="0018072A"/>
    <w:rsid w:val="00180A1F"/>
    <w:rsid w:val="00180D1E"/>
    <w:rsid w:val="00181F60"/>
    <w:rsid w:val="001840E9"/>
    <w:rsid w:val="00184115"/>
    <w:rsid w:val="001843D4"/>
    <w:rsid w:val="00184BA2"/>
    <w:rsid w:val="00190415"/>
    <w:rsid w:val="0019291F"/>
    <w:rsid w:val="00193740"/>
    <w:rsid w:val="00194928"/>
    <w:rsid w:val="00196244"/>
    <w:rsid w:val="001A0DD5"/>
    <w:rsid w:val="001A14E2"/>
    <w:rsid w:val="001A6649"/>
    <w:rsid w:val="001B01AA"/>
    <w:rsid w:val="001B09F7"/>
    <w:rsid w:val="001B0D3C"/>
    <w:rsid w:val="001B12B0"/>
    <w:rsid w:val="001B13F9"/>
    <w:rsid w:val="001B232C"/>
    <w:rsid w:val="001B45D8"/>
    <w:rsid w:val="001B4A93"/>
    <w:rsid w:val="001B5123"/>
    <w:rsid w:val="001B66F6"/>
    <w:rsid w:val="001B68B7"/>
    <w:rsid w:val="001C0578"/>
    <w:rsid w:val="001C33E3"/>
    <w:rsid w:val="001C446E"/>
    <w:rsid w:val="001C4AC5"/>
    <w:rsid w:val="001C6BCB"/>
    <w:rsid w:val="001D1A3B"/>
    <w:rsid w:val="001D1A71"/>
    <w:rsid w:val="001D24A3"/>
    <w:rsid w:val="001D5515"/>
    <w:rsid w:val="001D692B"/>
    <w:rsid w:val="001E0B67"/>
    <w:rsid w:val="001E0DEB"/>
    <w:rsid w:val="001E22B7"/>
    <w:rsid w:val="001E3622"/>
    <w:rsid w:val="001E435D"/>
    <w:rsid w:val="001E4D9B"/>
    <w:rsid w:val="001E6FF7"/>
    <w:rsid w:val="001E7AA4"/>
    <w:rsid w:val="001E7B81"/>
    <w:rsid w:val="001F3C7B"/>
    <w:rsid w:val="001F5C59"/>
    <w:rsid w:val="001F6A2D"/>
    <w:rsid w:val="0020117C"/>
    <w:rsid w:val="00202984"/>
    <w:rsid w:val="00202ED1"/>
    <w:rsid w:val="002039BB"/>
    <w:rsid w:val="00203FFA"/>
    <w:rsid w:val="00204B1C"/>
    <w:rsid w:val="00205679"/>
    <w:rsid w:val="00206379"/>
    <w:rsid w:val="00206BD1"/>
    <w:rsid w:val="002074DC"/>
    <w:rsid w:val="00211DA9"/>
    <w:rsid w:val="00212E81"/>
    <w:rsid w:val="00213752"/>
    <w:rsid w:val="002160C0"/>
    <w:rsid w:val="00217397"/>
    <w:rsid w:val="002221D3"/>
    <w:rsid w:val="002222FE"/>
    <w:rsid w:val="00227B5B"/>
    <w:rsid w:val="00227D22"/>
    <w:rsid w:val="00230EA2"/>
    <w:rsid w:val="002311B3"/>
    <w:rsid w:val="00233510"/>
    <w:rsid w:val="00233D31"/>
    <w:rsid w:val="00234C6C"/>
    <w:rsid w:val="00236784"/>
    <w:rsid w:val="002377FF"/>
    <w:rsid w:val="00237DDC"/>
    <w:rsid w:val="00240ED7"/>
    <w:rsid w:val="00241686"/>
    <w:rsid w:val="00243189"/>
    <w:rsid w:val="00243FE4"/>
    <w:rsid w:val="00244DFE"/>
    <w:rsid w:val="00245304"/>
    <w:rsid w:val="00246736"/>
    <w:rsid w:val="00253BB7"/>
    <w:rsid w:val="00253EC5"/>
    <w:rsid w:val="00254811"/>
    <w:rsid w:val="00254C01"/>
    <w:rsid w:val="002560F2"/>
    <w:rsid w:val="00256FC7"/>
    <w:rsid w:val="00257826"/>
    <w:rsid w:val="00260A49"/>
    <w:rsid w:val="00260B98"/>
    <w:rsid w:val="00261158"/>
    <w:rsid w:val="0026164B"/>
    <w:rsid w:val="002627E3"/>
    <w:rsid w:val="00263534"/>
    <w:rsid w:val="00264194"/>
    <w:rsid w:val="0026484B"/>
    <w:rsid w:val="00264CB9"/>
    <w:rsid w:val="00264D41"/>
    <w:rsid w:val="00265715"/>
    <w:rsid w:val="0026681A"/>
    <w:rsid w:val="00267523"/>
    <w:rsid w:val="00271879"/>
    <w:rsid w:val="00271DC4"/>
    <w:rsid w:val="00271FEC"/>
    <w:rsid w:val="00272506"/>
    <w:rsid w:val="002728EE"/>
    <w:rsid w:val="002737D1"/>
    <w:rsid w:val="002754D0"/>
    <w:rsid w:val="002770EC"/>
    <w:rsid w:val="002773A0"/>
    <w:rsid w:val="002800C0"/>
    <w:rsid w:val="002806CA"/>
    <w:rsid w:val="00280BC4"/>
    <w:rsid w:val="00280CEA"/>
    <w:rsid w:val="00283214"/>
    <w:rsid w:val="002843CF"/>
    <w:rsid w:val="00287450"/>
    <w:rsid w:val="002914F8"/>
    <w:rsid w:val="00291704"/>
    <w:rsid w:val="002926B9"/>
    <w:rsid w:val="00294504"/>
    <w:rsid w:val="002948CB"/>
    <w:rsid w:val="00295767"/>
    <w:rsid w:val="00296E2A"/>
    <w:rsid w:val="00296F66"/>
    <w:rsid w:val="0029749E"/>
    <w:rsid w:val="002A0306"/>
    <w:rsid w:val="002A0733"/>
    <w:rsid w:val="002A27BC"/>
    <w:rsid w:val="002A41FC"/>
    <w:rsid w:val="002A5433"/>
    <w:rsid w:val="002A61C1"/>
    <w:rsid w:val="002A6536"/>
    <w:rsid w:val="002B035B"/>
    <w:rsid w:val="002B181F"/>
    <w:rsid w:val="002B1BF7"/>
    <w:rsid w:val="002B40FA"/>
    <w:rsid w:val="002B4184"/>
    <w:rsid w:val="002B4425"/>
    <w:rsid w:val="002B5932"/>
    <w:rsid w:val="002B6113"/>
    <w:rsid w:val="002B721F"/>
    <w:rsid w:val="002C04F3"/>
    <w:rsid w:val="002C0AC4"/>
    <w:rsid w:val="002C15CF"/>
    <w:rsid w:val="002C188C"/>
    <w:rsid w:val="002C19D7"/>
    <w:rsid w:val="002C2315"/>
    <w:rsid w:val="002C3595"/>
    <w:rsid w:val="002C39D5"/>
    <w:rsid w:val="002D19F3"/>
    <w:rsid w:val="002D212A"/>
    <w:rsid w:val="002D4391"/>
    <w:rsid w:val="002D4489"/>
    <w:rsid w:val="002D4BED"/>
    <w:rsid w:val="002D608B"/>
    <w:rsid w:val="002D61BC"/>
    <w:rsid w:val="002D6FE8"/>
    <w:rsid w:val="002E007F"/>
    <w:rsid w:val="002E04B2"/>
    <w:rsid w:val="002E1C06"/>
    <w:rsid w:val="002E2351"/>
    <w:rsid w:val="002E297C"/>
    <w:rsid w:val="002E2EE1"/>
    <w:rsid w:val="002E306F"/>
    <w:rsid w:val="002E3197"/>
    <w:rsid w:val="002E3516"/>
    <w:rsid w:val="002E352C"/>
    <w:rsid w:val="002E3685"/>
    <w:rsid w:val="002E5BAF"/>
    <w:rsid w:val="002E6461"/>
    <w:rsid w:val="002F1365"/>
    <w:rsid w:val="002F257A"/>
    <w:rsid w:val="002F2995"/>
    <w:rsid w:val="002F2D68"/>
    <w:rsid w:val="002F51DA"/>
    <w:rsid w:val="002F610E"/>
    <w:rsid w:val="002F67D3"/>
    <w:rsid w:val="002F783F"/>
    <w:rsid w:val="003001F8"/>
    <w:rsid w:val="00301A9F"/>
    <w:rsid w:val="00302792"/>
    <w:rsid w:val="00303EE2"/>
    <w:rsid w:val="00305C14"/>
    <w:rsid w:val="00306EBD"/>
    <w:rsid w:val="00310763"/>
    <w:rsid w:val="003117E3"/>
    <w:rsid w:val="00311C19"/>
    <w:rsid w:val="003120A1"/>
    <w:rsid w:val="00312725"/>
    <w:rsid w:val="00312AA7"/>
    <w:rsid w:val="003131C1"/>
    <w:rsid w:val="00313B99"/>
    <w:rsid w:val="00314B7F"/>
    <w:rsid w:val="003157BD"/>
    <w:rsid w:val="00317EF7"/>
    <w:rsid w:val="00320154"/>
    <w:rsid w:val="00320B50"/>
    <w:rsid w:val="00321054"/>
    <w:rsid w:val="0032369C"/>
    <w:rsid w:val="0032467D"/>
    <w:rsid w:val="00325B60"/>
    <w:rsid w:val="00325F37"/>
    <w:rsid w:val="003263FB"/>
    <w:rsid w:val="00330F13"/>
    <w:rsid w:val="00331227"/>
    <w:rsid w:val="00337322"/>
    <w:rsid w:val="003375F1"/>
    <w:rsid w:val="003400FD"/>
    <w:rsid w:val="0034035D"/>
    <w:rsid w:val="00341FBA"/>
    <w:rsid w:val="003424FF"/>
    <w:rsid w:val="00343A02"/>
    <w:rsid w:val="00343F2E"/>
    <w:rsid w:val="00344131"/>
    <w:rsid w:val="003457A9"/>
    <w:rsid w:val="0034604D"/>
    <w:rsid w:val="0034651A"/>
    <w:rsid w:val="003477C5"/>
    <w:rsid w:val="00347C91"/>
    <w:rsid w:val="003511AC"/>
    <w:rsid w:val="003518C4"/>
    <w:rsid w:val="0035194C"/>
    <w:rsid w:val="003523CD"/>
    <w:rsid w:val="00352F0D"/>
    <w:rsid w:val="003538FB"/>
    <w:rsid w:val="0035558A"/>
    <w:rsid w:val="003559D4"/>
    <w:rsid w:val="00362CDE"/>
    <w:rsid w:val="003630F9"/>
    <w:rsid w:val="00363E3B"/>
    <w:rsid w:val="00364792"/>
    <w:rsid w:val="0036514D"/>
    <w:rsid w:val="003660BA"/>
    <w:rsid w:val="00367C5F"/>
    <w:rsid w:val="00370CB6"/>
    <w:rsid w:val="0037130F"/>
    <w:rsid w:val="00373624"/>
    <w:rsid w:val="00374EDF"/>
    <w:rsid w:val="003754BB"/>
    <w:rsid w:val="0037579E"/>
    <w:rsid w:val="0037754C"/>
    <w:rsid w:val="003775F6"/>
    <w:rsid w:val="00380182"/>
    <w:rsid w:val="00381052"/>
    <w:rsid w:val="003836AB"/>
    <w:rsid w:val="003839D0"/>
    <w:rsid w:val="00383BE1"/>
    <w:rsid w:val="0038476B"/>
    <w:rsid w:val="00385FE2"/>
    <w:rsid w:val="003864AC"/>
    <w:rsid w:val="00387525"/>
    <w:rsid w:val="003907C6"/>
    <w:rsid w:val="00391DFF"/>
    <w:rsid w:val="00394542"/>
    <w:rsid w:val="003959DF"/>
    <w:rsid w:val="00395A59"/>
    <w:rsid w:val="00395B0F"/>
    <w:rsid w:val="003963CE"/>
    <w:rsid w:val="0039673C"/>
    <w:rsid w:val="0039738B"/>
    <w:rsid w:val="00397620"/>
    <w:rsid w:val="00397FD1"/>
    <w:rsid w:val="003A39F3"/>
    <w:rsid w:val="003A4909"/>
    <w:rsid w:val="003A4F51"/>
    <w:rsid w:val="003A54C4"/>
    <w:rsid w:val="003A5C72"/>
    <w:rsid w:val="003A6C01"/>
    <w:rsid w:val="003B191E"/>
    <w:rsid w:val="003B1BCF"/>
    <w:rsid w:val="003B2097"/>
    <w:rsid w:val="003B4CB0"/>
    <w:rsid w:val="003B55E8"/>
    <w:rsid w:val="003B6EF6"/>
    <w:rsid w:val="003C01D9"/>
    <w:rsid w:val="003C1460"/>
    <w:rsid w:val="003C1D77"/>
    <w:rsid w:val="003C2036"/>
    <w:rsid w:val="003C2604"/>
    <w:rsid w:val="003C2962"/>
    <w:rsid w:val="003C31F9"/>
    <w:rsid w:val="003C3478"/>
    <w:rsid w:val="003C4DD5"/>
    <w:rsid w:val="003C6335"/>
    <w:rsid w:val="003D056C"/>
    <w:rsid w:val="003D06D0"/>
    <w:rsid w:val="003D0E0B"/>
    <w:rsid w:val="003D16B3"/>
    <w:rsid w:val="003D1B91"/>
    <w:rsid w:val="003D1C81"/>
    <w:rsid w:val="003D2E3C"/>
    <w:rsid w:val="003D330B"/>
    <w:rsid w:val="003D35D3"/>
    <w:rsid w:val="003D3E10"/>
    <w:rsid w:val="003D47B3"/>
    <w:rsid w:val="003D6441"/>
    <w:rsid w:val="003D697F"/>
    <w:rsid w:val="003D7057"/>
    <w:rsid w:val="003D7A8B"/>
    <w:rsid w:val="003E0077"/>
    <w:rsid w:val="003E1BCB"/>
    <w:rsid w:val="003E2A14"/>
    <w:rsid w:val="003E2A39"/>
    <w:rsid w:val="003E3F68"/>
    <w:rsid w:val="003E50A7"/>
    <w:rsid w:val="003E636F"/>
    <w:rsid w:val="003E7BB0"/>
    <w:rsid w:val="003E7BBA"/>
    <w:rsid w:val="003F0A19"/>
    <w:rsid w:val="003F1CE8"/>
    <w:rsid w:val="003F2780"/>
    <w:rsid w:val="003F2AFB"/>
    <w:rsid w:val="003F3DC1"/>
    <w:rsid w:val="003F44CD"/>
    <w:rsid w:val="003F4FA3"/>
    <w:rsid w:val="003F5D67"/>
    <w:rsid w:val="0040059A"/>
    <w:rsid w:val="004018EC"/>
    <w:rsid w:val="00402589"/>
    <w:rsid w:val="00402AE0"/>
    <w:rsid w:val="00403654"/>
    <w:rsid w:val="0040761F"/>
    <w:rsid w:val="00410B52"/>
    <w:rsid w:val="00413C1A"/>
    <w:rsid w:val="004141C4"/>
    <w:rsid w:val="0041424A"/>
    <w:rsid w:val="00415EB3"/>
    <w:rsid w:val="00420401"/>
    <w:rsid w:val="004206D2"/>
    <w:rsid w:val="00420726"/>
    <w:rsid w:val="0042123E"/>
    <w:rsid w:val="00421603"/>
    <w:rsid w:val="00422CCA"/>
    <w:rsid w:val="00422E3B"/>
    <w:rsid w:val="004234AE"/>
    <w:rsid w:val="00424178"/>
    <w:rsid w:val="0043208C"/>
    <w:rsid w:val="00432665"/>
    <w:rsid w:val="00433A27"/>
    <w:rsid w:val="00433C05"/>
    <w:rsid w:val="00434435"/>
    <w:rsid w:val="00435515"/>
    <w:rsid w:val="00436FB6"/>
    <w:rsid w:val="00437295"/>
    <w:rsid w:val="00440757"/>
    <w:rsid w:val="00441C14"/>
    <w:rsid w:val="00443A5D"/>
    <w:rsid w:val="00443D93"/>
    <w:rsid w:val="004449C7"/>
    <w:rsid w:val="00446023"/>
    <w:rsid w:val="004473B7"/>
    <w:rsid w:val="0044F811"/>
    <w:rsid w:val="00450C7D"/>
    <w:rsid w:val="004514F7"/>
    <w:rsid w:val="00453603"/>
    <w:rsid w:val="00455E5E"/>
    <w:rsid w:val="004569F4"/>
    <w:rsid w:val="00457383"/>
    <w:rsid w:val="00457AC5"/>
    <w:rsid w:val="00460184"/>
    <w:rsid w:val="004618B1"/>
    <w:rsid w:val="00462023"/>
    <w:rsid w:val="004624C7"/>
    <w:rsid w:val="00462512"/>
    <w:rsid w:val="004633C0"/>
    <w:rsid w:val="00463EAA"/>
    <w:rsid w:val="00463EFA"/>
    <w:rsid w:val="00464618"/>
    <w:rsid w:val="004663D9"/>
    <w:rsid w:val="00467A13"/>
    <w:rsid w:val="0047022C"/>
    <w:rsid w:val="00470296"/>
    <w:rsid w:val="00470CE2"/>
    <w:rsid w:val="00471319"/>
    <w:rsid w:val="00471569"/>
    <w:rsid w:val="00472259"/>
    <w:rsid w:val="00472E04"/>
    <w:rsid w:val="00473DC5"/>
    <w:rsid w:val="004743B0"/>
    <w:rsid w:val="00474F7E"/>
    <w:rsid w:val="00476591"/>
    <w:rsid w:val="00477989"/>
    <w:rsid w:val="00477A44"/>
    <w:rsid w:val="00481172"/>
    <w:rsid w:val="00482B39"/>
    <w:rsid w:val="00482C6A"/>
    <w:rsid w:val="00482ECF"/>
    <w:rsid w:val="004834D8"/>
    <w:rsid w:val="0048481D"/>
    <w:rsid w:val="0048484A"/>
    <w:rsid w:val="00485713"/>
    <w:rsid w:val="00486A25"/>
    <w:rsid w:val="00487E97"/>
    <w:rsid w:val="004901CA"/>
    <w:rsid w:val="0049072F"/>
    <w:rsid w:val="00495D71"/>
    <w:rsid w:val="00495FB3"/>
    <w:rsid w:val="004963AA"/>
    <w:rsid w:val="00497CB9"/>
    <w:rsid w:val="004A1B2A"/>
    <w:rsid w:val="004A49FD"/>
    <w:rsid w:val="004A560C"/>
    <w:rsid w:val="004A61D1"/>
    <w:rsid w:val="004A7D73"/>
    <w:rsid w:val="004B306D"/>
    <w:rsid w:val="004B3ADB"/>
    <w:rsid w:val="004B48FF"/>
    <w:rsid w:val="004B57A2"/>
    <w:rsid w:val="004B583C"/>
    <w:rsid w:val="004B5DC7"/>
    <w:rsid w:val="004B5DE9"/>
    <w:rsid w:val="004B7ADD"/>
    <w:rsid w:val="004C0295"/>
    <w:rsid w:val="004C1CA4"/>
    <w:rsid w:val="004C1CEF"/>
    <w:rsid w:val="004C3961"/>
    <w:rsid w:val="004C3D60"/>
    <w:rsid w:val="004C42A3"/>
    <w:rsid w:val="004C64CC"/>
    <w:rsid w:val="004C7C07"/>
    <w:rsid w:val="004D0CDF"/>
    <w:rsid w:val="004D2563"/>
    <w:rsid w:val="004D4AE3"/>
    <w:rsid w:val="004D537A"/>
    <w:rsid w:val="004D7015"/>
    <w:rsid w:val="004D708A"/>
    <w:rsid w:val="004E0187"/>
    <w:rsid w:val="004E331B"/>
    <w:rsid w:val="004E4ACF"/>
    <w:rsid w:val="004E66DF"/>
    <w:rsid w:val="004E687E"/>
    <w:rsid w:val="004E708F"/>
    <w:rsid w:val="004E7CEF"/>
    <w:rsid w:val="004F1ACE"/>
    <w:rsid w:val="004F46DF"/>
    <w:rsid w:val="004F5EA5"/>
    <w:rsid w:val="004F615A"/>
    <w:rsid w:val="004F69B8"/>
    <w:rsid w:val="004F6D50"/>
    <w:rsid w:val="004F7EFB"/>
    <w:rsid w:val="00500ED1"/>
    <w:rsid w:val="005013DD"/>
    <w:rsid w:val="00502A6C"/>
    <w:rsid w:val="005040F3"/>
    <w:rsid w:val="00504650"/>
    <w:rsid w:val="00504688"/>
    <w:rsid w:val="00505D97"/>
    <w:rsid w:val="00505E18"/>
    <w:rsid w:val="00511126"/>
    <w:rsid w:val="0051198F"/>
    <w:rsid w:val="00511BC2"/>
    <w:rsid w:val="00511DBC"/>
    <w:rsid w:val="00512E3E"/>
    <w:rsid w:val="00513440"/>
    <w:rsid w:val="00513C62"/>
    <w:rsid w:val="0051779B"/>
    <w:rsid w:val="005215DF"/>
    <w:rsid w:val="00521EB9"/>
    <w:rsid w:val="00523E5C"/>
    <w:rsid w:val="00525D94"/>
    <w:rsid w:val="00530F3E"/>
    <w:rsid w:val="0053460F"/>
    <w:rsid w:val="00540670"/>
    <w:rsid w:val="00541DB2"/>
    <w:rsid w:val="00543023"/>
    <w:rsid w:val="00543777"/>
    <w:rsid w:val="00544494"/>
    <w:rsid w:val="00544502"/>
    <w:rsid w:val="005445C5"/>
    <w:rsid w:val="0055215A"/>
    <w:rsid w:val="005536BC"/>
    <w:rsid w:val="00554F42"/>
    <w:rsid w:val="0055678C"/>
    <w:rsid w:val="0055693B"/>
    <w:rsid w:val="00557231"/>
    <w:rsid w:val="00557E84"/>
    <w:rsid w:val="005601A7"/>
    <w:rsid w:val="00561231"/>
    <w:rsid w:val="00561556"/>
    <w:rsid w:val="00561894"/>
    <w:rsid w:val="005641DB"/>
    <w:rsid w:val="005647AF"/>
    <w:rsid w:val="00564A2B"/>
    <w:rsid w:val="00570D23"/>
    <w:rsid w:val="005713D1"/>
    <w:rsid w:val="005715A3"/>
    <w:rsid w:val="005721D4"/>
    <w:rsid w:val="00572E91"/>
    <w:rsid w:val="005732B7"/>
    <w:rsid w:val="0057474F"/>
    <w:rsid w:val="00574AFA"/>
    <w:rsid w:val="005764CD"/>
    <w:rsid w:val="00582B7D"/>
    <w:rsid w:val="00584405"/>
    <w:rsid w:val="00585363"/>
    <w:rsid w:val="00585AC1"/>
    <w:rsid w:val="00586EB3"/>
    <w:rsid w:val="00587B3A"/>
    <w:rsid w:val="00590366"/>
    <w:rsid w:val="0059097B"/>
    <w:rsid w:val="00590B65"/>
    <w:rsid w:val="00590FD2"/>
    <w:rsid w:val="00594708"/>
    <w:rsid w:val="00594731"/>
    <w:rsid w:val="00596D01"/>
    <w:rsid w:val="00596D0B"/>
    <w:rsid w:val="005A0F98"/>
    <w:rsid w:val="005A25B0"/>
    <w:rsid w:val="005A4FFD"/>
    <w:rsid w:val="005A5802"/>
    <w:rsid w:val="005A5E21"/>
    <w:rsid w:val="005A5E7A"/>
    <w:rsid w:val="005A636C"/>
    <w:rsid w:val="005B027C"/>
    <w:rsid w:val="005B0949"/>
    <w:rsid w:val="005B119F"/>
    <w:rsid w:val="005B1677"/>
    <w:rsid w:val="005B22B6"/>
    <w:rsid w:val="005B2A36"/>
    <w:rsid w:val="005B5018"/>
    <w:rsid w:val="005B55A5"/>
    <w:rsid w:val="005B5626"/>
    <w:rsid w:val="005B60D7"/>
    <w:rsid w:val="005B6DA3"/>
    <w:rsid w:val="005B70F2"/>
    <w:rsid w:val="005B7B3F"/>
    <w:rsid w:val="005C00DA"/>
    <w:rsid w:val="005C2420"/>
    <w:rsid w:val="005C268F"/>
    <w:rsid w:val="005C36E3"/>
    <w:rsid w:val="005C552D"/>
    <w:rsid w:val="005C7B8A"/>
    <w:rsid w:val="005D052B"/>
    <w:rsid w:val="005D0B10"/>
    <w:rsid w:val="005D0DE9"/>
    <w:rsid w:val="005D24F6"/>
    <w:rsid w:val="005D3178"/>
    <w:rsid w:val="005D368C"/>
    <w:rsid w:val="005D5790"/>
    <w:rsid w:val="005D6605"/>
    <w:rsid w:val="005E2033"/>
    <w:rsid w:val="005E262E"/>
    <w:rsid w:val="005E294D"/>
    <w:rsid w:val="005E3956"/>
    <w:rsid w:val="005E54B8"/>
    <w:rsid w:val="005E5A62"/>
    <w:rsid w:val="005E6685"/>
    <w:rsid w:val="005E790B"/>
    <w:rsid w:val="005E7F6A"/>
    <w:rsid w:val="005F01C9"/>
    <w:rsid w:val="005F0847"/>
    <w:rsid w:val="005F0B3C"/>
    <w:rsid w:val="005F0E1C"/>
    <w:rsid w:val="005F1856"/>
    <w:rsid w:val="005F1C67"/>
    <w:rsid w:val="005F4526"/>
    <w:rsid w:val="005F4656"/>
    <w:rsid w:val="005F54BC"/>
    <w:rsid w:val="00603185"/>
    <w:rsid w:val="006031B4"/>
    <w:rsid w:val="006038BD"/>
    <w:rsid w:val="00603905"/>
    <w:rsid w:val="00604E15"/>
    <w:rsid w:val="00607DDC"/>
    <w:rsid w:val="00610A50"/>
    <w:rsid w:val="006113A0"/>
    <w:rsid w:val="00613B83"/>
    <w:rsid w:val="0061624A"/>
    <w:rsid w:val="006164BE"/>
    <w:rsid w:val="006167F6"/>
    <w:rsid w:val="006174F7"/>
    <w:rsid w:val="00620020"/>
    <w:rsid w:val="0062060D"/>
    <w:rsid w:val="00622DA1"/>
    <w:rsid w:val="00624648"/>
    <w:rsid w:val="00624DC9"/>
    <w:rsid w:val="0062537F"/>
    <w:rsid w:val="00625B31"/>
    <w:rsid w:val="00626844"/>
    <w:rsid w:val="00627243"/>
    <w:rsid w:val="006319B8"/>
    <w:rsid w:val="00632325"/>
    <w:rsid w:val="00632585"/>
    <w:rsid w:val="00632A94"/>
    <w:rsid w:val="00633ECC"/>
    <w:rsid w:val="006344C4"/>
    <w:rsid w:val="006344F0"/>
    <w:rsid w:val="006364A3"/>
    <w:rsid w:val="00636F11"/>
    <w:rsid w:val="00642095"/>
    <w:rsid w:val="0064236C"/>
    <w:rsid w:val="00642EBB"/>
    <w:rsid w:val="00643316"/>
    <w:rsid w:val="006440AD"/>
    <w:rsid w:val="006446EE"/>
    <w:rsid w:val="00644D1B"/>
    <w:rsid w:val="00645072"/>
    <w:rsid w:val="006472CE"/>
    <w:rsid w:val="00647486"/>
    <w:rsid w:val="0065020D"/>
    <w:rsid w:val="006509F5"/>
    <w:rsid w:val="0065148A"/>
    <w:rsid w:val="006516C7"/>
    <w:rsid w:val="0065321C"/>
    <w:rsid w:val="00655711"/>
    <w:rsid w:val="00655B07"/>
    <w:rsid w:val="00655D60"/>
    <w:rsid w:val="0065707E"/>
    <w:rsid w:val="00657FB0"/>
    <w:rsid w:val="00662E74"/>
    <w:rsid w:val="006635FE"/>
    <w:rsid w:val="00663FE0"/>
    <w:rsid w:val="006646F1"/>
    <w:rsid w:val="0066603B"/>
    <w:rsid w:val="0066743E"/>
    <w:rsid w:val="00670E53"/>
    <w:rsid w:val="00671D09"/>
    <w:rsid w:val="00671F11"/>
    <w:rsid w:val="006729E8"/>
    <w:rsid w:val="00672BA3"/>
    <w:rsid w:val="00673523"/>
    <w:rsid w:val="00673B99"/>
    <w:rsid w:val="00673E43"/>
    <w:rsid w:val="00674F7E"/>
    <w:rsid w:val="0067588D"/>
    <w:rsid w:val="00675AAE"/>
    <w:rsid w:val="00676D2A"/>
    <w:rsid w:val="00677EEA"/>
    <w:rsid w:val="00681471"/>
    <w:rsid w:val="00682ADE"/>
    <w:rsid w:val="00683B6B"/>
    <w:rsid w:val="00684306"/>
    <w:rsid w:val="00684D2A"/>
    <w:rsid w:val="00685D86"/>
    <w:rsid w:val="006864CC"/>
    <w:rsid w:val="00686CA5"/>
    <w:rsid w:val="00686D33"/>
    <w:rsid w:val="00686F8D"/>
    <w:rsid w:val="00687D41"/>
    <w:rsid w:val="00692943"/>
    <w:rsid w:val="00694814"/>
    <w:rsid w:val="00694D9C"/>
    <w:rsid w:val="00697400"/>
    <w:rsid w:val="006A06B6"/>
    <w:rsid w:val="006A0EF9"/>
    <w:rsid w:val="006A1642"/>
    <w:rsid w:val="006A35D1"/>
    <w:rsid w:val="006A3E7C"/>
    <w:rsid w:val="006A495F"/>
    <w:rsid w:val="006B36CC"/>
    <w:rsid w:val="006B3C58"/>
    <w:rsid w:val="006B451F"/>
    <w:rsid w:val="006B46F1"/>
    <w:rsid w:val="006B5823"/>
    <w:rsid w:val="006B59DD"/>
    <w:rsid w:val="006B78D5"/>
    <w:rsid w:val="006C1185"/>
    <w:rsid w:val="006C1406"/>
    <w:rsid w:val="006C170D"/>
    <w:rsid w:val="006C17E9"/>
    <w:rsid w:val="006C1802"/>
    <w:rsid w:val="006C19D3"/>
    <w:rsid w:val="006C37F9"/>
    <w:rsid w:val="006C3FB3"/>
    <w:rsid w:val="006C4567"/>
    <w:rsid w:val="006C57EC"/>
    <w:rsid w:val="006C5A36"/>
    <w:rsid w:val="006C6194"/>
    <w:rsid w:val="006C6DB0"/>
    <w:rsid w:val="006D0225"/>
    <w:rsid w:val="006D40DD"/>
    <w:rsid w:val="006D4EA2"/>
    <w:rsid w:val="006D523E"/>
    <w:rsid w:val="006D64FD"/>
    <w:rsid w:val="006D6E25"/>
    <w:rsid w:val="006D71C6"/>
    <w:rsid w:val="006E0366"/>
    <w:rsid w:val="006E1E96"/>
    <w:rsid w:val="006E3311"/>
    <w:rsid w:val="006E3D26"/>
    <w:rsid w:val="006E3FE7"/>
    <w:rsid w:val="006E511A"/>
    <w:rsid w:val="006E5814"/>
    <w:rsid w:val="006E5CDE"/>
    <w:rsid w:val="006F05FC"/>
    <w:rsid w:val="006F0BAE"/>
    <w:rsid w:val="006F13C7"/>
    <w:rsid w:val="006F2D91"/>
    <w:rsid w:val="006F5BD2"/>
    <w:rsid w:val="006F5F22"/>
    <w:rsid w:val="00700FF9"/>
    <w:rsid w:val="007029BB"/>
    <w:rsid w:val="00704672"/>
    <w:rsid w:val="00704A80"/>
    <w:rsid w:val="00706494"/>
    <w:rsid w:val="00711FDC"/>
    <w:rsid w:val="00713267"/>
    <w:rsid w:val="00713BBC"/>
    <w:rsid w:val="00713D44"/>
    <w:rsid w:val="00713DDF"/>
    <w:rsid w:val="00713DE4"/>
    <w:rsid w:val="00714745"/>
    <w:rsid w:val="0071489D"/>
    <w:rsid w:val="00714DD7"/>
    <w:rsid w:val="0071548E"/>
    <w:rsid w:val="007173AB"/>
    <w:rsid w:val="0071786C"/>
    <w:rsid w:val="00720740"/>
    <w:rsid w:val="0072079B"/>
    <w:rsid w:val="00720AF1"/>
    <w:rsid w:val="00720DFB"/>
    <w:rsid w:val="00723F1A"/>
    <w:rsid w:val="00724283"/>
    <w:rsid w:val="00726C79"/>
    <w:rsid w:val="007274E3"/>
    <w:rsid w:val="00727B1F"/>
    <w:rsid w:val="007302D1"/>
    <w:rsid w:val="00731690"/>
    <w:rsid w:val="00731C8B"/>
    <w:rsid w:val="00735D99"/>
    <w:rsid w:val="00735E8F"/>
    <w:rsid w:val="00736C3E"/>
    <w:rsid w:val="00736D83"/>
    <w:rsid w:val="00737C78"/>
    <w:rsid w:val="00740ACF"/>
    <w:rsid w:val="0074131E"/>
    <w:rsid w:val="00741B35"/>
    <w:rsid w:val="007433C7"/>
    <w:rsid w:val="00743C89"/>
    <w:rsid w:val="00745548"/>
    <w:rsid w:val="0074555E"/>
    <w:rsid w:val="00745C56"/>
    <w:rsid w:val="00750F3B"/>
    <w:rsid w:val="0075203F"/>
    <w:rsid w:val="007524C6"/>
    <w:rsid w:val="00752A76"/>
    <w:rsid w:val="007534E5"/>
    <w:rsid w:val="0075415E"/>
    <w:rsid w:val="00755C08"/>
    <w:rsid w:val="0076042C"/>
    <w:rsid w:val="0076088F"/>
    <w:rsid w:val="00760BE2"/>
    <w:rsid w:val="00760F26"/>
    <w:rsid w:val="00761CC9"/>
    <w:rsid w:val="00761EB3"/>
    <w:rsid w:val="00761F2C"/>
    <w:rsid w:val="007624C7"/>
    <w:rsid w:val="00763D79"/>
    <w:rsid w:val="007640CE"/>
    <w:rsid w:val="0076482A"/>
    <w:rsid w:val="00765DC1"/>
    <w:rsid w:val="00766A15"/>
    <w:rsid w:val="00766A6E"/>
    <w:rsid w:val="00767DC1"/>
    <w:rsid w:val="00767E2D"/>
    <w:rsid w:val="00770201"/>
    <w:rsid w:val="00770452"/>
    <w:rsid w:val="00771250"/>
    <w:rsid w:val="00771C80"/>
    <w:rsid w:val="007731DD"/>
    <w:rsid w:val="00781156"/>
    <w:rsid w:val="0078451F"/>
    <w:rsid w:val="007874A1"/>
    <w:rsid w:val="007875C5"/>
    <w:rsid w:val="00790389"/>
    <w:rsid w:val="0079174F"/>
    <w:rsid w:val="0079439E"/>
    <w:rsid w:val="00795CD6"/>
    <w:rsid w:val="00797850"/>
    <w:rsid w:val="007A0669"/>
    <w:rsid w:val="007A1118"/>
    <w:rsid w:val="007A2515"/>
    <w:rsid w:val="007A33B7"/>
    <w:rsid w:val="007A7156"/>
    <w:rsid w:val="007A7746"/>
    <w:rsid w:val="007B0F0D"/>
    <w:rsid w:val="007B14A1"/>
    <w:rsid w:val="007B16CC"/>
    <w:rsid w:val="007B377A"/>
    <w:rsid w:val="007B3823"/>
    <w:rsid w:val="007B3A1E"/>
    <w:rsid w:val="007B4787"/>
    <w:rsid w:val="007B4B11"/>
    <w:rsid w:val="007B60BB"/>
    <w:rsid w:val="007B694B"/>
    <w:rsid w:val="007B6C77"/>
    <w:rsid w:val="007B764F"/>
    <w:rsid w:val="007C0114"/>
    <w:rsid w:val="007C03E2"/>
    <w:rsid w:val="007C0EBB"/>
    <w:rsid w:val="007C1A4B"/>
    <w:rsid w:val="007C1ABC"/>
    <w:rsid w:val="007C1B8B"/>
    <w:rsid w:val="007C242E"/>
    <w:rsid w:val="007C472F"/>
    <w:rsid w:val="007C60E0"/>
    <w:rsid w:val="007C683B"/>
    <w:rsid w:val="007D03AC"/>
    <w:rsid w:val="007D576F"/>
    <w:rsid w:val="007D5E6B"/>
    <w:rsid w:val="007D7961"/>
    <w:rsid w:val="007E0AAB"/>
    <w:rsid w:val="007E0F77"/>
    <w:rsid w:val="007E4384"/>
    <w:rsid w:val="007E571F"/>
    <w:rsid w:val="007F0C74"/>
    <w:rsid w:val="007F5DBD"/>
    <w:rsid w:val="007F6003"/>
    <w:rsid w:val="007F6A71"/>
    <w:rsid w:val="007F6E17"/>
    <w:rsid w:val="007F7DBE"/>
    <w:rsid w:val="00800539"/>
    <w:rsid w:val="00800B9E"/>
    <w:rsid w:val="00804AE0"/>
    <w:rsid w:val="00805B91"/>
    <w:rsid w:val="00806372"/>
    <w:rsid w:val="008072F7"/>
    <w:rsid w:val="0080778F"/>
    <w:rsid w:val="0081023C"/>
    <w:rsid w:val="00811173"/>
    <w:rsid w:val="00811712"/>
    <w:rsid w:val="00811E78"/>
    <w:rsid w:val="008135E2"/>
    <w:rsid w:val="00813DE9"/>
    <w:rsid w:val="00814E0A"/>
    <w:rsid w:val="008151AC"/>
    <w:rsid w:val="00815A08"/>
    <w:rsid w:val="00817120"/>
    <w:rsid w:val="008178E6"/>
    <w:rsid w:val="00822826"/>
    <w:rsid w:val="0082366A"/>
    <w:rsid w:val="008256BD"/>
    <w:rsid w:val="00826007"/>
    <w:rsid w:val="00830401"/>
    <w:rsid w:val="0083297F"/>
    <w:rsid w:val="00836963"/>
    <w:rsid w:val="0084322F"/>
    <w:rsid w:val="00844AAF"/>
    <w:rsid w:val="00845D91"/>
    <w:rsid w:val="00845F5A"/>
    <w:rsid w:val="00847153"/>
    <w:rsid w:val="00847310"/>
    <w:rsid w:val="008474A3"/>
    <w:rsid w:val="00847D58"/>
    <w:rsid w:val="00847FBF"/>
    <w:rsid w:val="00850080"/>
    <w:rsid w:val="0085115C"/>
    <w:rsid w:val="008519E8"/>
    <w:rsid w:val="00852223"/>
    <w:rsid w:val="008527C9"/>
    <w:rsid w:val="008539B9"/>
    <w:rsid w:val="0085580B"/>
    <w:rsid w:val="00856026"/>
    <w:rsid w:val="008571E7"/>
    <w:rsid w:val="00857D1B"/>
    <w:rsid w:val="00860567"/>
    <w:rsid w:val="00860947"/>
    <w:rsid w:val="00860AFA"/>
    <w:rsid w:val="00861B9D"/>
    <w:rsid w:val="00861DB8"/>
    <w:rsid w:val="00861EAD"/>
    <w:rsid w:val="008621DA"/>
    <w:rsid w:val="00864507"/>
    <w:rsid w:val="0086543E"/>
    <w:rsid w:val="0087152E"/>
    <w:rsid w:val="0087166C"/>
    <w:rsid w:val="00873F66"/>
    <w:rsid w:val="008764D2"/>
    <w:rsid w:val="008775A9"/>
    <w:rsid w:val="00877D41"/>
    <w:rsid w:val="0088050E"/>
    <w:rsid w:val="00880A57"/>
    <w:rsid w:val="008817B3"/>
    <w:rsid w:val="008819CE"/>
    <w:rsid w:val="0088229E"/>
    <w:rsid w:val="00883E46"/>
    <w:rsid w:val="00884379"/>
    <w:rsid w:val="008848BF"/>
    <w:rsid w:val="00885E04"/>
    <w:rsid w:val="00886CDC"/>
    <w:rsid w:val="008909E9"/>
    <w:rsid w:val="00892499"/>
    <w:rsid w:val="00892619"/>
    <w:rsid w:val="0089284E"/>
    <w:rsid w:val="0089382A"/>
    <w:rsid w:val="00893B7C"/>
    <w:rsid w:val="00893B82"/>
    <w:rsid w:val="008947AB"/>
    <w:rsid w:val="00895102"/>
    <w:rsid w:val="008954EE"/>
    <w:rsid w:val="008955B0"/>
    <w:rsid w:val="00896274"/>
    <w:rsid w:val="008A1240"/>
    <w:rsid w:val="008A562E"/>
    <w:rsid w:val="008A5FAC"/>
    <w:rsid w:val="008A79EC"/>
    <w:rsid w:val="008B2E3D"/>
    <w:rsid w:val="008B30E0"/>
    <w:rsid w:val="008B3132"/>
    <w:rsid w:val="008B4C53"/>
    <w:rsid w:val="008C0A31"/>
    <w:rsid w:val="008C321F"/>
    <w:rsid w:val="008C44C9"/>
    <w:rsid w:val="008C4790"/>
    <w:rsid w:val="008C4830"/>
    <w:rsid w:val="008C4B23"/>
    <w:rsid w:val="008C5E28"/>
    <w:rsid w:val="008C6DA5"/>
    <w:rsid w:val="008C726C"/>
    <w:rsid w:val="008D03A9"/>
    <w:rsid w:val="008D0FFB"/>
    <w:rsid w:val="008D1DDB"/>
    <w:rsid w:val="008D2E94"/>
    <w:rsid w:val="008D3536"/>
    <w:rsid w:val="008D3949"/>
    <w:rsid w:val="008D406B"/>
    <w:rsid w:val="008D7154"/>
    <w:rsid w:val="008D7859"/>
    <w:rsid w:val="008E1AF4"/>
    <w:rsid w:val="008E2B8C"/>
    <w:rsid w:val="008E2EC8"/>
    <w:rsid w:val="008E36F1"/>
    <w:rsid w:val="008E3930"/>
    <w:rsid w:val="008E49E3"/>
    <w:rsid w:val="008E58C7"/>
    <w:rsid w:val="008E62D9"/>
    <w:rsid w:val="008F0648"/>
    <w:rsid w:val="008F073C"/>
    <w:rsid w:val="008F0F8A"/>
    <w:rsid w:val="008F2CB4"/>
    <w:rsid w:val="008F4FA9"/>
    <w:rsid w:val="008F5007"/>
    <w:rsid w:val="008F7FB0"/>
    <w:rsid w:val="00900A0E"/>
    <w:rsid w:val="00902DBD"/>
    <w:rsid w:val="00903884"/>
    <w:rsid w:val="00903A09"/>
    <w:rsid w:val="00903A99"/>
    <w:rsid w:val="00904107"/>
    <w:rsid w:val="009048F4"/>
    <w:rsid w:val="00907019"/>
    <w:rsid w:val="0091021B"/>
    <w:rsid w:val="00910A31"/>
    <w:rsid w:val="009133C0"/>
    <w:rsid w:val="00913B13"/>
    <w:rsid w:val="0091423F"/>
    <w:rsid w:val="009142F8"/>
    <w:rsid w:val="009148D6"/>
    <w:rsid w:val="0091570F"/>
    <w:rsid w:val="00916167"/>
    <w:rsid w:val="0092047A"/>
    <w:rsid w:val="00922BB9"/>
    <w:rsid w:val="00923CC4"/>
    <w:rsid w:val="0092439E"/>
    <w:rsid w:val="009247C7"/>
    <w:rsid w:val="00924F0D"/>
    <w:rsid w:val="00924F1C"/>
    <w:rsid w:val="00927122"/>
    <w:rsid w:val="00927DA6"/>
    <w:rsid w:val="0093136E"/>
    <w:rsid w:val="00931A4C"/>
    <w:rsid w:val="00932415"/>
    <w:rsid w:val="00932ACE"/>
    <w:rsid w:val="00933D0A"/>
    <w:rsid w:val="00934067"/>
    <w:rsid w:val="00934471"/>
    <w:rsid w:val="00934B5F"/>
    <w:rsid w:val="00935435"/>
    <w:rsid w:val="00936D1D"/>
    <w:rsid w:val="00937FCC"/>
    <w:rsid w:val="00941911"/>
    <w:rsid w:val="009429BE"/>
    <w:rsid w:val="00943FC7"/>
    <w:rsid w:val="00945395"/>
    <w:rsid w:val="009453F8"/>
    <w:rsid w:val="00945808"/>
    <w:rsid w:val="009458B2"/>
    <w:rsid w:val="009467F0"/>
    <w:rsid w:val="00946DB4"/>
    <w:rsid w:val="009506A8"/>
    <w:rsid w:val="0095125D"/>
    <w:rsid w:val="0095190B"/>
    <w:rsid w:val="009526A7"/>
    <w:rsid w:val="00952BA4"/>
    <w:rsid w:val="009534E7"/>
    <w:rsid w:val="00953F50"/>
    <w:rsid w:val="00954488"/>
    <w:rsid w:val="00956102"/>
    <w:rsid w:val="009609C2"/>
    <w:rsid w:val="00962A7E"/>
    <w:rsid w:val="00962BEA"/>
    <w:rsid w:val="00964444"/>
    <w:rsid w:val="00965E94"/>
    <w:rsid w:val="00967199"/>
    <w:rsid w:val="00970E9A"/>
    <w:rsid w:val="00971443"/>
    <w:rsid w:val="00971744"/>
    <w:rsid w:val="00972E5B"/>
    <w:rsid w:val="00975088"/>
    <w:rsid w:val="009758B3"/>
    <w:rsid w:val="00975C17"/>
    <w:rsid w:val="00976048"/>
    <w:rsid w:val="00976A44"/>
    <w:rsid w:val="00977D25"/>
    <w:rsid w:val="00977D3E"/>
    <w:rsid w:val="009804E8"/>
    <w:rsid w:val="009805FA"/>
    <w:rsid w:val="009821CC"/>
    <w:rsid w:val="009830BE"/>
    <w:rsid w:val="00984535"/>
    <w:rsid w:val="00984581"/>
    <w:rsid w:val="00987A77"/>
    <w:rsid w:val="00987BD4"/>
    <w:rsid w:val="00992B8E"/>
    <w:rsid w:val="009933C2"/>
    <w:rsid w:val="00993C83"/>
    <w:rsid w:val="009966BD"/>
    <w:rsid w:val="009A3666"/>
    <w:rsid w:val="009A49AB"/>
    <w:rsid w:val="009A6603"/>
    <w:rsid w:val="009B02D1"/>
    <w:rsid w:val="009B23D0"/>
    <w:rsid w:val="009B28A2"/>
    <w:rsid w:val="009B373C"/>
    <w:rsid w:val="009B4D50"/>
    <w:rsid w:val="009B4E1D"/>
    <w:rsid w:val="009B61FA"/>
    <w:rsid w:val="009B6A2D"/>
    <w:rsid w:val="009B7AE9"/>
    <w:rsid w:val="009C0E6D"/>
    <w:rsid w:val="009C14BA"/>
    <w:rsid w:val="009C27CC"/>
    <w:rsid w:val="009C3898"/>
    <w:rsid w:val="009C4206"/>
    <w:rsid w:val="009C6C59"/>
    <w:rsid w:val="009C7879"/>
    <w:rsid w:val="009D022F"/>
    <w:rsid w:val="009D0CF1"/>
    <w:rsid w:val="009D2F89"/>
    <w:rsid w:val="009D3164"/>
    <w:rsid w:val="009D4E04"/>
    <w:rsid w:val="009E07B4"/>
    <w:rsid w:val="009E1662"/>
    <w:rsid w:val="009E1BAF"/>
    <w:rsid w:val="009E24E3"/>
    <w:rsid w:val="009E2B48"/>
    <w:rsid w:val="009E36FF"/>
    <w:rsid w:val="009E3A4B"/>
    <w:rsid w:val="009E4416"/>
    <w:rsid w:val="009E5EE5"/>
    <w:rsid w:val="009E6746"/>
    <w:rsid w:val="009E6C31"/>
    <w:rsid w:val="009F2131"/>
    <w:rsid w:val="009F2A0D"/>
    <w:rsid w:val="009F2BF1"/>
    <w:rsid w:val="009F3B02"/>
    <w:rsid w:val="009F4952"/>
    <w:rsid w:val="009F5192"/>
    <w:rsid w:val="009F5BA9"/>
    <w:rsid w:val="009F66F0"/>
    <w:rsid w:val="00A02625"/>
    <w:rsid w:val="00A04B46"/>
    <w:rsid w:val="00A05C6A"/>
    <w:rsid w:val="00A067C3"/>
    <w:rsid w:val="00A07DD4"/>
    <w:rsid w:val="00A103A2"/>
    <w:rsid w:val="00A11BDF"/>
    <w:rsid w:val="00A126FB"/>
    <w:rsid w:val="00A1475B"/>
    <w:rsid w:val="00A15818"/>
    <w:rsid w:val="00A15DBC"/>
    <w:rsid w:val="00A160A8"/>
    <w:rsid w:val="00A21E25"/>
    <w:rsid w:val="00A22920"/>
    <w:rsid w:val="00A2387A"/>
    <w:rsid w:val="00A241AA"/>
    <w:rsid w:val="00A24C06"/>
    <w:rsid w:val="00A25941"/>
    <w:rsid w:val="00A25DE9"/>
    <w:rsid w:val="00A25E45"/>
    <w:rsid w:val="00A27F20"/>
    <w:rsid w:val="00A30412"/>
    <w:rsid w:val="00A30E76"/>
    <w:rsid w:val="00A336E7"/>
    <w:rsid w:val="00A33727"/>
    <w:rsid w:val="00A33F18"/>
    <w:rsid w:val="00A344A2"/>
    <w:rsid w:val="00A3485E"/>
    <w:rsid w:val="00A35667"/>
    <w:rsid w:val="00A35B35"/>
    <w:rsid w:val="00A35E9A"/>
    <w:rsid w:val="00A36D33"/>
    <w:rsid w:val="00A37753"/>
    <w:rsid w:val="00A37BAB"/>
    <w:rsid w:val="00A41EF2"/>
    <w:rsid w:val="00A42E28"/>
    <w:rsid w:val="00A46AA7"/>
    <w:rsid w:val="00A46CE6"/>
    <w:rsid w:val="00A5012E"/>
    <w:rsid w:val="00A50513"/>
    <w:rsid w:val="00A505FD"/>
    <w:rsid w:val="00A50C83"/>
    <w:rsid w:val="00A5132F"/>
    <w:rsid w:val="00A51572"/>
    <w:rsid w:val="00A5433A"/>
    <w:rsid w:val="00A54ACE"/>
    <w:rsid w:val="00A55B5E"/>
    <w:rsid w:val="00A560E8"/>
    <w:rsid w:val="00A60207"/>
    <w:rsid w:val="00A632C9"/>
    <w:rsid w:val="00A6473C"/>
    <w:rsid w:val="00A65069"/>
    <w:rsid w:val="00A66F97"/>
    <w:rsid w:val="00A67047"/>
    <w:rsid w:val="00A673D8"/>
    <w:rsid w:val="00A70AEB"/>
    <w:rsid w:val="00A70C3B"/>
    <w:rsid w:val="00A716BB"/>
    <w:rsid w:val="00A716FB"/>
    <w:rsid w:val="00A7227E"/>
    <w:rsid w:val="00A745C2"/>
    <w:rsid w:val="00A747E2"/>
    <w:rsid w:val="00A7534E"/>
    <w:rsid w:val="00A77D84"/>
    <w:rsid w:val="00A80895"/>
    <w:rsid w:val="00A8158D"/>
    <w:rsid w:val="00A8173B"/>
    <w:rsid w:val="00A82E45"/>
    <w:rsid w:val="00A82EEA"/>
    <w:rsid w:val="00A84581"/>
    <w:rsid w:val="00A8458A"/>
    <w:rsid w:val="00A85620"/>
    <w:rsid w:val="00A856B5"/>
    <w:rsid w:val="00A8597B"/>
    <w:rsid w:val="00A86674"/>
    <w:rsid w:val="00A904CA"/>
    <w:rsid w:val="00A91838"/>
    <w:rsid w:val="00A91BB3"/>
    <w:rsid w:val="00A9301D"/>
    <w:rsid w:val="00A93629"/>
    <w:rsid w:val="00A949C5"/>
    <w:rsid w:val="00A94FAF"/>
    <w:rsid w:val="00A95286"/>
    <w:rsid w:val="00A95ACB"/>
    <w:rsid w:val="00A96C78"/>
    <w:rsid w:val="00AA0165"/>
    <w:rsid w:val="00AA0C8C"/>
    <w:rsid w:val="00AA187A"/>
    <w:rsid w:val="00AA33C2"/>
    <w:rsid w:val="00AA4A17"/>
    <w:rsid w:val="00AA5827"/>
    <w:rsid w:val="00AA709B"/>
    <w:rsid w:val="00AA7930"/>
    <w:rsid w:val="00AB0195"/>
    <w:rsid w:val="00AB049E"/>
    <w:rsid w:val="00AB0504"/>
    <w:rsid w:val="00AB08E2"/>
    <w:rsid w:val="00AB17C6"/>
    <w:rsid w:val="00AB1C38"/>
    <w:rsid w:val="00AB206D"/>
    <w:rsid w:val="00AB2856"/>
    <w:rsid w:val="00AB6979"/>
    <w:rsid w:val="00AB715A"/>
    <w:rsid w:val="00AC0604"/>
    <w:rsid w:val="00AC1F5D"/>
    <w:rsid w:val="00AC24C4"/>
    <w:rsid w:val="00AC44E1"/>
    <w:rsid w:val="00AC53A3"/>
    <w:rsid w:val="00AC7B67"/>
    <w:rsid w:val="00AD1DAC"/>
    <w:rsid w:val="00AD2795"/>
    <w:rsid w:val="00AD2D97"/>
    <w:rsid w:val="00AD38BB"/>
    <w:rsid w:val="00AD4675"/>
    <w:rsid w:val="00AD6974"/>
    <w:rsid w:val="00AE0F6C"/>
    <w:rsid w:val="00AE16B0"/>
    <w:rsid w:val="00AE371D"/>
    <w:rsid w:val="00AE3F86"/>
    <w:rsid w:val="00AE4093"/>
    <w:rsid w:val="00AE48E8"/>
    <w:rsid w:val="00AE582D"/>
    <w:rsid w:val="00AE7458"/>
    <w:rsid w:val="00AF12A4"/>
    <w:rsid w:val="00AF267A"/>
    <w:rsid w:val="00AF3D9A"/>
    <w:rsid w:val="00AF4660"/>
    <w:rsid w:val="00AF5AA9"/>
    <w:rsid w:val="00AF60EF"/>
    <w:rsid w:val="00AF66DB"/>
    <w:rsid w:val="00AF7A95"/>
    <w:rsid w:val="00B02540"/>
    <w:rsid w:val="00B02C27"/>
    <w:rsid w:val="00B03C61"/>
    <w:rsid w:val="00B04389"/>
    <w:rsid w:val="00B053F8"/>
    <w:rsid w:val="00B05F80"/>
    <w:rsid w:val="00B102CC"/>
    <w:rsid w:val="00B12A03"/>
    <w:rsid w:val="00B13542"/>
    <w:rsid w:val="00B14D87"/>
    <w:rsid w:val="00B164DB"/>
    <w:rsid w:val="00B17B5B"/>
    <w:rsid w:val="00B21638"/>
    <w:rsid w:val="00B21F0B"/>
    <w:rsid w:val="00B23AE2"/>
    <w:rsid w:val="00B23C77"/>
    <w:rsid w:val="00B24B2D"/>
    <w:rsid w:val="00B26F05"/>
    <w:rsid w:val="00B31753"/>
    <w:rsid w:val="00B32E8D"/>
    <w:rsid w:val="00B34C18"/>
    <w:rsid w:val="00B372A7"/>
    <w:rsid w:val="00B379FD"/>
    <w:rsid w:val="00B37A34"/>
    <w:rsid w:val="00B400D5"/>
    <w:rsid w:val="00B4123C"/>
    <w:rsid w:val="00B41342"/>
    <w:rsid w:val="00B4524B"/>
    <w:rsid w:val="00B46B71"/>
    <w:rsid w:val="00B47188"/>
    <w:rsid w:val="00B479FB"/>
    <w:rsid w:val="00B50C2C"/>
    <w:rsid w:val="00B5112F"/>
    <w:rsid w:val="00B512F0"/>
    <w:rsid w:val="00B5301B"/>
    <w:rsid w:val="00B533AA"/>
    <w:rsid w:val="00B53791"/>
    <w:rsid w:val="00B5384D"/>
    <w:rsid w:val="00B54ABB"/>
    <w:rsid w:val="00B54B05"/>
    <w:rsid w:val="00B608AC"/>
    <w:rsid w:val="00B60EDC"/>
    <w:rsid w:val="00B61A83"/>
    <w:rsid w:val="00B6418E"/>
    <w:rsid w:val="00B6494C"/>
    <w:rsid w:val="00B65807"/>
    <w:rsid w:val="00B658E1"/>
    <w:rsid w:val="00B65C54"/>
    <w:rsid w:val="00B66006"/>
    <w:rsid w:val="00B67787"/>
    <w:rsid w:val="00B70628"/>
    <w:rsid w:val="00B70818"/>
    <w:rsid w:val="00B751EC"/>
    <w:rsid w:val="00B75F03"/>
    <w:rsid w:val="00B76238"/>
    <w:rsid w:val="00B76AAD"/>
    <w:rsid w:val="00B83578"/>
    <w:rsid w:val="00B836BC"/>
    <w:rsid w:val="00B83F33"/>
    <w:rsid w:val="00B878AD"/>
    <w:rsid w:val="00B906C2"/>
    <w:rsid w:val="00B924DE"/>
    <w:rsid w:val="00B92978"/>
    <w:rsid w:val="00B92AF5"/>
    <w:rsid w:val="00B93FA8"/>
    <w:rsid w:val="00B942F7"/>
    <w:rsid w:val="00B956A5"/>
    <w:rsid w:val="00B95EE6"/>
    <w:rsid w:val="00B96841"/>
    <w:rsid w:val="00B97187"/>
    <w:rsid w:val="00B97544"/>
    <w:rsid w:val="00BA007E"/>
    <w:rsid w:val="00BA0C84"/>
    <w:rsid w:val="00BA0CE4"/>
    <w:rsid w:val="00BA2601"/>
    <w:rsid w:val="00BA3AA1"/>
    <w:rsid w:val="00BA4E08"/>
    <w:rsid w:val="00BA5A41"/>
    <w:rsid w:val="00BA68E6"/>
    <w:rsid w:val="00BA7364"/>
    <w:rsid w:val="00BA7E0D"/>
    <w:rsid w:val="00BB132E"/>
    <w:rsid w:val="00BB1DB8"/>
    <w:rsid w:val="00BB3226"/>
    <w:rsid w:val="00BB4385"/>
    <w:rsid w:val="00BC3962"/>
    <w:rsid w:val="00BC420E"/>
    <w:rsid w:val="00BC4732"/>
    <w:rsid w:val="00BC498F"/>
    <w:rsid w:val="00BD0118"/>
    <w:rsid w:val="00BD065D"/>
    <w:rsid w:val="00BD125F"/>
    <w:rsid w:val="00BD1487"/>
    <w:rsid w:val="00BD1637"/>
    <w:rsid w:val="00BD37BF"/>
    <w:rsid w:val="00BD3E19"/>
    <w:rsid w:val="00BE00E6"/>
    <w:rsid w:val="00BE0888"/>
    <w:rsid w:val="00BE12D6"/>
    <w:rsid w:val="00BE197B"/>
    <w:rsid w:val="00BE4699"/>
    <w:rsid w:val="00BE4B68"/>
    <w:rsid w:val="00BE734E"/>
    <w:rsid w:val="00BF1053"/>
    <w:rsid w:val="00BF2A02"/>
    <w:rsid w:val="00BF3111"/>
    <w:rsid w:val="00BF3C47"/>
    <w:rsid w:val="00BF448D"/>
    <w:rsid w:val="00BF4876"/>
    <w:rsid w:val="00BF5A13"/>
    <w:rsid w:val="00BF5EFF"/>
    <w:rsid w:val="00BF63C8"/>
    <w:rsid w:val="00BF7B40"/>
    <w:rsid w:val="00C01246"/>
    <w:rsid w:val="00C07522"/>
    <w:rsid w:val="00C100F2"/>
    <w:rsid w:val="00C12AF3"/>
    <w:rsid w:val="00C146D6"/>
    <w:rsid w:val="00C17022"/>
    <w:rsid w:val="00C21BC9"/>
    <w:rsid w:val="00C228B3"/>
    <w:rsid w:val="00C22E25"/>
    <w:rsid w:val="00C2311E"/>
    <w:rsid w:val="00C2319C"/>
    <w:rsid w:val="00C23FAD"/>
    <w:rsid w:val="00C24B88"/>
    <w:rsid w:val="00C255D2"/>
    <w:rsid w:val="00C26830"/>
    <w:rsid w:val="00C27F67"/>
    <w:rsid w:val="00C30F51"/>
    <w:rsid w:val="00C326B3"/>
    <w:rsid w:val="00C3324A"/>
    <w:rsid w:val="00C33F2E"/>
    <w:rsid w:val="00C33F31"/>
    <w:rsid w:val="00C36B9F"/>
    <w:rsid w:val="00C3756A"/>
    <w:rsid w:val="00C377B8"/>
    <w:rsid w:val="00C42378"/>
    <w:rsid w:val="00C42F79"/>
    <w:rsid w:val="00C43631"/>
    <w:rsid w:val="00C43DEB"/>
    <w:rsid w:val="00C44F73"/>
    <w:rsid w:val="00C4536C"/>
    <w:rsid w:val="00C46F9D"/>
    <w:rsid w:val="00C5279F"/>
    <w:rsid w:val="00C527FF"/>
    <w:rsid w:val="00C5328A"/>
    <w:rsid w:val="00C5409D"/>
    <w:rsid w:val="00C55447"/>
    <w:rsid w:val="00C55C6D"/>
    <w:rsid w:val="00C55DA5"/>
    <w:rsid w:val="00C600B6"/>
    <w:rsid w:val="00C61D1E"/>
    <w:rsid w:val="00C62AA6"/>
    <w:rsid w:val="00C63730"/>
    <w:rsid w:val="00C6393F"/>
    <w:rsid w:val="00C639F6"/>
    <w:rsid w:val="00C640A0"/>
    <w:rsid w:val="00C64310"/>
    <w:rsid w:val="00C6682B"/>
    <w:rsid w:val="00C71C45"/>
    <w:rsid w:val="00C730AD"/>
    <w:rsid w:val="00C77B57"/>
    <w:rsid w:val="00C8032D"/>
    <w:rsid w:val="00C806CB"/>
    <w:rsid w:val="00C83015"/>
    <w:rsid w:val="00C83021"/>
    <w:rsid w:val="00C83CA6"/>
    <w:rsid w:val="00C83EA6"/>
    <w:rsid w:val="00C8417A"/>
    <w:rsid w:val="00C8498D"/>
    <w:rsid w:val="00C84EC6"/>
    <w:rsid w:val="00C859C1"/>
    <w:rsid w:val="00C86347"/>
    <w:rsid w:val="00C86672"/>
    <w:rsid w:val="00C8755A"/>
    <w:rsid w:val="00C904AA"/>
    <w:rsid w:val="00C92EB1"/>
    <w:rsid w:val="00C934EF"/>
    <w:rsid w:val="00C944A9"/>
    <w:rsid w:val="00C9489D"/>
    <w:rsid w:val="00C9505B"/>
    <w:rsid w:val="00C962A2"/>
    <w:rsid w:val="00C9650E"/>
    <w:rsid w:val="00C9687A"/>
    <w:rsid w:val="00C9705F"/>
    <w:rsid w:val="00CA0078"/>
    <w:rsid w:val="00CA1CED"/>
    <w:rsid w:val="00CA329C"/>
    <w:rsid w:val="00CA4675"/>
    <w:rsid w:val="00CA4FF6"/>
    <w:rsid w:val="00CA5A31"/>
    <w:rsid w:val="00CA6030"/>
    <w:rsid w:val="00CA6FEC"/>
    <w:rsid w:val="00CB08E2"/>
    <w:rsid w:val="00CB2233"/>
    <w:rsid w:val="00CB2B7F"/>
    <w:rsid w:val="00CB31B5"/>
    <w:rsid w:val="00CB7B53"/>
    <w:rsid w:val="00CB7DC9"/>
    <w:rsid w:val="00CC0749"/>
    <w:rsid w:val="00CC1225"/>
    <w:rsid w:val="00CC1E28"/>
    <w:rsid w:val="00CC23FE"/>
    <w:rsid w:val="00CC4763"/>
    <w:rsid w:val="00CC69C7"/>
    <w:rsid w:val="00CC6C03"/>
    <w:rsid w:val="00CD0020"/>
    <w:rsid w:val="00CD061D"/>
    <w:rsid w:val="00CD1AF7"/>
    <w:rsid w:val="00CD24D9"/>
    <w:rsid w:val="00CD2BD5"/>
    <w:rsid w:val="00CD3AEA"/>
    <w:rsid w:val="00CD734F"/>
    <w:rsid w:val="00CD7529"/>
    <w:rsid w:val="00CE064E"/>
    <w:rsid w:val="00CE1BBE"/>
    <w:rsid w:val="00CE2253"/>
    <w:rsid w:val="00CE3066"/>
    <w:rsid w:val="00CE31F0"/>
    <w:rsid w:val="00CE445B"/>
    <w:rsid w:val="00CE5892"/>
    <w:rsid w:val="00CE5E1C"/>
    <w:rsid w:val="00CE7EF6"/>
    <w:rsid w:val="00CF0977"/>
    <w:rsid w:val="00CF0B02"/>
    <w:rsid w:val="00CF1510"/>
    <w:rsid w:val="00CF3DF5"/>
    <w:rsid w:val="00CF4A56"/>
    <w:rsid w:val="00CF71C1"/>
    <w:rsid w:val="00D0076E"/>
    <w:rsid w:val="00D00D09"/>
    <w:rsid w:val="00D03B63"/>
    <w:rsid w:val="00D05395"/>
    <w:rsid w:val="00D062E2"/>
    <w:rsid w:val="00D103FB"/>
    <w:rsid w:val="00D10B64"/>
    <w:rsid w:val="00D12CB7"/>
    <w:rsid w:val="00D13417"/>
    <w:rsid w:val="00D137CE"/>
    <w:rsid w:val="00D1390F"/>
    <w:rsid w:val="00D139DB"/>
    <w:rsid w:val="00D14970"/>
    <w:rsid w:val="00D15218"/>
    <w:rsid w:val="00D1523F"/>
    <w:rsid w:val="00D17508"/>
    <w:rsid w:val="00D20E28"/>
    <w:rsid w:val="00D21066"/>
    <w:rsid w:val="00D2207E"/>
    <w:rsid w:val="00D24840"/>
    <w:rsid w:val="00D26578"/>
    <w:rsid w:val="00D27FC3"/>
    <w:rsid w:val="00D3325B"/>
    <w:rsid w:val="00D35829"/>
    <w:rsid w:val="00D35AA8"/>
    <w:rsid w:val="00D37544"/>
    <w:rsid w:val="00D37868"/>
    <w:rsid w:val="00D37D86"/>
    <w:rsid w:val="00D40971"/>
    <w:rsid w:val="00D42116"/>
    <w:rsid w:val="00D457C1"/>
    <w:rsid w:val="00D466BD"/>
    <w:rsid w:val="00D47075"/>
    <w:rsid w:val="00D502C7"/>
    <w:rsid w:val="00D50729"/>
    <w:rsid w:val="00D515FC"/>
    <w:rsid w:val="00D51B25"/>
    <w:rsid w:val="00D52590"/>
    <w:rsid w:val="00D52BE3"/>
    <w:rsid w:val="00D52F16"/>
    <w:rsid w:val="00D5337E"/>
    <w:rsid w:val="00D535BC"/>
    <w:rsid w:val="00D55F60"/>
    <w:rsid w:val="00D56101"/>
    <w:rsid w:val="00D56867"/>
    <w:rsid w:val="00D617F3"/>
    <w:rsid w:val="00D62B57"/>
    <w:rsid w:val="00D6482C"/>
    <w:rsid w:val="00D67CFC"/>
    <w:rsid w:val="00D70E5F"/>
    <w:rsid w:val="00D7157E"/>
    <w:rsid w:val="00D71B84"/>
    <w:rsid w:val="00D762F4"/>
    <w:rsid w:val="00D76F61"/>
    <w:rsid w:val="00D8092D"/>
    <w:rsid w:val="00D81233"/>
    <w:rsid w:val="00D833E7"/>
    <w:rsid w:val="00D83CAB"/>
    <w:rsid w:val="00D83DBC"/>
    <w:rsid w:val="00D84B7F"/>
    <w:rsid w:val="00D84ED5"/>
    <w:rsid w:val="00D858E0"/>
    <w:rsid w:val="00D85BCB"/>
    <w:rsid w:val="00D863DA"/>
    <w:rsid w:val="00D86EB7"/>
    <w:rsid w:val="00D871BD"/>
    <w:rsid w:val="00D91631"/>
    <w:rsid w:val="00D924E3"/>
    <w:rsid w:val="00D92CB3"/>
    <w:rsid w:val="00D92D89"/>
    <w:rsid w:val="00D94940"/>
    <w:rsid w:val="00D97E9D"/>
    <w:rsid w:val="00DA0847"/>
    <w:rsid w:val="00DA1EDC"/>
    <w:rsid w:val="00DA1F38"/>
    <w:rsid w:val="00DA2775"/>
    <w:rsid w:val="00DA4850"/>
    <w:rsid w:val="00DA48DC"/>
    <w:rsid w:val="00DA5077"/>
    <w:rsid w:val="00DA5AF4"/>
    <w:rsid w:val="00DB097A"/>
    <w:rsid w:val="00DB0B63"/>
    <w:rsid w:val="00DB103E"/>
    <w:rsid w:val="00DB2981"/>
    <w:rsid w:val="00DB4C14"/>
    <w:rsid w:val="00DB5345"/>
    <w:rsid w:val="00DB5FC5"/>
    <w:rsid w:val="00DB72BC"/>
    <w:rsid w:val="00DC0A1F"/>
    <w:rsid w:val="00DC0B1B"/>
    <w:rsid w:val="00DC0FAE"/>
    <w:rsid w:val="00DC1E06"/>
    <w:rsid w:val="00DC2B8F"/>
    <w:rsid w:val="00DC3478"/>
    <w:rsid w:val="00DC3798"/>
    <w:rsid w:val="00DC3A9D"/>
    <w:rsid w:val="00DC3C0F"/>
    <w:rsid w:val="00DC4329"/>
    <w:rsid w:val="00DC460B"/>
    <w:rsid w:val="00DC4A7C"/>
    <w:rsid w:val="00DC4F48"/>
    <w:rsid w:val="00DC65C8"/>
    <w:rsid w:val="00DD0F2C"/>
    <w:rsid w:val="00DD14A9"/>
    <w:rsid w:val="00DD20B2"/>
    <w:rsid w:val="00DD4431"/>
    <w:rsid w:val="00DD4DFB"/>
    <w:rsid w:val="00DD50C7"/>
    <w:rsid w:val="00DD512B"/>
    <w:rsid w:val="00DD5ED3"/>
    <w:rsid w:val="00DD5F2D"/>
    <w:rsid w:val="00DD6176"/>
    <w:rsid w:val="00DD7389"/>
    <w:rsid w:val="00DD7EEE"/>
    <w:rsid w:val="00DE23BF"/>
    <w:rsid w:val="00DE490E"/>
    <w:rsid w:val="00DE5665"/>
    <w:rsid w:val="00DE6A3D"/>
    <w:rsid w:val="00DF1128"/>
    <w:rsid w:val="00DF1C52"/>
    <w:rsid w:val="00DF1C68"/>
    <w:rsid w:val="00DF2737"/>
    <w:rsid w:val="00DF3ACC"/>
    <w:rsid w:val="00DF4280"/>
    <w:rsid w:val="00DF65D8"/>
    <w:rsid w:val="00DF68DE"/>
    <w:rsid w:val="00E017D9"/>
    <w:rsid w:val="00E0189D"/>
    <w:rsid w:val="00E01EF3"/>
    <w:rsid w:val="00E02AA2"/>
    <w:rsid w:val="00E06AAA"/>
    <w:rsid w:val="00E06ABE"/>
    <w:rsid w:val="00E073C8"/>
    <w:rsid w:val="00E078AE"/>
    <w:rsid w:val="00E11B9E"/>
    <w:rsid w:val="00E11C3D"/>
    <w:rsid w:val="00E136F2"/>
    <w:rsid w:val="00E13DA1"/>
    <w:rsid w:val="00E16317"/>
    <w:rsid w:val="00E16720"/>
    <w:rsid w:val="00E17519"/>
    <w:rsid w:val="00E2037A"/>
    <w:rsid w:val="00E21C74"/>
    <w:rsid w:val="00E220A7"/>
    <w:rsid w:val="00E222B3"/>
    <w:rsid w:val="00E22A15"/>
    <w:rsid w:val="00E23520"/>
    <w:rsid w:val="00E23975"/>
    <w:rsid w:val="00E253C6"/>
    <w:rsid w:val="00E258ED"/>
    <w:rsid w:val="00E25E24"/>
    <w:rsid w:val="00E25F97"/>
    <w:rsid w:val="00E266D0"/>
    <w:rsid w:val="00E26D99"/>
    <w:rsid w:val="00E272CB"/>
    <w:rsid w:val="00E342DA"/>
    <w:rsid w:val="00E34511"/>
    <w:rsid w:val="00E35258"/>
    <w:rsid w:val="00E366BD"/>
    <w:rsid w:val="00E373C6"/>
    <w:rsid w:val="00E3798E"/>
    <w:rsid w:val="00E40094"/>
    <w:rsid w:val="00E40295"/>
    <w:rsid w:val="00E46719"/>
    <w:rsid w:val="00E47FF3"/>
    <w:rsid w:val="00E50E9C"/>
    <w:rsid w:val="00E51276"/>
    <w:rsid w:val="00E5181F"/>
    <w:rsid w:val="00E51B62"/>
    <w:rsid w:val="00E56B4F"/>
    <w:rsid w:val="00E61296"/>
    <w:rsid w:val="00E61429"/>
    <w:rsid w:val="00E618CE"/>
    <w:rsid w:val="00E6468C"/>
    <w:rsid w:val="00E6510D"/>
    <w:rsid w:val="00E676DF"/>
    <w:rsid w:val="00E707F0"/>
    <w:rsid w:val="00E710EC"/>
    <w:rsid w:val="00E76446"/>
    <w:rsid w:val="00E770D5"/>
    <w:rsid w:val="00E808C8"/>
    <w:rsid w:val="00E82256"/>
    <w:rsid w:val="00E843C2"/>
    <w:rsid w:val="00E847ED"/>
    <w:rsid w:val="00E84F0E"/>
    <w:rsid w:val="00E862E1"/>
    <w:rsid w:val="00E86DC9"/>
    <w:rsid w:val="00E873F4"/>
    <w:rsid w:val="00E87783"/>
    <w:rsid w:val="00E90944"/>
    <w:rsid w:val="00E92DFE"/>
    <w:rsid w:val="00E92E95"/>
    <w:rsid w:val="00E93FA0"/>
    <w:rsid w:val="00E945C0"/>
    <w:rsid w:val="00E946E0"/>
    <w:rsid w:val="00E96278"/>
    <w:rsid w:val="00E966FD"/>
    <w:rsid w:val="00EA1997"/>
    <w:rsid w:val="00EA1B2F"/>
    <w:rsid w:val="00EA1EE7"/>
    <w:rsid w:val="00EA26D1"/>
    <w:rsid w:val="00EA710A"/>
    <w:rsid w:val="00EB0934"/>
    <w:rsid w:val="00EB26FE"/>
    <w:rsid w:val="00EB347E"/>
    <w:rsid w:val="00EB3B07"/>
    <w:rsid w:val="00EB44A8"/>
    <w:rsid w:val="00EB52FD"/>
    <w:rsid w:val="00EB679E"/>
    <w:rsid w:val="00EB788E"/>
    <w:rsid w:val="00EB7A73"/>
    <w:rsid w:val="00EC0F16"/>
    <w:rsid w:val="00EC139C"/>
    <w:rsid w:val="00EC2F3B"/>
    <w:rsid w:val="00EC76E1"/>
    <w:rsid w:val="00EC78AF"/>
    <w:rsid w:val="00EC7CD4"/>
    <w:rsid w:val="00ECC29C"/>
    <w:rsid w:val="00ED11DB"/>
    <w:rsid w:val="00ED243E"/>
    <w:rsid w:val="00ED3CD2"/>
    <w:rsid w:val="00ED5091"/>
    <w:rsid w:val="00ED50AD"/>
    <w:rsid w:val="00ED7B34"/>
    <w:rsid w:val="00EE0228"/>
    <w:rsid w:val="00EE12F3"/>
    <w:rsid w:val="00EE1D77"/>
    <w:rsid w:val="00EE1E57"/>
    <w:rsid w:val="00EE3283"/>
    <w:rsid w:val="00EE3B5B"/>
    <w:rsid w:val="00EE4C7E"/>
    <w:rsid w:val="00EE4F57"/>
    <w:rsid w:val="00EE6436"/>
    <w:rsid w:val="00EE65E9"/>
    <w:rsid w:val="00EE7607"/>
    <w:rsid w:val="00EE79C6"/>
    <w:rsid w:val="00EF0274"/>
    <w:rsid w:val="00EF0704"/>
    <w:rsid w:val="00EF2F21"/>
    <w:rsid w:val="00EF30C6"/>
    <w:rsid w:val="00EF31BD"/>
    <w:rsid w:val="00EF4C96"/>
    <w:rsid w:val="00EF5E67"/>
    <w:rsid w:val="00EF6378"/>
    <w:rsid w:val="00EF6435"/>
    <w:rsid w:val="00EF66B9"/>
    <w:rsid w:val="00EF77C1"/>
    <w:rsid w:val="00F0160F"/>
    <w:rsid w:val="00F028D2"/>
    <w:rsid w:val="00F03AC2"/>
    <w:rsid w:val="00F048EF"/>
    <w:rsid w:val="00F05C9E"/>
    <w:rsid w:val="00F10D67"/>
    <w:rsid w:val="00F124B6"/>
    <w:rsid w:val="00F13F24"/>
    <w:rsid w:val="00F140AB"/>
    <w:rsid w:val="00F146C3"/>
    <w:rsid w:val="00F14F58"/>
    <w:rsid w:val="00F20E8D"/>
    <w:rsid w:val="00F22435"/>
    <w:rsid w:val="00F22ADD"/>
    <w:rsid w:val="00F232BD"/>
    <w:rsid w:val="00F24781"/>
    <w:rsid w:val="00F24E34"/>
    <w:rsid w:val="00F25A04"/>
    <w:rsid w:val="00F25AD6"/>
    <w:rsid w:val="00F25C66"/>
    <w:rsid w:val="00F2738F"/>
    <w:rsid w:val="00F27438"/>
    <w:rsid w:val="00F2765C"/>
    <w:rsid w:val="00F30F1F"/>
    <w:rsid w:val="00F310A2"/>
    <w:rsid w:val="00F3124D"/>
    <w:rsid w:val="00F322CD"/>
    <w:rsid w:val="00F327AA"/>
    <w:rsid w:val="00F36AD5"/>
    <w:rsid w:val="00F373F7"/>
    <w:rsid w:val="00F4007D"/>
    <w:rsid w:val="00F401F8"/>
    <w:rsid w:val="00F40BE3"/>
    <w:rsid w:val="00F40EE6"/>
    <w:rsid w:val="00F41261"/>
    <w:rsid w:val="00F41797"/>
    <w:rsid w:val="00F4236B"/>
    <w:rsid w:val="00F4279E"/>
    <w:rsid w:val="00F439FC"/>
    <w:rsid w:val="00F441E6"/>
    <w:rsid w:val="00F444C5"/>
    <w:rsid w:val="00F44BD0"/>
    <w:rsid w:val="00F4540E"/>
    <w:rsid w:val="00F52B3C"/>
    <w:rsid w:val="00F53948"/>
    <w:rsid w:val="00F54042"/>
    <w:rsid w:val="00F54408"/>
    <w:rsid w:val="00F54B7B"/>
    <w:rsid w:val="00F55D25"/>
    <w:rsid w:val="00F56DDD"/>
    <w:rsid w:val="00F56F1E"/>
    <w:rsid w:val="00F5736D"/>
    <w:rsid w:val="00F576FF"/>
    <w:rsid w:val="00F57E05"/>
    <w:rsid w:val="00F60F3C"/>
    <w:rsid w:val="00F62294"/>
    <w:rsid w:val="00F6463F"/>
    <w:rsid w:val="00F6574C"/>
    <w:rsid w:val="00F65AEF"/>
    <w:rsid w:val="00F66D3E"/>
    <w:rsid w:val="00F6773D"/>
    <w:rsid w:val="00F70366"/>
    <w:rsid w:val="00F718B2"/>
    <w:rsid w:val="00F720F7"/>
    <w:rsid w:val="00F73DBE"/>
    <w:rsid w:val="00F80B04"/>
    <w:rsid w:val="00F81952"/>
    <w:rsid w:val="00F821A7"/>
    <w:rsid w:val="00F8235A"/>
    <w:rsid w:val="00F831D0"/>
    <w:rsid w:val="00F87759"/>
    <w:rsid w:val="00F91774"/>
    <w:rsid w:val="00F91ADF"/>
    <w:rsid w:val="00F92096"/>
    <w:rsid w:val="00F9225E"/>
    <w:rsid w:val="00F9387A"/>
    <w:rsid w:val="00F9399D"/>
    <w:rsid w:val="00F940C2"/>
    <w:rsid w:val="00F9499D"/>
    <w:rsid w:val="00F9577D"/>
    <w:rsid w:val="00F95ED6"/>
    <w:rsid w:val="00F962C3"/>
    <w:rsid w:val="00FA16A1"/>
    <w:rsid w:val="00FA239E"/>
    <w:rsid w:val="00FA354E"/>
    <w:rsid w:val="00FA3F2E"/>
    <w:rsid w:val="00FA47C6"/>
    <w:rsid w:val="00FA47D7"/>
    <w:rsid w:val="00FA7526"/>
    <w:rsid w:val="00FB0431"/>
    <w:rsid w:val="00FB1D45"/>
    <w:rsid w:val="00FB1D85"/>
    <w:rsid w:val="00FB2055"/>
    <w:rsid w:val="00FB5DF2"/>
    <w:rsid w:val="00FC13B3"/>
    <w:rsid w:val="00FC1CF7"/>
    <w:rsid w:val="00FC47F9"/>
    <w:rsid w:val="00FC5627"/>
    <w:rsid w:val="00FC7785"/>
    <w:rsid w:val="00FD20FE"/>
    <w:rsid w:val="00FD2C73"/>
    <w:rsid w:val="00FD3047"/>
    <w:rsid w:val="00FD31E6"/>
    <w:rsid w:val="00FD61D7"/>
    <w:rsid w:val="00FD6633"/>
    <w:rsid w:val="00FD693F"/>
    <w:rsid w:val="00FD70C0"/>
    <w:rsid w:val="00FD7983"/>
    <w:rsid w:val="00FE1F35"/>
    <w:rsid w:val="00FE22AD"/>
    <w:rsid w:val="00FE2EDB"/>
    <w:rsid w:val="00FE31B3"/>
    <w:rsid w:val="00FE35D5"/>
    <w:rsid w:val="00FE40D1"/>
    <w:rsid w:val="00FE6079"/>
    <w:rsid w:val="00FE76C9"/>
    <w:rsid w:val="00FE79F7"/>
    <w:rsid w:val="00FE7D8F"/>
    <w:rsid w:val="00FF0B9F"/>
    <w:rsid w:val="00FF2322"/>
    <w:rsid w:val="00FF3961"/>
    <w:rsid w:val="00FF4463"/>
    <w:rsid w:val="00FF4751"/>
    <w:rsid w:val="00FF6A5A"/>
    <w:rsid w:val="00FF6F9F"/>
    <w:rsid w:val="00FF74CB"/>
    <w:rsid w:val="0308C9C0"/>
    <w:rsid w:val="032B6F0D"/>
    <w:rsid w:val="0383750C"/>
    <w:rsid w:val="03889B04"/>
    <w:rsid w:val="03B13639"/>
    <w:rsid w:val="03C76D2A"/>
    <w:rsid w:val="03E461CD"/>
    <w:rsid w:val="042DAC9D"/>
    <w:rsid w:val="048FCA8C"/>
    <w:rsid w:val="0547AFA4"/>
    <w:rsid w:val="05A6B575"/>
    <w:rsid w:val="05BA60BB"/>
    <w:rsid w:val="06FE41D4"/>
    <w:rsid w:val="076DA37A"/>
    <w:rsid w:val="07A8435B"/>
    <w:rsid w:val="07FE3EE3"/>
    <w:rsid w:val="080D1474"/>
    <w:rsid w:val="0880201C"/>
    <w:rsid w:val="08AE2A3E"/>
    <w:rsid w:val="09254B73"/>
    <w:rsid w:val="099E65EB"/>
    <w:rsid w:val="09A09994"/>
    <w:rsid w:val="0B24A8D4"/>
    <w:rsid w:val="0B5215F7"/>
    <w:rsid w:val="0B54A05E"/>
    <w:rsid w:val="0C9EC5D3"/>
    <w:rsid w:val="0CA1CB04"/>
    <w:rsid w:val="0D53CF34"/>
    <w:rsid w:val="0D5DA77F"/>
    <w:rsid w:val="0D9305C8"/>
    <w:rsid w:val="0E7259F1"/>
    <w:rsid w:val="0EDA60FD"/>
    <w:rsid w:val="0F5B1820"/>
    <w:rsid w:val="1021A602"/>
    <w:rsid w:val="10A4E0DD"/>
    <w:rsid w:val="10A6311F"/>
    <w:rsid w:val="11217478"/>
    <w:rsid w:val="116D3DCF"/>
    <w:rsid w:val="11A68926"/>
    <w:rsid w:val="11F9C839"/>
    <w:rsid w:val="12E40C3F"/>
    <w:rsid w:val="141065A3"/>
    <w:rsid w:val="1418E3C9"/>
    <w:rsid w:val="145A930C"/>
    <w:rsid w:val="14CB3F7D"/>
    <w:rsid w:val="157D8574"/>
    <w:rsid w:val="158EA7CD"/>
    <w:rsid w:val="168B19CB"/>
    <w:rsid w:val="16F1A89C"/>
    <w:rsid w:val="17598AE9"/>
    <w:rsid w:val="17F2F8E7"/>
    <w:rsid w:val="181348BE"/>
    <w:rsid w:val="181A07CD"/>
    <w:rsid w:val="1881B197"/>
    <w:rsid w:val="188D9B2E"/>
    <w:rsid w:val="18A664A5"/>
    <w:rsid w:val="18DBBC32"/>
    <w:rsid w:val="195B8A0E"/>
    <w:rsid w:val="19CF3F46"/>
    <w:rsid w:val="19ECE792"/>
    <w:rsid w:val="1A235ABB"/>
    <w:rsid w:val="1A51EC9E"/>
    <w:rsid w:val="1A959545"/>
    <w:rsid w:val="1BD2C4D9"/>
    <w:rsid w:val="1CDBDAD8"/>
    <w:rsid w:val="1CE0B497"/>
    <w:rsid w:val="1D104260"/>
    <w:rsid w:val="1D25A328"/>
    <w:rsid w:val="1D377DEF"/>
    <w:rsid w:val="1D4E7A50"/>
    <w:rsid w:val="1D79B827"/>
    <w:rsid w:val="1E4C6530"/>
    <w:rsid w:val="1E9FABDE"/>
    <w:rsid w:val="1F37E103"/>
    <w:rsid w:val="1F49E4F7"/>
    <w:rsid w:val="1F6B4977"/>
    <w:rsid w:val="1F932876"/>
    <w:rsid w:val="206F474C"/>
    <w:rsid w:val="210C84B2"/>
    <w:rsid w:val="213D5D39"/>
    <w:rsid w:val="21ACDC6C"/>
    <w:rsid w:val="2213D569"/>
    <w:rsid w:val="22F30DF8"/>
    <w:rsid w:val="23438B65"/>
    <w:rsid w:val="2351836B"/>
    <w:rsid w:val="238CDC7A"/>
    <w:rsid w:val="24B7803B"/>
    <w:rsid w:val="26F1B653"/>
    <w:rsid w:val="276E54BB"/>
    <w:rsid w:val="27A56361"/>
    <w:rsid w:val="29C28065"/>
    <w:rsid w:val="2B3004D3"/>
    <w:rsid w:val="2C292179"/>
    <w:rsid w:val="2C5240DB"/>
    <w:rsid w:val="2DF89BF9"/>
    <w:rsid w:val="2E4A27EF"/>
    <w:rsid w:val="2EA364C2"/>
    <w:rsid w:val="2F3BDDE6"/>
    <w:rsid w:val="314B1B61"/>
    <w:rsid w:val="31668E52"/>
    <w:rsid w:val="317E41C6"/>
    <w:rsid w:val="3186B502"/>
    <w:rsid w:val="31954C90"/>
    <w:rsid w:val="319B2B3E"/>
    <w:rsid w:val="329065DD"/>
    <w:rsid w:val="32932136"/>
    <w:rsid w:val="32B20680"/>
    <w:rsid w:val="333B0DD5"/>
    <w:rsid w:val="33DCA053"/>
    <w:rsid w:val="346B2514"/>
    <w:rsid w:val="34718877"/>
    <w:rsid w:val="35CC571D"/>
    <w:rsid w:val="36455309"/>
    <w:rsid w:val="36C85B73"/>
    <w:rsid w:val="36D6148C"/>
    <w:rsid w:val="36F12D94"/>
    <w:rsid w:val="3700C292"/>
    <w:rsid w:val="371B473C"/>
    <w:rsid w:val="37413D6A"/>
    <w:rsid w:val="37EADF39"/>
    <w:rsid w:val="37FA1F50"/>
    <w:rsid w:val="38131BEB"/>
    <w:rsid w:val="382092A9"/>
    <w:rsid w:val="3987426B"/>
    <w:rsid w:val="39AE3DAF"/>
    <w:rsid w:val="39C55AF5"/>
    <w:rsid w:val="3A55174F"/>
    <w:rsid w:val="3BA72ECA"/>
    <w:rsid w:val="3C02ED34"/>
    <w:rsid w:val="3C1D97CD"/>
    <w:rsid w:val="3C9EE8C0"/>
    <w:rsid w:val="3CA7D950"/>
    <w:rsid w:val="3EA0CE0D"/>
    <w:rsid w:val="3EB1DCC7"/>
    <w:rsid w:val="3EC4266F"/>
    <w:rsid w:val="3F21E6AF"/>
    <w:rsid w:val="3F506220"/>
    <w:rsid w:val="3F8069F4"/>
    <w:rsid w:val="4052FFC5"/>
    <w:rsid w:val="413083B1"/>
    <w:rsid w:val="41673592"/>
    <w:rsid w:val="41D5AAFD"/>
    <w:rsid w:val="421A60F9"/>
    <w:rsid w:val="4242701B"/>
    <w:rsid w:val="4362F2C9"/>
    <w:rsid w:val="44542FB8"/>
    <w:rsid w:val="44822DFA"/>
    <w:rsid w:val="4483216D"/>
    <w:rsid w:val="45141682"/>
    <w:rsid w:val="4560C388"/>
    <w:rsid w:val="45ADA17A"/>
    <w:rsid w:val="45B6BDF2"/>
    <w:rsid w:val="45C1D4B8"/>
    <w:rsid w:val="47DDBF3B"/>
    <w:rsid w:val="48FE0EFB"/>
    <w:rsid w:val="49E76316"/>
    <w:rsid w:val="49EC8F19"/>
    <w:rsid w:val="4A02CA6D"/>
    <w:rsid w:val="4A74F142"/>
    <w:rsid w:val="4AC2B60C"/>
    <w:rsid w:val="4AEF7035"/>
    <w:rsid w:val="4B60E110"/>
    <w:rsid w:val="4B7B3F6C"/>
    <w:rsid w:val="4B995C97"/>
    <w:rsid w:val="4CC7E48E"/>
    <w:rsid w:val="4CCBEA75"/>
    <w:rsid w:val="4CE84399"/>
    <w:rsid w:val="4E48E55D"/>
    <w:rsid w:val="4EED7A17"/>
    <w:rsid w:val="4F4BAF9F"/>
    <w:rsid w:val="4FE811C2"/>
    <w:rsid w:val="5076CC53"/>
    <w:rsid w:val="5076F8EE"/>
    <w:rsid w:val="508640BB"/>
    <w:rsid w:val="5252164C"/>
    <w:rsid w:val="527252C2"/>
    <w:rsid w:val="52E1EFD5"/>
    <w:rsid w:val="53468637"/>
    <w:rsid w:val="5350D3DA"/>
    <w:rsid w:val="53C1DCBA"/>
    <w:rsid w:val="54168EAE"/>
    <w:rsid w:val="543D8C26"/>
    <w:rsid w:val="5450DF55"/>
    <w:rsid w:val="549B00C7"/>
    <w:rsid w:val="54A09C53"/>
    <w:rsid w:val="54DDFBC2"/>
    <w:rsid w:val="550C6F2C"/>
    <w:rsid w:val="55BE4730"/>
    <w:rsid w:val="55E5902F"/>
    <w:rsid w:val="5669A9BC"/>
    <w:rsid w:val="567F7C8F"/>
    <w:rsid w:val="57540BDE"/>
    <w:rsid w:val="57BD5831"/>
    <w:rsid w:val="57C3FDDF"/>
    <w:rsid w:val="58C9ED55"/>
    <w:rsid w:val="5A4A5E06"/>
    <w:rsid w:val="5A5C27C2"/>
    <w:rsid w:val="5A91FC87"/>
    <w:rsid w:val="5ACCC5D5"/>
    <w:rsid w:val="5B67E2A0"/>
    <w:rsid w:val="5B6C75C9"/>
    <w:rsid w:val="5C53D961"/>
    <w:rsid w:val="5C67DF90"/>
    <w:rsid w:val="5CD47AC5"/>
    <w:rsid w:val="5D748127"/>
    <w:rsid w:val="5D95720E"/>
    <w:rsid w:val="5DA84CEE"/>
    <w:rsid w:val="5DC5A715"/>
    <w:rsid w:val="5E6B92F4"/>
    <w:rsid w:val="5F4E4A8E"/>
    <w:rsid w:val="5F8FF55A"/>
    <w:rsid w:val="5FACD11A"/>
    <w:rsid w:val="5FB08267"/>
    <w:rsid w:val="60F549F6"/>
    <w:rsid w:val="613A0809"/>
    <w:rsid w:val="614CFC69"/>
    <w:rsid w:val="61625668"/>
    <w:rsid w:val="61E437F0"/>
    <w:rsid w:val="61FCDED3"/>
    <w:rsid w:val="638B2FD2"/>
    <w:rsid w:val="639F08E1"/>
    <w:rsid w:val="63A3ADA3"/>
    <w:rsid w:val="63F850D2"/>
    <w:rsid w:val="646EE218"/>
    <w:rsid w:val="64C696CE"/>
    <w:rsid w:val="65FB04E3"/>
    <w:rsid w:val="6676D15C"/>
    <w:rsid w:val="66CD0686"/>
    <w:rsid w:val="67AEF961"/>
    <w:rsid w:val="67CC9FFD"/>
    <w:rsid w:val="67D20614"/>
    <w:rsid w:val="680CBCE2"/>
    <w:rsid w:val="6898C87C"/>
    <w:rsid w:val="68DC0AF8"/>
    <w:rsid w:val="695D03E1"/>
    <w:rsid w:val="69E1A3B4"/>
    <w:rsid w:val="6A2622D4"/>
    <w:rsid w:val="6A4BA3F4"/>
    <w:rsid w:val="6A8A1EA2"/>
    <w:rsid w:val="6A8C7611"/>
    <w:rsid w:val="6A8C7A82"/>
    <w:rsid w:val="6B21C987"/>
    <w:rsid w:val="6B888E34"/>
    <w:rsid w:val="6BE4C71B"/>
    <w:rsid w:val="6C168C67"/>
    <w:rsid w:val="6C938759"/>
    <w:rsid w:val="6E8C49D4"/>
    <w:rsid w:val="6F931ED0"/>
    <w:rsid w:val="7119A265"/>
    <w:rsid w:val="71980938"/>
    <w:rsid w:val="71CD59B4"/>
    <w:rsid w:val="7260ADD1"/>
    <w:rsid w:val="72652226"/>
    <w:rsid w:val="72C38056"/>
    <w:rsid w:val="736BB74E"/>
    <w:rsid w:val="73D06B1E"/>
    <w:rsid w:val="74C99C48"/>
    <w:rsid w:val="7532418C"/>
    <w:rsid w:val="75BC1F16"/>
    <w:rsid w:val="75D8E753"/>
    <w:rsid w:val="75E96BEC"/>
    <w:rsid w:val="76E9B673"/>
    <w:rsid w:val="76EA9B37"/>
    <w:rsid w:val="7711DC9E"/>
    <w:rsid w:val="772ED889"/>
    <w:rsid w:val="77CF7AD5"/>
    <w:rsid w:val="780EE031"/>
    <w:rsid w:val="78168B3C"/>
    <w:rsid w:val="78DF7CC6"/>
    <w:rsid w:val="78FC17C9"/>
    <w:rsid w:val="79560393"/>
    <w:rsid w:val="79B5429D"/>
    <w:rsid w:val="7A7FB1AF"/>
    <w:rsid w:val="7ACF38E6"/>
    <w:rsid w:val="7B4A236B"/>
    <w:rsid w:val="7B52EF37"/>
    <w:rsid w:val="7BC01BA5"/>
    <w:rsid w:val="7C0CEEDA"/>
    <w:rsid w:val="7D99220F"/>
    <w:rsid w:val="7E250D52"/>
    <w:rsid w:val="7E7E7633"/>
    <w:rsid w:val="7ED10562"/>
    <w:rsid w:val="7EDCF7D7"/>
    <w:rsid w:val="7F149AC3"/>
    <w:rsid w:val="7F8B6597"/>
    <w:rsid w:val="7F92AF7B"/>
    <w:rsid w:val="7FC32AA4"/>
    <w:rsid w:val="7FF89F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71B0"/>
  <w15:chartTrackingRefBased/>
  <w15:docId w15:val="{60ECC2EA-B807-41E2-A276-33ABA730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A02"/>
    <w:pPr>
      <w:spacing w:after="120" w:line="240" w:lineRule="auto"/>
      <w:jc w:val="both"/>
    </w:pPr>
    <w:rPr>
      <w:rFonts w:ascii="Arial" w:hAnsi="Arial"/>
      <w:kern w:val="2"/>
      <w:sz w:val="20"/>
      <w:szCs w:val="22"/>
    </w:rPr>
  </w:style>
  <w:style w:type="paragraph" w:styleId="Heading1">
    <w:name w:val="heading 1"/>
    <w:basedOn w:val="Normal"/>
    <w:next w:val="Normal"/>
    <w:link w:val="Heading1Char"/>
    <w:uiPriority w:val="9"/>
    <w:qFormat/>
    <w:rsid w:val="00AB0195"/>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0195"/>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0195"/>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3111"/>
    <w:pPr>
      <w:keepNext/>
      <w:keepLines/>
      <w:numPr>
        <w:ilvl w:val="3"/>
        <w:numId w:val="7"/>
      </w:numPr>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195"/>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195"/>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195"/>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195"/>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195"/>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195"/>
    <w:rPr>
      <w:rFonts w:asciiTheme="majorHAnsi" w:eastAsiaTheme="majorEastAsia" w:hAnsiTheme="majorHAnsi" w:cstheme="majorBidi"/>
      <w:color w:val="0F4761" w:themeColor="accent1" w:themeShade="BF"/>
      <w:kern w:val="2"/>
      <w:sz w:val="40"/>
      <w:szCs w:val="40"/>
    </w:rPr>
  </w:style>
  <w:style w:type="character" w:customStyle="1" w:styleId="Heading2Char">
    <w:name w:val="Heading 2 Char"/>
    <w:basedOn w:val="DefaultParagraphFont"/>
    <w:link w:val="Heading2"/>
    <w:uiPriority w:val="9"/>
    <w:rsid w:val="00AB0195"/>
    <w:rPr>
      <w:rFonts w:asciiTheme="majorHAnsi" w:eastAsiaTheme="majorEastAsia" w:hAnsiTheme="majorHAnsi" w:cstheme="majorBidi"/>
      <w:color w:val="0F4761" w:themeColor="accent1" w:themeShade="BF"/>
      <w:kern w:val="2"/>
      <w:sz w:val="32"/>
      <w:szCs w:val="32"/>
    </w:rPr>
  </w:style>
  <w:style w:type="character" w:customStyle="1" w:styleId="Heading3Char">
    <w:name w:val="Heading 3 Char"/>
    <w:basedOn w:val="DefaultParagraphFont"/>
    <w:link w:val="Heading3"/>
    <w:uiPriority w:val="9"/>
    <w:rsid w:val="00AB0195"/>
    <w:rPr>
      <w:rFonts w:ascii="Arial" w:eastAsiaTheme="majorEastAsia" w:hAnsi="Arial" w:cstheme="majorBidi"/>
      <w:color w:val="0F4761" w:themeColor="accent1" w:themeShade="BF"/>
      <w:kern w:val="2"/>
      <w:sz w:val="28"/>
      <w:szCs w:val="28"/>
    </w:rPr>
  </w:style>
  <w:style w:type="character" w:customStyle="1" w:styleId="Heading4Char">
    <w:name w:val="Heading 4 Char"/>
    <w:basedOn w:val="DefaultParagraphFont"/>
    <w:link w:val="Heading4"/>
    <w:uiPriority w:val="9"/>
    <w:rsid w:val="00BF3111"/>
    <w:rPr>
      <w:rFonts w:ascii="Arial" w:eastAsiaTheme="majorEastAsia" w:hAnsi="Arial" w:cstheme="majorBidi"/>
      <w:i/>
      <w:iCs/>
      <w:color w:val="0F4761" w:themeColor="accent1" w:themeShade="BF"/>
      <w:kern w:val="2"/>
      <w:sz w:val="20"/>
      <w:szCs w:val="22"/>
    </w:rPr>
  </w:style>
  <w:style w:type="character" w:customStyle="1" w:styleId="Heading5Char">
    <w:name w:val="Heading 5 Char"/>
    <w:basedOn w:val="DefaultParagraphFont"/>
    <w:link w:val="Heading5"/>
    <w:uiPriority w:val="9"/>
    <w:semiHidden/>
    <w:rsid w:val="00AB0195"/>
    <w:rPr>
      <w:rFonts w:ascii="Arial" w:eastAsiaTheme="majorEastAsia" w:hAnsi="Arial" w:cstheme="majorBidi"/>
      <w:color w:val="0F4761" w:themeColor="accent1" w:themeShade="BF"/>
      <w:kern w:val="2"/>
      <w:sz w:val="20"/>
      <w:szCs w:val="22"/>
    </w:rPr>
  </w:style>
  <w:style w:type="character" w:customStyle="1" w:styleId="Heading6Char">
    <w:name w:val="Heading 6 Char"/>
    <w:basedOn w:val="DefaultParagraphFont"/>
    <w:link w:val="Heading6"/>
    <w:uiPriority w:val="9"/>
    <w:semiHidden/>
    <w:rsid w:val="00AB0195"/>
    <w:rPr>
      <w:rFonts w:ascii="Arial" w:eastAsiaTheme="majorEastAsia" w:hAnsi="Arial" w:cstheme="majorBidi"/>
      <w:i/>
      <w:iCs/>
      <w:color w:val="595959" w:themeColor="text1" w:themeTint="A6"/>
      <w:kern w:val="2"/>
      <w:sz w:val="20"/>
      <w:szCs w:val="22"/>
    </w:rPr>
  </w:style>
  <w:style w:type="character" w:customStyle="1" w:styleId="Heading7Char">
    <w:name w:val="Heading 7 Char"/>
    <w:basedOn w:val="DefaultParagraphFont"/>
    <w:link w:val="Heading7"/>
    <w:uiPriority w:val="9"/>
    <w:semiHidden/>
    <w:rsid w:val="00AB0195"/>
    <w:rPr>
      <w:rFonts w:ascii="Arial" w:eastAsiaTheme="majorEastAsia" w:hAnsi="Arial" w:cstheme="majorBidi"/>
      <w:color w:val="595959" w:themeColor="text1" w:themeTint="A6"/>
      <w:kern w:val="2"/>
      <w:sz w:val="20"/>
      <w:szCs w:val="22"/>
    </w:rPr>
  </w:style>
  <w:style w:type="character" w:customStyle="1" w:styleId="Heading8Char">
    <w:name w:val="Heading 8 Char"/>
    <w:basedOn w:val="DefaultParagraphFont"/>
    <w:link w:val="Heading8"/>
    <w:uiPriority w:val="9"/>
    <w:semiHidden/>
    <w:rsid w:val="00AB0195"/>
    <w:rPr>
      <w:rFonts w:ascii="Arial" w:eastAsiaTheme="majorEastAsia" w:hAnsi="Arial" w:cstheme="majorBidi"/>
      <w:i/>
      <w:iCs/>
      <w:color w:val="272727" w:themeColor="text1" w:themeTint="D8"/>
      <w:kern w:val="2"/>
      <w:sz w:val="20"/>
      <w:szCs w:val="22"/>
    </w:rPr>
  </w:style>
  <w:style w:type="character" w:customStyle="1" w:styleId="Heading9Char">
    <w:name w:val="Heading 9 Char"/>
    <w:basedOn w:val="DefaultParagraphFont"/>
    <w:link w:val="Heading9"/>
    <w:uiPriority w:val="9"/>
    <w:semiHidden/>
    <w:rsid w:val="00AB0195"/>
    <w:rPr>
      <w:rFonts w:ascii="Arial" w:eastAsiaTheme="majorEastAsia" w:hAnsi="Arial" w:cstheme="majorBidi"/>
      <w:color w:val="272727" w:themeColor="text1" w:themeTint="D8"/>
      <w:kern w:val="2"/>
      <w:sz w:val="20"/>
      <w:szCs w:val="22"/>
    </w:rPr>
  </w:style>
  <w:style w:type="paragraph" w:styleId="Title">
    <w:name w:val="Title"/>
    <w:basedOn w:val="Normal"/>
    <w:next w:val="Normal"/>
    <w:link w:val="TitleChar"/>
    <w:uiPriority w:val="10"/>
    <w:qFormat/>
    <w:rsid w:val="00AB0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195"/>
    <w:pPr>
      <w:spacing w:before="160"/>
      <w:jc w:val="center"/>
    </w:pPr>
    <w:rPr>
      <w:i/>
      <w:iCs/>
      <w:color w:val="404040" w:themeColor="text1" w:themeTint="BF"/>
    </w:rPr>
  </w:style>
  <w:style w:type="character" w:customStyle="1" w:styleId="QuoteChar">
    <w:name w:val="Quote Char"/>
    <w:basedOn w:val="DefaultParagraphFont"/>
    <w:link w:val="Quote"/>
    <w:uiPriority w:val="29"/>
    <w:rsid w:val="00AB0195"/>
    <w:rPr>
      <w:i/>
      <w:iCs/>
      <w:color w:val="404040" w:themeColor="text1" w:themeTint="BF"/>
    </w:rPr>
  </w:style>
  <w:style w:type="paragraph" w:styleId="ListParagraph">
    <w:name w:val="List Paragraph"/>
    <w:aliases w:val="__NSOR-LISTA BROJEVI,____INDIKATORI I CILJANI,6,Bullet Points,Liste Paragraf,Colorful List - Accent 11,List Paragraph1,Numbered List Paragraph,References,Numbered Paragraph,Main numbered paragraph,List_Paragraph,Multilevel para_II,Bullets"/>
    <w:basedOn w:val="Normal"/>
    <w:link w:val="ListParagraphChar"/>
    <w:uiPriority w:val="34"/>
    <w:qFormat/>
    <w:rsid w:val="00AB0195"/>
    <w:pPr>
      <w:ind w:left="720"/>
      <w:contextualSpacing/>
    </w:pPr>
  </w:style>
  <w:style w:type="character" w:styleId="IntenseEmphasis">
    <w:name w:val="Intense Emphasis"/>
    <w:basedOn w:val="DefaultParagraphFont"/>
    <w:uiPriority w:val="21"/>
    <w:qFormat/>
    <w:rsid w:val="00AB0195"/>
    <w:rPr>
      <w:i/>
      <w:iCs/>
      <w:color w:val="0F4761" w:themeColor="accent1" w:themeShade="BF"/>
    </w:rPr>
  </w:style>
  <w:style w:type="paragraph" w:styleId="IntenseQuote">
    <w:name w:val="Intense Quote"/>
    <w:basedOn w:val="Normal"/>
    <w:next w:val="Normal"/>
    <w:link w:val="IntenseQuoteChar"/>
    <w:uiPriority w:val="30"/>
    <w:qFormat/>
    <w:rsid w:val="00BF311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F3111"/>
    <w:rPr>
      <w:rFonts w:ascii="Arial" w:hAnsi="Arial"/>
      <w:i/>
      <w:iCs/>
      <w:color w:val="0F4761" w:themeColor="accent1" w:themeShade="BF"/>
      <w:kern w:val="2"/>
      <w:sz w:val="20"/>
      <w:szCs w:val="22"/>
    </w:rPr>
  </w:style>
  <w:style w:type="character" w:styleId="IntenseReference">
    <w:name w:val="Intense Reference"/>
    <w:basedOn w:val="DefaultParagraphFont"/>
    <w:uiPriority w:val="32"/>
    <w:qFormat/>
    <w:rsid w:val="00AB0195"/>
    <w:rPr>
      <w:b/>
      <w:bCs/>
      <w:smallCaps/>
      <w:color w:val="0F4761" w:themeColor="accent1" w:themeShade="BF"/>
      <w:spacing w:val="5"/>
    </w:rPr>
  </w:style>
  <w:style w:type="paragraph" w:customStyle="1" w:styleId="Default">
    <w:name w:val="Default"/>
    <w:rsid w:val="00AB0195"/>
    <w:pPr>
      <w:autoSpaceDE w:val="0"/>
      <w:autoSpaceDN w:val="0"/>
      <w:adjustRightInd w:val="0"/>
      <w:spacing w:after="0" w:line="240" w:lineRule="auto"/>
    </w:pPr>
    <w:rPr>
      <w:rFonts w:ascii="Calibri" w:hAnsi="Calibri" w:cs="Calibri"/>
      <w:color w:val="000000"/>
      <w:lang w:val="en-US"/>
    </w:rPr>
  </w:style>
  <w:style w:type="paragraph" w:customStyle="1" w:styleId="CM4">
    <w:name w:val="CM4"/>
    <w:basedOn w:val="Default"/>
    <w:next w:val="Default"/>
    <w:uiPriority w:val="99"/>
    <w:rsid w:val="00AB0195"/>
    <w:rPr>
      <w:rFonts w:ascii="Times New Roman" w:hAnsi="Times New Roman" w:cs="Times New Roman"/>
      <w:color w:val="auto"/>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n,Reference,A,ft,f,ADB,F1,single space"/>
    <w:basedOn w:val="Normal"/>
    <w:link w:val="FootnoteTextChar"/>
    <w:autoRedefine/>
    <w:uiPriority w:val="99"/>
    <w:unhideWhenUsed/>
    <w:qFormat/>
    <w:rsid w:val="006D523E"/>
    <w:pPr>
      <w:spacing w:after="0"/>
      <w:jc w:val="left"/>
    </w:pPr>
    <w:rPr>
      <w:rFonts w:cs="Arial"/>
      <w:sz w:val="16"/>
      <w:szCs w:val="16"/>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n Char,Reference Char,A Char"/>
    <w:basedOn w:val="DefaultParagraphFont"/>
    <w:link w:val="FootnoteText"/>
    <w:uiPriority w:val="99"/>
    <w:qFormat/>
    <w:rsid w:val="006D523E"/>
    <w:rPr>
      <w:rFonts w:ascii="Arial" w:hAnsi="Arial" w:cs="Arial"/>
      <w:kern w:val="2"/>
      <w:sz w:val="16"/>
      <w:szCs w:val="16"/>
    </w:rPr>
  </w:style>
  <w:style w:type="character" w:styleId="FootnoteReference">
    <w:name w:val="footnote reference"/>
    <w:aliases w:val="fusnot Char,BVI fnr,ftref,16 Point,Superscript 6 Point,nota pié di pagina,Footnote symbol,Footnote reference number,Times 10 Point,Exposant 3 Point,EN Footnote Reference,note TESI,Footnote Reference Char Char Char,Ref,Footnotes refss"/>
    <w:basedOn w:val="DefaultParagraphFont"/>
    <w:link w:val="fusnot"/>
    <w:unhideWhenUsed/>
    <w:qFormat/>
    <w:rsid w:val="00AB0195"/>
    <w:rPr>
      <w:vertAlign w:val="superscript"/>
    </w:rPr>
  </w:style>
  <w:style w:type="paragraph" w:styleId="Footer">
    <w:name w:val="footer"/>
    <w:basedOn w:val="Normal"/>
    <w:link w:val="FooterChar"/>
    <w:uiPriority w:val="99"/>
    <w:unhideWhenUsed/>
    <w:rsid w:val="00AB0195"/>
    <w:pPr>
      <w:tabs>
        <w:tab w:val="center" w:pos="4680"/>
        <w:tab w:val="right" w:pos="9360"/>
      </w:tabs>
      <w:spacing w:after="0"/>
    </w:pPr>
  </w:style>
  <w:style w:type="character" w:customStyle="1" w:styleId="FooterChar">
    <w:name w:val="Footer Char"/>
    <w:basedOn w:val="DefaultParagraphFont"/>
    <w:link w:val="Footer"/>
    <w:uiPriority w:val="99"/>
    <w:rsid w:val="00AB0195"/>
    <w:rPr>
      <w:kern w:val="2"/>
      <w:sz w:val="22"/>
      <w:szCs w:val="22"/>
    </w:rPr>
  </w:style>
  <w:style w:type="character" w:styleId="Hyperlink">
    <w:name w:val="Hyperlink"/>
    <w:basedOn w:val="DefaultParagraphFont"/>
    <w:uiPriority w:val="99"/>
    <w:unhideWhenUsed/>
    <w:rsid w:val="00AB0195"/>
    <w:rPr>
      <w:color w:val="467886" w:themeColor="hyperlink"/>
      <w:u w:val="single"/>
    </w:rPr>
  </w:style>
  <w:style w:type="paragraph" w:styleId="CommentText">
    <w:name w:val="annotation text"/>
    <w:basedOn w:val="Normal"/>
    <w:link w:val="CommentTextChar"/>
    <w:uiPriority w:val="99"/>
    <w:unhideWhenUsed/>
    <w:rsid w:val="00AB0195"/>
    <w:rPr>
      <w:szCs w:val="20"/>
    </w:rPr>
  </w:style>
  <w:style w:type="character" w:customStyle="1" w:styleId="CommentTextChar">
    <w:name w:val="Comment Text Char"/>
    <w:basedOn w:val="DefaultParagraphFont"/>
    <w:link w:val="CommentText"/>
    <w:uiPriority w:val="99"/>
    <w:rsid w:val="00AB0195"/>
    <w:rPr>
      <w:kern w:val="2"/>
      <w:sz w:val="20"/>
      <w:szCs w:val="20"/>
    </w:rPr>
  </w:style>
  <w:style w:type="paragraph" w:customStyle="1" w:styleId="fusnot">
    <w:name w:val="fusnot"/>
    <w:basedOn w:val="Normal"/>
    <w:link w:val="FootnoteReference"/>
    <w:qFormat/>
    <w:rsid w:val="00AB0195"/>
    <w:pPr>
      <w:spacing w:after="0"/>
      <w:ind w:left="284"/>
    </w:pPr>
    <w:rPr>
      <w:kern w:val="0"/>
      <w:sz w:val="24"/>
      <w:szCs w:val="24"/>
      <w:vertAlign w:val="superscript"/>
    </w:rPr>
  </w:style>
  <w:style w:type="table" w:styleId="TableGrid">
    <w:name w:val="Table Grid"/>
    <w:basedOn w:val="TableNormal"/>
    <w:uiPriority w:val="39"/>
    <w:rsid w:val="00AB0195"/>
    <w:pPr>
      <w:spacing w:after="0" w:line="240" w:lineRule="auto"/>
    </w:pPr>
    <w:rPr>
      <w:rFonts w:ascii="Times New Roman" w:eastAsia="Times New Roman" w:hAnsi="Times New Roman" w:cs="Times New Roman"/>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__NSOR-LISTA BROJEVI Char,____INDIKATORI I CILJANI Char,6 Char,Bullet Points Char,Liste Paragraf Char,Colorful List - Accent 11 Char,List Paragraph1 Char,Numbered List Paragraph Char,References Char,Numbered Paragraph Char"/>
    <w:link w:val="ListParagraph"/>
    <w:uiPriority w:val="34"/>
    <w:qFormat/>
    <w:locked/>
    <w:rsid w:val="00AB0195"/>
  </w:style>
  <w:style w:type="character" w:customStyle="1" w:styleId="lewnzc">
    <w:name w:val="lewnzc"/>
    <w:basedOn w:val="DefaultParagraphFont"/>
    <w:rsid w:val="00AB0195"/>
  </w:style>
  <w:style w:type="character" w:styleId="Emphasis">
    <w:name w:val="Emphasis"/>
    <w:basedOn w:val="DefaultParagraphFont"/>
    <w:uiPriority w:val="20"/>
    <w:qFormat/>
    <w:rsid w:val="00AB0195"/>
    <w:rPr>
      <w:i/>
      <w:iCs/>
    </w:rPr>
  </w:style>
  <w:style w:type="character" w:styleId="Strong">
    <w:name w:val="Strong"/>
    <w:basedOn w:val="DefaultParagraphFont"/>
    <w:uiPriority w:val="22"/>
    <w:qFormat/>
    <w:rsid w:val="0074555E"/>
    <w:rPr>
      <w:b/>
      <w:bCs/>
    </w:rPr>
  </w:style>
  <w:style w:type="paragraph" w:customStyle="1" w:styleId="Naslov11">
    <w:name w:val="Naslov 11"/>
    <w:basedOn w:val="Normal"/>
    <w:autoRedefine/>
    <w:rsid w:val="00BD0118"/>
    <w:rPr>
      <w:sz w:val="28"/>
    </w:rPr>
  </w:style>
  <w:style w:type="paragraph" w:customStyle="1" w:styleId="Naslov21">
    <w:name w:val="Naslov 21"/>
    <w:basedOn w:val="Normal"/>
    <w:rsid w:val="0074555E"/>
  </w:style>
  <w:style w:type="paragraph" w:customStyle="1" w:styleId="Naslov31">
    <w:name w:val="Naslov 31"/>
    <w:basedOn w:val="Normal"/>
    <w:rsid w:val="0074555E"/>
  </w:style>
  <w:style w:type="paragraph" w:customStyle="1" w:styleId="Naslov41">
    <w:name w:val="Naslov 41"/>
    <w:basedOn w:val="Normal"/>
    <w:rsid w:val="0074555E"/>
  </w:style>
  <w:style w:type="paragraph" w:customStyle="1" w:styleId="Naslov51">
    <w:name w:val="Naslov 51"/>
    <w:basedOn w:val="Normal"/>
    <w:rsid w:val="0074555E"/>
  </w:style>
  <w:style w:type="paragraph" w:customStyle="1" w:styleId="Naslov61">
    <w:name w:val="Naslov 61"/>
    <w:basedOn w:val="Normal"/>
    <w:rsid w:val="0074555E"/>
  </w:style>
  <w:style w:type="paragraph" w:customStyle="1" w:styleId="Naslov71">
    <w:name w:val="Naslov 71"/>
    <w:basedOn w:val="Normal"/>
    <w:rsid w:val="0074555E"/>
  </w:style>
  <w:style w:type="paragraph" w:customStyle="1" w:styleId="Naslov81">
    <w:name w:val="Naslov 81"/>
    <w:basedOn w:val="Normal"/>
    <w:rsid w:val="0074555E"/>
  </w:style>
  <w:style w:type="paragraph" w:customStyle="1" w:styleId="Naslov91">
    <w:name w:val="Naslov 91"/>
    <w:basedOn w:val="Normal"/>
    <w:rsid w:val="0074555E"/>
  </w:style>
  <w:style w:type="table" w:styleId="GridTable5Dark-Accent1">
    <w:name w:val="Grid Table 5 Dark Accent 1"/>
    <w:basedOn w:val="TableNormal"/>
    <w:uiPriority w:val="50"/>
    <w:rsid w:val="00BD01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Caption">
    <w:name w:val="caption"/>
    <w:basedOn w:val="Normal"/>
    <w:next w:val="Normal"/>
    <w:autoRedefine/>
    <w:uiPriority w:val="35"/>
    <w:unhideWhenUsed/>
    <w:qFormat/>
    <w:rsid w:val="003B55E8"/>
    <w:pPr>
      <w:keepNext/>
      <w:spacing w:before="200" w:after="0"/>
    </w:pPr>
    <w:rPr>
      <w:rFonts w:cs="Arial"/>
      <w:i/>
      <w:iCs/>
      <w:color w:val="0E2841" w:themeColor="text2"/>
      <w:sz w:val="18"/>
      <w:szCs w:val="18"/>
    </w:rPr>
  </w:style>
  <w:style w:type="character" w:styleId="CommentReference">
    <w:name w:val="annotation reference"/>
    <w:basedOn w:val="DefaultParagraphFont"/>
    <w:uiPriority w:val="99"/>
    <w:semiHidden/>
    <w:unhideWhenUsed/>
    <w:rsid w:val="00BD0118"/>
    <w:rPr>
      <w:sz w:val="16"/>
      <w:szCs w:val="16"/>
    </w:rPr>
  </w:style>
  <w:style w:type="paragraph" w:customStyle="1" w:styleId="CM1">
    <w:name w:val="CM1"/>
    <w:basedOn w:val="Default"/>
    <w:next w:val="Default"/>
    <w:uiPriority w:val="99"/>
    <w:rsid w:val="006164BE"/>
    <w:rPr>
      <w:rFonts w:ascii="Times New Roman" w:hAnsi="Times New Roman" w:cs="Times New Roman"/>
      <w:color w:val="auto"/>
    </w:rPr>
  </w:style>
  <w:style w:type="paragraph" w:customStyle="1" w:styleId="CM3">
    <w:name w:val="CM3"/>
    <w:basedOn w:val="Default"/>
    <w:next w:val="Default"/>
    <w:uiPriority w:val="99"/>
    <w:rsid w:val="006164BE"/>
    <w:rPr>
      <w:rFonts w:ascii="Times New Roman" w:hAnsi="Times New Roman" w:cs="Times New Roman"/>
      <w:color w:val="auto"/>
    </w:rPr>
  </w:style>
  <w:style w:type="paragraph" w:styleId="Header">
    <w:name w:val="header"/>
    <w:basedOn w:val="Normal"/>
    <w:link w:val="HeaderChar"/>
    <w:uiPriority w:val="99"/>
    <w:unhideWhenUsed/>
    <w:rsid w:val="006164BE"/>
    <w:pPr>
      <w:tabs>
        <w:tab w:val="center" w:pos="4680"/>
        <w:tab w:val="right" w:pos="9360"/>
      </w:tabs>
      <w:spacing w:after="0"/>
    </w:pPr>
  </w:style>
  <w:style w:type="character" w:customStyle="1" w:styleId="HeaderChar">
    <w:name w:val="Header Char"/>
    <w:basedOn w:val="DefaultParagraphFont"/>
    <w:link w:val="Header"/>
    <w:uiPriority w:val="99"/>
    <w:rsid w:val="006164BE"/>
    <w:rPr>
      <w:kern w:val="2"/>
      <w:sz w:val="22"/>
      <w:szCs w:val="22"/>
    </w:rPr>
  </w:style>
  <w:style w:type="numbering" w:customStyle="1" w:styleId="CurrentList1">
    <w:name w:val="Current List1"/>
    <w:uiPriority w:val="99"/>
    <w:rsid w:val="006164BE"/>
    <w:pPr>
      <w:numPr>
        <w:numId w:val="1"/>
      </w:numPr>
    </w:pPr>
  </w:style>
  <w:style w:type="numbering" w:customStyle="1" w:styleId="CurrentList2">
    <w:name w:val="Current List2"/>
    <w:uiPriority w:val="99"/>
    <w:rsid w:val="006164BE"/>
    <w:pPr>
      <w:numPr>
        <w:numId w:val="2"/>
      </w:numPr>
    </w:pPr>
  </w:style>
  <w:style w:type="character" w:styleId="UnresolvedMention">
    <w:name w:val="Unresolved Mention"/>
    <w:basedOn w:val="DefaultParagraphFont"/>
    <w:uiPriority w:val="99"/>
    <w:semiHidden/>
    <w:unhideWhenUsed/>
    <w:rsid w:val="006164B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164BE"/>
    <w:rPr>
      <w:b/>
      <w:bCs/>
    </w:rPr>
  </w:style>
  <w:style w:type="character" w:customStyle="1" w:styleId="CommentSubjectChar">
    <w:name w:val="Comment Subject Char"/>
    <w:basedOn w:val="CommentTextChar"/>
    <w:link w:val="CommentSubject"/>
    <w:uiPriority w:val="99"/>
    <w:semiHidden/>
    <w:rsid w:val="006164BE"/>
    <w:rPr>
      <w:b/>
      <w:bCs/>
      <w:kern w:val="2"/>
      <w:sz w:val="20"/>
      <w:szCs w:val="20"/>
    </w:rPr>
  </w:style>
  <w:style w:type="paragraph" w:styleId="Revision">
    <w:name w:val="Revision"/>
    <w:hidden/>
    <w:uiPriority w:val="99"/>
    <w:semiHidden/>
    <w:rsid w:val="006164BE"/>
    <w:pPr>
      <w:spacing w:after="0" w:line="240" w:lineRule="auto"/>
    </w:pPr>
    <w:rPr>
      <w:kern w:val="2"/>
      <w:sz w:val="22"/>
      <w:szCs w:val="22"/>
    </w:rPr>
  </w:style>
  <w:style w:type="paragraph" w:customStyle="1" w:styleId="title-article-norm">
    <w:name w:val="title-article-norm"/>
    <w:basedOn w:val="Normal"/>
    <w:rsid w:val="006164B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stitle-article-norm">
    <w:name w:val="stitle-article-norm"/>
    <w:basedOn w:val="Normal"/>
    <w:rsid w:val="006164B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parag">
    <w:name w:val="no-parag"/>
    <w:basedOn w:val="DefaultParagraphFont"/>
    <w:rsid w:val="006164BE"/>
  </w:style>
  <w:style w:type="paragraph" w:customStyle="1" w:styleId="norm">
    <w:name w:val="norm"/>
    <w:basedOn w:val="Normal"/>
    <w:rsid w:val="006164B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6164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BE"/>
    <w:rPr>
      <w:rFonts w:ascii="Segoe UI" w:hAnsi="Segoe UI" w:cs="Segoe UI"/>
      <w:kern w:val="2"/>
      <w:sz w:val="18"/>
      <w:szCs w:val="18"/>
    </w:rPr>
  </w:style>
  <w:style w:type="table" w:customStyle="1" w:styleId="TableGrid1">
    <w:name w:val="Table Grid1"/>
    <w:basedOn w:val="TableNormal"/>
    <w:next w:val="TableGrid"/>
    <w:rsid w:val="006164BE"/>
    <w:pPr>
      <w:spacing w:after="0" w:line="240" w:lineRule="auto"/>
    </w:pPr>
    <w:rPr>
      <w:rFonts w:ascii="Times New Roman" w:eastAsia="Times New Roman" w:hAnsi="Times New Roman" w:cs="Times New Roman"/>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64BE"/>
    <w:rPr>
      <w:color w:val="96607D" w:themeColor="followedHyperlink"/>
      <w:u w:val="single"/>
    </w:rPr>
  </w:style>
  <w:style w:type="paragraph" w:customStyle="1" w:styleId="oj-doc-ti">
    <w:name w:val="oj-doc-ti"/>
    <w:basedOn w:val="Normal"/>
    <w:rsid w:val="007A7156"/>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iPriority w:val="1"/>
    <w:qFormat/>
    <w:rsid w:val="008C6DA5"/>
    <w:pPr>
      <w:widowControl w:val="0"/>
      <w:autoSpaceDE w:val="0"/>
      <w:autoSpaceDN w:val="0"/>
      <w:spacing w:after="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C6DA5"/>
    <w:rPr>
      <w:rFonts w:ascii="Times New Roman" w:eastAsia="Times New Roman" w:hAnsi="Times New Roman" w:cs="Times New Roman"/>
      <w:lang w:val="en-US"/>
      <w14:ligatures w14:val="none"/>
    </w:rPr>
  </w:style>
  <w:style w:type="paragraph" w:customStyle="1" w:styleId="TableParagraph">
    <w:name w:val="Table Paragraph"/>
    <w:basedOn w:val="Normal"/>
    <w:uiPriority w:val="1"/>
    <w:qFormat/>
    <w:rsid w:val="008C6DA5"/>
    <w:pPr>
      <w:widowControl w:val="0"/>
      <w:autoSpaceDE w:val="0"/>
      <w:autoSpaceDN w:val="0"/>
      <w:spacing w:before="17" w:after="0"/>
      <w:jc w:val="right"/>
    </w:pPr>
    <w:rPr>
      <w:rFonts w:ascii="Times New Roman" w:eastAsia="Times New Roman" w:hAnsi="Times New Roman" w:cs="Times New Roman"/>
      <w:kern w:val="0"/>
      <w:lang w:val="en-US"/>
      <w14:ligatures w14:val="none"/>
    </w:rPr>
  </w:style>
  <w:style w:type="paragraph" w:styleId="TOCHeading">
    <w:name w:val="TOC Heading"/>
    <w:basedOn w:val="Heading1"/>
    <w:next w:val="Normal"/>
    <w:uiPriority w:val="39"/>
    <w:unhideWhenUsed/>
    <w:qFormat/>
    <w:rsid w:val="000C70A6"/>
    <w:pPr>
      <w:spacing w:before="240" w:after="0"/>
      <w:jc w:val="left"/>
      <w:outlineLvl w:val="9"/>
    </w:pPr>
    <w:rPr>
      <w:kern w:val="0"/>
      <w:sz w:val="32"/>
      <w:szCs w:val="32"/>
      <w:lang w:val="en-US"/>
      <w14:ligatures w14:val="none"/>
    </w:rPr>
  </w:style>
  <w:style w:type="paragraph" w:styleId="TOC1">
    <w:name w:val="toc 1"/>
    <w:basedOn w:val="Normal"/>
    <w:next w:val="Normal"/>
    <w:autoRedefine/>
    <w:uiPriority w:val="39"/>
    <w:unhideWhenUsed/>
    <w:rsid w:val="000C70A6"/>
    <w:pPr>
      <w:spacing w:after="100"/>
    </w:pPr>
  </w:style>
  <w:style w:type="paragraph" w:styleId="TOC2">
    <w:name w:val="toc 2"/>
    <w:basedOn w:val="Normal"/>
    <w:next w:val="Normal"/>
    <w:autoRedefine/>
    <w:uiPriority w:val="39"/>
    <w:unhideWhenUsed/>
    <w:rsid w:val="000C70A6"/>
    <w:pPr>
      <w:spacing w:after="100"/>
      <w:ind w:left="220"/>
    </w:pPr>
  </w:style>
  <w:style w:type="paragraph" w:styleId="TOC3">
    <w:name w:val="toc 3"/>
    <w:basedOn w:val="Normal"/>
    <w:next w:val="Normal"/>
    <w:autoRedefine/>
    <w:uiPriority w:val="39"/>
    <w:unhideWhenUsed/>
    <w:rsid w:val="000C70A6"/>
    <w:pPr>
      <w:spacing w:after="100"/>
      <w:ind w:left="440"/>
    </w:pPr>
  </w:style>
  <w:style w:type="paragraph" w:styleId="TableofFigures">
    <w:name w:val="table of figures"/>
    <w:basedOn w:val="Normal"/>
    <w:next w:val="Normal"/>
    <w:uiPriority w:val="99"/>
    <w:unhideWhenUsed/>
    <w:rsid w:val="001B5123"/>
    <w:pPr>
      <w:spacing w:after="0"/>
    </w:pPr>
    <w:rPr>
      <w:i/>
    </w:rPr>
  </w:style>
  <w:style w:type="paragraph" w:customStyle="1" w:styleId="Char2">
    <w:name w:val="Char2"/>
    <w:basedOn w:val="Normal"/>
    <w:uiPriority w:val="99"/>
    <w:rsid w:val="002074DC"/>
    <w:pPr>
      <w:spacing w:line="240" w:lineRule="exact"/>
      <w:jc w:val="left"/>
    </w:pPr>
    <w:rPr>
      <w:sz w:val="22"/>
      <w:vertAlign w:val="superscript"/>
      <w:lang w:val="en-US"/>
    </w:rPr>
  </w:style>
  <w:style w:type="paragraph" w:styleId="NormalWeb">
    <w:name w:val="Normal (Web)"/>
    <w:basedOn w:val="Normal"/>
    <w:uiPriority w:val="99"/>
    <w:unhideWhenUsed/>
    <w:rsid w:val="0048481D"/>
    <w:pPr>
      <w:spacing w:before="100" w:beforeAutospacing="1" w:after="100" w:afterAutospacing="1"/>
      <w:jc w:val="left"/>
    </w:pPr>
    <w:rPr>
      <w:rFonts w:ascii="Times New Roman" w:eastAsia="Times New Roman" w:hAnsi="Times New Roman" w:cs="Times New Roman"/>
      <w:kern w:val="0"/>
      <w:sz w:val="24"/>
      <w:szCs w:val="24"/>
      <w:lang w:eastAsia="en-GB"/>
    </w:rPr>
  </w:style>
  <w:style w:type="character" w:customStyle="1" w:styleId="cf01">
    <w:name w:val="cf01"/>
    <w:basedOn w:val="DefaultParagraphFont"/>
    <w:rsid w:val="00041681"/>
    <w:rPr>
      <w:rFonts w:ascii="Segoe UI" w:hAnsi="Segoe UI" w:cs="Segoe UI" w:hint="default"/>
      <w:sz w:val="18"/>
      <w:szCs w:val="18"/>
    </w:rPr>
  </w:style>
  <w:style w:type="table" w:customStyle="1" w:styleId="GridTable5Dark-Accent11">
    <w:name w:val="Grid Table 5 Dark - Accent 11"/>
    <w:basedOn w:val="TableNormal"/>
    <w:next w:val="GridTable5Dark-Accent1"/>
    <w:uiPriority w:val="50"/>
    <w:rsid w:val="001C0578"/>
    <w:pPr>
      <w:spacing w:after="0" w:line="240" w:lineRule="auto"/>
    </w:pPr>
    <w:rPr>
      <w:rFonts w:ascii="Aptos" w:eastAsia="Aptos" w:hAnsi="Aptos" w:cs="Aria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TOC4">
    <w:name w:val="toc 4"/>
    <w:basedOn w:val="Normal"/>
    <w:next w:val="Normal"/>
    <w:autoRedefine/>
    <w:uiPriority w:val="39"/>
    <w:unhideWhenUsed/>
    <w:rsid w:val="00C640A0"/>
    <w:pPr>
      <w:spacing w:after="100" w:line="278" w:lineRule="auto"/>
      <w:ind w:left="720"/>
      <w:jc w:val="left"/>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C640A0"/>
    <w:pPr>
      <w:spacing w:after="100" w:line="278" w:lineRule="auto"/>
      <w:ind w:left="960"/>
      <w:jc w:val="left"/>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C640A0"/>
    <w:pPr>
      <w:spacing w:after="100" w:line="278" w:lineRule="auto"/>
      <w:ind w:left="1200"/>
      <w:jc w:val="left"/>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C640A0"/>
    <w:pPr>
      <w:spacing w:after="100" w:line="278" w:lineRule="auto"/>
      <w:ind w:left="1440"/>
      <w:jc w:val="left"/>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C640A0"/>
    <w:pPr>
      <w:spacing w:after="100" w:line="278" w:lineRule="auto"/>
      <w:ind w:left="1680"/>
      <w:jc w:val="left"/>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C640A0"/>
    <w:pPr>
      <w:spacing w:after="100" w:line="278" w:lineRule="auto"/>
      <w:ind w:left="1920"/>
      <w:jc w:val="left"/>
    </w:pPr>
    <w:rPr>
      <w:rFonts w:asciiTheme="minorHAnsi" w:eastAsiaTheme="minorEastAsia" w:hAnsiTheme="minorHAnsi"/>
      <w:sz w:val="24"/>
      <w:szCs w:val="24"/>
      <w:lang w:eastAsia="en-GB"/>
    </w:rPr>
  </w:style>
  <w:style w:type="table" w:styleId="GridTable4-Accent1">
    <w:name w:val="Grid Table 4 Accent 1"/>
    <w:basedOn w:val="TableNormal"/>
    <w:uiPriority w:val="49"/>
    <w:rsid w:val="000048F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B479F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51EC"/>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091B3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091B36"/>
    <w:rPr>
      <w:rFonts w:ascii="Consolas" w:hAnsi="Consola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7775">
      <w:bodyDiv w:val="1"/>
      <w:marLeft w:val="0"/>
      <w:marRight w:val="0"/>
      <w:marTop w:val="0"/>
      <w:marBottom w:val="0"/>
      <w:divBdr>
        <w:top w:val="none" w:sz="0" w:space="0" w:color="auto"/>
        <w:left w:val="none" w:sz="0" w:space="0" w:color="auto"/>
        <w:bottom w:val="none" w:sz="0" w:space="0" w:color="auto"/>
        <w:right w:val="none" w:sz="0" w:space="0" w:color="auto"/>
      </w:divBdr>
    </w:div>
    <w:div w:id="21782680">
      <w:bodyDiv w:val="1"/>
      <w:marLeft w:val="0"/>
      <w:marRight w:val="0"/>
      <w:marTop w:val="0"/>
      <w:marBottom w:val="0"/>
      <w:divBdr>
        <w:top w:val="none" w:sz="0" w:space="0" w:color="auto"/>
        <w:left w:val="none" w:sz="0" w:space="0" w:color="auto"/>
        <w:bottom w:val="none" w:sz="0" w:space="0" w:color="auto"/>
        <w:right w:val="none" w:sz="0" w:space="0" w:color="auto"/>
      </w:divBdr>
    </w:div>
    <w:div w:id="65879508">
      <w:bodyDiv w:val="1"/>
      <w:marLeft w:val="0"/>
      <w:marRight w:val="0"/>
      <w:marTop w:val="0"/>
      <w:marBottom w:val="0"/>
      <w:divBdr>
        <w:top w:val="none" w:sz="0" w:space="0" w:color="auto"/>
        <w:left w:val="none" w:sz="0" w:space="0" w:color="auto"/>
        <w:bottom w:val="none" w:sz="0" w:space="0" w:color="auto"/>
        <w:right w:val="none" w:sz="0" w:space="0" w:color="auto"/>
      </w:divBdr>
    </w:div>
    <w:div w:id="97065511">
      <w:bodyDiv w:val="1"/>
      <w:marLeft w:val="0"/>
      <w:marRight w:val="0"/>
      <w:marTop w:val="0"/>
      <w:marBottom w:val="0"/>
      <w:divBdr>
        <w:top w:val="none" w:sz="0" w:space="0" w:color="auto"/>
        <w:left w:val="none" w:sz="0" w:space="0" w:color="auto"/>
        <w:bottom w:val="none" w:sz="0" w:space="0" w:color="auto"/>
        <w:right w:val="none" w:sz="0" w:space="0" w:color="auto"/>
      </w:divBdr>
    </w:div>
    <w:div w:id="112947745">
      <w:bodyDiv w:val="1"/>
      <w:marLeft w:val="0"/>
      <w:marRight w:val="0"/>
      <w:marTop w:val="0"/>
      <w:marBottom w:val="0"/>
      <w:divBdr>
        <w:top w:val="none" w:sz="0" w:space="0" w:color="auto"/>
        <w:left w:val="none" w:sz="0" w:space="0" w:color="auto"/>
        <w:bottom w:val="none" w:sz="0" w:space="0" w:color="auto"/>
        <w:right w:val="none" w:sz="0" w:space="0" w:color="auto"/>
      </w:divBdr>
    </w:div>
    <w:div w:id="261645282">
      <w:bodyDiv w:val="1"/>
      <w:marLeft w:val="0"/>
      <w:marRight w:val="0"/>
      <w:marTop w:val="0"/>
      <w:marBottom w:val="0"/>
      <w:divBdr>
        <w:top w:val="none" w:sz="0" w:space="0" w:color="auto"/>
        <w:left w:val="none" w:sz="0" w:space="0" w:color="auto"/>
        <w:bottom w:val="none" w:sz="0" w:space="0" w:color="auto"/>
        <w:right w:val="none" w:sz="0" w:space="0" w:color="auto"/>
      </w:divBdr>
    </w:div>
    <w:div w:id="281032933">
      <w:bodyDiv w:val="1"/>
      <w:marLeft w:val="0"/>
      <w:marRight w:val="0"/>
      <w:marTop w:val="0"/>
      <w:marBottom w:val="0"/>
      <w:divBdr>
        <w:top w:val="none" w:sz="0" w:space="0" w:color="auto"/>
        <w:left w:val="none" w:sz="0" w:space="0" w:color="auto"/>
        <w:bottom w:val="none" w:sz="0" w:space="0" w:color="auto"/>
        <w:right w:val="none" w:sz="0" w:space="0" w:color="auto"/>
      </w:divBdr>
    </w:div>
    <w:div w:id="292097278">
      <w:bodyDiv w:val="1"/>
      <w:marLeft w:val="0"/>
      <w:marRight w:val="0"/>
      <w:marTop w:val="0"/>
      <w:marBottom w:val="0"/>
      <w:divBdr>
        <w:top w:val="none" w:sz="0" w:space="0" w:color="auto"/>
        <w:left w:val="none" w:sz="0" w:space="0" w:color="auto"/>
        <w:bottom w:val="none" w:sz="0" w:space="0" w:color="auto"/>
        <w:right w:val="none" w:sz="0" w:space="0" w:color="auto"/>
      </w:divBdr>
    </w:div>
    <w:div w:id="319815784">
      <w:bodyDiv w:val="1"/>
      <w:marLeft w:val="0"/>
      <w:marRight w:val="0"/>
      <w:marTop w:val="0"/>
      <w:marBottom w:val="0"/>
      <w:divBdr>
        <w:top w:val="none" w:sz="0" w:space="0" w:color="auto"/>
        <w:left w:val="none" w:sz="0" w:space="0" w:color="auto"/>
        <w:bottom w:val="none" w:sz="0" w:space="0" w:color="auto"/>
        <w:right w:val="none" w:sz="0" w:space="0" w:color="auto"/>
      </w:divBdr>
    </w:div>
    <w:div w:id="334844130">
      <w:bodyDiv w:val="1"/>
      <w:marLeft w:val="0"/>
      <w:marRight w:val="0"/>
      <w:marTop w:val="0"/>
      <w:marBottom w:val="0"/>
      <w:divBdr>
        <w:top w:val="none" w:sz="0" w:space="0" w:color="auto"/>
        <w:left w:val="none" w:sz="0" w:space="0" w:color="auto"/>
        <w:bottom w:val="none" w:sz="0" w:space="0" w:color="auto"/>
        <w:right w:val="none" w:sz="0" w:space="0" w:color="auto"/>
      </w:divBdr>
    </w:div>
    <w:div w:id="344743986">
      <w:bodyDiv w:val="1"/>
      <w:marLeft w:val="0"/>
      <w:marRight w:val="0"/>
      <w:marTop w:val="0"/>
      <w:marBottom w:val="0"/>
      <w:divBdr>
        <w:top w:val="none" w:sz="0" w:space="0" w:color="auto"/>
        <w:left w:val="none" w:sz="0" w:space="0" w:color="auto"/>
        <w:bottom w:val="none" w:sz="0" w:space="0" w:color="auto"/>
        <w:right w:val="none" w:sz="0" w:space="0" w:color="auto"/>
      </w:divBdr>
    </w:div>
    <w:div w:id="361977118">
      <w:bodyDiv w:val="1"/>
      <w:marLeft w:val="0"/>
      <w:marRight w:val="0"/>
      <w:marTop w:val="0"/>
      <w:marBottom w:val="0"/>
      <w:divBdr>
        <w:top w:val="none" w:sz="0" w:space="0" w:color="auto"/>
        <w:left w:val="none" w:sz="0" w:space="0" w:color="auto"/>
        <w:bottom w:val="none" w:sz="0" w:space="0" w:color="auto"/>
        <w:right w:val="none" w:sz="0" w:space="0" w:color="auto"/>
      </w:divBdr>
    </w:div>
    <w:div w:id="363288879">
      <w:bodyDiv w:val="1"/>
      <w:marLeft w:val="0"/>
      <w:marRight w:val="0"/>
      <w:marTop w:val="0"/>
      <w:marBottom w:val="0"/>
      <w:divBdr>
        <w:top w:val="none" w:sz="0" w:space="0" w:color="auto"/>
        <w:left w:val="none" w:sz="0" w:space="0" w:color="auto"/>
        <w:bottom w:val="none" w:sz="0" w:space="0" w:color="auto"/>
        <w:right w:val="none" w:sz="0" w:space="0" w:color="auto"/>
      </w:divBdr>
    </w:div>
    <w:div w:id="406612415">
      <w:bodyDiv w:val="1"/>
      <w:marLeft w:val="0"/>
      <w:marRight w:val="0"/>
      <w:marTop w:val="0"/>
      <w:marBottom w:val="0"/>
      <w:divBdr>
        <w:top w:val="none" w:sz="0" w:space="0" w:color="auto"/>
        <w:left w:val="none" w:sz="0" w:space="0" w:color="auto"/>
        <w:bottom w:val="none" w:sz="0" w:space="0" w:color="auto"/>
        <w:right w:val="none" w:sz="0" w:space="0" w:color="auto"/>
      </w:divBdr>
    </w:div>
    <w:div w:id="439762049">
      <w:bodyDiv w:val="1"/>
      <w:marLeft w:val="0"/>
      <w:marRight w:val="0"/>
      <w:marTop w:val="0"/>
      <w:marBottom w:val="0"/>
      <w:divBdr>
        <w:top w:val="none" w:sz="0" w:space="0" w:color="auto"/>
        <w:left w:val="none" w:sz="0" w:space="0" w:color="auto"/>
        <w:bottom w:val="none" w:sz="0" w:space="0" w:color="auto"/>
        <w:right w:val="none" w:sz="0" w:space="0" w:color="auto"/>
      </w:divBdr>
    </w:div>
    <w:div w:id="469976587">
      <w:bodyDiv w:val="1"/>
      <w:marLeft w:val="0"/>
      <w:marRight w:val="0"/>
      <w:marTop w:val="0"/>
      <w:marBottom w:val="0"/>
      <w:divBdr>
        <w:top w:val="none" w:sz="0" w:space="0" w:color="auto"/>
        <w:left w:val="none" w:sz="0" w:space="0" w:color="auto"/>
        <w:bottom w:val="none" w:sz="0" w:space="0" w:color="auto"/>
        <w:right w:val="none" w:sz="0" w:space="0" w:color="auto"/>
      </w:divBdr>
    </w:div>
    <w:div w:id="577327425">
      <w:bodyDiv w:val="1"/>
      <w:marLeft w:val="0"/>
      <w:marRight w:val="0"/>
      <w:marTop w:val="0"/>
      <w:marBottom w:val="0"/>
      <w:divBdr>
        <w:top w:val="none" w:sz="0" w:space="0" w:color="auto"/>
        <w:left w:val="none" w:sz="0" w:space="0" w:color="auto"/>
        <w:bottom w:val="none" w:sz="0" w:space="0" w:color="auto"/>
        <w:right w:val="none" w:sz="0" w:space="0" w:color="auto"/>
      </w:divBdr>
    </w:div>
    <w:div w:id="581531464">
      <w:bodyDiv w:val="1"/>
      <w:marLeft w:val="0"/>
      <w:marRight w:val="0"/>
      <w:marTop w:val="0"/>
      <w:marBottom w:val="0"/>
      <w:divBdr>
        <w:top w:val="none" w:sz="0" w:space="0" w:color="auto"/>
        <w:left w:val="none" w:sz="0" w:space="0" w:color="auto"/>
        <w:bottom w:val="none" w:sz="0" w:space="0" w:color="auto"/>
        <w:right w:val="none" w:sz="0" w:space="0" w:color="auto"/>
      </w:divBdr>
    </w:div>
    <w:div w:id="583414501">
      <w:bodyDiv w:val="1"/>
      <w:marLeft w:val="0"/>
      <w:marRight w:val="0"/>
      <w:marTop w:val="0"/>
      <w:marBottom w:val="0"/>
      <w:divBdr>
        <w:top w:val="none" w:sz="0" w:space="0" w:color="auto"/>
        <w:left w:val="none" w:sz="0" w:space="0" w:color="auto"/>
        <w:bottom w:val="none" w:sz="0" w:space="0" w:color="auto"/>
        <w:right w:val="none" w:sz="0" w:space="0" w:color="auto"/>
      </w:divBdr>
    </w:div>
    <w:div w:id="589436169">
      <w:bodyDiv w:val="1"/>
      <w:marLeft w:val="0"/>
      <w:marRight w:val="0"/>
      <w:marTop w:val="0"/>
      <w:marBottom w:val="0"/>
      <w:divBdr>
        <w:top w:val="none" w:sz="0" w:space="0" w:color="auto"/>
        <w:left w:val="none" w:sz="0" w:space="0" w:color="auto"/>
        <w:bottom w:val="none" w:sz="0" w:space="0" w:color="auto"/>
        <w:right w:val="none" w:sz="0" w:space="0" w:color="auto"/>
      </w:divBdr>
    </w:div>
    <w:div w:id="651101425">
      <w:bodyDiv w:val="1"/>
      <w:marLeft w:val="0"/>
      <w:marRight w:val="0"/>
      <w:marTop w:val="0"/>
      <w:marBottom w:val="0"/>
      <w:divBdr>
        <w:top w:val="none" w:sz="0" w:space="0" w:color="auto"/>
        <w:left w:val="none" w:sz="0" w:space="0" w:color="auto"/>
        <w:bottom w:val="none" w:sz="0" w:space="0" w:color="auto"/>
        <w:right w:val="none" w:sz="0" w:space="0" w:color="auto"/>
      </w:divBdr>
    </w:div>
    <w:div w:id="665284974">
      <w:bodyDiv w:val="1"/>
      <w:marLeft w:val="0"/>
      <w:marRight w:val="0"/>
      <w:marTop w:val="0"/>
      <w:marBottom w:val="0"/>
      <w:divBdr>
        <w:top w:val="none" w:sz="0" w:space="0" w:color="auto"/>
        <w:left w:val="none" w:sz="0" w:space="0" w:color="auto"/>
        <w:bottom w:val="none" w:sz="0" w:space="0" w:color="auto"/>
        <w:right w:val="none" w:sz="0" w:space="0" w:color="auto"/>
      </w:divBdr>
    </w:div>
    <w:div w:id="672149015">
      <w:bodyDiv w:val="1"/>
      <w:marLeft w:val="0"/>
      <w:marRight w:val="0"/>
      <w:marTop w:val="0"/>
      <w:marBottom w:val="0"/>
      <w:divBdr>
        <w:top w:val="none" w:sz="0" w:space="0" w:color="auto"/>
        <w:left w:val="none" w:sz="0" w:space="0" w:color="auto"/>
        <w:bottom w:val="none" w:sz="0" w:space="0" w:color="auto"/>
        <w:right w:val="none" w:sz="0" w:space="0" w:color="auto"/>
      </w:divBdr>
    </w:div>
    <w:div w:id="701983393">
      <w:bodyDiv w:val="1"/>
      <w:marLeft w:val="0"/>
      <w:marRight w:val="0"/>
      <w:marTop w:val="0"/>
      <w:marBottom w:val="0"/>
      <w:divBdr>
        <w:top w:val="none" w:sz="0" w:space="0" w:color="auto"/>
        <w:left w:val="none" w:sz="0" w:space="0" w:color="auto"/>
        <w:bottom w:val="none" w:sz="0" w:space="0" w:color="auto"/>
        <w:right w:val="none" w:sz="0" w:space="0" w:color="auto"/>
      </w:divBdr>
    </w:div>
    <w:div w:id="719937123">
      <w:bodyDiv w:val="1"/>
      <w:marLeft w:val="0"/>
      <w:marRight w:val="0"/>
      <w:marTop w:val="0"/>
      <w:marBottom w:val="0"/>
      <w:divBdr>
        <w:top w:val="none" w:sz="0" w:space="0" w:color="auto"/>
        <w:left w:val="none" w:sz="0" w:space="0" w:color="auto"/>
        <w:bottom w:val="none" w:sz="0" w:space="0" w:color="auto"/>
        <w:right w:val="none" w:sz="0" w:space="0" w:color="auto"/>
      </w:divBdr>
    </w:div>
    <w:div w:id="720591735">
      <w:bodyDiv w:val="1"/>
      <w:marLeft w:val="0"/>
      <w:marRight w:val="0"/>
      <w:marTop w:val="0"/>
      <w:marBottom w:val="0"/>
      <w:divBdr>
        <w:top w:val="none" w:sz="0" w:space="0" w:color="auto"/>
        <w:left w:val="none" w:sz="0" w:space="0" w:color="auto"/>
        <w:bottom w:val="none" w:sz="0" w:space="0" w:color="auto"/>
        <w:right w:val="none" w:sz="0" w:space="0" w:color="auto"/>
      </w:divBdr>
    </w:div>
    <w:div w:id="748159858">
      <w:bodyDiv w:val="1"/>
      <w:marLeft w:val="0"/>
      <w:marRight w:val="0"/>
      <w:marTop w:val="0"/>
      <w:marBottom w:val="0"/>
      <w:divBdr>
        <w:top w:val="none" w:sz="0" w:space="0" w:color="auto"/>
        <w:left w:val="none" w:sz="0" w:space="0" w:color="auto"/>
        <w:bottom w:val="none" w:sz="0" w:space="0" w:color="auto"/>
        <w:right w:val="none" w:sz="0" w:space="0" w:color="auto"/>
      </w:divBdr>
    </w:div>
    <w:div w:id="763300561">
      <w:bodyDiv w:val="1"/>
      <w:marLeft w:val="0"/>
      <w:marRight w:val="0"/>
      <w:marTop w:val="0"/>
      <w:marBottom w:val="0"/>
      <w:divBdr>
        <w:top w:val="none" w:sz="0" w:space="0" w:color="auto"/>
        <w:left w:val="none" w:sz="0" w:space="0" w:color="auto"/>
        <w:bottom w:val="none" w:sz="0" w:space="0" w:color="auto"/>
        <w:right w:val="none" w:sz="0" w:space="0" w:color="auto"/>
      </w:divBdr>
    </w:div>
    <w:div w:id="778453317">
      <w:bodyDiv w:val="1"/>
      <w:marLeft w:val="0"/>
      <w:marRight w:val="0"/>
      <w:marTop w:val="0"/>
      <w:marBottom w:val="0"/>
      <w:divBdr>
        <w:top w:val="none" w:sz="0" w:space="0" w:color="auto"/>
        <w:left w:val="none" w:sz="0" w:space="0" w:color="auto"/>
        <w:bottom w:val="none" w:sz="0" w:space="0" w:color="auto"/>
        <w:right w:val="none" w:sz="0" w:space="0" w:color="auto"/>
      </w:divBdr>
    </w:div>
    <w:div w:id="793401539">
      <w:bodyDiv w:val="1"/>
      <w:marLeft w:val="0"/>
      <w:marRight w:val="0"/>
      <w:marTop w:val="0"/>
      <w:marBottom w:val="0"/>
      <w:divBdr>
        <w:top w:val="none" w:sz="0" w:space="0" w:color="auto"/>
        <w:left w:val="none" w:sz="0" w:space="0" w:color="auto"/>
        <w:bottom w:val="none" w:sz="0" w:space="0" w:color="auto"/>
        <w:right w:val="none" w:sz="0" w:space="0" w:color="auto"/>
      </w:divBdr>
    </w:div>
    <w:div w:id="803499071">
      <w:bodyDiv w:val="1"/>
      <w:marLeft w:val="0"/>
      <w:marRight w:val="0"/>
      <w:marTop w:val="0"/>
      <w:marBottom w:val="0"/>
      <w:divBdr>
        <w:top w:val="none" w:sz="0" w:space="0" w:color="auto"/>
        <w:left w:val="none" w:sz="0" w:space="0" w:color="auto"/>
        <w:bottom w:val="none" w:sz="0" w:space="0" w:color="auto"/>
        <w:right w:val="none" w:sz="0" w:space="0" w:color="auto"/>
      </w:divBdr>
    </w:div>
    <w:div w:id="831800528">
      <w:bodyDiv w:val="1"/>
      <w:marLeft w:val="0"/>
      <w:marRight w:val="0"/>
      <w:marTop w:val="0"/>
      <w:marBottom w:val="0"/>
      <w:divBdr>
        <w:top w:val="none" w:sz="0" w:space="0" w:color="auto"/>
        <w:left w:val="none" w:sz="0" w:space="0" w:color="auto"/>
        <w:bottom w:val="none" w:sz="0" w:space="0" w:color="auto"/>
        <w:right w:val="none" w:sz="0" w:space="0" w:color="auto"/>
      </w:divBdr>
    </w:div>
    <w:div w:id="833566893">
      <w:bodyDiv w:val="1"/>
      <w:marLeft w:val="0"/>
      <w:marRight w:val="0"/>
      <w:marTop w:val="0"/>
      <w:marBottom w:val="0"/>
      <w:divBdr>
        <w:top w:val="none" w:sz="0" w:space="0" w:color="auto"/>
        <w:left w:val="none" w:sz="0" w:space="0" w:color="auto"/>
        <w:bottom w:val="none" w:sz="0" w:space="0" w:color="auto"/>
        <w:right w:val="none" w:sz="0" w:space="0" w:color="auto"/>
      </w:divBdr>
    </w:div>
    <w:div w:id="845021376">
      <w:bodyDiv w:val="1"/>
      <w:marLeft w:val="0"/>
      <w:marRight w:val="0"/>
      <w:marTop w:val="0"/>
      <w:marBottom w:val="0"/>
      <w:divBdr>
        <w:top w:val="none" w:sz="0" w:space="0" w:color="auto"/>
        <w:left w:val="none" w:sz="0" w:space="0" w:color="auto"/>
        <w:bottom w:val="none" w:sz="0" w:space="0" w:color="auto"/>
        <w:right w:val="none" w:sz="0" w:space="0" w:color="auto"/>
      </w:divBdr>
    </w:div>
    <w:div w:id="874925509">
      <w:bodyDiv w:val="1"/>
      <w:marLeft w:val="0"/>
      <w:marRight w:val="0"/>
      <w:marTop w:val="0"/>
      <w:marBottom w:val="0"/>
      <w:divBdr>
        <w:top w:val="none" w:sz="0" w:space="0" w:color="auto"/>
        <w:left w:val="none" w:sz="0" w:space="0" w:color="auto"/>
        <w:bottom w:val="none" w:sz="0" w:space="0" w:color="auto"/>
        <w:right w:val="none" w:sz="0" w:space="0" w:color="auto"/>
      </w:divBdr>
    </w:div>
    <w:div w:id="887179462">
      <w:bodyDiv w:val="1"/>
      <w:marLeft w:val="0"/>
      <w:marRight w:val="0"/>
      <w:marTop w:val="0"/>
      <w:marBottom w:val="0"/>
      <w:divBdr>
        <w:top w:val="none" w:sz="0" w:space="0" w:color="auto"/>
        <w:left w:val="none" w:sz="0" w:space="0" w:color="auto"/>
        <w:bottom w:val="none" w:sz="0" w:space="0" w:color="auto"/>
        <w:right w:val="none" w:sz="0" w:space="0" w:color="auto"/>
      </w:divBdr>
    </w:div>
    <w:div w:id="893782699">
      <w:bodyDiv w:val="1"/>
      <w:marLeft w:val="0"/>
      <w:marRight w:val="0"/>
      <w:marTop w:val="0"/>
      <w:marBottom w:val="0"/>
      <w:divBdr>
        <w:top w:val="none" w:sz="0" w:space="0" w:color="auto"/>
        <w:left w:val="none" w:sz="0" w:space="0" w:color="auto"/>
        <w:bottom w:val="none" w:sz="0" w:space="0" w:color="auto"/>
        <w:right w:val="none" w:sz="0" w:space="0" w:color="auto"/>
      </w:divBdr>
    </w:div>
    <w:div w:id="895581140">
      <w:bodyDiv w:val="1"/>
      <w:marLeft w:val="0"/>
      <w:marRight w:val="0"/>
      <w:marTop w:val="0"/>
      <w:marBottom w:val="0"/>
      <w:divBdr>
        <w:top w:val="none" w:sz="0" w:space="0" w:color="auto"/>
        <w:left w:val="none" w:sz="0" w:space="0" w:color="auto"/>
        <w:bottom w:val="none" w:sz="0" w:space="0" w:color="auto"/>
        <w:right w:val="none" w:sz="0" w:space="0" w:color="auto"/>
      </w:divBdr>
    </w:div>
    <w:div w:id="922758836">
      <w:bodyDiv w:val="1"/>
      <w:marLeft w:val="0"/>
      <w:marRight w:val="0"/>
      <w:marTop w:val="0"/>
      <w:marBottom w:val="0"/>
      <w:divBdr>
        <w:top w:val="none" w:sz="0" w:space="0" w:color="auto"/>
        <w:left w:val="none" w:sz="0" w:space="0" w:color="auto"/>
        <w:bottom w:val="none" w:sz="0" w:space="0" w:color="auto"/>
        <w:right w:val="none" w:sz="0" w:space="0" w:color="auto"/>
      </w:divBdr>
    </w:div>
    <w:div w:id="936794488">
      <w:bodyDiv w:val="1"/>
      <w:marLeft w:val="0"/>
      <w:marRight w:val="0"/>
      <w:marTop w:val="0"/>
      <w:marBottom w:val="0"/>
      <w:divBdr>
        <w:top w:val="none" w:sz="0" w:space="0" w:color="auto"/>
        <w:left w:val="none" w:sz="0" w:space="0" w:color="auto"/>
        <w:bottom w:val="none" w:sz="0" w:space="0" w:color="auto"/>
        <w:right w:val="none" w:sz="0" w:space="0" w:color="auto"/>
      </w:divBdr>
    </w:div>
    <w:div w:id="968783787">
      <w:bodyDiv w:val="1"/>
      <w:marLeft w:val="0"/>
      <w:marRight w:val="0"/>
      <w:marTop w:val="0"/>
      <w:marBottom w:val="0"/>
      <w:divBdr>
        <w:top w:val="none" w:sz="0" w:space="0" w:color="auto"/>
        <w:left w:val="none" w:sz="0" w:space="0" w:color="auto"/>
        <w:bottom w:val="none" w:sz="0" w:space="0" w:color="auto"/>
        <w:right w:val="none" w:sz="0" w:space="0" w:color="auto"/>
      </w:divBdr>
    </w:div>
    <w:div w:id="973560259">
      <w:bodyDiv w:val="1"/>
      <w:marLeft w:val="0"/>
      <w:marRight w:val="0"/>
      <w:marTop w:val="0"/>
      <w:marBottom w:val="0"/>
      <w:divBdr>
        <w:top w:val="none" w:sz="0" w:space="0" w:color="auto"/>
        <w:left w:val="none" w:sz="0" w:space="0" w:color="auto"/>
        <w:bottom w:val="none" w:sz="0" w:space="0" w:color="auto"/>
        <w:right w:val="none" w:sz="0" w:space="0" w:color="auto"/>
      </w:divBdr>
    </w:div>
    <w:div w:id="980378847">
      <w:bodyDiv w:val="1"/>
      <w:marLeft w:val="0"/>
      <w:marRight w:val="0"/>
      <w:marTop w:val="0"/>
      <w:marBottom w:val="0"/>
      <w:divBdr>
        <w:top w:val="none" w:sz="0" w:space="0" w:color="auto"/>
        <w:left w:val="none" w:sz="0" w:space="0" w:color="auto"/>
        <w:bottom w:val="none" w:sz="0" w:space="0" w:color="auto"/>
        <w:right w:val="none" w:sz="0" w:space="0" w:color="auto"/>
      </w:divBdr>
    </w:div>
    <w:div w:id="983042265">
      <w:bodyDiv w:val="1"/>
      <w:marLeft w:val="0"/>
      <w:marRight w:val="0"/>
      <w:marTop w:val="0"/>
      <w:marBottom w:val="0"/>
      <w:divBdr>
        <w:top w:val="none" w:sz="0" w:space="0" w:color="auto"/>
        <w:left w:val="none" w:sz="0" w:space="0" w:color="auto"/>
        <w:bottom w:val="none" w:sz="0" w:space="0" w:color="auto"/>
        <w:right w:val="none" w:sz="0" w:space="0" w:color="auto"/>
      </w:divBdr>
    </w:div>
    <w:div w:id="1006251542">
      <w:bodyDiv w:val="1"/>
      <w:marLeft w:val="0"/>
      <w:marRight w:val="0"/>
      <w:marTop w:val="0"/>
      <w:marBottom w:val="0"/>
      <w:divBdr>
        <w:top w:val="none" w:sz="0" w:space="0" w:color="auto"/>
        <w:left w:val="none" w:sz="0" w:space="0" w:color="auto"/>
        <w:bottom w:val="none" w:sz="0" w:space="0" w:color="auto"/>
        <w:right w:val="none" w:sz="0" w:space="0" w:color="auto"/>
      </w:divBdr>
    </w:div>
    <w:div w:id="1042948866">
      <w:bodyDiv w:val="1"/>
      <w:marLeft w:val="0"/>
      <w:marRight w:val="0"/>
      <w:marTop w:val="0"/>
      <w:marBottom w:val="0"/>
      <w:divBdr>
        <w:top w:val="none" w:sz="0" w:space="0" w:color="auto"/>
        <w:left w:val="none" w:sz="0" w:space="0" w:color="auto"/>
        <w:bottom w:val="none" w:sz="0" w:space="0" w:color="auto"/>
        <w:right w:val="none" w:sz="0" w:space="0" w:color="auto"/>
      </w:divBdr>
    </w:div>
    <w:div w:id="1068384586">
      <w:bodyDiv w:val="1"/>
      <w:marLeft w:val="0"/>
      <w:marRight w:val="0"/>
      <w:marTop w:val="0"/>
      <w:marBottom w:val="0"/>
      <w:divBdr>
        <w:top w:val="none" w:sz="0" w:space="0" w:color="auto"/>
        <w:left w:val="none" w:sz="0" w:space="0" w:color="auto"/>
        <w:bottom w:val="none" w:sz="0" w:space="0" w:color="auto"/>
        <w:right w:val="none" w:sz="0" w:space="0" w:color="auto"/>
      </w:divBdr>
    </w:div>
    <w:div w:id="1134367619">
      <w:bodyDiv w:val="1"/>
      <w:marLeft w:val="0"/>
      <w:marRight w:val="0"/>
      <w:marTop w:val="0"/>
      <w:marBottom w:val="0"/>
      <w:divBdr>
        <w:top w:val="none" w:sz="0" w:space="0" w:color="auto"/>
        <w:left w:val="none" w:sz="0" w:space="0" w:color="auto"/>
        <w:bottom w:val="none" w:sz="0" w:space="0" w:color="auto"/>
        <w:right w:val="none" w:sz="0" w:space="0" w:color="auto"/>
      </w:divBdr>
    </w:div>
    <w:div w:id="1152598417">
      <w:bodyDiv w:val="1"/>
      <w:marLeft w:val="0"/>
      <w:marRight w:val="0"/>
      <w:marTop w:val="0"/>
      <w:marBottom w:val="0"/>
      <w:divBdr>
        <w:top w:val="none" w:sz="0" w:space="0" w:color="auto"/>
        <w:left w:val="none" w:sz="0" w:space="0" w:color="auto"/>
        <w:bottom w:val="none" w:sz="0" w:space="0" w:color="auto"/>
        <w:right w:val="none" w:sz="0" w:space="0" w:color="auto"/>
      </w:divBdr>
    </w:div>
    <w:div w:id="1176574682">
      <w:bodyDiv w:val="1"/>
      <w:marLeft w:val="0"/>
      <w:marRight w:val="0"/>
      <w:marTop w:val="0"/>
      <w:marBottom w:val="0"/>
      <w:divBdr>
        <w:top w:val="none" w:sz="0" w:space="0" w:color="auto"/>
        <w:left w:val="none" w:sz="0" w:space="0" w:color="auto"/>
        <w:bottom w:val="none" w:sz="0" w:space="0" w:color="auto"/>
        <w:right w:val="none" w:sz="0" w:space="0" w:color="auto"/>
      </w:divBdr>
    </w:div>
    <w:div w:id="1191145138">
      <w:bodyDiv w:val="1"/>
      <w:marLeft w:val="0"/>
      <w:marRight w:val="0"/>
      <w:marTop w:val="0"/>
      <w:marBottom w:val="0"/>
      <w:divBdr>
        <w:top w:val="none" w:sz="0" w:space="0" w:color="auto"/>
        <w:left w:val="none" w:sz="0" w:space="0" w:color="auto"/>
        <w:bottom w:val="none" w:sz="0" w:space="0" w:color="auto"/>
        <w:right w:val="none" w:sz="0" w:space="0" w:color="auto"/>
      </w:divBdr>
    </w:div>
    <w:div w:id="1217474540">
      <w:bodyDiv w:val="1"/>
      <w:marLeft w:val="0"/>
      <w:marRight w:val="0"/>
      <w:marTop w:val="0"/>
      <w:marBottom w:val="0"/>
      <w:divBdr>
        <w:top w:val="none" w:sz="0" w:space="0" w:color="auto"/>
        <w:left w:val="none" w:sz="0" w:space="0" w:color="auto"/>
        <w:bottom w:val="none" w:sz="0" w:space="0" w:color="auto"/>
        <w:right w:val="none" w:sz="0" w:space="0" w:color="auto"/>
      </w:divBdr>
    </w:div>
    <w:div w:id="1242570300">
      <w:bodyDiv w:val="1"/>
      <w:marLeft w:val="0"/>
      <w:marRight w:val="0"/>
      <w:marTop w:val="0"/>
      <w:marBottom w:val="0"/>
      <w:divBdr>
        <w:top w:val="none" w:sz="0" w:space="0" w:color="auto"/>
        <w:left w:val="none" w:sz="0" w:space="0" w:color="auto"/>
        <w:bottom w:val="none" w:sz="0" w:space="0" w:color="auto"/>
        <w:right w:val="none" w:sz="0" w:space="0" w:color="auto"/>
      </w:divBdr>
    </w:div>
    <w:div w:id="1257597656">
      <w:bodyDiv w:val="1"/>
      <w:marLeft w:val="0"/>
      <w:marRight w:val="0"/>
      <w:marTop w:val="0"/>
      <w:marBottom w:val="0"/>
      <w:divBdr>
        <w:top w:val="none" w:sz="0" w:space="0" w:color="auto"/>
        <w:left w:val="none" w:sz="0" w:space="0" w:color="auto"/>
        <w:bottom w:val="none" w:sz="0" w:space="0" w:color="auto"/>
        <w:right w:val="none" w:sz="0" w:space="0" w:color="auto"/>
      </w:divBdr>
    </w:div>
    <w:div w:id="1257906581">
      <w:bodyDiv w:val="1"/>
      <w:marLeft w:val="0"/>
      <w:marRight w:val="0"/>
      <w:marTop w:val="0"/>
      <w:marBottom w:val="0"/>
      <w:divBdr>
        <w:top w:val="none" w:sz="0" w:space="0" w:color="auto"/>
        <w:left w:val="none" w:sz="0" w:space="0" w:color="auto"/>
        <w:bottom w:val="none" w:sz="0" w:space="0" w:color="auto"/>
        <w:right w:val="none" w:sz="0" w:space="0" w:color="auto"/>
      </w:divBdr>
    </w:div>
    <w:div w:id="1281180567">
      <w:bodyDiv w:val="1"/>
      <w:marLeft w:val="0"/>
      <w:marRight w:val="0"/>
      <w:marTop w:val="0"/>
      <w:marBottom w:val="0"/>
      <w:divBdr>
        <w:top w:val="none" w:sz="0" w:space="0" w:color="auto"/>
        <w:left w:val="none" w:sz="0" w:space="0" w:color="auto"/>
        <w:bottom w:val="none" w:sz="0" w:space="0" w:color="auto"/>
        <w:right w:val="none" w:sz="0" w:space="0" w:color="auto"/>
      </w:divBdr>
    </w:div>
    <w:div w:id="1283073857">
      <w:bodyDiv w:val="1"/>
      <w:marLeft w:val="0"/>
      <w:marRight w:val="0"/>
      <w:marTop w:val="0"/>
      <w:marBottom w:val="0"/>
      <w:divBdr>
        <w:top w:val="none" w:sz="0" w:space="0" w:color="auto"/>
        <w:left w:val="none" w:sz="0" w:space="0" w:color="auto"/>
        <w:bottom w:val="none" w:sz="0" w:space="0" w:color="auto"/>
        <w:right w:val="none" w:sz="0" w:space="0" w:color="auto"/>
      </w:divBdr>
    </w:div>
    <w:div w:id="1314718819">
      <w:bodyDiv w:val="1"/>
      <w:marLeft w:val="0"/>
      <w:marRight w:val="0"/>
      <w:marTop w:val="0"/>
      <w:marBottom w:val="0"/>
      <w:divBdr>
        <w:top w:val="none" w:sz="0" w:space="0" w:color="auto"/>
        <w:left w:val="none" w:sz="0" w:space="0" w:color="auto"/>
        <w:bottom w:val="none" w:sz="0" w:space="0" w:color="auto"/>
        <w:right w:val="none" w:sz="0" w:space="0" w:color="auto"/>
      </w:divBdr>
    </w:div>
    <w:div w:id="1324698161">
      <w:bodyDiv w:val="1"/>
      <w:marLeft w:val="0"/>
      <w:marRight w:val="0"/>
      <w:marTop w:val="0"/>
      <w:marBottom w:val="0"/>
      <w:divBdr>
        <w:top w:val="none" w:sz="0" w:space="0" w:color="auto"/>
        <w:left w:val="none" w:sz="0" w:space="0" w:color="auto"/>
        <w:bottom w:val="none" w:sz="0" w:space="0" w:color="auto"/>
        <w:right w:val="none" w:sz="0" w:space="0" w:color="auto"/>
      </w:divBdr>
    </w:div>
    <w:div w:id="1325161552">
      <w:bodyDiv w:val="1"/>
      <w:marLeft w:val="0"/>
      <w:marRight w:val="0"/>
      <w:marTop w:val="0"/>
      <w:marBottom w:val="0"/>
      <w:divBdr>
        <w:top w:val="none" w:sz="0" w:space="0" w:color="auto"/>
        <w:left w:val="none" w:sz="0" w:space="0" w:color="auto"/>
        <w:bottom w:val="none" w:sz="0" w:space="0" w:color="auto"/>
        <w:right w:val="none" w:sz="0" w:space="0" w:color="auto"/>
      </w:divBdr>
    </w:div>
    <w:div w:id="1377007752">
      <w:bodyDiv w:val="1"/>
      <w:marLeft w:val="0"/>
      <w:marRight w:val="0"/>
      <w:marTop w:val="0"/>
      <w:marBottom w:val="0"/>
      <w:divBdr>
        <w:top w:val="none" w:sz="0" w:space="0" w:color="auto"/>
        <w:left w:val="none" w:sz="0" w:space="0" w:color="auto"/>
        <w:bottom w:val="none" w:sz="0" w:space="0" w:color="auto"/>
        <w:right w:val="none" w:sz="0" w:space="0" w:color="auto"/>
      </w:divBdr>
    </w:div>
    <w:div w:id="1407150760">
      <w:bodyDiv w:val="1"/>
      <w:marLeft w:val="0"/>
      <w:marRight w:val="0"/>
      <w:marTop w:val="0"/>
      <w:marBottom w:val="0"/>
      <w:divBdr>
        <w:top w:val="none" w:sz="0" w:space="0" w:color="auto"/>
        <w:left w:val="none" w:sz="0" w:space="0" w:color="auto"/>
        <w:bottom w:val="none" w:sz="0" w:space="0" w:color="auto"/>
        <w:right w:val="none" w:sz="0" w:space="0" w:color="auto"/>
      </w:divBdr>
    </w:div>
    <w:div w:id="1412267813">
      <w:bodyDiv w:val="1"/>
      <w:marLeft w:val="0"/>
      <w:marRight w:val="0"/>
      <w:marTop w:val="0"/>
      <w:marBottom w:val="0"/>
      <w:divBdr>
        <w:top w:val="none" w:sz="0" w:space="0" w:color="auto"/>
        <w:left w:val="none" w:sz="0" w:space="0" w:color="auto"/>
        <w:bottom w:val="none" w:sz="0" w:space="0" w:color="auto"/>
        <w:right w:val="none" w:sz="0" w:space="0" w:color="auto"/>
      </w:divBdr>
    </w:div>
    <w:div w:id="1418095949">
      <w:bodyDiv w:val="1"/>
      <w:marLeft w:val="0"/>
      <w:marRight w:val="0"/>
      <w:marTop w:val="0"/>
      <w:marBottom w:val="0"/>
      <w:divBdr>
        <w:top w:val="none" w:sz="0" w:space="0" w:color="auto"/>
        <w:left w:val="none" w:sz="0" w:space="0" w:color="auto"/>
        <w:bottom w:val="none" w:sz="0" w:space="0" w:color="auto"/>
        <w:right w:val="none" w:sz="0" w:space="0" w:color="auto"/>
      </w:divBdr>
    </w:div>
    <w:div w:id="1455558641">
      <w:bodyDiv w:val="1"/>
      <w:marLeft w:val="0"/>
      <w:marRight w:val="0"/>
      <w:marTop w:val="0"/>
      <w:marBottom w:val="0"/>
      <w:divBdr>
        <w:top w:val="none" w:sz="0" w:space="0" w:color="auto"/>
        <w:left w:val="none" w:sz="0" w:space="0" w:color="auto"/>
        <w:bottom w:val="none" w:sz="0" w:space="0" w:color="auto"/>
        <w:right w:val="none" w:sz="0" w:space="0" w:color="auto"/>
      </w:divBdr>
    </w:div>
    <w:div w:id="1547985724">
      <w:bodyDiv w:val="1"/>
      <w:marLeft w:val="0"/>
      <w:marRight w:val="0"/>
      <w:marTop w:val="0"/>
      <w:marBottom w:val="0"/>
      <w:divBdr>
        <w:top w:val="none" w:sz="0" w:space="0" w:color="auto"/>
        <w:left w:val="none" w:sz="0" w:space="0" w:color="auto"/>
        <w:bottom w:val="none" w:sz="0" w:space="0" w:color="auto"/>
        <w:right w:val="none" w:sz="0" w:space="0" w:color="auto"/>
      </w:divBdr>
    </w:div>
    <w:div w:id="1585795388">
      <w:bodyDiv w:val="1"/>
      <w:marLeft w:val="0"/>
      <w:marRight w:val="0"/>
      <w:marTop w:val="0"/>
      <w:marBottom w:val="0"/>
      <w:divBdr>
        <w:top w:val="none" w:sz="0" w:space="0" w:color="auto"/>
        <w:left w:val="none" w:sz="0" w:space="0" w:color="auto"/>
        <w:bottom w:val="none" w:sz="0" w:space="0" w:color="auto"/>
        <w:right w:val="none" w:sz="0" w:space="0" w:color="auto"/>
      </w:divBdr>
    </w:div>
    <w:div w:id="1622692149">
      <w:bodyDiv w:val="1"/>
      <w:marLeft w:val="0"/>
      <w:marRight w:val="0"/>
      <w:marTop w:val="0"/>
      <w:marBottom w:val="0"/>
      <w:divBdr>
        <w:top w:val="none" w:sz="0" w:space="0" w:color="auto"/>
        <w:left w:val="none" w:sz="0" w:space="0" w:color="auto"/>
        <w:bottom w:val="none" w:sz="0" w:space="0" w:color="auto"/>
        <w:right w:val="none" w:sz="0" w:space="0" w:color="auto"/>
      </w:divBdr>
    </w:div>
    <w:div w:id="1666395779">
      <w:bodyDiv w:val="1"/>
      <w:marLeft w:val="0"/>
      <w:marRight w:val="0"/>
      <w:marTop w:val="0"/>
      <w:marBottom w:val="0"/>
      <w:divBdr>
        <w:top w:val="none" w:sz="0" w:space="0" w:color="auto"/>
        <w:left w:val="none" w:sz="0" w:space="0" w:color="auto"/>
        <w:bottom w:val="none" w:sz="0" w:space="0" w:color="auto"/>
        <w:right w:val="none" w:sz="0" w:space="0" w:color="auto"/>
      </w:divBdr>
    </w:div>
    <w:div w:id="1732119648">
      <w:bodyDiv w:val="1"/>
      <w:marLeft w:val="0"/>
      <w:marRight w:val="0"/>
      <w:marTop w:val="0"/>
      <w:marBottom w:val="0"/>
      <w:divBdr>
        <w:top w:val="none" w:sz="0" w:space="0" w:color="auto"/>
        <w:left w:val="none" w:sz="0" w:space="0" w:color="auto"/>
        <w:bottom w:val="none" w:sz="0" w:space="0" w:color="auto"/>
        <w:right w:val="none" w:sz="0" w:space="0" w:color="auto"/>
      </w:divBdr>
    </w:div>
    <w:div w:id="1744718361">
      <w:bodyDiv w:val="1"/>
      <w:marLeft w:val="0"/>
      <w:marRight w:val="0"/>
      <w:marTop w:val="0"/>
      <w:marBottom w:val="0"/>
      <w:divBdr>
        <w:top w:val="none" w:sz="0" w:space="0" w:color="auto"/>
        <w:left w:val="none" w:sz="0" w:space="0" w:color="auto"/>
        <w:bottom w:val="none" w:sz="0" w:space="0" w:color="auto"/>
        <w:right w:val="none" w:sz="0" w:space="0" w:color="auto"/>
      </w:divBdr>
    </w:div>
    <w:div w:id="1761216017">
      <w:bodyDiv w:val="1"/>
      <w:marLeft w:val="0"/>
      <w:marRight w:val="0"/>
      <w:marTop w:val="0"/>
      <w:marBottom w:val="0"/>
      <w:divBdr>
        <w:top w:val="none" w:sz="0" w:space="0" w:color="auto"/>
        <w:left w:val="none" w:sz="0" w:space="0" w:color="auto"/>
        <w:bottom w:val="none" w:sz="0" w:space="0" w:color="auto"/>
        <w:right w:val="none" w:sz="0" w:space="0" w:color="auto"/>
      </w:divBdr>
    </w:div>
    <w:div w:id="1794908983">
      <w:bodyDiv w:val="1"/>
      <w:marLeft w:val="0"/>
      <w:marRight w:val="0"/>
      <w:marTop w:val="0"/>
      <w:marBottom w:val="0"/>
      <w:divBdr>
        <w:top w:val="none" w:sz="0" w:space="0" w:color="auto"/>
        <w:left w:val="none" w:sz="0" w:space="0" w:color="auto"/>
        <w:bottom w:val="none" w:sz="0" w:space="0" w:color="auto"/>
        <w:right w:val="none" w:sz="0" w:space="0" w:color="auto"/>
      </w:divBdr>
    </w:div>
    <w:div w:id="1834759052">
      <w:bodyDiv w:val="1"/>
      <w:marLeft w:val="0"/>
      <w:marRight w:val="0"/>
      <w:marTop w:val="0"/>
      <w:marBottom w:val="0"/>
      <w:divBdr>
        <w:top w:val="none" w:sz="0" w:space="0" w:color="auto"/>
        <w:left w:val="none" w:sz="0" w:space="0" w:color="auto"/>
        <w:bottom w:val="none" w:sz="0" w:space="0" w:color="auto"/>
        <w:right w:val="none" w:sz="0" w:space="0" w:color="auto"/>
      </w:divBdr>
    </w:div>
    <w:div w:id="1859149394">
      <w:bodyDiv w:val="1"/>
      <w:marLeft w:val="0"/>
      <w:marRight w:val="0"/>
      <w:marTop w:val="0"/>
      <w:marBottom w:val="0"/>
      <w:divBdr>
        <w:top w:val="none" w:sz="0" w:space="0" w:color="auto"/>
        <w:left w:val="none" w:sz="0" w:space="0" w:color="auto"/>
        <w:bottom w:val="none" w:sz="0" w:space="0" w:color="auto"/>
        <w:right w:val="none" w:sz="0" w:space="0" w:color="auto"/>
      </w:divBdr>
    </w:div>
    <w:div w:id="1863472139">
      <w:bodyDiv w:val="1"/>
      <w:marLeft w:val="0"/>
      <w:marRight w:val="0"/>
      <w:marTop w:val="0"/>
      <w:marBottom w:val="0"/>
      <w:divBdr>
        <w:top w:val="none" w:sz="0" w:space="0" w:color="auto"/>
        <w:left w:val="none" w:sz="0" w:space="0" w:color="auto"/>
        <w:bottom w:val="none" w:sz="0" w:space="0" w:color="auto"/>
        <w:right w:val="none" w:sz="0" w:space="0" w:color="auto"/>
      </w:divBdr>
    </w:div>
    <w:div w:id="1870992520">
      <w:bodyDiv w:val="1"/>
      <w:marLeft w:val="0"/>
      <w:marRight w:val="0"/>
      <w:marTop w:val="0"/>
      <w:marBottom w:val="0"/>
      <w:divBdr>
        <w:top w:val="none" w:sz="0" w:space="0" w:color="auto"/>
        <w:left w:val="none" w:sz="0" w:space="0" w:color="auto"/>
        <w:bottom w:val="none" w:sz="0" w:space="0" w:color="auto"/>
        <w:right w:val="none" w:sz="0" w:space="0" w:color="auto"/>
      </w:divBdr>
    </w:div>
    <w:div w:id="1875771966">
      <w:bodyDiv w:val="1"/>
      <w:marLeft w:val="0"/>
      <w:marRight w:val="0"/>
      <w:marTop w:val="0"/>
      <w:marBottom w:val="0"/>
      <w:divBdr>
        <w:top w:val="none" w:sz="0" w:space="0" w:color="auto"/>
        <w:left w:val="none" w:sz="0" w:space="0" w:color="auto"/>
        <w:bottom w:val="none" w:sz="0" w:space="0" w:color="auto"/>
        <w:right w:val="none" w:sz="0" w:space="0" w:color="auto"/>
      </w:divBdr>
    </w:div>
    <w:div w:id="1890536549">
      <w:bodyDiv w:val="1"/>
      <w:marLeft w:val="0"/>
      <w:marRight w:val="0"/>
      <w:marTop w:val="0"/>
      <w:marBottom w:val="0"/>
      <w:divBdr>
        <w:top w:val="none" w:sz="0" w:space="0" w:color="auto"/>
        <w:left w:val="none" w:sz="0" w:space="0" w:color="auto"/>
        <w:bottom w:val="none" w:sz="0" w:space="0" w:color="auto"/>
        <w:right w:val="none" w:sz="0" w:space="0" w:color="auto"/>
      </w:divBdr>
    </w:div>
    <w:div w:id="1905141432">
      <w:bodyDiv w:val="1"/>
      <w:marLeft w:val="0"/>
      <w:marRight w:val="0"/>
      <w:marTop w:val="0"/>
      <w:marBottom w:val="0"/>
      <w:divBdr>
        <w:top w:val="none" w:sz="0" w:space="0" w:color="auto"/>
        <w:left w:val="none" w:sz="0" w:space="0" w:color="auto"/>
        <w:bottom w:val="none" w:sz="0" w:space="0" w:color="auto"/>
        <w:right w:val="none" w:sz="0" w:space="0" w:color="auto"/>
      </w:divBdr>
    </w:div>
    <w:div w:id="1943535630">
      <w:bodyDiv w:val="1"/>
      <w:marLeft w:val="0"/>
      <w:marRight w:val="0"/>
      <w:marTop w:val="0"/>
      <w:marBottom w:val="0"/>
      <w:divBdr>
        <w:top w:val="none" w:sz="0" w:space="0" w:color="auto"/>
        <w:left w:val="none" w:sz="0" w:space="0" w:color="auto"/>
        <w:bottom w:val="none" w:sz="0" w:space="0" w:color="auto"/>
        <w:right w:val="none" w:sz="0" w:space="0" w:color="auto"/>
      </w:divBdr>
    </w:div>
    <w:div w:id="1965187587">
      <w:bodyDiv w:val="1"/>
      <w:marLeft w:val="0"/>
      <w:marRight w:val="0"/>
      <w:marTop w:val="0"/>
      <w:marBottom w:val="0"/>
      <w:divBdr>
        <w:top w:val="none" w:sz="0" w:space="0" w:color="auto"/>
        <w:left w:val="none" w:sz="0" w:space="0" w:color="auto"/>
        <w:bottom w:val="none" w:sz="0" w:space="0" w:color="auto"/>
        <w:right w:val="none" w:sz="0" w:space="0" w:color="auto"/>
      </w:divBdr>
    </w:div>
    <w:div w:id="1989479599">
      <w:bodyDiv w:val="1"/>
      <w:marLeft w:val="0"/>
      <w:marRight w:val="0"/>
      <w:marTop w:val="0"/>
      <w:marBottom w:val="0"/>
      <w:divBdr>
        <w:top w:val="none" w:sz="0" w:space="0" w:color="auto"/>
        <w:left w:val="none" w:sz="0" w:space="0" w:color="auto"/>
        <w:bottom w:val="none" w:sz="0" w:space="0" w:color="auto"/>
        <w:right w:val="none" w:sz="0" w:space="0" w:color="auto"/>
      </w:divBdr>
    </w:div>
    <w:div w:id="1991014423">
      <w:bodyDiv w:val="1"/>
      <w:marLeft w:val="0"/>
      <w:marRight w:val="0"/>
      <w:marTop w:val="0"/>
      <w:marBottom w:val="0"/>
      <w:divBdr>
        <w:top w:val="none" w:sz="0" w:space="0" w:color="auto"/>
        <w:left w:val="none" w:sz="0" w:space="0" w:color="auto"/>
        <w:bottom w:val="none" w:sz="0" w:space="0" w:color="auto"/>
        <w:right w:val="none" w:sz="0" w:space="0" w:color="auto"/>
      </w:divBdr>
    </w:div>
    <w:div w:id="1992562929">
      <w:bodyDiv w:val="1"/>
      <w:marLeft w:val="0"/>
      <w:marRight w:val="0"/>
      <w:marTop w:val="0"/>
      <w:marBottom w:val="0"/>
      <w:divBdr>
        <w:top w:val="none" w:sz="0" w:space="0" w:color="auto"/>
        <w:left w:val="none" w:sz="0" w:space="0" w:color="auto"/>
        <w:bottom w:val="none" w:sz="0" w:space="0" w:color="auto"/>
        <w:right w:val="none" w:sz="0" w:space="0" w:color="auto"/>
      </w:divBdr>
    </w:div>
    <w:div w:id="1993482966">
      <w:bodyDiv w:val="1"/>
      <w:marLeft w:val="0"/>
      <w:marRight w:val="0"/>
      <w:marTop w:val="0"/>
      <w:marBottom w:val="0"/>
      <w:divBdr>
        <w:top w:val="none" w:sz="0" w:space="0" w:color="auto"/>
        <w:left w:val="none" w:sz="0" w:space="0" w:color="auto"/>
        <w:bottom w:val="none" w:sz="0" w:space="0" w:color="auto"/>
        <w:right w:val="none" w:sz="0" w:space="0" w:color="auto"/>
      </w:divBdr>
    </w:div>
    <w:div w:id="2018271035">
      <w:bodyDiv w:val="1"/>
      <w:marLeft w:val="0"/>
      <w:marRight w:val="0"/>
      <w:marTop w:val="0"/>
      <w:marBottom w:val="0"/>
      <w:divBdr>
        <w:top w:val="none" w:sz="0" w:space="0" w:color="auto"/>
        <w:left w:val="none" w:sz="0" w:space="0" w:color="auto"/>
        <w:bottom w:val="none" w:sz="0" w:space="0" w:color="auto"/>
        <w:right w:val="none" w:sz="0" w:space="0" w:color="auto"/>
      </w:divBdr>
    </w:div>
    <w:div w:id="2019502889">
      <w:bodyDiv w:val="1"/>
      <w:marLeft w:val="0"/>
      <w:marRight w:val="0"/>
      <w:marTop w:val="0"/>
      <w:marBottom w:val="0"/>
      <w:divBdr>
        <w:top w:val="none" w:sz="0" w:space="0" w:color="auto"/>
        <w:left w:val="none" w:sz="0" w:space="0" w:color="auto"/>
        <w:bottom w:val="none" w:sz="0" w:space="0" w:color="auto"/>
        <w:right w:val="none" w:sz="0" w:space="0" w:color="auto"/>
      </w:divBdr>
    </w:div>
    <w:div w:id="203430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me/en/home-3/"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ec.europa.eu/regional_policy/sources/policy/how/improving-investment/roadmap_toolkit.pdf" TargetMode="External"/><Relationship Id="rId21" Type="http://schemas.openxmlformats.org/officeDocument/2006/relationships/hyperlink" Target="about:blank" TargetMode="External"/><Relationship Id="rId42" Type="http://schemas.openxmlformats.org/officeDocument/2006/relationships/hyperlink" Target="https://www.securities-services.societegenerale.com/en/insights/views/news/sfdr-taxonomy-regulation-green-finance/" TargetMode="External"/><Relationship Id="rId47" Type="http://schemas.openxmlformats.org/officeDocument/2006/relationships/hyperlink" Target="https://www.gov.me/en/documents/0aaa040b-0413-46b6-a8c7-5b2c10cdc9dc" TargetMode="External"/><Relationship Id="rId63" Type="http://schemas.openxmlformats.org/officeDocument/2006/relationships/hyperlink" Target="https://multimedia.europarl.europa.eu/en/webstreaming/joint-committee-on-foreign-affairs-and-committee-on-budgets_20240930-1545-COMMITTEE-AFET-BUDG" TargetMode="External"/><Relationship Id="rId68" Type="http://schemas.openxmlformats.org/officeDocument/2006/relationships/hyperlink" Target="about:blank" TargetMode="External"/><Relationship Id="rId84" Type="http://schemas.openxmlformats.org/officeDocument/2006/relationships/hyperlink" Target="https://ec.europa.eu/regional_policy/policy/evaluations/network_en" TargetMode="External"/><Relationship Id="rId89" Type="http://schemas.openxmlformats.org/officeDocument/2006/relationships/hyperlink" Target="http://www.cbc-mne-alb.org" TargetMode="External"/><Relationship Id="rId112" Type="http://schemas.openxmlformats.org/officeDocument/2006/relationships/hyperlink" Target="https://ec.europa.eu/eurostat/web/products-manuals-and-guidelines/-/statistical-requirements-compendium-2024-edition" TargetMode="External"/><Relationship Id="rId16" Type="http://schemas.openxmlformats.org/officeDocument/2006/relationships/hyperlink" Target="about:blank" TargetMode="External"/><Relationship Id="rId107" Type="http://schemas.openxmlformats.org/officeDocument/2006/relationships/hyperlink" Target="https://cohesiondata.ec.europa.eu/stories/s/2021-2027-categorisation-information-system/hhu3-atyz/" TargetMode="External"/><Relationship Id="rId11" Type="http://schemas.openxmlformats.org/officeDocument/2006/relationships/hyperlink" Target="http://data.europa.eu/eli/reg/2024/1449/oj" TargetMode="External"/><Relationship Id="rId32" Type="http://schemas.openxmlformats.org/officeDocument/2006/relationships/hyperlink" Target="https://ec.europa.eu/regional_policy/sources/studies/e-cohesion/eval_ecohesion_2014_2020.pdf" TargetMode="External"/><Relationship Id="rId37" Type="http://schemas.openxmlformats.org/officeDocument/2006/relationships/hyperlink" Target="https://eur-lex.europa.eu/eli/reg/2021/1059/oj" TargetMode="External"/><Relationship Id="rId53" Type="http://schemas.openxmlformats.org/officeDocument/2006/relationships/hyperlink" Target="https://www.respaweb.eu/0/news/716/handjiska-trendafilova-at-ready4eu-kick-off-honoured-to-contribute-to-the-design-and-implementation-of-this-crucial-training-programme" TargetMode="External"/><Relationship Id="rId58" Type="http://schemas.openxmlformats.org/officeDocument/2006/relationships/hyperlink" Target="https://www.gov.me/dokumenta/823842f4-2ffd-4a0d-936e-c1b00c669115" TargetMode="External"/><Relationship Id="rId74" Type="http://schemas.openxmlformats.org/officeDocument/2006/relationships/hyperlink" Target="about:blank" TargetMode="External"/><Relationship Id="rId79" Type="http://schemas.openxmlformats.org/officeDocument/2006/relationships/hyperlink" Target="https://eur-lex.europa.eu/eli/reg/2021/1057/2024-03-01" TargetMode="External"/><Relationship Id="rId102" Type="http://schemas.openxmlformats.org/officeDocument/2006/relationships/hyperlink" Target="https://eur-lex.europa.eu/LexUriServ/LexUriServ.do?uri=CELEX:12012E/TXT:en:PDF" TargetMode="External"/><Relationship Id="rId5" Type="http://schemas.openxmlformats.org/officeDocument/2006/relationships/hyperlink" Target="about:blank" TargetMode="External"/><Relationship Id="rId90" Type="http://schemas.openxmlformats.org/officeDocument/2006/relationships/hyperlink" Target="http://www.cbc-mne-kos.org" TargetMode="External"/><Relationship Id="rId95" Type="http://schemas.openxmlformats.org/officeDocument/2006/relationships/hyperlink" Target="https://www.gov.me/ujr" TargetMode="External"/><Relationship Id="rId22" Type="http://schemas.openxmlformats.org/officeDocument/2006/relationships/hyperlink" Target="about:blank" TargetMode="External"/><Relationship Id="rId27" Type="http://schemas.openxmlformats.org/officeDocument/2006/relationships/hyperlink" Target="https://ec.europa.eu/regional_policy/sources/policy/how/improving-investment/ACB_Self_assessment_Instrument.pdF" TargetMode="External"/><Relationship Id="rId43" Type="http://schemas.openxmlformats.org/officeDocument/2006/relationships/hyperlink" Target="https://www.securities-services.societegenerale.com/en/insights/views/news/taxonomy/" TargetMode="External"/><Relationship Id="rId48" Type="http://schemas.openxmlformats.org/officeDocument/2006/relationships/hyperlink" Target="https://www.gov.me/dokumenta/e33c0494-bb77-45bb-bb9c-f3382522e07e" TargetMode="External"/><Relationship Id="rId64" Type="http://schemas.openxmlformats.org/officeDocument/2006/relationships/hyperlink" Target="http://data.europa.eu/eli/reg/2024/1449/oj" TargetMode="External"/><Relationship Id="rId69" Type="http://schemas.openxmlformats.org/officeDocument/2006/relationships/hyperlink" Target="about:blank" TargetMode="External"/><Relationship Id="rId113" Type="http://schemas.openxmlformats.org/officeDocument/2006/relationships/hyperlink" Target="https://data.consilium.europa.eu/doc/document/ST-9526-2024-INIT/en/pdf" TargetMode="External"/><Relationship Id="rId80" Type="http://schemas.openxmlformats.org/officeDocument/2006/relationships/hyperlink" Target="https://eur-lex.europa.eu/eli/reg/2021/1059/oj" TargetMode="External"/><Relationship Id="rId85" Type="http://schemas.openxmlformats.org/officeDocument/2006/relationships/hyperlink" Target="https://www.gov.si/assets/organi-v-sestavi/URSOO/Pojasnilo-in-interpretacija-sluzb-Evropske-komisije-glede-dvojnega-financiranja-pri-Mehanizmu-za-okrevanje-in-odpornost.pdf" TargetMode="External"/><Relationship Id="rId12" Type="http://schemas.openxmlformats.org/officeDocument/2006/relationships/hyperlink" Target="https://multimedia.europarl.europa.eu/en/webstreaming/joint-committee-on-budgets-and-committee-on-foreign-affairs_20240124-1030-COMMITTEE-BUDG-AFET" TargetMode="External"/><Relationship Id="rId17" Type="http://schemas.openxmlformats.org/officeDocument/2006/relationships/hyperlink" Target="about:blank" TargetMode="External"/><Relationship Id="rId33" Type="http://schemas.openxmlformats.org/officeDocument/2006/relationships/hyperlink" Target="https://ec.europa.eu/regional_policy/sources/evaluation/performance2127/performance2127_swd.pdf" TargetMode="External"/><Relationship Id="rId38" Type="http://schemas.openxmlformats.org/officeDocument/2006/relationships/hyperlink" Target="https://eur-lex.europa.eu/eli/reg/2006/1082/2014-06-22" TargetMode="External"/><Relationship Id="rId59" Type="http://schemas.openxmlformats.org/officeDocument/2006/relationships/hyperlink" Target="https://www.gov.me/dokumenta/0c37736f-0645-4737-87c1-02b1fb39fd32" TargetMode="External"/><Relationship Id="rId103" Type="http://schemas.openxmlformats.org/officeDocument/2006/relationships/hyperlink" Target="https://cohesiondata.ec.europa.eu/2021-2027/Regions-by-cohesion-policy-category-2021-2027/hsqz-g45p/about_data" TargetMode="External"/><Relationship Id="rId108" Type="http://schemas.openxmlformats.org/officeDocument/2006/relationships/hyperlink" Target="https://eur-lex.europa.eu/eli/dir/2007/2/oj" TargetMode="External"/><Relationship Id="rId54" Type="http://schemas.openxmlformats.org/officeDocument/2006/relationships/hyperlink" Target="https://neighbourhood-enlargement.ec.europa.eu/document/download/7274053e-9234-4425-9b4a-73a4208f073e_en?filename=C_2022_9162_F1_ANNEX_EN_V3_P1_2341612.PDF" TargetMode="External"/><Relationship Id="rId70" Type="http://schemas.openxmlformats.org/officeDocument/2006/relationships/hyperlink" Target="https://www.gov.me/clanak/izvjestaj-o-sprovedenoj-javnoj-raspravi-o-nacrtu-zakona-o-regionalnom-razvoju" TargetMode="External"/><Relationship Id="rId75" Type="http://schemas.openxmlformats.org/officeDocument/2006/relationships/hyperlink" Target="about:blank" TargetMode="External"/><Relationship Id="rId91" Type="http://schemas.openxmlformats.org/officeDocument/2006/relationships/hyperlink" Target="https://www.gov.me/ipard" TargetMode="External"/><Relationship Id="rId96" Type="http://schemas.openxmlformats.org/officeDocument/2006/relationships/hyperlink" Target="https://www.gov.me/clanak/poziv-za-dostavljanje-prijedloga-projekata-za-program-prekogranicne-saradnje-crna-gora-kosovo-2021-2027" TargetMode="External"/><Relationship Id="rId1" Type="http://schemas.openxmlformats.org/officeDocument/2006/relationships/hyperlink" Target="https://ec.europa.eu/commission/presscorner/detail/en/ip_25_486" TargetMode="External"/><Relationship Id="rId6" Type="http://schemas.openxmlformats.org/officeDocument/2006/relationships/hyperlink" Target="https://www.gov.me/dokumenta/823842f4-2ffd-4a0d-936e-c1b00c669115" TargetMode="External"/><Relationship Id="rId15" Type="http://schemas.openxmlformats.org/officeDocument/2006/relationships/hyperlink" Target="about:blank" TargetMode="External"/><Relationship Id="rId23" Type="http://schemas.openxmlformats.org/officeDocument/2006/relationships/hyperlink" Target="https://ec.europa.eu/commission/presscorner/detail/en/ip_25_486" TargetMode="External"/><Relationship Id="rId28" Type="http://schemas.openxmlformats.org/officeDocument/2006/relationships/hyperlink" Target="https://eur-lex.europa.eu/eli/dir/2019/1937/2024-12-30" TargetMode="External"/><Relationship Id="rId36" Type="http://schemas.openxmlformats.org/officeDocument/2006/relationships/hyperlink" Target="https://eur-lex.europa.eu/eli/reg/2020/852/oj" TargetMode="External"/><Relationship Id="rId49" Type="http://schemas.openxmlformats.org/officeDocument/2006/relationships/hyperlink" Target="https://www.sigmaweb.org/about/" TargetMode="External"/><Relationship Id="rId57" Type="http://schemas.openxmlformats.org/officeDocument/2006/relationships/hyperlink" Target="https://www.oecd.org/en/publications/public-administration-in-montenegro-2024_6b3dec38-en.html" TargetMode="External"/><Relationship Id="rId106" Type="http://schemas.openxmlformats.org/officeDocument/2006/relationships/hyperlink" Target="https://eur-lex.europa.eu/eli/reg/2023/734/oj" TargetMode="External"/><Relationship Id="rId114" Type="http://schemas.openxmlformats.org/officeDocument/2006/relationships/hyperlink" Target="https://ec.europa.eu/regional_policy/2021-2027/technical-seminars_en" TargetMode="External"/><Relationship Id="rId10" Type="http://schemas.openxmlformats.org/officeDocument/2006/relationships/hyperlink" Target="https://multimedia.europarl.europa.eu/en/webstreaming/joint-committee-on-foreign-affairs-and-committee-on-budgets_20240930-1545-COMMITTEE-AFET-BUDG" TargetMode="External"/><Relationship Id="rId31" Type="http://schemas.openxmlformats.org/officeDocument/2006/relationships/hyperlink" Target="http://ec.europa.eu/regional_policy/sources/docgener/studies/pdf/measuring/measuring_impact_report.pdf" TargetMode="External"/><Relationship Id="rId44" Type="http://schemas.openxmlformats.org/officeDocument/2006/relationships/hyperlink" Target="https://ec.europa.eu/regional_policy/policy/communities-and-networks/ecopp_en" TargetMode="External"/><Relationship Id="rId52" Type="http://schemas.openxmlformats.org/officeDocument/2006/relationships/hyperlink" Target="https://wapi.gov.me/download-preview/cb51fe73-fec7-4147-adbe-eab4786d6ab1?version=1.0" TargetMode="External"/><Relationship Id="rId60" Type="http://schemas.openxmlformats.org/officeDocument/2006/relationships/hyperlink" Target="https://www.gov.me/clanak/sektor-za-koordinaciju-pracenje-uskladenosti-i-pracenje-sprovodenja-strategija-kojima-se-utvrduju-javne-politike" TargetMode="External"/><Relationship Id="rId65" Type="http://schemas.openxmlformats.org/officeDocument/2006/relationships/hyperlink" Target="https://multimedia.europarl.europa.eu/en/webstreaming/joint-committee-on-budgets-and-committee-on-foreign-affairs_20240124-1030-COMMITTEE-BUDG-AFET" TargetMode="External"/><Relationship Id="rId73" Type="http://schemas.openxmlformats.org/officeDocument/2006/relationships/hyperlink" Target="about:blank" TargetMode="External"/><Relationship Id="rId78" Type="http://schemas.openxmlformats.org/officeDocument/2006/relationships/hyperlink" Target="https://eur-lex.europa.eu/eli/reg/2021/1056/2024-03-01" TargetMode="External"/><Relationship Id="rId81" Type="http://schemas.openxmlformats.org/officeDocument/2006/relationships/hyperlink" Target="https://data.consilium.europa.eu/doc/document/ST-5037-2023-INIT/en/pdf" TargetMode="External"/><Relationship Id="rId86" Type="http://schemas.openxmlformats.org/officeDocument/2006/relationships/hyperlink" Target="https://eur-lex.europa.eu/eli/dir/2019/1937/2024-12-30" TargetMode="External"/><Relationship Id="rId94" Type="http://schemas.openxmlformats.org/officeDocument/2006/relationships/hyperlink" Target="https://www.gov.me/ipard/ipard-ii/lista-aktivnosti-i-korisnika-podrske-ipard-ii-programa" TargetMode="External"/><Relationship Id="rId99" Type="http://schemas.openxmlformats.org/officeDocument/2006/relationships/hyperlink" Target="https://neighbourhood-enlargement.ec.europa.eu/document/download/2a6525bd-7948-45d9-b716-d8f9d6c4be26_en?filename=C_2024_3543_F1_ANNEX_EN_V1_P1_3383454.PDF" TargetMode="External"/><Relationship Id="rId101" Type="http://schemas.openxmlformats.org/officeDocument/2006/relationships/hyperlink" Target="https://ec.europa.eu/regional_policy/policy/communication/inform-network_en" TargetMode="External"/><Relationship Id="rId4" Type="http://schemas.openxmlformats.org/officeDocument/2006/relationships/hyperlink" Target="https://www.gov.me/clanak/sektor-za-koordinaciju-pracenje-uskladenosti-i-pracenje-sprovodenja-strategija-kojima-se-utvrduju-javne-politike" TargetMode="Externa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s://www.gov.me/clanak/izvjestaj-o-sprovedenoj-javnoj-raspravi-o-nacrtu-zakona-o-regionalnom-razvoju" TargetMode="External"/><Relationship Id="rId39" Type="http://schemas.openxmlformats.org/officeDocument/2006/relationships/hyperlink" Target="https://neighbourhood-enlargement.ec.europa.eu/montenegro-report-2024_en" TargetMode="External"/><Relationship Id="rId109" Type="http://schemas.openxmlformats.org/officeDocument/2006/relationships/hyperlink" Target="https://eur-lex.europa.eu/eli/reg_impl/2019/1130/oj" TargetMode="External"/><Relationship Id="rId34" Type="http://schemas.openxmlformats.org/officeDocument/2006/relationships/hyperlink" Target="https://eur-lex.europa.eu/eli/reg/2021/1060/2024-03-01" TargetMode="External"/><Relationship Id="rId50" Type="http://schemas.openxmlformats.org/officeDocument/2006/relationships/hyperlink" Target="https://www.gov.me/dokumenta/1b60309b-7065-449e-b331-f46c37d9c901" TargetMode="External"/><Relationship Id="rId55" Type="http://schemas.openxmlformats.org/officeDocument/2006/relationships/hyperlink" Target="https://ec.europa.eu/regional_policy/sources/policy/how/improving-investment/roadmap_toolkit.pdf" TargetMode="External"/><Relationship Id="rId76" Type="http://schemas.openxmlformats.org/officeDocument/2006/relationships/hyperlink" Target="https://cohesiondata.ec.europa.eu/" TargetMode="External"/><Relationship Id="rId97" Type="http://schemas.openxmlformats.org/officeDocument/2006/relationships/hyperlink" Target="https://neighbourhood-enlargement.ec.europa.eu/document/download/4cd89ebc-e04c-413e-8703-b9965fb257c1_en?filename=C_2024_5739_F1_COMMISSION_IMPLEMENTING_DECISION_EN_V3_P1_3562754.PDF" TargetMode="External"/><Relationship Id="rId104" Type="http://schemas.openxmlformats.org/officeDocument/2006/relationships/hyperlink" Target="https://eur-lex.europa.eu/eli/dec_impl/2021/1130/oj" TargetMode="External"/><Relationship Id="rId7" Type="http://schemas.openxmlformats.org/officeDocument/2006/relationships/hyperlink" Target="https://www.gov.me/dokumenta/0c37736f-0645-4737-87c1-02b1fb39fd32" TargetMode="External"/><Relationship Id="rId71" Type="http://schemas.openxmlformats.org/officeDocument/2006/relationships/hyperlink" Target="https://www.gov.me/dokumenta/4b0f63fd-e49d-4f0c-9f09-99426dc8d51b" TargetMode="External"/><Relationship Id="rId92" Type="http://schemas.openxmlformats.org/officeDocument/2006/relationships/hyperlink" Target="https://www.gov.me/dokumenta/68fd0b75-9a4b-45f5-827a-6dec74bdc0e9" TargetMode="External"/><Relationship Id="rId2" Type="http://schemas.openxmlformats.org/officeDocument/2006/relationships/hyperlink" Target="about:blank" TargetMode="External"/><Relationship Id="rId29" Type="http://schemas.openxmlformats.org/officeDocument/2006/relationships/hyperlink" Target="https://www.gov.me/dokumenta/d16e7c4f-0fc9-4fa4-9b5d-2b3afc369ca3" TargetMode="External"/><Relationship Id="rId24" Type="http://schemas.openxmlformats.org/officeDocument/2006/relationships/hyperlink" Target="https://cohesiondata.ec.europa.eu/" TargetMode="External"/><Relationship Id="rId40" Type="http://schemas.openxmlformats.org/officeDocument/2006/relationships/hyperlink" Target="https://equineteurope.org/author/montenegro_phrf/" TargetMode="External"/><Relationship Id="rId45" Type="http://schemas.openxmlformats.org/officeDocument/2006/relationships/hyperlink" Target="https://eur-lex.europa.eu/eli/reg/2021/1059/oj" TargetMode="External"/><Relationship Id="rId66" Type="http://schemas.openxmlformats.org/officeDocument/2006/relationships/hyperlink" Target="about:blank" TargetMode="External"/><Relationship Id="rId87" Type="http://schemas.openxmlformats.org/officeDocument/2006/relationships/hyperlink" Target="https://www.eu.me/en/ipa-iii-2021-2027/" TargetMode="External"/><Relationship Id="rId110" Type="http://schemas.openxmlformats.org/officeDocument/2006/relationships/hyperlink" Target="https://eur-lex.europa.eu/eli/reg/2017/2391/oj" TargetMode="External"/><Relationship Id="rId115" Type="http://schemas.openxmlformats.org/officeDocument/2006/relationships/hyperlink" Target="https://webgate.ec.europa.eu/intpa-academy/mod/page/view.php?id=792" TargetMode="External"/><Relationship Id="rId61" Type="http://schemas.openxmlformats.org/officeDocument/2006/relationships/hyperlink" Target="about:blank" TargetMode="External"/><Relationship Id="rId82" Type="http://schemas.openxmlformats.org/officeDocument/2006/relationships/hyperlink" Target="https://www.italy-albania-montenegro.eu/sites/default/files/2022-12/SA_FS_1_1_Strategic_and_performance_framework_19102022.pdf" TargetMode="External"/><Relationship Id="rId19" Type="http://schemas.openxmlformats.org/officeDocument/2006/relationships/hyperlink" Target="https://www.gov.me/dokumenta/4b0f63fd-e49d-4f0c-9f09-99426dc8d51b" TargetMode="External"/><Relationship Id="rId14" Type="http://schemas.openxmlformats.org/officeDocument/2006/relationships/hyperlink" Target="about:blank" TargetMode="External"/><Relationship Id="rId30" Type="http://schemas.openxmlformats.org/officeDocument/2006/relationships/hyperlink" Target="https://wapi.gov.me/download-preview/15041a2f-bb4d-42b0-a670-10c8b3323597?version=1.0" TargetMode="External"/><Relationship Id="rId35" Type="http://schemas.openxmlformats.org/officeDocument/2006/relationships/hyperlink" Target="https://eur-lex.europa.eu/eli/reg_del/2014/240/oj" TargetMode="External"/><Relationship Id="rId56" Type="http://schemas.openxmlformats.org/officeDocument/2006/relationships/hyperlink" Target="https://ec.europa.eu/regional_policy/sources/policy/how/improving-investment/ACB_Self_assessment_Instrument.pdF" TargetMode="External"/><Relationship Id="rId77" Type="http://schemas.openxmlformats.org/officeDocument/2006/relationships/hyperlink" Target="https://eur-lex.europa.eu/eli/reg/2021/1060/2024-03-01" TargetMode="External"/><Relationship Id="rId100" Type="http://schemas.openxmlformats.org/officeDocument/2006/relationships/hyperlink" Target="https://www.gov.me/en/documents/78a6de57-f7dc-4688-b49d-a26fb6021bcd" TargetMode="External"/><Relationship Id="rId105" Type="http://schemas.openxmlformats.org/officeDocument/2006/relationships/hyperlink" Target="https://eur-lex.europa.eu/legal-content/EN/TXT/?uri=CELEX%3A02003R1059-20240101" TargetMode="External"/><Relationship Id="rId8" Type="http://schemas.openxmlformats.org/officeDocument/2006/relationships/hyperlink" Target="https://wapi.gov.me/download-preview/3671cd6c-4d77-4159-a157-c3cdd879cbea?version=1.0" TargetMode="External"/><Relationship Id="rId51" Type="http://schemas.openxmlformats.org/officeDocument/2006/relationships/hyperlink" Target="https://www.gov.me/dokumenta/20ebec40-25d6-4743-8c89-45928afeba54" TargetMode="External"/><Relationship Id="rId72" Type="http://schemas.openxmlformats.org/officeDocument/2006/relationships/hyperlink" Target="https://www.energy-community.org/dam/jcr:af9fe606-98a7-4eec-83ab-1a8a9035f63e/NECP%20Montegro_all%20chapters_9%20Dec%202024.pdf" TargetMode="External"/><Relationship Id="rId93" Type="http://schemas.openxmlformats.org/officeDocument/2006/relationships/hyperlink" Target="https://www.gov.me/dokumenta/109034c5-be60-4720-8315-d570a6c1ce47" TargetMode="External"/><Relationship Id="rId98" Type="http://schemas.openxmlformats.org/officeDocument/2006/relationships/hyperlink" Target="https://neighbourhood-enlargement.ec.europa.eu/document/download/9d1abb34-923a-453b-a3ed-661ce5edef19_en?filename=C_2024_5738_F1_COMMISSION_IMPLEMENTING_DECISION_EN_V3_P1_3556534.PDF" TargetMode="External"/><Relationship Id="rId3" Type="http://schemas.openxmlformats.org/officeDocument/2006/relationships/hyperlink" Target="https://www.oecd.org/en/publications/public-administration-in-montenegro-2024_6b3dec38-en.html" TargetMode="External"/><Relationship Id="rId25" Type="http://schemas.openxmlformats.org/officeDocument/2006/relationships/hyperlink" Target="https://ec.europa.eu/regional_policy/sources/policy/how/improving-investment/roadmap_toolkit.pdf" TargetMode="External"/><Relationship Id="rId46" Type="http://schemas.openxmlformats.org/officeDocument/2006/relationships/hyperlink" Target="https://www.paragraf.me/propisi-crnegore/zakon_o_drzavnim_sluzbenicima_i_namjestenicima.html"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https://www.ombudsman.co.me/docs/1715154847_finalizvjestaj_29042024%20_zastitnik.pdf" TargetMode="External"/><Relationship Id="rId62" Type="http://schemas.openxmlformats.org/officeDocument/2006/relationships/hyperlink" Target="https://www.gov.me/en/documents/64cd49b0-1749-4fd9-8962-14a55495836a" TargetMode="External"/><Relationship Id="rId83" Type="http://schemas.openxmlformats.org/officeDocument/2006/relationships/hyperlink" Target="http://ec.europa.eu/regional_policy/sources/docgener/studies/pdf/measuring/measuring_impact_report.pdf" TargetMode="External"/><Relationship Id="rId88" Type="http://schemas.openxmlformats.org/officeDocument/2006/relationships/hyperlink" Target="https://international-partnerships.ec.europa.eu/knowledge-hub/communicating-and-raising-eu-visibility-guidance-external-actions_en" TargetMode="External"/><Relationship Id="rId111" Type="http://schemas.openxmlformats.org/officeDocument/2006/relationships/hyperlink" Target="https://eur-lex.europa.eu/eli/reg_impl/2018/1799/oj"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 2014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Raspoloživi budžet</c:v>
                </c:pt>
              </c:strCache>
            </c:strRef>
          </c:tx>
          <c:spPr>
            <a:solidFill>
              <a:schemeClr val="accent1"/>
            </a:solidFill>
            <a:ln>
              <a:noFill/>
            </a:ln>
            <a:effectLst/>
          </c:spPr>
          <c:invertIfNegative val="0"/>
          <c:dLbls>
            <c:dLbl>
              <c:idx val="0"/>
              <c:layout>
                <c:manualLayout>
                  <c:x val="-4.6296296296296294E-3"/>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D7-4B6A-8A98-EC26804406CA}"/>
                </c:ext>
              </c:extLst>
            </c:dLbl>
            <c:dLbl>
              <c:idx val="1"/>
              <c:layout>
                <c:manualLayout>
                  <c:x val="-4.6296296296296294E-3"/>
                  <c:y val="-4.3650793650793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D7-4B6A-8A98-EC26804406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EU doprinos</c:v>
                </c:pt>
                <c:pt idx="1">
                  <c:v>Nacionalni doprinos</c:v>
                </c:pt>
              </c:strCache>
            </c:strRef>
          </c:cat>
          <c:val>
            <c:numRef>
              <c:f>Sheet1!$B$2:$B$3</c:f>
              <c:numCache>
                <c:formatCode>#,##0.00</c:formatCode>
                <c:ptCount val="2"/>
                <c:pt idx="0">
                  <c:v>21290000</c:v>
                </c:pt>
                <c:pt idx="1">
                  <c:v>4270000</c:v>
                </c:pt>
              </c:numCache>
            </c:numRef>
          </c:val>
          <c:extLst>
            <c:ext xmlns:c16="http://schemas.microsoft.com/office/drawing/2014/chart" uri="{C3380CC4-5D6E-409C-BE32-E72D297353CC}">
              <c16:uniqueId val="{00000002-63D7-4B6A-8A98-EC26804406CA}"/>
            </c:ext>
          </c:extLst>
        </c:ser>
        <c:ser>
          <c:idx val="1"/>
          <c:order val="1"/>
          <c:tx>
            <c:strRef>
              <c:f>Sheet1!$C$1</c:f>
              <c:strCache>
                <c:ptCount val="1"/>
                <c:pt idx="0">
                  <c:v>Ugovoreno</c:v>
                </c:pt>
              </c:strCache>
            </c:strRef>
          </c:tx>
          <c:spPr>
            <a:solidFill>
              <a:schemeClr val="accent2"/>
            </a:solidFill>
            <a:ln>
              <a:noFill/>
            </a:ln>
            <a:effectLst/>
          </c:spPr>
          <c:invertIfNegative val="0"/>
          <c:dLbls>
            <c:dLbl>
              <c:idx val="0"/>
              <c:layout>
                <c:manualLayout>
                  <c:x val="1.6203703703703703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D7-4B6A-8A98-EC26804406CA}"/>
                </c:ext>
              </c:extLst>
            </c:dLbl>
            <c:dLbl>
              <c:idx val="1"/>
              <c:layout>
                <c:manualLayout>
                  <c:x val="6.9444444444443599E-3"/>
                  <c:y val="-3.9682539682539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D7-4B6A-8A98-EC26804406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EU doprinos</c:v>
                </c:pt>
                <c:pt idx="1">
                  <c:v>Nacionalni doprinos</c:v>
                </c:pt>
              </c:strCache>
            </c:strRef>
          </c:cat>
          <c:val>
            <c:numRef>
              <c:f>Sheet1!$C$2:$C$3</c:f>
              <c:numCache>
                <c:formatCode>#,##0.00</c:formatCode>
                <c:ptCount val="2"/>
                <c:pt idx="0">
                  <c:v>21050000</c:v>
                </c:pt>
                <c:pt idx="1">
                  <c:v>4210000</c:v>
                </c:pt>
              </c:numCache>
            </c:numRef>
          </c:val>
          <c:extLst>
            <c:ext xmlns:c16="http://schemas.microsoft.com/office/drawing/2014/chart" uri="{C3380CC4-5D6E-409C-BE32-E72D297353CC}">
              <c16:uniqueId val="{00000005-63D7-4B6A-8A98-EC26804406CA}"/>
            </c:ext>
          </c:extLst>
        </c:ser>
        <c:ser>
          <c:idx val="2"/>
          <c:order val="2"/>
          <c:tx>
            <c:strRef>
              <c:f>Sheet1!$D$1</c:f>
              <c:strCache>
                <c:ptCount val="1"/>
                <c:pt idx="0">
                  <c:v>Isplaćeno</c:v>
                </c:pt>
              </c:strCache>
            </c:strRef>
          </c:tx>
          <c:spPr>
            <a:solidFill>
              <a:schemeClr val="accent3"/>
            </a:solidFill>
            <a:ln>
              <a:noFill/>
            </a:ln>
            <a:effectLst/>
          </c:spPr>
          <c:invertIfNegative val="0"/>
          <c:dLbls>
            <c:dLbl>
              <c:idx val="0"/>
              <c:layout>
                <c:manualLayout>
                  <c:x val="5.7870370370370371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D7-4B6A-8A98-EC26804406CA}"/>
                </c:ext>
              </c:extLst>
            </c:dLbl>
            <c:dLbl>
              <c:idx val="1"/>
              <c:layout>
                <c:manualLayout>
                  <c:x val="2.3148148148148064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D7-4B6A-8A98-EC26804406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EU doprinos</c:v>
                </c:pt>
                <c:pt idx="1">
                  <c:v>Nacionalni doprinos</c:v>
                </c:pt>
              </c:strCache>
            </c:strRef>
          </c:cat>
          <c:val>
            <c:numRef>
              <c:f>Sheet1!$D$2:$D$3</c:f>
              <c:numCache>
                <c:formatCode>#,##0.00</c:formatCode>
                <c:ptCount val="2"/>
                <c:pt idx="0">
                  <c:v>20560000</c:v>
                </c:pt>
                <c:pt idx="1">
                  <c:v>4150000</c:v>
                </c:pt>
              </c:numCache>
            </c:numRef>
          </c:val>
          <c:extLst>
            <c:ext xmlns:c16="http://schemas.microsoft.com/office/drawing/2014/chart" uri="{C3380CC4-5D6E-409C-BE32-E72D297353CC}">
              <c16:uniqueId val="{00000008-63D7-4B6A-8A98-EC26804406CA}"/>
            </c:ext>
          </c:extLst>
        </c:ser>
        <c:dLbls>
          <c:showLegendKey val="0"/>
          <c:showVal val="0"/>
          <c:showCatName val="0"/>
          <c:showSerName val="0"/>
          <c:showPercent val="0"/>
          <c:showBubbleSize val="0"/>
        </c:dLbls>
        <c:gapWidth val="150"/>
        <c:overlap val="-26"/>
        <c:axId val="489191712"/>
        <c:axId val="489186608"/>
      </c:barChart>
      <c:catAx>
        <c:axId val="489191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186608"/>
        <c:crosses val="autoZero"/>
        <c:auto val="1"/>
        <c:lblAlgn val="ctr"/>
        <c:lblOffset val="100"/>
        <c:noMultiLvlLbl val="0"/>
      </c:catAx>
      <c:valAx>
        <c:axId val="489186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191712"/>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milioni EUR (zakružene</a:t>
                  </a:r>
                  <a:r>
                    <a:rPr lang="hr-HR" baseline="0"/>
                    <a:t> brojke)</a:t>
                  </a:r>
                  <a:endParaRPr lang="en-GB"/>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 2015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Raspoloživi budžet</c:v>
                </c:pt>
              </c:strCache>
            </c:strRef>
          </c:tx>
          <c:spPr>
            <a:solidFill>
              <a:schemeClr val="accent1"/>
            </a:solidFill>
            <a:ln>
              <a:noFill/>
            </a:ln>
            <a:effectLst/>
          </c:spPr>
          <c:invertIfNegative val="0"/>
          <c:dLbls>
            <c:dLbl>
              <c:idx val="0"/>
              <c:layout>
                <c:manualLayout>
                  <c:x val="-4.6296296296296294E-3"/>
                  <c:y val="-3.1746031746031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93-46D3-8F56-FF1A1E573339}"/>
                </c:ext>
              </c:extLst>
            </c:dLbl>
            <c:dLbl>
              <c:idx val="1"/>
              <c:layout>
                <c:manualLayout>
                  <c:x val="-6.9444444444445291E-3"/>
                  <c:y val="-4.36507936507936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93-46D3-8F56-FF1A1E573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EU doprinos</c:v>
                </c:pt>
                <c:pt idx="1">
                  <c:v>Nacionalni doprinos</c:v>
                </c:pt>
              </c:strCache>
            </c:strRef>
          </c:cat>
          <c:val>
            <c:numRef>
              <c:f>Sheet1!$B$2:$B$3</c:f>
              <c:numCache>
                <c:formatCode>0.00</c:formatCode>
                <c:ptCount val="2"/>
                <c:pt idx="0">
                  <c:v>1680000</c:v>
                </c:pt>
                <c:pt idx="1">
                  <c:v>1590000</c:v>
                </c:pt>
              </c:numCache>
            </c:numRef>
          </c:val>
          <c:extLst>
            <c:ext xmlns:c16="http://schemas.microsoft.com/office/drawing/2014/chart" uri="{C3380CC4-5D6E-409C-BE32-E72D297353CC}">
              <c16:uniqueId val="{00000002-D893-46D3-8F56-FF1A1E573339}"/>
            </c:ext>
          </c:extLst>
        </c:ser>
        <c:ser>
          <c:idx val="1"/>
          <c:order val="1"/>
          <c:tx>
            <c:strRef>
              <c:f>Sheet1!$C$1</c:f>
              <c:strCache>
                <c:ptCount val="1"/>
                <c:pt idx="0">
                  <c:v>Ugovoreno</c:v>
                </c:pt>
              </c:strCache>
            </c:strRef>
          </c:tx>
          <c:spPr>
            <a:solidFill>
              <a:schemeClr val="accent2"/>
            </a:solidFill>
            <a:ln>
              <a:noFill/>
            </a:ln>
            <a:effectLst/>
          </c:spPr>
          <c:invertIfNegative val="0"/>
          <c:dLbls>
            <c:dLbl>
              <c:idx val="0"/>
              <c:layout>
                <c:manualLayout>
                  <c:x val="2.3148148148148105E-2"/>
                  <c:y val="-4.7619047619047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93-46D3-8F56-FF1A1E573339}"/>
                </c:ext>
              </c:extLst>
            </c:dLbl>
            <c:dLbl>
              <c:idx val="1"/>
              <c:layout>
                <c:manualLayout>
                  <c:x val="2.0833333333333332E-2"/>
                  <c:y val="-3.5734283214598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93-46D3-8F56-FF1A1E573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EU doprinos</c:v>
                </c:pt>
                <c:pt idx="1">
                  <c:v>Nacionalni doprinos</c:v>
                </c:pt>
              </c:strCache>
            </c:strRef>
          </c:cat>
          <c:val>
            <c:numRef>
              <c:f>Sheet1!$C$2:$C$3</c:f>
              <c:numCache>
                <c:formatCode>0.00</c:formatCode>
                <c:ptCount val="2"/>
                <c:pt idx="0">
                  <c:v>1600000</c:v>
                </c:pt>
                <c:pt idx="1">
                  <c:v>1500000</c:v>
                </c:pt>
              </c:numCache>
            </c:numRef>
          </c:val>
          <c:extLst>
            <c:ext xmlns:c16="http://schemas.microsoft.com/office/drawing/2014/chart" uri="{C3380CC4-5D6E-409C-BE32-E72D297353CC}">
              <c16:uniqueId val="{00000005-D893-46D3-8F56-FF1A1E573339}"/>
            </c:ext>
          </c:extLst>
        </c:ser>
        <c:ser>
          <c:idx val="2"/>
          <c:order val="2"/>
          <c:tx>
            <c:strRef>
              <c:f>Sheet1!$D$1</c:f>
              <c:strCache>
                <c:ptCount val="1"/>
                <c:pt idx="0">
                  <c:v>Isplaćeno</c:v>
                </c:pt>
              </c:strCache>
            </c:strRef>
          </c:tx>
          <c:spPr>
            <a:solidFill>
              <a:schemeClr val="accent3"/>
            </a:solidFill>
            <a:ln>
              <a:noFill/>
            </a:ln>
            <a:effectLst/>
          </c:spPr>
          <c:invertIfNegative val="0"/>
          <c:dLbls>
            <c:dLbl>
              <c:idx val="0"/>
              <c:layout>
                <c:manualLayout>
                  <c:x val="3.7037037037037035E-2"/>
                  <c:y val="-4.36507936507936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93-46D3-8F56-FF1A1E573339}"/>
                </c:ext>
              </c:extLst>
            </c:dLbl>
            <c:dLbl>
              <c:idx val="1"/>
              <c:layout>
                <c:manualLayout>
                  <c:x val="2.0833333333333332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93-46D3-8F56-FF1A1E573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EU doprinos</c:v>
                </c:pt>
                <c:pt idx="1">
                  <c:v>Nacionalni doprinos</c:v>
                </c:pt>
              </c:strCache>
            </c:strRef>
          </c:cat>
          <c:val>
            <c:numRef>
              <c:f>Sheet1!$D$2:$D$3</c:f>
              <c:numCache>
                <c:formatCode>0.00</c:formatCode>
                <c:ptCount val="2"/>
                <c:pt idx="0">
                  <c:v>1600000</c:v>
                </c:pt>
                <c:pt idx="1">
                  <c:v>1500000</c:v>
                </c:pt>
              </c:numCache>
            </c:numRef>
          </c:val>
          <c:extLst>
            <c:ext xmlns:c16="http://schemas.microsoft.com/office/drawing/2014/chart" uri="{C3380CC4-5D6E-409C-BE32-E72D297353CC}">
              <c16:uniqueId val="{00000008-D893-46D3-8F56-FF1A1E573339}"/>
            </c:ext>
          </c:extLst>
        </c:ser>
        <c:dLbls>
          <c:showLegendKey val="0"/>
          <c:showVal val="0"/>
          <c:showCatName val="0"/>
          <c:showSerName val="0"/>
          <c:showPercent val="0"/>
          <c:showBubbleSize val="0"/>
        </c:dLbls>
        <c:gapWidth val="150"/>
        <c:overlap val="-20"/>
        <c:axId val="400231088"/>
        <c:axId val="400232816"/>
      </c:barChart>
      <c:catAx>
        <c:axId val="400231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32816"/>
        <c:crosses val="autoZero"/>
        <c:auto val="1"/>
        <c:lblAlgn val="ctr"/>
        <c:lblOffset val="100"/>
        <c:noMultiLvlLbl val="0"/>
      </c:catAx>
      <c:valAx>
        <c:axId val="400232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31088"/>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milioni EUR (zaokružene brojke)</a:t>
                  </a:r>
                  <a:endParaRPr lang="en-GB"/>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CAP 2016</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List7!$A$12</c:f>
              <c:strCache>
                <c:ptCount val="1"/>
                <c:pt idx="0">
                  <c:v>Raspoloživi budžet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List7!$B$11:$D$11</c:f>
              <c:strCache>
                <c:ptCount val="3"/>
                <c:pt idx="0">
                  <c:v>EU doprinos</c:v>
                </c:pt>
                <c:pt idx="1">
                  <c:v>Nacionalni doprinos</c:v>
                </c:pt>
                <c:pt idx="2">
                  <c:v>Ostalo</c:v>
                </c:pt>
              </c:strCache>
            </c:strRef>
          </c:cat>
          <c:val>
            <c:numRef>
              <c:f>List7!$B$12:$D$12</c:f>
              <c:numCache>
                <c:formatCode>0.00</c:formatCode>
                <c:ptCount val="3"/>
                <c:pt idx="0">
                  <c:v>13020000</c:v>
                </c:pt>
                <c:pt idx="1">
                  <c:v>2700000</c:v>
                </c:pt>
                <c:pt idx="2">
                  <c:v>0</c:v>
                </c:pt>
              </c:numCache>
            </c:numRef>
          </c:val>
          <c:extLst>
            <c:ext xmlns:c16="http://schemas.microsoft.com/office/drawing/2014/chart" uri="{C3380CC4-5D6E-409C-BE32-E72D297353CC}">
              <c16:uniqueId val="{00000000-907F-4B45-8F52-08E9DBBD76EE}"/>
            </c:ext>
          </c:extLst>
        </c:ser>
        <c:ser>
          <c:idx val="1"/>
          <c:order val="1"/>
          <c:tx>
            <c:strRef>
              <c:f>List7!$A$13</c:f>
              <c:strCache>
                <c:ptCount val="1"/>
                <c:pt idx="0">
                  <c:v>Ugovoreno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List7!$B$11:$D$11</c:f>
              <c:strCache>
                <c:ptCount val="3"/>
                <c:pt idx="0">
                  <c:v>EU doprinos</c:v>
                </c:pt>
                <c:pt idx="1">
                  <c:v>Nacionalni doprinos</c:v>
                </c:pt>
                <c:pt idx="2">
                  <c:v>Ostalo</c:v>
                </c:pt>
              </c:strCache>
            </c:strRef>
          </c:cat>
          <c:val>
            <c:numRef>
              <c:f>List7!$B$13:$D$13</c:f>
              <c:numCache>
                <c:formatCode>0.00</c:formatCode>
                <c:ptCount val="3"/>
                <c:pt idx="0">
                  <c:v>13000000</c:v>
                </c:pt>
                <c:pt idx="1">
                  <c:v>1590000</c:v>
                </c:pt>
                <c:pt idx="2">
                  <c:v>450000</c:v>
                </c:pt>
              </c:numCache>
            </c:numRef>
          </c:val>
          <c:extLst>
            <c:ext xmlns:c16="http://schemas.microsoft.com/office/drawing/2014/chart" uri="{C3380CC4-5D6E-409C-BE32-E72D297353CC}">
              <c16:uniqueId val="{00000001-907F-4B45-8F52-08E9DBBD76EE}"/>
            </c:ext>
          </c:extLst>
        </c:ser>
        <c:ser>
          <c:idx val="2"/>
          <c:order val="2"/>
          <c:tx>
            <c:strRef>
              <c:f>List7!$A$14</c:f>
              <c:strCache>
                <c:ptCount val="1"/>
                <c:pt idx="0">
                  <c:v>Isplaćeno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List7!$B$11:$D$11</c:f>
              <c:strCache>
                <c:ptCount val="3"/>
                <c:pt idx="0">
                  <c:v>EU doprinos</c:v>
                </c:pt>
                <c:pt idx="1">
                  <c:v>Nacionalni doprinos</c:v>
                </c:pt>
                <c:pt idx="2">
                  <c:v>Ostalo</c:v>
                </c:pt>
              </c:strCache>
            </c:strRef>
          </c:cat>
          <c:val>
            <c:numRef>
              <c:f>List7!$B$14:$D$14</c:f>
              <c:numCache>
                <c:formatCode>0.00</c:formatCode>
                <c:ptCount val="3"/>
                <c:pt idx="0">
                  <c:v>10730000</c:v>
                </c:pt>
                <c:pt idx="1">
                  <c:v>1490000</c:v>
                </c:pt>
                <c:pt idx="2">
                  <c:v>0</c:v>
                </c:pt>
              </c:numCache>
            </c:numRef>
          </c:val>
          <c:extLst>
            <c:ext xmlns:c16="http://schemas.microsoft.com/office/drawing/2014/chart" uri="{C3380CC4-5D6E-409C-BE32-E72D297353CC}">
              <c16:uniqueId val="{00000002-907F-4B45-8F52-08E9DBBD76EE}"/>
            </c:ext>
          </c:extLst>
        </c:ser>
        <c:dLbls>
          <c:showLegendKey val="0"/>
          <c:showVal val="0"/>
          <c:showCatName val="0"/>
          <c:showSerName val="0"/>
          <c:showPercent val="0"/>
          <c:showBubbleSize val="0"/>
        </c:dLbls>
        <c:gapWidth val="219"/>
        <c:overlap val="-27"/>
        <c:axId val="1317055632"/>
        <c:axId val="1317048912"/>
      </c:barChart>
      <c:catAx>
        <c:axId val="131705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048912"/>
        <c:crosses val="autoZero"/>
        <c:auto val="1"/>
        <c:lblAlgn val="ctr"/>
        <c:lblOffset val="100"/>
        <c:noMultiLvlLbl val="0"/>
      </c:catAx>
      <c:valAx>
        <c:axId val="1317048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055632"/>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milioni EUR (zaokružene</a:t>
                  </a:r>
                  <a:r>
                    <a:rPr lang="hr-HR" baseline="0"/>
                    <a:t> brojke)</a:t>
                  </a:r>
                  <a:endParaRPr lang="en-GB"/>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CAP 2017</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List7!$A$20</c:f>
              <c:strCache>
                <c:ptCount val="1"/>
                <c:pt idx="0">
                  <c:v>Raspoloživi budžet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List7!$B$19:$C$19</c:f>
              <c:strCache>
                <c:ptCount val="2"/>
                <c:pt idx="0">
                  <c:v>EU doprinos</c:v>
                </c:pt>
                <c:pt idx="1">
                  <c:v>Nacionalni doprinos</c:v>
                </c:pt>
              </c:strCache>
            </c:strRef>
          </c:cat>
          <c:val>
            <c:numRef>
              <c:f>List7!$B$20:$C$20</c:f>
              <c:numCache>
                <c:formatCode>0.00</c:formatCode>
                <c:ptCount val="2"/>
                <c:pt idx="0">
                  <c:v>13510000</c:v>
                </c:pt>
                <c:pt idx="1">
                  <c:v>3410000</c:v>
                </c:pt>
              </c:numCache>
            </c:numRef>
          </c:val>
          <c:extLst>
            <c:ext xmlns:c16="http://schemas.microsoft.com/office/drawing/2014/chart" uri="{C3380CC4-5D6E-409C-BE32-E72D297353CC}">
              <c16:uniqueId val="{00000000-680C-4483-865C-1033A4E7AFA7}"/>
            </c:ext>
          </c:extLst>
        </c:ser>
        <c:ser>
          <c:idx val="1"/>
          <c:order val="1"/>
          <c:tx>
            <c:strRef>
              <c:f>List7!$A$21</c:f>
              <c:strCache>
                <c:ptCount val="1"/>
                <c:pt idx="0">
                  <c:v>Ugovoreno</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List7!$B$19:$C$19</c:f>
              <c:strCache>
                <c:ptCount val="2"/>
                <c:pt idx="0">
                  <c:v>EU doprinos</c:v>
                </c:pt>
                <c:pt idx="1">
                  <c:v>Nacionalni doprinos</c:v>
                </c:pt>
              </c:strCache>
            </c:strRef>
          </c:cat>
          <c:val>
            <c:numRef>
              <c:f>List7!$B$21:$C$21</c:f>
              <c:numCache>
                <c:formatCode>0.00</c:formatCode>
                <c:ptCount val="2"/>
                <c:pt idx="0">
                  <c:v>12610000</c:v>
                </c:pt>
                <c:pt idx="1">
                  <c:v>3200000</c:v>
                </c:pt>
              </c:numCache>
            </c:numRef>
          </c:val>
          <c:extLst>
            <c:ext xmlns:c16="http://schemas.microsoft.com/office/drawing/2014/chart" uri="{C3380CC4-5D6E-409C-BE32-E72D297353CC}">
              <c16:uniqueId val="{00000001-680C-4483-865C-1033A4E7AFA7}"/>
            </c:ext>
          </c:extLst>
        </c:ser>
        <c:ser>
          <c:idx val="2"/>
          <c:order val="2"/>
          <c:tx>
            <c:strRef>
              <c:f>List7!$A$22</c:f>
              <c:strCache>
                <c:ptCount val="1"/>
                <c:pt idx="0">
                  <c:v>Isplaćeno</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List7!$B$19:$C$19</c:f>
              <c:strCache>
                <c:ptCount val="2"/>
                <c:pt idx="0">
                  <c:v>EU doprinos</c:v>
                </c:pt>
                <c:pt idx="1">
                  <c:v>Nacionalni doprinos</c:v>
                </c:pt>
              </c:strCache>
            </c:strRef>
          </c:cat>
          <c:val>
            <c:numRef>
              <c:f>List7!$B$22:$C$22</c:f>
              <c:numCache>
                <c:formatCode>0.00</c:formatCode>
                <c:ptCount val="2"/>
                <c:pt idx="0">
                  <c:v>10810000</c:v>
                </c:pt>
                <c:pt idx="1">
                  <c:v>2880000</c:v>
                </c:pt>
              </c:numCache>
            </c:numRef>
          </c:val>
          <c:extLst>
            <c:ext xmlns:c16="http://schemas.microsoft.com/office/drawing/2014/chart" uri="{C3380CC4-5D6E-409C-BE32-E72D297353CC}">
              <c16:uniqueId val="{00000002-680C-4483-865C-1033A4E7AFA7}"/>
            </c:ext>
          </c:extLst>
        </c:ser>
        <c:dLbls>
          <c:showLegendKey val="0"/>
          <c:showVal val="0"/>
          <c:showCatName val="0"/>
          <c:showSerName val="0"/>
          <c:showPercent val="0"/>
          <c:showBubbleSize val="0"/>
        </c:dLbls>
        <c:gapWidth val="150"/>
        <c:shape val="box"/>
        <c:axId val="847967472"/>
        <c:axId val="856485840"/>
        <c:axId val="0"/>
      </c:bar3DChart>
      <c:catAx>
        <c:axId val="847967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485840"/>
        <c:crosses val="autoZero"/>
        <c:auto val="1"/>
        <c:lblAlgn val="ctr"/>
        <c:lblOffset val="100"/>
        <c:noMultiLvlLbl val="0"/>
      </c:catAx>
      <c:valAx>
        <c:axId val="856485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967472"/>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milioni EUR (zaokružene brojke)</a:t>
                  </a:r>
                  <a:endParaRPr lang="en-GB"/>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CAP 2018</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List7!$A$28</c:f>
              <c:strCache>
                <c:ptCount val="1"/>
                <c:pt idx="0">
                  <c:v>Raspoloživi budžet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List7!$B$27:$C$27</c:f>
              <c:strCache>
                <c:ptCount val="2"/>
                <c:pt idx="0">
                  <c:v>EU doprinos</c:v>
                </c:pt>
                <c:pt idx="1">
                  <c:v>Nacionalni doprinos</c:v>
                </c:pt>
              </c:strCache>
            </c:strRef>
          </c:cat>
          <c:val>
            <c:numRef>
              <c:f>List7!$B$28:$C$28</c:f>
              <c:numCache>
                <c:formatCode>0.00</c:formatCode>
                <c:ptCount val="2"/>
                <c:pt idx="0">
                  <c:v>24530000</c:v>
                </c:pt>
                <c:pt idx="1">
                  <c:v>13270000</c:v>
                </c:pt>
              </c:numCache>
            </c:numRef>
          </c:val>
          <c:extLst>
            <c:ext xmlns:c16="http://schemas.microsoft.com/office/drawing/2014/chart" uri="{C3380CC4-5D6E-409C-BE32-E72D297353CC}">
              <c16:uniqueId val="{00000000-527E-46ED-BC86-1AA8D37141E5}"/>
            </c:ext>
          </c:extLst>
        </c:ser>
        <c:ser>
          <c:idx val="1"/>
          <c:order val="1"/>
          <c:tx>
            <c:strRef>
              <c:f>List7!$A$29</c:f>
              <c:strCache>
                <c:ptCount val="1"/>
                <c:pt idx="0">
                  <c:v>Ugovoreno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List7!$B$27:$C$27</c:f>
              <c:strCache>
                <c:ptCount val="2"/>
                <c:pt idx="0">
                  <c:v>EU doprinos</c:v>
                </c:pt>
                <c:pt idx="1">
                  <c:v>Nacionalni doprinos</c:v>
                </c:pt>
              </c:strCache>
            </c:strRef>
          </c:cat>
          <c:val>
            <c:numRef>
              <c:f>List7!$B$29:$C$29</c:f>
              <c:numCache>
                <c:formatCode>0.00</c:formatCode>
                <c:ptCount val="2"/>
                <c:pt idx="0">
                  <c:v>23770000</c:v>
                </c:pt>
                <c:pt idx="1">
                  <c:v>15140000</c:v>
                </c:pt>
              </c:numCache>
            </c:numRef>
          </c:val>
          <c:extLst>
            <c:ext xmlns:c16="http://schemas.microsoft.com/office/drawing/2014/chart" uri="{C3380CC4-5D6E-409C-BE32-E72D297353CC}">
              <c16:uniqueId val="{00000001-527E-46ED-BC86-1AA8D37141E5}"/>
            </c:ext>
          </c:extLst>
        </c:ser>
        <c:ser>
          <c:idx val="2"/>
          <c:order val="2"/>
          <c:tx>
            <c:strRef>
              <c:f>List7!$A$30</c:f>
              <c:strCache>
                <c:ptCount val="1"/>
                <c:pt idx="0">
                  <c:v>Isplaćeno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List7!$B$27:$C$27</c:f>
              <c:strCache>
                <c:ptCount val="2"/>
                <c:pt idx="0">
                  <c:v>EU doprinos</c:v>
                </c:pt>
                <c:pt idx="1">
                  <c:v>Nacionalni doprinos</c:v>
                </c:pt>
              </c:strCache>
            </c:strRef>
          </c:cat>
          <c:val>
            <c:numRef>
              <c:f>List7!$B$30:$C$30</c:f>
              <c:numCache>
                <c:formatCode>0.00</c:formatCode>
                <c:ptCount val="2"/>
                <c:pt idx="0">
                  <c:v>20420000</c:v>
                </c:pt>
                <c:pt idx="1">
                  <c:v>9650000</c:v>
                </c:pt>
              </c:numCache>
            </c:numRef>
          </c:val>
          <c:extLst>
            <c:ext xmlns:c16="http://schemas.microsoft.com/office/drawing/2014/chart" uri="{C3380CC4-5D6E-409C-BE32-E72D297353CC}">
              <c16:uniqueId val="{00000002-527E-46ED-BC86-1AA8D37141E5}"/>
            </c:ext>
          </c:extLst>
        </c:ser>
        <c:dLbls>
          <c:showLegendKey val="0"/>
          <c:showVal val="0"/>
          <c:showCatName val="0"/>
          <c:showSerName val="0"/>
          <c:showPercent val="0"/>
          <c:showBubbleSize val="0"/>
        </c:dLbls>
        <c:gapWidth val="219"/>
        <c:overlap val="-27"/>
        <c:axId val="465555616"/>
        <c:axId val="1420281520"/>
      </c:barChart>
      <c:catAx>
        <c:axId val="46555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0281520"/>
        <c:crosses val="autoZero"/>
        <c:auto val="1"/>
        <c:lblAlgn val="ctr"/>
        <c:lblOffset val="100"/>
        <c:noMultiLvlLbl val="0"/>
      </c:catAx>
      <c:valAx>
        <c:axId val="1420281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555616"/>
        <c:crosses val="autoZero"/>
        <c:crossBetween val="between"/>
        <c:dispUnits>
          <c:builtInUnit val="millions"/>
          <c:dispUnitsLbl>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hr-HR" sz="1000" b="0" i="0" u="none" strike="noStrike" kern="1200" baseline="0">
                      <a:solidFill>
                        <a:sysClr val="windowText" lastClr="000000">
                          <a:lumMod val="65000"/>
                          <a:lumOff val="35000"/>
                        </a:sysClr>
                      </a:solidFill>
                    </a:rPr>
                    <a:t>milioni EUR (zaokružene brojke)</a:t>
                  </a:r>
                  <a:endParaRPr lang="en-GB" sz="1000" b="0" i="0" u="none" strike="noStrike" kern="1200" baseline="0">
                    <a:solidFill>
                      <a:sysClr val="windowText" lastClr="000000">
                        <a:lumMod val="65000"/>
                        <a:lumOff val="35000"/>
                      </a:sys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CAP 2020</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List7!$A$35</c:f>
              <c:strCache>
                <c:ptCount val="1"/>
                <c:pt idx="0">
                  <c:v>Raspoloživi budžet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List7!$B$34:$C$34</c:f>
              <c:strCache>
                <c:ptCount val="2"/>
                <c:pt idx="0">
                  <c:v>EU doprinos</c:v>
                </c:pt>
                <c:pt idx="1">
                  <c:v>Nacionalni doprinos</c:v>
                </c:pt>
              </c:strCache>
            </c:strRef>
          </c:cat>
          <c:val>
            <c:numRef>
              <c:f>List7!$B$35:$C$35</c:f>
              <c:numCache>
                <c:formatCode>0.00</c:formatCode>
                <c:ptCount val="2"/>
                <c:pt idx="0">
                  <c:v>8850000</c:v>
                </c:pt>
                <c:pt idx="1">
                  <c:v>2380000</c:v>
                </c:pt>
              </c:numCache>
            </c:numRef>
          </c:val>
          <c:extLst>
            <c:ext xmlns:c16="http://schemas.microsoft.com/office/drawing/2014/chart" uri="{C3380CC4-5D6E-409C-BE32-E72D297353CC}">
              <c16:uniqueId val="{00000000-5E09-4479-9A0C-3189D1F0D4E1}"/>
            </c:ext>
          </c:extLst>
        </c:ser>
        <c:ser>
          <c:idx val="1"/>
          <c:order val="1"/>
          <c:tx>
            <c:strRef>
              <c:f>List7!$A$36</c:f>
              <c:strCache>
                <c:ptCount val="1"/>
                <c:pt idx="0">
                  <c:v>Ugovoreno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List7!$B$34:$C$34</c:f>
              <c:strCache>
                <c:ptCount val="2"/>
                <c:pt idx="0">
                  <c:v>EU doprinos</c:v>
                </c:pt>
                <c:pt idx="1">
                  <c:v>Nacionalni doprinos</c:v>
                </c:pt>
              </c:strCache>
            </c:strRef>
          </c:cat>
          <c:val>
            <c:numRef>
              <c:f>List7!$B$36:$C$36</c:f>
              <c:numCache>
                <c:formatCode>0.00</c:formatCode>
                <c:ptCount val="2"/>
                <c:pt idx="0">
                  <c:v>7580000</c:v>
                </c:pt>
                <c:pt idx="1">
                  <c:v>1700000</c:v>
                </c:pt>
              </c:numCache>
            </c:numRef>
          </c:val>
          <c:extLst>
            <c:ext xmlns:c16="http://schemas.microsoft.com/office/drawing/2014/chart" uri="{C3380CC4-5D6E-409C-BE32-E72D297353CC}">
              <c16:uniqueId val="{00000001-5E09-4479-9A0C-3189D1F0D4E1}"/>
            </c:ext>
          </c:extLst>
        </c:ser>
        <c:ser>
          <c:idx val="2"/>
          <c:order val="2"/>
          <c:tx>
            <c:strRef>
              <c:f>List7!$A$37</c:f>
              <c:strCache>
                <c:ptCount val="1"/>
                <c:pt idx="0">
                  <c:v>Isplaćeno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List7!$B$34:$C$34</c:f>
              <c:strCache>
                <c:ptCount val="2"/>
                <c:pt idx="0">
                  <c:v>EU doprinos</c:v>
                </c:pt>
                <c:pt idx="1">
                  <c:v>Nacionalni doprinos</c:v>
                </c:pt>
              </c:strCache>
            </c:strRef>
          </c:cat>
          <c:val>
            <c:numRef>
              <c:f>List7!$B$37:$C$37</c:f>
              <c:numCache>
                <c:formatCode>0.00</c:formatCode>
                <c:ptCount val="2"/>
                <c:pt idx="0">
                  <c:v>6260000</c:v>
                </c:pt>
                <c:pt idx="1">
                  <c:v>1470000</c:v>
                </c:pt>
              </c:numCache>
            </c:numRef>
          </c:val>
          <c:extLst>
            <c:ext xmlns:c16="http://schemas.microsoft.com/office/drawing/2014/chart" uri="{C3380CC4-5D6E-409C-BE32-E72D297353CC}">
              <c16:uniqueId val="{00000002-5E09-4479-9A0C-3189D1F0D4E1}"/>
            </c:ext>
          </c:extLst>
        </c:ser>
        <c:dLbls>
          <c:showLegendKey val="0"/>
          <c:showVal val="0"/>
          <c:showCatName val="0"/>
          <c:showSerName val="0"/>
          <c:showPercent val="0"/>
          <c:showBubbleSize val="0"/>
        </c:dLbls>
        <c:gapWidth val="219"/>
        <c:overlap val="-27"/>
        <c:axId val="1367091312"/>
        <c:axId val="1367094672"/>
      </c:barChart>
      <c:catAx>
        <c:axId val="136709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094672"/>
        <c:crosses val="autoZero"/>
        <c:auto val="1"/>
        <c:lblAlgn val="ctr"/>
        <c:lblOffset val="100"/>
        <c:noMultiLvlLbl val="0"/>
      </c:catAx>
      <c:valAx>
        <c:axId val="1367094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091312"/>
        <c:crosses val="autoZero"/>
        <c:crossBetween val="between"/>
        <c:dispUnits>
          <c:builtInUnit val="millions"/>
          <c:dispUnitsLbl>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hr-HR" sz="1000" b="0" i="0" u="none" strike="noStrike" kern="1200" baseline="0">
                      <a:solidFill>
                        <a:sysClr val="windowText" lastClr="000000">
                          <a:lumMod val="65000"/>
                          <a:lumOff val="35000"/>
                        </a:sysClr>
                      </a:solidFill>
                    </a:rPr>
                    <a:t>milioni EUR (zaokružene brojke)</a:t>
                  </a:r>
                  <a:endParaRPr lang="en-GB" sz="1000" b="0" i="0" u="none" strike="noStrike" kern="1200" baseline="0">
                    <a:solidFill>
                      <a:sysClr val="windowText" lastClr="000000">
                        <a:lumMod val="65000"/>
                        <a:lumOff val="35000"/>
                      </a:sys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SOPEES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List7!$M$8</c:f>
              <c:strCache>
                <c:ptCount val="1"/>
                <c:pt idx="0">
                  <c:v>Raspoloživi budžet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List7!$N$7:$O$7</c:f>
              <c:strCache>
                <c:ptCount val="2"/>
                <c:pt idx="0">
                  <c:v>EU doprinos</c:v>
                </c:pt>
                <c:pt idx="1">
                  <c:v>Nacionalni doprinos</c:v>
                </c:pt>
              </c:strCache>
            </c:strRef>
          </c:cat>
          <c:val>
            <c:numRef>
              <c:f>List7!$N$8:$O$8</c:f>
              <c:numCache>
                <c:formatCode>0.00</c:formatCode>
                <c:ptCount val="2"/>
                <c:pt idx="0">
                  <c:v>15300000</c:v>
                </c:pt>
                <c:pt idx="1">
                  <c:v>2700000</c:v>
                </c:pt>
              </c:numCache>
            </c:numRef>
          </c:val>
          <c:extLst>
            <c:ext xmlns:c16="http://schemas.microsoft.com/office/drawing/2014/chart" uri="{C3380CC4-5D6E-409C-BE32-E72D297353CC}">
              <c16:uniqueId val="{00000000-E4B1-433B-940F-B06260CE92C9}"/>
            </c:ext>
          </c:extLst>
        </c:ser>
        <c:ser>
          <c:idx val="1"/>
          <c:order val="1"/>
          <c:tx>
            <c:strRef>
              <c:f>List7!$M$9</c:f>
              <c:strCache>
                <c:ptCount val="1"/>
                <c:pt idx="0">
                  <c:v>Ugovoreno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List7!$N$7:$O$7</c:f>
              <c:strCache>
                <c:ptCount val="2"/>
                <c:pt idx="0">
                  <c:v>EU doprinos</c:v>
                </c:pt>
                <c:pt idx="1">
                  <c:v>Nacionalni doprinos</c:v>
                </c:pt>
              </c:strCache>
            </c:strRef>
          </c:cat>
          <c:val>
            <c:numRef>
              <c:f>List7!$N$9:$O$9</c:f>
              <c:numCache>
                <c:formatCode>0.00</c:formatCode>
                <c:ptCount val="2"/>
                <c:pt idx="0">
                  <c:v>14700000</c:v>
                </c:pt>
                <c:pt idx="1">
                  <c:v>2590000</c:v>
                </c:pt>
              </c:numCache>
            </c:numRef>
          </c:val>
          <c:extLst>
            <c:ext xmlns:c16="http://schemas.microsoft.com/office/drawing/2014/chart" uri="{C3380CC4-5D6E-409C-BE32-E72D297353CC}">
              <c16:uniqueId val="{00000001-E4B1-433B-940F-B06260CE92C9}"/>
            </c:ext>
          </c:extLst>
        </c:ser>
        <c:ser>
          <c:idx val="2"/>
          <c:order val="2"/>
          <c:tx>
            <c:strRef>
              <c:f>List7!$M$10</c:f>
              <c:strCache>
                <c:ptCount val="1"/>
                <c:pt idx="0">
                  <c:v>Isplaćeno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List7!$N$7:$O$7</c:f>
              <c:strCache>
                <c:ptCount val="2"/>
                <c:pt idx="0">
                  <c:v>EU doprinos</c:v>
                </c:pt>
                <c:pt idx="1">
                  <c:v>Nacionalni doprinos</c:v>
                </c:pt>
              </c:strCache>
            </c:strRef>
          </c:cat>
          <c:val>
            <c:numRef>
              <c:f>List7!$N$10:$O$10</c:f>
              <c:numCache>
                <c:formatCode>0.00</c:formatCode>
                <c:ptCount val="2"/>
                <c:pt idx="0">
                  <c:v>13730000</c:v>
                </c:pt>
                <c:pt idx="1">
                  <c:v>2420000</c:v>
                </c:pt>
              </c:numCache>
            </c:numRef>
          </c:val>
          <c:extLst>
            <c:ext xmlns:c16="http://schemas.microsoft.com/office/drawing/2014/chart" uri="{C3380CC4-5D6E-409C-BE32-E72D297353CC}">
              <c16:uniqueId val="{00000002-E4B1-433B-940F-B06260CE92C9}"/>
            </c:ext>
          </c:extLst>
        </c:ser>
        <c:dLbls>
          <c:showLegendKey val="0"/>
          <c:showVal val="0"/>
          <c:showCatName val="0"/>
          <c:showSerName val="0"/>
          <c:showPercent val="0"/>
          <c:showBubbleSize val="0"/>
        </c:dLbls>
        <c:gapWidth val="219"/>
        <c:overlap val="-27"/>
        <c:axId val="1367097072"/>
        <c:axId val="1367098032"/>
      </c:barChart>
      <c:catAx>
        <c:axId val="136709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098032"/>
        <c:crosses val="autoZero"/>
        <c:auto val="1"/>
        <c:lblAlgn val="ctr"/>
        <c:lblOffset val="100"/>
        <c:noMultiLvlLbl val="0"/>
      </c:catAx>
      <c:valAx>
        <c:axId val="1367098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097072"/>
        <c:crosses val="autoZero"/>
        <c:crossBetween val="between"/>
        <c:dispUnits>
          <c:builtInUnit val="millions"/>
          <c:dispUnitsLbl>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hr-HR" sz="1000" b="0" i="0" u="none" strike="noStrike" kern="1200" baseline="0">
                      <a:solidFill>
                        <a:sysClr val="windowText" lastClr="000000">
                          <a:lumMod val="65000"/>
                          <a:lumOff val="35000"/>
                        </a:sysClr>
                      </a:solidFill>
                    </a:rPr>
                    <a:t>milioni EUR (zaokružene brojke)</a:t>
                  </a:r>
                  <a:endParaRPr lang="en-GB" sz="1000" b="0" i="0" u="none" strike="noStrike" kern="1200" baseline="0">
                    <a:solidFill>
                      <a:sysClr val="windowText" lastClr="000000">
                        <a:lumMod val="65000"/>
                        <a:lumOff val="35000"/>
                      </a:sys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800">
                <a:effectLst/>
              </a:rPr>
              <a:t>PGS</a:t>
            </a:r>
            <a:r>
              <a:rPr lang="en-US" sz="1800">
                <a:effectLst/>
              </a:rPr>
              <a:t> MNE-ALB 2014-2020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Rasposloživi budžet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2029</c:v>
                </c:pt>
                <c:pt idx="6">
                  <c:v>2020</c:v>
                </c:pt>
              </c:numCache>
            </c:numRef>
          </c:cat>
          <c:val>
            <c:numRef>
              <c:f>Sheet1!$B$2:$B$8</c:f>
              <c:numCache>
                <c:formatCode>0.00</c:formatCode>
                <c:ptCount val="7"/>
                <c:pt idx="0">
                  <c:v>1190000</c:v>
                </c:pt>
                <c:pt idx="1">
                  <c:v>1700000</c:v>
                </c:pt>
                <c:pt idx="2">
                  <c:v>1700000</c:v>
                </c:pt>
                <c:pt idx="3">
                  <c:v>1190000</c:v>
                </c:pt>
                <c:pt idx="4">
                  <c:v>1700000</c:v>
                </c:pt>
                <c:pt idx="5">
                  <c:v>1700000</c:v>
                </c:pt>
                <c:pt idx="6">
                  <c:v>1530000</c:v>
                </c:pt>
              </c:numCache>
            </c:numRef>
          </c:val>
          <c:extLst>
            <c:ext xmlns:c16="http://schemas.microsoft.com/office/drawing/2014/chart" uri="{C3380CC4-5D6E-409C-BE32-E72D297353CC}">
              <c16:uniqueId val="{00000000-1268-47AC-B85D-EB814E1A971F}"/>
            </c:ext>
          </c:extLst>
        </c:ser>
        <c:ser>
          <c:idx val="1"/>
          <c:order val="1"/>
          <c:tx>
            <c:strRef>
              <c:f>Sheet1!$C$1</c:f>
              <c:strCache>
                <c:ptCount val="1"/>
                <c:pt idx="0">
                  <c:v>Ugovoreno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2029</c:v>
                </c:pt>
                <c:pt idx="6">
                  <c:v>2020</c:v>
                </c:pt>
              </c:numCache>
            </c:numRef>
          </c:cat>
          <c:val>
            <c:numRef>
              <c:f>Sheet1!$C$2:$C$8</c:f>
              <c:numCache>
                <c:formatCode>0.00</c:formatCode>
                <c:ptCount val="7"/>
                <c:pt idx="0">
                  <c:v>1660000</c:v>
                </c:pt>
                <c:pt idx="1">
                  <c:v>1590000</c:v>
                </c:pt>
                <c:pt idx="2">
                  <c:v>1610000</c:v>
                </c:pt>
                <c:pt idx="3">
                  <c:v>1050000</c:v>
                </c:pt>
                <c:pt idx="4">
                  <c:v>1700000</c:v>
                </c:pt>
                <c:pt idx="5">
                  <c:v>420000</c:v>
                </c:pt>
                <c:pt idx="6">
                  <c:v>1530000</c:v>
                </c:pt>
              </c:numCache>
            </c:numRef>
          </c:val>
          <c:extLst>
            <c:ext xmlns:c16="http://schemas.microsoft.com/office/drawing/2014/chart" uri="{C3380CC4-5D6E-409C-BE32-E72D297353CC}">
              <c16:uniqueId val="{00000001-1268-47AC-B85D-EB814E1A971F}"/>
            </c:ext>
          </c:extLst>
        </c:ser>
        <c:ser>
          <c:idx val="2"/>
          <c:order val="2"/>
          <c:tx>
            <c:strRef>
              <c:f>Sheet1!$D$1</c:f>
              <c:strCache>
                <c:ptCount val="1"/>
                <c:pt idx="0">
                  <c:v>Isplaćeno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2029</c:v>
                </c:pt>
                <c:pt idx="6">
                  <c:v>2020</c:v>
                </c:pt>
              </c:numCache>
            </c:numRef>
          </c:cat>
          <c:val>
            <c:numRef>
              <c:f>Sheet1!$D$2:$D$8</c:f>
              <c:numCache>
                <c:formatCode>0.00</c:formatCode>
                <c:ptCount val="7"/>
                <c:pt idx="0">
                  <c:v>1020000</c:v>
                </c:pt>
                <c:pt idx="1">
                  <c:v>1510000</c:v>
                </c:pt>
                <c:pt idx="2">
                  <c:v>1440000</c:v>
                </c:pt>
                <c:pt idx="3">
                  <c:v>1000000</c:v>
                </c:pt>
                <c:pt idx="4">
                  <c:v>1240000</c:v>
                </c:pt>
                <c:pt idx="5">
                  <c:v>290000</c:v>
                </c:pt>
                <c:pt idx="6">
                  <c:v>820000</c:v>
                </c:pt>
              </c:numCache>
            </c:numRef>
          </c:val>
          <c:extLst>
            <c:ext xmlns:c16="http://schemas.microsoft.com/office/drawing/2014/chart" uri="{C3380CC4-5D6E-409C-BE32-E72D297353CC}">
              <c16:uniqueId val="{00000002-1268-47AC-B85D-EB814E1A971F}"/>
            </c:ext>
          </c:extLst>
        </c:ser>
        <c:dLbls>
          <c:showLegendKey val="0"/>
          <c:showVal val="0"/>
          <c:showCatName val="0"/>
          <c:showSerName val="0"/>
          <c:showPercent val="0"/>
          <c:showBubbleSize val="0"/>
        </c:dLbls>
        <c:gapWidth val="248"/>
        <c:overlap val="-54"/>
        <c:axId val="652354080"/>
        <c:axId val="652355792"/>
      </c:barChart>
      <c:catAx>
        <c:axId val="652354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55792"/>
        <c:crosses val="autoZero"/>
        <c:auto val="1"/>
        <c:lblAlgn val="ctr"/>
        <c:lblOffset val="100"/>
        <c:noMultiLvlLbl val="0"/>
      </c:catAx>
      <c:valAx>
        <c:axId val="652355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54080"/>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milioni EUR (EU dio, zaokružene</a:t>
                  </a:r>
                  <a:r>
                    <a:rPr lang="hr-HR" baseline="0"/>
                    <a:t> brojke)</a:t>
                  </a:r>
                  <a:endParaRPr lang="en-GB"/>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800">
                <a:effectLst/>
              </a:rPr>
              <a:t>PGS</a:t>
            </a:r>
            <a:r>
              <a:rPr lang="en-US" sz="1800">
                <a:effectLst/>
              </a:rPr>
              <a:t> MNE-KOS 2014-2020</a:t>
            </a:r>
          </a:p>
        </c:rich>
      </c:tx>
      <c:layout>
        <c:manualLayout>
          <c:xMode val="edge"/>
          <c:yMode val="edge"/>
          <c:x val="0.27847222222222223"/>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Raspoloživi budžet</c:v>
                </c:pt>
              </c:strCache>
            </c:strRef>
          </c:tx>
          <c:spPr>
            <a:solidFill>
              <a:schemeClr val="accent1"/>
            </a:solidFill>
            <a:ln>
              <a:noFill/>
            </a:ln>
            <a:effectLst/>
          </c:spPr>
          <c:invertIfNegative val="0"/>
          <c:dLbls>
            <c:dLbl>
              <c:idx val="0"/>
              <c:layout>
                <c:manualLayout>
                  <c:x val="-1.8518518518518528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FB-4F8F-829E-CCAF4ADB33BA}"/>
                </c:ext>
              </c:extLst>
            </c:dLbl>
            <c:dLbl>
              <c:idx val="1"/>
              <c:layout>
                <c:manualLayout>
                  <c:x val="-3.2407407407407426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FB-4F8F-829E-CCAF4ADB33BA}"/>
                </c:ext>
              </c:extLst>
            </c:dLbl>
            <c:dLbl>
              <c:idx val="3"/>
              <c:layout>
                <c:manualLayout>
                  <c:x val="-6.9444444444445291E-3"/>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FB-4F8F-829E-CCAF4ADB33BA}"/>
                </c:ext>
              </c:extLst>
            </c:dLbl>
            <c:dLbl>
              <c:idx val="4"/>
              <c:layout>
                <c:manualLayout>
                  <c:x val="-3.2407407407407489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FB-4F8F-829E-CCAF4ADB33BA}"/>
                </c:ext>
              </c:extLst>
            </c:dLbl>
            <c:dLbl>
              <c:idx val="5"/>
              <c:layout>
                <c:manualLayout>
                  <c:x val="-1.8518518518518604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FB-4F8F-829E-CCAF4ADB33BA}"/>
                </c:ext>
              </c:extLst>
            </c:dLbl>
            <c:dLbl>
              <c:idx val="6"/>
              <c:layout>
                <c:manualLayout>
                  <c:x val="-1.1574074074074073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FB-4F8F-829E-CCAF4ADB33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0.00</c:formatCode>
                <c:ptCount val="7"/>
                <c:pt idx="0">
                  <c:v>840000</c:v>
                </c:pt>
                <c:pt idx="1">
                  <c:v>1200000</c:v>
                </c:pt>
                <c:pt idx="2">
                  <c:v>1200000</c:v>
                </c:pt>
                <c:pt idx="3">
                  <c:v>840000</c:v>
                </c:pt>
                <c:pt idx="4">
                  <c:v>1200000</c:v>
                </c:pt>
                <c:pt idx="5">
                  <c:v>1200000</c:v>
                </c:pt>
                <c:pt idx="6">
                  <c:v>1080000</c:v>
                </c:pt>
              </c:numCache>
            </c:numRef>
          </c:val>
          <c:extLst>
            <c:ext xmlns:c16="http://schemas.microsoft.com/office/drawing/2014/chart" uri="{C3380CC4-5D6E-409C-BE32-E72D297353CC}">
              <c16:uniqueId val="{00000006-F8FB-4F8F-829E-CCAF4ADB33BA}"/>
            </c:ext>
          </c:extLst>
        </c:ser>
        <c:ser>
          <c:idx val="1"/>
          <c:order val="1"/>
          <c:tx>
            <c:strRef>
              <c:f>Sheet1!$C$1</c:f>
              <c:strCache>
                <c:ptCount val="1"/>
                <c:pt idx="0">
                  <c:v>Ugovoreno</c:v>
                </c:pt>
              </c:strCache>
            </c:strRef>
          </c:tx>
          <c:spPr>
            <a:solidFill>
              <a:schemeClr val="accent2"/>
            </a:solidFill>
            <a:ln>
              <a:noFill/>
            </a:ln>
            <a:effectLst/>
          </c:spPr>
          <c:invertIfNegative val="0"/>
          <c:dLbls>
            <c:dLbl>
              <c:idx val="0"/>
              <c:layout>
                <c:manualLayout>
                  <c:x val="1.1574074074074053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FB-4F8F-829E-CCAF4ADB33BA}"/>
                </c:ext>
              </c:extLst>
            </c:dLbl>
            <c:dLbl>
              <c:idx val="1"/>
              <c:layout>
                <c:manualLayout>
                  <c:x val="2.3148148148148147E-3"/>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FB-4F8F-829E-CCAF4ADB33BA}"/>
                </c:ext>
              </c:extLst>
            </c:dLbl>
            <c:dLbl>
              <c:idx val="2"/>
              <c:layout>
                <c:manualLayout>
                  <c:x val="1.3888888888888888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8FB-4F8F-829E-CCAF4ADB33BA}"/>
                </c:ext>
              </c:extLst>
            </c:dLbl>
            <c:dLbl>
              <c:idx val="3"/>
              <c:layout>
                <c:manualLayout>
                  <c:x val="4.3981481481481483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8FB-4F8F-829E-CCAF4ADB33BA}"/>
                </c:ext>
              </c:extLst>
            </c:dLbl>
            <c:dLbl>
              <c:idx val="4"/>
              <c:layout>
                <c:manualLayout>
                  <c:x val="-8.4875562720133283E-17"/>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FB-4F8F-829E-CCAF4ADB33BA}"/>
                </c:ext>
              </c:extLst>
            </c:dLbl>
            <c:dLbl>
              <c:idx val="5"/>
              <c:layout>
                <c:manualLayout>
                  <c:x val="1.620370370370362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8FB-4F8F-829E-CCAF4ADB33BA}"/>
                </c:ext>
              </c:extLst>
            </c:dLbl>
            <c:dLbl>
              <c:idx val="6"/>
              <c:layout>
                <c:manualLayout>
                  <c:x val="3.0092592592592591E-2"/>
                  <c:y val="-1.58730158730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FB-4F8F-829E-CCAF4ADB33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0.00</c:formatCode>
                <c:ptCount val="7"/>
                <c:pt idx="0">
                  <c:v>830000</c:v>
                </c:pt>
                <c:pt idx="1">
                  <c:v>1190000</c:v>
                </c:pt>
                <c:pt idx="2">
                  <c:v>1200000</c:v>
                </c:pt>
                <c:pt idx="3">
                  <c:v>820000</c:v>
                </c:pt>
                <c:pt idx="4">
                  <c:v>1200000</c:v>
                </c:pt>
                <c:pt idx="5">
                  <c:v>1200000</c:v>
                </c:pt>
                <c:pt idx="6">
                  <c:v>1080000</c:v>
                </c:pt>
              </c:numCache>
            </c:numRef>
          </c:val>
          <c:extLst>
            <c:ext xmlns:c16="http://schemas.microsoft.com/office/drawing/2014/chart" uri="{C3380CC4-5D6E-409C-BE32-E72D297353CC}">
              <c16:uniqueId val="{0000000E-F8FB-4F8F-829E-CCAF4ADB33BA}"/>
            </c:ext>
          </c:extLst>
        </c:ser>
        <c:ser>
          <c:idx val="2"/>
          <c:order val="2"/>
          <c:tx>
            <c:strRef>
              <c:f>Sheet1!$D$1</c:f>
              <c:strCache>
                <c:ptCount val="1"/>
                <c:pt idx="0">
                  <c:v>Isplaćeno</c:v>
                </c:pt>
              </c:strCache>
            </c:strRef>
          </c:tx>
          <c:spPr>
            <a:solidFill>
              <a:schemeClr val="accent3"/>
            </a:solidFill>
            <a:ln>
              <a:noFill/>
            </a:ln>
            <a:effectLst/>
          </c:spPr>
          <c:invertIfNegative val="0"/>
          <c:dLbls>
            <c:dLbl>
              <c:idx val="0"/>
              <c:layout>
                <c:manualLayout>
                  <c:x val="1.6203703703703661E-2"/>
                  <c:y val="-2.7777777777777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FB-4F8F-829E-CCAF4ADB33BA}"/>
                </c:ext>
              </c:extLst>
            </c:dLbl>
            <c:dLbl>
              <c:idx val="1"/>
              <c:layout>
                <c:manualLayout>
                  <c:x val="2.3148148148148105E-2"/>
                  <c:y val="-3.9682539682539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8FB-4F8F-829E-CCAF4ADB33BA}"/>
                </c:ext>
              </c:extLst>
            </c:dLbl>
            <c:dLbl>
              <c:idx val="2"/>
              <c:layout>
                <c:manualLayout>
                  <c:x val="2.5462962962962962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8FB-4F8F-829E-CCAF4ADB33BA}"/>
                </c:ext>
              </c:extLst>
            </c:dLbl>
            <c:dLbl>
              <c:idx val="3"/>
              <c:layout>
                <c:manualLayout>
                  <c:x val="2.0833333333333249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8FB-4F8F-829E-CCAF4ADB33BA}"/>
                </c:ext>
              </c:extLst>
            </c:dLbl>
            <c:dLbl>
              <c:idx val="4"/>
              <c:layout>
                <c:manualLayout>
                  <c:x val="2.0833333333333332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8FB-4F8F-829E-CCAF4ADB33BA}"/>
                </c:ext>
              </c:extLst>
            </c:dLbl>
            <c:dLbl>
              <c:idx val="5"/>
              <c:layout>
                <c:manualLayout>
                  <c:x val="1.8518518518518517E-2"/>
                  <c:y val="-1.9841269841269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8FB-4F8F-829E-CCAF4ADB33BA}"/>
                </c:ext>
              </c:extLst>
            </c:dLbl>
            <c:dLbl>
              <c:idx val="6"/>
              <c:layout>
                <c:manualLayout>
                  <c:x val="3.0092592592592424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FB-4F8F-829E-CCAF4ADB33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0.00</c:formatCode>
                <c:ptCount val="7"/>
                <c:pt idx="0">
                  <c:v>830000</c:v>
                </c:pt>
                <c:pt idx="1">
                  <c:v>1060000</c:v>
                </c:pt>
                <c:pt idx="2">
                  <c:v>1170000</c:v>
                </c:pt>
                <c:pt idx="3">
                  <c:v>750000</c:v>
                </c:pt>
                <c:pt idx="4">
                  <c:v>840000</c:v>
                </c:pt>
                <c:pt idx="5">
                  <c:v>1000000</c:v>
                </c:pt>
                <c:pt idx="6">
                  <c:v>780000</c:v>
                </c:pt>
              </c:numCache>
            </c:numRef>
          </c:val>
          <c:extLst>
            <c:ext xmlns:c16="http://schemas.microsoft.com/office/drawing/2014/chart" uri="{C3380CC4-5D6E-409C-BE32-E72D297353CC}">
              <c16:uniqueId val="{00000016-F8FB-4F8F-829E-CCAF4ADB33BA}"/>
            </c:ext>
          </c:extLst>
        </c:ser>
        <c:dLbls>
          <c:showLegendKey val="0"/>
          <c:showVal val="0"/>
          <c:showCatName val="0"/>
          <c:showSerName val="0"/>
          <c:showPercent val="0"/>
          <c:showBubbleSize val="0"/>
        </c:dLbls>
        <c:gapWidth val="150"/>
        <c:axId val="1624509935"/>
        <c:axId val="1624511647"/>
      </c:barChart>
      <c:catAx>
        <c:axId val="16245099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511647"/>
        <c:crosses val="autoZero"/>
        <c:auto val="1"/>
        <c:lblAlgn val="ctr"/>
        <c:lblOffset val="100"/>
        <c:noMultiLvlLbl val="0"/>
      </c:catAx>
      <c:valAx>
        <c:axId val="162451164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509935"/>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milioni EUR (EU dio, zaokružene</a:t>
                  </a:r>
                  <a:r>
                    <a:rPr lang="hr-HR" baseline="0"/>
                    <a:t> brojke)</a:t>
                  </a:r>
                  <a:endParaRPr lang="en-GB"/>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9DCD-822E-48F4-B2D9-69AB05E8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163</Pages>
  <Words>79620</Words>
  <Characters>453836</Characters>
  <Application>Microsoft Office Word</Application>
  <DocSecurity>0</DocSecurity>
  <Lines>3781</Lines>
  <Paragraphs>1064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 MONTENEGRO</dc:creator>
  <cp:keywords/>
  <dc:description/>
  <cp:lastModifiedBy>Lenovo</cp:lastModifiedBy>
  <cp:revision>39</cp:revision>
  <cp:lastPrinted>2025-03-16T08:03:00Z</cp:lastPrinted>
  <dcterms:created xsi:type="dcterms:W3CDTF">2025-06-30T10:01:00Z</dcterms:created>
  <dcterms:modified xsi:type="dcterms:W3CDTF">2025-07-01T10:25:00Z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2024-12-19T16:59:00Z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480e95d4-a092-4132-85e5-580819e43b5c</vt:lpwstr>
  </property>
  <property fmtid="{D5CDD505-2E9C-101B-9397-08002B2CF9AE}" pid="8" name="MSIP_Label_6bd9ddd1-4d20-43f6-abfa-fc3c07406f94_ContentBits">
    <vt:lpwstr>0</vt:lpwstr>
  </property>
</Properties>
</file>