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3A8" w:rsidRPr="000F53A8" w:rsidRDefault="000F53A8" w:rsidP="000F53A8">
      <w:pPr>
        <w:spacing w:after="0" w:line="240" w:lineRule="auto"/>
        <w:ind w:right="26"/>
        <w:jc w:val="center"/>
        <w:rPr>
          <w:rFonts w:ascii="Arial" w:eastAsia="Times New Roman" w:hAnsi="Arial" w:cs="Arial"/>
          <w:b/>
          <w:bCs/>
          <w:sz w:val="24"/>
          <w:szCs w:val="24"/>
          <w:lang w:val="sr-Latn-RS" w:eastAsia="sr-Latn-CS"/>
        </w:rPr>
      </w:pPr>
      <w:r w:rsidRPr="000F53A8">
        <w:rPr>
          <w:rFonts w:ascii="Arial" w:eastAsia="Times New Roman" w:hAnsi="Arial" w:cs="Arial"/>
          <w:b/>
          <w:bCs/>
          <w:sz w:val="24"/>
          <w:szCs w:val="24"/>
          <w:lang w:val="sr-Latn-RS" w:eastAsia="sr-Latn-CS"/>
        </w:rPr>
        <w:t>Instrukcija za sprovođenje carinskih formalnosti kod prekograničnog</w:t>
      </w:r>
    </w:p>
    <w:p w:rsidR="000F53A8" w:rsidRPr="000F53A8" w:rsidRDefault="000F53A8" w:rsidP="000F53A8">
      <w:pPr>
        <w:spacing w:after="0" w:line="240" w:lineRule="auto"/>
        <w:ind w:right="26"/>
        <w:jc w:val="center"/>
        <w:rPr>
          <w:rFonts w:ascii="Arial" w:eastAsia="Times New Roman" w:hAnsi="Arial" w:cs="Arial"/>
          <w:b/>
          <w:bCs/>
          <w:sz w:val="24"/>
          <w:szCs w:val="24"/>
          <w:lang w:val="sr-Latn-RS" w:eastAsia="sr-Latn-CS"/>
        </w:rPr>
      </w:pPr>
      <w:r w:rsidRPr="000F53A8">
        <w:rPr>
          <w:rFonts w:ascii="Arial" w:eastAsia="Times New Roman" w:hAnsi="Arial" w:cs="Arial"/>
          <w:b/>
          <w:bCs/>
          <w:sz w:val="24"/>
          <w:szCs w:val="24"/>
          <w:lang w:val="sr-Latn-RS" w:eastAsia="sr-Latn-CS"/>
        </w:rPr>
        <w:t>prometa električne energije</w:t>
      </w:r>
    </w:p>
    <w:p w:rsidR="000F53A8" w:rsidRPr="000F53A8" w:rsidRDefault="000F53A8" w:rsidP="000F53A8">
      <w:pPr>
        <w:spacing w:after="0" w:line="240" w:lineRule="auto"/>
        <w:ind w:right="26"/>
        <w:rPr>
          <w:rFonts w:ascii="Arial" w:eastAsia="Times New Roman" w:hAnsi="Arial" w:cs="Arial"/>
          <w:bCs/>
          <w:sz w:val="24"/>
          <w:szCs w:val="24"/>
          <w:lang w:val="sr-Latn-RS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RS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sr-Latn-RS" w:eastAsia="sr-Latn-CS"/>
        </w:rPr>
        <w:t xml:space="preserve">U cilju jednoobrazne primjene odredbi Carinskog zakona i Uredbe o bližem načinu sprovođenja carinskih postupaka i carinskih formalnosti, a koje se odnose na sprovođenje carinskih formalnosti kod prekograničnog prometa električne energije, a na </w:t>
      </w:r>
      <w:r w:rsidRPr="000F53A8">
        <w:rPr>
          <w:rFonts w:ascii="Arial" w:eastAsia="Times New Roman" w:hAnsi="Arial" w:cs="Arial"/>
          <w:sz w:val="24"/>
          <w:szCs w:val="24"/>
          <w:lang w:val="sr-Latn-RS"/>
        </w:rPr>
        <w:t>osnovu člana 10, stav 1, tačka 4 Zakona o carinskoj službi („Sl. list CG br. 3/16 i 80/17),</w:t>
      </w:r>
      <w:r w:rsidRPr="000F53A8">
        <w:rPr>
          <w:rFonts w:ascii="Arial" w:eastAsia="Times New Roman" w:hAnsi="Arial" w:cs="Arial"/>
          <w:bCs/>
          <w:sz w:val="24"/>
          <w:szCs w:val="24"/>
          <w:lang w:val="sr-Latn-RS" w:eastAsia="sr-Latn-CS"/>
        </w:rPr>
        <w:t xml:space="preserve"> Uprava carina donosi ovu instrukciju kojom se bliže uređuje način i postupak carinskog organa kod prekograničnog prometa električne energije.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</w:pP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  <w:t>Crnogorski elektroprenosni sistem AD Podgorica (u daljem tekstu: CGES) i Crnogorski operator tržišta električne energije doo Podgorica (u daljem tekstu: COTEE) vode evidenciju o ukupnom prometu električne energije i evidenciju podataka o prometu električne energije na nivou balansne grupe (</w:t>
      </w:r>
      <w:bookmarkStart w:id="0" w:name="_Hlk157170851"/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  <w:t>registrovanom učesniku na tržištu</w:t>
      </w:r>
      <w:bookmarkEnd w:id="0"/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  <w:t xml:space="preserve">). Navedeni podaci iskazuju se u potvrdama na obrascima P1 i P2 datim u prilogu ove instrukcije i dostavljaju se </w:t>
      </w: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  <w:t>Carinskoj ispostavi Nikšić</w:t>
      </w: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  <w:t xml:space="preserve"> na mjesečnom nivou.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</w:pPr>
      <w:bookmarkStart w:id="1" w:name="_Hlk157171265"/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  <w:t xml:space="preserve">Registrovani učesnik na tržištu </w:t>
      </w:r>
      <w:bookmarkEnd w:id="1"/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  <w:t>dužan je da vodi evidenciju i omogući carinskom organu uvid u istu i kontrolu poslovne evidencije.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sr-Latn-RS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center"/>
        <w:rPr>
          <w:rFonts w:ascii="Arial" w:eastAsia="Arial Unicode MS" w:hAnsi="Arial" w:cs="Arial"/>
          <w:b/>
          <w:bCs/>
          <w:sz w:val="24"/>
          <w:szCs w:val="24"/>
          <w:bdr w:val="nil"/>
          <w:lang w:val="pl-PL" w:eastAsia="sr-Latn-CS"/>
        </w:rPr>
      </w:pPr>
      <w:r w:rsidRPr="000F53A8">
        <w:rPr>
          <w:rFonts w:ascii="Arial" w:eastAsia="Arial Unicode MS" w:hAnsi="Arial" w:cs="Arial"/>
          <w:b/>
          <w:bCs/>
          <w:sz w:val="24"/>
          <w:szCs w:val="24"/>
          <w:bdr w:val="nil"/>
          <w:lang w:val="pl-PL" w:eastAsia="sr-Latn-CS"/>
        </w:rPr>
        <w:t>SPROVOĐENJE CARINSKOG POSTUPKA PRI UVOZU, IZVOZU I TRANZITU ELEKTRIČNE ENERGIJE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  <w:t>Evidentiranje prekograničnog prometa električne energije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CGES je dužan svakom registrovanom učesniku na tržištu u prekograničnom prometu električne energije ispostavljati potvrde o realizovanom prekograničnom prometu električne energije najkasnije petog radnog dana u mjesecu za prethodni mjesec. Potvrda sadrži podatke o količinama električne energije i to odvojeno prema mjestu ulaza i izlaza, te tranzita. Primjer takve potvrde dat je kroz Obrazac P2, koji je sastavni dio ove instrukcije. CGES ovjerom odgovara za tačnost podataka iz Obrasca P2.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Takođe, svaka balansno odgovorna strana dužna je najkasnije sedmog radnog dana u mjesecu CGES-u i COTEE-u dostaviti mjesečni izvještaj o prekograničnom prometu električne energije za promet u prethodnom mjesecu. Nakon utvrđivanja tačnosti podataka, a na osnovu prijavljenih i potvrđenih dnevnih planova rada balanasno odgovorne strane, CGES i COTEE navedene izvještaje potvrđuju na istim obrascima i dostavljaju ih balansno odgovornoj strani.</w:t>
      </w:r>
    </w:p>
    <w:p w:rsidR="000F53A8" w:rsidRPr="000F53A8" w:rsidRDefault="000F53A8" w:rsidP="000F53A8">
      <w:pPr>
        <w:spacing w:after="0" w:line="240" w:lineRule="auto"/>
        <w:ind w:right="26" w:firstLine="720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 xml:space="preserve">U prilogu ove instrukcije dati su nacrti obrazaca i to: 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</w:p>
    <w:p w:rsidR="000F53A8" w:rsidRPr="000F53A8" w:rsidRDefault="000F53A8" w:rsidP="000F53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Izvještaj o uvozu električne energije za obračunski period (Obrazac 1),</w:t>
      </w:r>
    </w:p>
    <w:p w:rsidR="000F53A8" w:rsidRPr="000F53A8" w:rsidRDefault="000F53A8" w:rsidP="000F53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Izvještaj o izvozu električne energije za obračunski period (Obrazac 2),</w:t>
      </w:r>
    </w:p>
    <w:p w:rsidR="000F53A8" w:rsidRPr="000F53A8" w:rsidRDefault="000F53A8" w:rsidP="000F53A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Izvještaj o tranzitu električne energije za obračunski period (Obrazac 3).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  <w:t>Registrovani ušesnik na tržištu je dužan da sačini i izvode iz evidencije prekograničnog prometa električne energije na mjesečnom nivou, te da iste priloži Carinskoj ispostavi Nikšić prilikom podnošenja ostale dokumentacije radi sprovođenja odgovarajućih carinskih postupaka.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 xml:space="preserve">U prilogu ove instrukcije dati su nacrti obrazaca i to: 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</w:p>
    <w:p w:rsidR="000F53A8" w:rsidRPr="000F53A8" w:rsidRDefault="000F53A8" w:rsidP="000F5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Obrazac E1: Evidencija uvoza električne energije,</w:t>
      </w:r>
    </w:p>
    <w:p w:rsidR="000F53A8" w:rsidRPr="000F53A8" w:rsidRDefault="000F53A8" w:rsidP="000F5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Obrazac E2: Evidencija izvoza električne energije,</w:t>
      </w:r>
    </w:p>
    <w:p w:rsidR="000F53A8" w:rsidRPr="000F53A8" w:rsidRDefault="000F53A8" w:rsidP="000F5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Obrazac E3: Evidencija tranzita električne energije.</w:t>
      </w:r>
    </w:p>
    <w:p w:rsidR="000F53A8" w:rsidRPr="000F53A8" w:rsidRDefault="000F53A8" w:rsidP="000F53A8">
      <w:pPr>
        <w:spacing w:after="0" w:line="240" w:lineRule="auto"/>
        <w:ind w:left="720" w:right="26"/>
        <w:jc w:val="both"/>
        <w:rPr>
          <w:rFonts w:ascii="Arial" w:eastAsia="Times New Roman" w:hAnsi="Arial" w:cs="Arial"/>
          <w:bCs/>
          <w:sz w:val="24"/>
          <w:szCs w:val="24"/>
          <w:lang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  <w:t>Za tačnost podataka u navedenim obrascima odgovoran je registrovani učesnik na tržištu.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  <w:t>Uvoz električne energije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S obzirom na specifičnost robe koja je predmet carinskog postupka stavljanja u slobodan promet, uvoznici električne energije su dužni da za električnu energiju koja je iskazana u izvještaju o uvozu električne energije (Obrazac 1) za određeni mjesec, Carinskoj ispostavi Nikšić podnesu deklaraciju za stavljanje robe u slobodan promet. Uvoznik je dužan da podnese carinsku deklaraciju , do 10-tog radnog dana u mjesecu za postupke okončane u prethodnom kalendarskom mjesecu.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Uz deklaraciju za stavljanje u slobodan promet se prilažu sljedeća dokumenta: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>Fakture za sve transakcije obavljene u prethodnom mjesecu, u kojima, između ostalog moraju biti navedeni podaci o prodavcu, količini i vrijednosti električne energije, a u slučaju da se ne radi o kupoprodaji, prilaže se drugi dokument, koji sadrži sve neophodne podatke, a naročito podatke o količini i vrijednosti električne energije,</w:t>
      </w: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 xml:space="preserve">Potvrdu o realizovanom prekograničnom prometu električne energije za prethodni mjesec na Obrascu P2, </w:t>
      </w: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>Izveštaj o uvozu električne energije, koji je ovjeren od strane CGES-a i COTEEa (Obrazac 1)</w:t>
      </w: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>Evidenciju uvoza električne energije, ovjerenu od strane uvoznika na Obrascu E1.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Električna energija koja se uvozi podliježe plaćanju propisanih uvoznih dažbina.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  <w:t>Izvoz električne energije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  <w:t>S obzirom na specifičnost robe koja je predmet izvoznog carinskog postupka, izvoznici električne energije su dužni da za električnu energiju koja je iskazana u izvještaju o izvozu električne energije (Obrazac 2) za određeni mjesec, Carinskoj ispostavi Nikšić podnesu izvoznu carinsku deklaraciju do 10-tog radnog dana u mjesecu za postupke okončane u prethodnom kalendarskom mjesecu.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</w:pP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pl-PL" w:eastAsia="sr-Latn-CS"/>
        </w:rPr>
        <w:t xml:space="preserve">Uz izvoznu carinsku deklaraciju se prilažu sljedeća dokumenta: </w:t>
      </w: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 xml:space="preserve">Fakture za sve transakcije obavljene u prethodnom mjesecu, u kojima, između ostalog moraju biti navedeni podaci o prodavcu, količini i vrijednosti električne energije, a u slučaju da se ne radi o kupoprodaji, prilaže se drugi dokument, </w:t>
      </w: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lastRenderedPageBreak/>
        <w:t>koji sadrži sve neophodne podatke, a naročito podatke o količini i vrijednosti električne energije,</w:t>
      </w: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 xml:space="preserve">Potvrdu o realizovanom prekograničnom prometu električne energije za prethodni mjesec  na Obrascu P2, </w:t>
      </w: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>Izveštaj o izvozu električne energije koji je ovjeren od strane CGES-a i COTEEa (Obrazac 2)</w:t>
      </w:r>
    </w:p>
    <w:p w:rsidR="000F53A8" w:rsidRPr="000F53A8" w:rsidRDefault="000F53A8" w:rsidP="000F53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Cs/>
          <w:color w:val="000000"/>
          <w:sz w:val="24"/>
          <w:szCs w:val="24"/>
          <w:u w:color="000000"/>
          <w:bdr w:val="nil"/>
          <w:lang w:val="pl-PL" w:eastAsia="sr-Latn-CS"/>
        </w:rPr>
        <w:t>Evidenciju izvoza električne energije, ovjerenu od strane uvoznika na Obrascu E2.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Arial" w:eastAsia="Arial Unicode MS" w:hAnsi="Arial" w:cs="Arial"/>
          <w:b/>
          <w:bCs/>
          <w:sz w:val="24"/>
          <w:szCs w:val="24"/>
          <w:bdr w:val="nil"/>
          <w:lang w:val="pl-PL" w:eastAsia="sr-Latn-CS"/>
        </w:rPr>
      </w:pPr>
    </w:p>
    <w:p w:rsidR="000F53A8" w:rsidRPr="000F53A8" w:rsidRDefault="000F53A8" w:rsidP="000F53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</w:pPr>
      <w:r w:rsidRPr="000F53A8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pl-PL" w:eastAsia="sr-Latn-CS"/>
        </w:rPr>
        <w:t xml:space="preserve"> Tranzit električne energije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Postupak tranzita električne energije regulisan je članom 450 Uredbe o bližem načinu sprovođenja carinskih postupaka i carinskih formalnosti ("Sl. list CG", br. 26/23 od 06.03.2023).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U skladu sa odredbama člana 450 Uredbe tranzitni postupak električne energije počinje: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ulaskom u carinsko područje, za električnu energiju koja u to područje ulazi fiksnim prevoznim instalacijama,</w:t>
      </w:r>
    </w:p>
    <w:p w:rsidR="000F53A8" w:rsidRPr="000F53A8" w:rsidRDefault="000F53A8" w:rsidP="000F53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stavljanjem na fiksne prevozne instalacije, za električnu energiju koja se već nalazi u carinskom području.</w:t>
      </w:r>
    </w:p>
    <w:p w:rsidR="000F53A8" w:rsidRPr="000F53A8" w:rsidRDefault="000F53A8" w:rsidP="000F53A8">
      <w:pPr>
        <w:spacing w:after="0" w:line="240" w:lineRule="auto"/>
        <w:ind w:left="720"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U smislu ove instrukcije, tranzit predstavlja samo onaj prenos električne energije preko carinskog područja Crne Gore koji se obavi jednovremeno, tj. u istom obračunskom satu.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sr-Latn-ME" w:eastAsia="sr-Latn-CS"/>
        </w:rPr>
        <w:t xml:space="preserve">Registrovani učesnik na tržištu koji se bavi tranzitom takođe je dužan mjesečno, najkasnije do 10-tog radnog dana u mjesecu, podnositi nadzornoj carinskoj ispostavi: 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Potvrdu o ukupno realizovanom prekograničnom prenosu električne energije (Obrazac P1),</w:t>
      </w:r>
    </w:p>
    <w:p w:rsidR="000F53A8" w:rsidRPr="000F53A8" w:rsidRDefault="000F53A8" w:rsidP="000F53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Evidenciju tranzita električne energije (Obrazac E3) i</w:t>
      </w:r>
    </w:p>
    <w:p w:rsidR="000F53A8" w:rsidRPr="000F53A8" w:rsidRDefault="000F53A8" w:rsidP="000F53A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Izvještaj  o tranzitu električne energije za obračunski period (Obrazac 3) koji je ovjeren od strane CGES-a, koji se podnosi u dva primjerka.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sr-Latn-ME" w:eastAsia="sr-Latn-CS"/>
        </w:rPr>
        <w:t>Postupak tranzita se okončava ovjerom Obrasca 3 od strane nadzorne carinske ispostave. Carinski organ jedan primjerak Obrasca 3 vraća imaocu odobrenja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sr-Latn-ME" w:eastAsia="sr-Latn-CS"/>
        </w:rPr>
        <w:t>Električna energija koja tranzitira preko elektroenergetskog sistema Crne Gore ne podliježe plaćanju uvoznih dažbina.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</w:p>
    <w:p w:rsidR="000F53A8" w:rsidRPr="000F53A8" w:rsidRDefault="000F53A8" w:rsidP="000F53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sr-Latn-ME" w:eastAsia="sr-Latn-CS"/>
        </w:rPr>
        <w:t>Popunjavanje carinske deklaracije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sr-Latn-ME" w:eastAsia="sr-Latn-CS"/>
        </w:rPr>
      </w:pP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ME" w:eastAsia="sr-Latn-CS"/>
        </w:rPr>
        <w:t>Carinska deklaracija se popunjavaju u skladu sa Pravilnikom o obliku, sadržaju i načinu podnošenja carinske deklaracije i drugih obrazaca koji se upotrebljavaju u carinskom postupku („Sl. List CG“ br. 23/16, 83/16, 84/17 i 76/22) s tim što se: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lastRenderedPageBreak/>
        <w:t>U drugu podjelu Rubrike 1 upisuje se šifra postupka (1 za izvoz robe, 4 za stavljanje robe u slobodan promet). U slučaju postupka izvoza treća podjela ove rubrike ostaje prazna (ne popunjava se sa oznakom T),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 xml:space="preserve">U Rubriku 14 upisuju se podaci: poreski broj podnosioca deklaracije u gornjem desnom uglu rubrike, u prvom redu ime/naziv podnosioca deklaracije, u drugom redu sjedište i adresa podnosioca deklaracije. Ako podnosilac deklaracije nastupa u svoje ime i za svoj račun, u prvom redu, ispred naziva podnosioca deklaracije upisuje se šifra [1], a ako registrovani učesnik na tržištu ima carinskog zastupnika upisuje se šifra </w:t>
      </w:r>
      <w:bookmarkStart w:id="2" w:name="_Hlk157171964"/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 xml:space="preserve">[2] </w:t>
      </w:r>
      <w:bookmarkEnd w:id="2"/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za direktni oblik zastupanja, ili šifra [3] za indirektni oblik zastupanja. Strano lice je u obavezi da ima carinskog zastupnika za indirektni oblik zastupanja.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15a upisuje se šifra zemlje otpreme/izvoza,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17a upisuje se šifra zemlje odredišta,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Rubrika 18 se ne popunjava,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20 upisuju se uslovi isporuke,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color w:val="000000"/>
          <w:u w:color="000000"/>
          <w:bdr w:val="nil"/>
          <w:lang w:val="sr-Latn-ME" w:eastAsia="sr-Latn-CS"/>
        </w:rPr>
        <w:t>Rubrika 21 se ne popunjava,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color w:val="000000"/>
          <w:u w:color="000000"/>
          <w:bdr w:val="nil"/>
          <w:lang w:val="sr-Latn-ME" w:eastAsia="sr-Latn-CS"/>
        </w:rPr>
        <w:t>U Rubriku 22 upisuje se valuta i ukupan iznos iz fakture,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23 upisuje se kurs valute,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24 upisuje se vrsta posla,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25 upisuje se šifra predviđene vrste transporta (7 za posebne vrste transporta-dalekovodi, cjevovodi i gasovodi),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Rubrika 40 se ne popunjava,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41 upisuje se dopunska jedinica,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U Rubriku broj 47, kada je u pitanju stavljanje u slobodan promet, upisuje se obračun dažbina,</w:t>
      </w:r>
    </w:p>
    <w:p w:rsidR="000F53A8" w:rsidRPr="000F53A8" w:rsidRDefault="000F53A8" w:rsidP="000F53A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  <w:t>Rubrika 53 se ne popunjava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="Arial" w:eastAsia="Calibri" w:hAnsi="Arial" w:cs="Arial"/>
          <w:bCs/>
          <w:sz w:val="24"/>
          <w:szCs w:val="24"/>
          <w:u w:color="000000"/>
          <w:bdr w:val="nil"/>
          <w:lang w:val="sr-Latn-ME" w:eastAsia="sr-Latn-CS"/>
        </w:rPr>
      </w:pPr>
    </w:p>
    <w:p w:rsidR="000F53A8" w:rsidRPr="000F53A8" w:rsidRDefault="000F53A8" w:rsidP="000F53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contextualSpacing/>
        <w:jc w:val="both"/>
        <w:rPr>
          <w:rFonts w:ascii="Arial" w:eastAsia="Calibri" w:hAnsi="Arial" w:cs="Arial"/>
          <w:bCs/>
          <w:color w:val="FF0000"/>
          <w:sz w:val="24"/>
          <w:szCs w:val="24"/>
          <w:u w:color="000000"/>
          <w:bdr w:val="nil"/>
          <w:lang w:val="sr-Latn-ME" w:eastAsia="sr-Latn-CS"/>
        </w:rPr>
      </w:pPr>
      <w:r w:rsidRPr="000F53A8">
        <w:rPr>
          <w:rFonts w:ascii="Arial" w:eastAsia="Calibri" w:hAnsi="Arial" w:cs="Arial"/>
          <w:b/>
          <w:bCs/>
          <w:color w:val="000000"/>
          <w:sz w:val="24"/>
          <w:szCs w:val="24"/>
          <w:u w:color="000000"/>
          <w:bdr w:val="nil"/>
          <w:lang w:val="sr-Latn-ME" w:eastAsia="sr-Latn-CS"/>
        </w:rPr>
        <w:t>Primjena instrukcije</w:t>
      </w: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Arial Unicode MS" w:hAnsi="Arial" w:cs="Arial"/>
          <w:bCs/>
          <w:color w:val="FF0000"/>
          <w:sz w:val="24"/>
          <w:szCs w:val="24"/>
          <w:bdr w:val="nil"/>
          <w:lang w:val="sr-Latn-ME" w:eastAsia="sr-Latn-CS"/>
        </w:rPr>
      </w:pPr>
    </w:p>
    <w:p w:rsidR="000F53A8" w:rsidRPr="000F53A8" w:rsidRDefault="000F53A8" w:rsidP="000F53A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Arial" w:eastAsia="Arial Unicode MS" w:hAnsi="Arial" w:cs="Arial"/>
          <w:bCs/>
          <w:sz w:val="24"/>
          <w:szCs w:val="24"/>
          <w:bdr w:val="nil"/>
          <w:lang w:val="sr-Latn-ME" w:eastAsia="sr-Latn-CS"/>
        </w:rPr>
      </w:pPr>
      <w:r w:rsidRPr="000F53A8">
        <w:rPr>
          <w:rFonts w:ascii="Arial" w:eastAsia="Arial Unicode MS" w:hAnsi="Arial" w:cs="Arial"/>
          <w:bCs/>
          <w:sz w:val="24"/>
          <w:szCs w:val="24"/>
          <w:bdr w:val="nil"/>
          <w:lang w:val="sr-Latn-ME" w:eastAsia="sr-Latn-CS"/>
        </w:rPr>
        <w:t>Ova instrukcija se primjenjuje od 1. aprila 2024. godine. Sastavni dio ove instrukcije su obrasci.</w:t>
      </w:r>
    </w:p>
    <w:p w:rsidR="000F53A8" w:rsidRPr="000F53A8" w:rsidRDefault="000F53A8" w:rsidP="000F53A8">
      <w:pPr>
        <w:spacing w:after="0" w:line="240" w:lineRule="auto"/>
        <w:ind w:left="720"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/>
          <w:bCs/>
          <w:sz w:val="24"/>
          <w:szCs w:val="24"/>
          <w:lang w:val="sr-Latn-ME" w:eastAsia="sr-Latn-CS"/>
        </w:rPr>
        <w:t>Prilozi:</w:t>
      </w:r>
    </w:p>
    <w:p w:rsidR="000F53A8" w:rsidRPr="000F53A8" w:rsidRDefault="000F53A8" w:rsidP="000F53A8">
      <w:pP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Potvrda o realizovanom prekograničnom prometu balansne grupe (Obrazac P1)</w:t>
      </w: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>Potvrda o ukupnom prometu električne energije (Obrazac P2)</w:t>
      </w: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Izvještaj o uvozu električne energije za obračunski period (Obrazac 1),</w:t>
      </w: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Izvještaj o izvozu električne energije za obračunski period (Obrazac 2),</w:t>
      </w: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Izvještaj o tranzitu električne energije za obračunski period (Obrazac 3),</w:t>
      </w: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Evidencija uvoza električne energije (Obrazac E1),</w:t>
      </w: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Evidencija izvoza električne energije (Obrazac E2),</w:t>
      </w:r>
    </w:p>
    <w:p w:rsidR="000F53A8" w:rsidRPr="000F53A8" w:rsidRDefault="000F53A8" w:rsidP="000F53A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26"/>
        <w:jc w:val="both"/>
        <w:rPr>
          <w:rFonts w:ascii="Arial" w:eastAsia="Times New Roman" w:hAnsi="Arial" w:cs="Arial"/>
          <w:bCs/>
          <w:sz w:val="24"/>
          <w:szCs w:val="24"/>
          <w:lang w:val="sr-Latn-ME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eastAsia="sr-Latn-CS"/>
        </w:rPr>
        <w:t>Evidencija tranzita električne energije (Obrazac E3),</w:t>
      </w:r>
    </w:p>
    <w:p w:rsidR="000F53A8" w:rsidRPr="000F53A8" w:rsidRDefault="000F53A8" w:rsidP="000F53A8">
      <w:pPr>
        <w:spacing w:after="0" w:line="240" w:lineRule="auto"/>
        <w:ind w:left="525" w:right="26" w:firstLine="240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</w:p>
    <w:p w:rsidR="000F53A8" w:rsidRPr="000F53A8" w:rsidRDefault="000F53A8" w:rsidP="000F53A8">
      <w:pPr>
        <w:spacing w:after="0" w:line="240" w:lineRule="auto"/>
        <w:ind w:left="525" w:right="26" w:firstLine="240"/>
        <w:jc w:val="both"/>
        <w:rPr>
          <w:rFonts w:ascii="Arial" w:eastAsia="Times New Roman" w:hAnsi="Arial" w:cs="Arial"/>
          <w:bCs/>
          <w:sz w:val="24"/>
          <w:szCs w:val="24"/>
          <w:lang w:val="pl-PL" w:eastAsia="sr-Latn-CS"/>
        </w:rPr>
      </w:pPr>
      <w:r w:rsidRPr="000F53A8">
        <w:rPr>
          <w:rFonts w:ascii="Arial" w:eastAsia="Times New Roman" w:hAnsi="Arial" w:cs="Arial"/>
          <w:bCs/>
          <w:sz w:val="24"/>
          <w:szCs w:val="24"/>
          <w:lang w:val="pl-PL" w:eastAsia="sr-Latn-CS"/>
        </w:rPr>
        <w:t xml:space="preserve">                (Akt Uprave carina broj I/1-1315/1-24 od 07. 02. 2024. godine)</w:t>
      </w:r>
    </w:p>
    <w:p w:rsidR="00507211" w:rsidRDefault="00507211">
      <w:bookmarkStart w:id="3" w:name="_GoBack"/>
      <w:bookmarkEnd w:id="3"/>
    </w:p>
    <w:sectPr w:rsidR="005072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559EF"/>
    <w:multiLevelType w:val="hybridMultilevel"/>
    <w:tmpl w:val="03C02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77442"/>
    <w:multiLevelType w:val="hybridMultilevel"/>
    <w:tmpl w:val="3B024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E67CE"/>
    <w:multiLevelType w:val="hybridMultilevel"/>
    <w:tmpl w:val="7E3C62D6"/>
    <w:lvl w:ilvl="0" w:tplc="0FE421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011E3"/>
    <w:multiLevelType w:val="hybridMultilevel"/>
    <w:tmpl w:val="A566A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E5105"/>
    <w:multiLevelType w:val="hybridMultilevel"/>
    <w:tmpl w:val="E6BE9E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C68FF"/>
    <w:multiLevelType w:val="hybridMultilevel"/>
    <w:tmpl w:val="80E66D2A"/>
    <w:lvl w:ilvl="0" w:tplc="887A119C">
      <w:numFmt w:val="bullet"/>
      <w:lvlText w:val="-"/>
      <w:lvlJc w:val="left"/>
      <w:pPr>
        <w:ind w:left="144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6E55152F"/>
    <w:multiLevelType w:val="hybridMultilevel"/>
    <w:tmpl w:val="9DFA16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6039E"/>
    <w:multiLevelType w:val="hybridMultilevel"/>
    <w:tmpl w:val="017645A8"/>
    <w:lvl w:ilvl="0" w:tplc="887A11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66BF6"/>
    <w:multiLevelType w:val="hybridMultilevel"/>
    <w:tmpl w:val="156052D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A8"/>
    <w:rsid w:val="000F53A8"/>
    <w:rsid w:val="0050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C34ED-DE99-4ABD-A70B-AA0C0F2F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vujovic</dc:creator>
  <cp:keywords/>
  <dc:description/>
  <cp:lastModifiedBy>milos vujovic</cp:lastModifiedBy>
  <cp:revision>1</cp:revision>
  <dcterms:created xsi:type="dcterms:W3CDTF">2024-02-15T13:25:00Z</dcterms:created>
  <dcterms:modified xsi:type="dcterms:W3CDTF">2024-02-15T13:26:00Z</dcterms:modified>
</cp:coreProperties>
</file>