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C87" w:rsidRPr="00D16C87" w:rsidRDefault="003B042B" w:rsidP="00175849">
      <w:pPr>
        <w:spacing w:after="0" w:line="240" w:lineRule="auto"/>
        <w:jc w:val="both"/>
        <w:rPr>
          <w:rFonts w:ascii="Tahoma" w:eastAsia="Times New Roman" w:hAnsi="Tahoma" w:cs="Tahoma"/>
          <w:lang w:val="sr-Latn-ME"/>
        </w:rPr>
      </w:pPr>
      <w:r>
        <w:rPr>
          <w:rFonts w:ascii="Tahoma" w:eastAsia="Times New Roman" w:hAnsi="Tahoma" w:cs="Tahoma"/>
          <w:lang w:val="sr-Latn-ME"/>
        </w:rPr>
        <w:t>14.01.2020</w:t>
      </w:r>
      <w:r>
        <w:rPr>
          <w:rFonts w:ascii="Tahoma" w:eastAsia="Times New Roman" w:hAnsi="Tahoma" w:cs="Tahoma"/>
          <w:lang w:val="sr-Latn-ME"/>
        </w:rPr>
        <w:tab/>
      </w:r>
      <w:r>
        <w:rPr>
          <w:rFonts w:ascii="Tahoma" w:eastAsia="Times New Roman" w:hAnsi="Tahoma" w:cs="Tahoma"/>
          <w:lang w:val="sr-Latn-ME"/>
        </w:rPr>
        <w:tab/>
      </w:r>
      <w:r>
        <w:rPr>
          <w:rFonts w:ascii="Tahoma" w:eastAsia="Times New Roman" w:hAnsi="Tahoma" w:cs="Tahoma"/>
          <w:lang w:val="sr-Latn-ME"/>
        </w:rPr>
        <w:tab/>
        <w:t>Službeni list Evropske unije</w:t>
      </w:r>
      <w:r>
        <w:rPr>
          <w:rFonts w:ascii="Tahoma" w:eastAsia="Times New Roman" w:hAnsi="Tahoma" w:cs="Tahoma"/>
          <w:lang w:val="sr-Latn-ME"/>
        </w:rPr>
        <w:tab/>
      </w:r>
      <w:r>
        <w:rPr>
          <w:rFonts w:ascii="Tahoma" w:eastAsia="Times New Roman" w:hAnsi="Tahoma" w:cs="Tahoma"/>
          <w:lang w:val="sr-Latn-ME"/>
        </w:rPr>
        <w:tab/>
      </w:r>
      <w:r>
        <w:rPr>
          <w:rFonts w:ascii="Tahoma" w:eastAsia="Times New Roman" w:hAnsi="Tahoma" w:cs="Tahoma"/>
          <w:lang w:val="sr-Latn-ME"/>
        </w:rPr>
        <w:tab/>
        <w:t>LI8/5</w:t>
      </w:r>
    </w:p>
    <w:p w:rsidR="003B042B" w:rsidRDefault="00826869" w:rsidP="00175849">
      <w:pPr>
        <w:spacing w:after="0" w:line="240" w:lineRule="auto"/>
        <w:jc w:val="both"/>
        <w:rPr>
          <w:rFonts w:ascii="Tahoma" w:eastAsia="Times New Roman" w:hAnsi="Tahoma" w:cs="Tahoma"/>
          <w:lang w:val="sr-Latn-ME"/>
        </w:rPr>
      </w:pPr>
      <w:r w:rsidRPr="00D16C87">
        <w:rPr>
          <w:rFonts w:ascii="Tahoma" w:eastAsia="Times New Roman" w:hAnsi="Tahoma" w:cs="Tahoma"/>
          <w:lang w:val="sr-Latn-ME"/>
        </w:rPr>
        <w:pict>
          <v:rect id="_x0000_i1027" style="width:0;height:1.5pt" o:hralign="center" o:hrstd="t" o:hr="t" fillcolor="#a0a0a0" stroked="f"/>
        </w:pict>
      </w:r>
    </w:p>
    <w:p w:rsidR="009C1255" w:rsidRDefault="009C1255" w:rsidP="00175849">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ODLUKA SAVJETA (Zajednička, vanjska i bezbjednosna politika- ZVBP) 2020/20 od 13. januara 2020.godine o ažuriranju liste lica, grupa i subjekata na koje se primjenjuju članovi 2,3 i  4 Zajedničkog stava 2001/931/ZVBP o primjeni posebnih mjera u borbi protiv terorizma i o stavljanju van snage Odluke (ZVBP) 2019/1341</w:t>
      </w:r>
    </w:p>
    <w:p w:rsidR="009C1255" w:rsidRPr="009C1255" w:rsidRDefault="009C1255"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SAVJET EVROPSKE UNIJE,</w:t>
      </w:r>
    </w:p>
    <w:p w:rsidR="009C1255" w:rsidRPr="009C1255" w:rsidRDefault="009C1255"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 xml:space="preserve">Uzimajući u obzir Ugovor o Evropskoj uniji, a posebno njegov član 29, </w:t>
      </w:r>
    </w:p>
    <w:p w:rsidR="009C1255" w:rsidRPr="009C1255" w:rsidRDefault="009C1255"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Uzimajući u obzir predlog Visokog predstavnika Unije za vanjske poslove i bezbjedonosnu politiku, budući da je:</w:t>
      </w:r>
    </w:p>
    <w:p w:rsidR="009C1255" w:rsidRPr="009C1255" w:rsidRDefault="009C1255" w:rsidP="009C1255">
      <w:pPr>
        <w:spacing w:after="0" w:line="240" w:lineRule="auto"/>
        <w:jc w:val="both"/>
        <w:rPr>
          <w:rFonts w:ascii="Tahoma" w:eastAsia="Times New Roman" w:hAnsi="Tahoma" w:cs="Tahoma"/>
          <w:lang w:val="sr-Latn-ME"/>
        </w:rPr>
      </w:pPr>
    </w:p>
    <w:p w:rsidR="009C1255" w:rsidRDefault="009C1255" w:rsidP="009C1255">
      <w:pPr>
        <w:pStyle w:val="ListParagraph"/>
        <w:numPr>
          <w:ilvl w:val="0"/>
          <w:numId w:val="4"/>
        </w:numPr>
        <w:spacing w:after="0" w:line="240" w:lineRule="auto"/>
        <w:jc w:val="both"/>
        <w:rPr>
          <w:rFonts w:ascii="Tahoma" w:eastAsia="Times New Roman" w:hAnsi="Tahoma" w:cs="Tahoma"/>
          <w:lang w:val="sr-Latn-ME"/>
        </w:rPr>
      </w:pPr>
      <w:r w:rsidRPr="009C1255">
        <w:rPr>
          <w:rFonts w:ascii="Tahoma" w:eastAsia="Times New Roman" w:hAnsi="Tahoma" w:cs="Tahoma"/>
          <w:lang w:val="sr-Latn-ME"/>
        </w:rPr>
        <w:t>27. decembra 2001. godine Savjet donio Zajednički stav 2001/931/ZVBP (1).</w:t>
      </w:r>
    </w:p>
    <w:p w:rsidR="00F03740" w:rsidRDefault="00F03740" w:rsidP="004E7B10">
      <w:pPr>
        <w:pStyle w:val="ListParagraph"/>
        <w:spacing w:after="0" w:line="240" w:lineRule="auto"/>
        <w:jc w:val="both"/>
        <w:rPr>
          <w:rFonts w:ascii="Tahoma" w:eastAsia="Times New Roman" w:hAnsi="Tahoma" w:cs="Tahoma"/>
          <w:lang w:val="sr-Latn-ME"/>
        </w:rPr>
      </w:pPr>
    </w:p>
    <w:p w:rsidR="009C1255" w:rsidRDefault="009C1255" w:rsidP="009C1255">
      <w:pPr>
        <w:pStyle w:val="ListParagraph"/>
        <w:numPr>
          <w:ilvl w:val="0"/>
          <w:numId w:val="4"/>
        </w:numPr>
        <w:spacing w:after="0" w:line="240" w:lineRule="auto"/>
        <w:jc w:val="both"/>
        <w:rPr>
          <w:rFonts w:ascii="Tahoma" w:eastAsia="Times New Roman" w:hAnsi="Tahoma" w:cs="Tahoma"/>
          <w:lang w:val="sr-Latn-ME"/>
        </w:rPr>
      </w:pPr>
      <w:r w:rsidRPr="009C1255">
        <w:rPr>
          <w:rFonts w:ascii="Tahoma" w:eastAsia="Times New Roman" w:hAnsi="Tahoma" w:cs="Tahoma"/>
          <w:lang w:val="sr-Latn-ME"/>
        </w:rPr>
        <w:t xml:space="preserve"> 8. avgusta 2019. godine Savjet donio Odluku (ZVBP) 2019/1341 (2) o ažuriranju liste lica, grupa i subjekata na koja se primjenjuju članovi 2, 3</w:t>
      </w:r>
      <w:r w:rsidR="00DA6C40">
        <w:rPr>
          <w:rFonts w:ascii="Tahoma" w:eastAsia="Times New Roman" w:hAnsi="Tahoma" w:cs="Tahoma"/>
          <w:lang w:val="sr-Latn-ME"/>
        </w:rPr>
        <w:t xml:space="preserve"> </w:t>
      </w:r>
      <w:r w:rsidRPr="009C1255">
        <w:rPr>
          <w:rFonts w:ascii="Tahoma" w:eastAsia="Times New Roman" w:hAnsi="Tahoma" w:cs="Tahoma"/>
          <w:lang w:val="sr-Latn-ME"/>
        </w:rPr>
        <w:t>i 4 Zajedničkog stava 2001/931/ZVBP („lista”).</w:t>
      </w:r>
    </w:p>
    <w:p w:rsidR="004E7B10" w:rsidRDefault="004E7B10" w:rsidP="004E7B10">
      <w:pPr>
        <w:pStyle w:val="ListParagraph"/>
        <w:spacing w:after="0" w:line="240" w:lineRule="auto"/>
        <w:jc w:val="both"/>
        <w:rPr>
          <w:rFonts w:ascii="Tahoma" w:eastAsia="Times New Roman" w:hAnsi="Tahoma" w:cs="Tahoma"/>
          <w:lang w:val="sr-Latn-ME"/>
        </w:rPr>
      </w:pPr>
    </w:p>
    <w:p w:rsidR="009C1255" w:rsidRDefault="00DA6C40" w:rsidP="009C1255">
      <w:pPr>
        <w:pStyle w:val="ListParagraph"/>
        <w:numPr>
          <w:ilvl w:val="0"/>
          <w:numId w:val="4"/>
        </w:numPr>
        <w:spacing w:after="0" w:line="240" w:lineRule="auto"/>
        <w:jc w:val="both"/>
        <w:rPr>
          <w:rFonts w:ascii="Tahoma" w:eastAsia="Times New Roman" w:hAnsi="Tahoma" w:cs="Tahoma"/>
          <w:lang w:val="sr-Latn-ME"/>
        </w:rPr>
      </w:pPr>
      <w:r>
        <w:rPr>
          <w:rFonts w:ascii="Tahoma" w:eastAsia="Times New Roman" w:hAnsi="Tahoma" w:cs="Tahoma"/>
          <w:lang w:val="sr-Latn-ME"/>
        </w:rPr>
        <w:t xml:space="preserve"> U skladu s članom 1 stav 6 </w:t>
      </w:r>
      <w:r w:rsidR="009C1255" w:rsidRPr="009C1255">
        <w:rPr>
          <w:rFonts w:ascii="Tahoma" w:eastAsia="Times New Roman" w:hAnsi="Tahoma" w:cs="Tahoma"/>
          <w:lang w:val="sr-Latn-ME"/>
        </w:rPr>
        <w:t>Zajedničkog stava 2001/931/ZVBP potrebno je redovno vršiti provjeru imena lica, grupa i subjekata navedenih na listi kako bi se osiguralo postojanje razloga za zadržavanje imena na listi.</w:t>
      </w:r>
    </w:p>
    <w:p w:rsidR="004E7B10" w:rsidRDefault="004E7B10" w:rsidP="004E7B10">
      <w:pPr>
        <w:pStyle w:val="ListParagraph"/>
        <w:spacing w:after="0" w:line="240" w:lineRule="auto"/>
        <w:jc w:val="both"/>
        <w:rPr>
          <w:rFonts w:ascii="Tahoma" w:eastAsia="Times New Roman" w:hAnsi="Tahoma" w:cs="Tahoma"/>
          <w:lang w:val="sr-Latn-ME"/>
        </w:rPr>
      </w:pPr>
    </w:p>
    <w:p w:rsidR="009C1255" w:rsidRDefault="009C1255" w:rsidP="009C1255">
      <w:pPr>
        <w:pStyle w:val="ListParagraph"/>
        <w:numPr>
          <w:ilvl w:val="0"/>
          <w:numId w:val="4"/>
        </w:numPr>
        <w:spacing w:after="0" w:line="240" w:lineRule="auto"/>
        <w:jc w:val="both"/>
        <w:rPr>
          <w:rFonts w:ascii="Tahoma" w:eastAsia="Times New Roman" w:hAnsi="Tahoma" w:cs="Tahoma"/>
          <w:lang w:val="sr-Latn-ME"/>
        </w:rPr>
      </w:pPr>
      <w:r w:rsidRPr="009C1255">
        <w:rPr>
          <w:rFonts w:ascii="Tahoma" w:eastAsia="Times New Roman" w:hAnsi="Tahoma" w:cs="Tahoma"/>
          <w:lang w:val="sr-Latn-ME"/>
        </w:rPr>
        <w:t>U ovoj je Odluci naveden rezultat provjere koju je Savjet sproveo u vezi sa licima, grupama i subjektima na koje se primjenjuju članovi 2, 3 i 4 Zajedničkog stava 2001/931/ZVBP.</w:t>
      </w:r>
    </w:p>
    <w:p w:rsidR="004E7B10" w:rsidRDefault="004E7B10" w:rsidP="004E7B10">
      <w:pPr>
        <w:pStyle w:val="ListParagraph"/>
        <w:spacing w:after="0" w:line="240" w:lineRule="auto"/>
        <w:jc w:val="both"/>
        <w:rPr>
          <w:rFonts w:ascii="Tahoma" w:eastAsia="Times New Roman" w:hAnsi="Tahoma" w:cs="Tahoma"/>
          <w:lang w:val="sr-Latn-ME"/>
        </w:rPr>
      </w:pPr>
    </w:p>
    <w:p w:rsidR="009C1255" w:rsidRDefault="009C1255" w:rsidP="009C1255">
      <w:pPr>
        <w:pStyle w:val="ListParagraph"/>
        <w:numPr>
          <w:ilvl w:val="0"/>
          <w:numId w:val="4"/>
        </w:numPr>
        <w:spacing w:after="0" w:line="240" w:lineRule="auto"/>
        <w:jc w:val="both"/>
        <w:rPr>
          <w:rFonts w:ascii="Tahoma" w:eastAsia="Times New Roman" w:hAnsi="Tahoma" w:cs="Tahoma"/>
          <w:lang w:val="sr-Latn-ME"/>
        </w:rPr>
      </w:pPr>
      <w:r w:rsidRPr="009C1255">
        <w:rPr>
          <w:rFonts w:ascii="Tahoma" w:eastAsia="Times New Roman" w:hAnsi="Tahoma" w:cs="Tahoma"/>
          <w:lang w:val="sr-Latn-ME"/>
        </w:rPr>
        <w:t>Savjet se uvjerilo da su nadležna tijela, kako su navedena u članu 1 stav 4Zajedničkog stava 2001/931/ZVBP, donijela odluke u pogledu svih lica, grupa i subjekata navedenih na listi o tome da su bili uključeni u teroristička djela u smislu člana 1 stavovi 2 i 3. Zajedničkog stava 2001/931/ZVBP. Savjet je takođe zaključilo da bi se na lica, grupe i subjekte na koje se primjenjuju članovi 2, 3 i 4</w:t>
      </w:r>
      <w:r w:rsidR="00142B30">
        <w:rPr>
          <w:rFonts w:ascii="Tahoma" w:eastAsia="Times New Roman" w:hAnsi="Tahoma" w:cs="Tahoma"/>
          <w:lang w:val="sr-Latn-ME"/>
        </w:rPr>
        <w:t xml:space="preserve"> </w:t>
      </w:r>
      <w:r w:rsidRPr="009C1255">
        <w:rPr>
          <w:rFonts w:ascii="Tahoma" w:eastAsia="Times New Roman" w:hAnsi="Tahoma" w:cs="Tahoma"/>
          <w:lang w:val="sr-Latn-ME"/>
        </w:rPr>
        <w:t>Zajedničkog stava 2001/931/ZVBP trebale i dalje primjenjivati posebne mjere ograničavanja predviđene u Zajedničkom stavu 2001/931/ZVBP.</w:t>
      </w:r>
    </w:p>
    <w:p w:rsidR="004E7B10" w:rsidRDefault="004E7B10" w:rsidP="004E7B10">
      <w:pPr>
        <w:pStyle w:val="ListParagraph"/>
        <w:spacing w:after="0" w:line="240" w:lineRule="auto"/>
        <w:jc w:val="both"/>
        <w:rPr>
          <w:rFonts w:ascii="Tahoma" w:eastAsia="Times New Roman" w:hAnsi="Tahoma" w:cs="Tahoma"/>
          <w:lang w:val="sr-Latn-ME"/>
        </w:rPr>
      </w:pPr>
    </w:p>
    <w:p w:rsidR="009C1255" w:rsidRDefault="009C1255" w:rsidP="009C1255">
      <w:pPr>
        <w:pStyle w:val="ListParagraph"/>
        <w:numPr>
          <w:ilvl w:val="0"/>
          <w:numId w:val="4"/>
        </w:numPr>
        <w:spacing w:after="0" w:line="240" w:lineRule="auto"/>
        <w:jc w:val="both"/>
        <w:rPr>
          <w:rFonts w:ascii="Tahoma" w:eastAsia="Times New Roman" w:hAnsi="Tahoma" w:cs="Tahoma"/>
          <w:lang w:val="sr-Latn-ME"/>
        </w:rPr>
      </w:pPr>
      <w:r w:rsidRPr="00F03740">
        <w:rPr>
          <w:rFonts w:ascii="Tahoma" w:eastAsia="Times New Roman" w:hAnsi="Tahoma" w:cs="Tahoma"/>
          <w:lang w:val="sr-Latn-ME"/>
        </w:rPr>
        <w:t>Listu bi trebalo na odgovarajući način ažurirati, a Odluku (ZVBP) 2019/1341 trebalo bi staviti ivan snage,</w:t>
      </w:r>
    </w:p>
    <w:p w:rsidR="00F03740" w:rsidRPr="00F03740" w:rsidRDefault="00F03740" w:rsidP="00F03740">
      <w:pPr>
        <w:pStyle w:val="ListParagraph"/>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DONIJELO JE OVU ODLUKU:</w:t>
      </w:r>
    </w:p>
    <w:p w:rsidR="00F03740" w:rsidRPr="009C1255" w:rsidRDefault="00F03740" w:rsidP="009C1255">
      <w:pPr>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 xml:space="preserve">Član 1 </w:t>
      </w:r>
    </w:p>
    <w:p w:rsidR="00F03740" w:rsidRPr="009C1255" w:rsidRDefault="00F03740" w:rsidP="009C1255">
      <w:pPr>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Lista lica, grupa i subjekata na koje se primjenjuju članovi 2, 3 i 4 Zajedničkog stava 2001/931/ZVBP naveden je u Prilogu ovoj Odluci.</w:t>
      </w:r>
    </w:p>
    <w:p w:rsidR="00F03740" w:rsidRPr="009C1255" w:rsidRDefault="00F03740" w:rsidP="009C1255">
      <w:pPr>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Član 2</w:t>
      </w:r>
    </w:p>
    <w:p w:rsidR="00F03740" w:rsidRPr="009C1255" w:rsidRDefault="00F03740" w:rsidP="009C1255">
      <w:pPr>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Odluka (ZVBP) 2019/1341 stavlja se izvan snage.</w:t>
      </w:r>
    </w:p>
    <w:p w:rsidR="00F03740" w:rsidRPr="009C1255" w:rsidRDefault="00F03740" w:rsidP="009C1255">
      <w:pPr>
        <w:spacing w:after="0" w:line="240" w:lineRule="auto"/>
        <w:jc w:val="both"/>
        <w:rPr>
          <w:rFonts w:ascii="Tahoma" w:eastAsia="Times New Roman" w:hAnsi="Tahoma" w:cs="Tahoma"/>
          <w:lang w:val="sr-Latn-ME"/>
        </w:rPr>
      </w:pPr>
    </w:p>
    <w:p w:rsid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lastRenderedPageBreak/>
        <w:t>Član 3</w:t>
      </w:r>
    </w:p>
    <w:p w:rsidR="00F03740" w:rsidRPr="009C1255" w:rsidRDefault="00F03740"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Ova Odluka stupa na snagu sljedećeg dana od dana objavljivanja u Službenom listu Evropske unije.</w:t>
      </w:r>
    </w:p>
    <w:p w:rsidR="00F03740" w:rsidRDefault="00F03740"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Sastavljeno u Biseluu 13. Januara 2020. godine</w:t>
      </w:r>
    </w:p>
    <w:p w:rsidR="00F03740" w:rsidRDefault="00F03740"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 xml:space="preserve">Za Savjet </w:t>
      </w:r>
    </w:p>
    <w:p w:rsidR="00F03740" w:rsidRDefault="00F03740" w:rsidP="009C1255">
      <w:pPr>
        <w:spacing w:after="0" w:line="240" w:lineRule="auto"/>
        <w:jc w:val="both"/>
        <w:rPr>
          <w:rFonts w:ascii="Tahoma" w:eastAsia="Times New Roman" w:hAnsi="Tahoma" w:cs="Tahoma"/>
          <w:lang w:val="sr-Latn-ME"/>
        </w:rPr>
      </w:pPr>
    </w:p>
    <w:p w:rsidR="009C1255" w:rsidRPr="009C1255" w:rsidRDefault="009C1255" w:rsidP="009C1255">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 xml:space="preserve">Predsjednica </w:t>
      </w:r>
    </w:p>
    <w:p w:rsidR="009C1255" w:rsidRDefault="009C1255" w:rsidP="00175849">
      <w:pPr>
        <w:spacing w:after="0" w:line="240" w:lineRule="auto"/>
        <w:jc w:val="both"/>
        <w:rPr>
          <w:rFonts w:ascii="Tahoma" w:eastAsia="Times New Roman" w:hAnsi="Tahoma" w:cs="Tahoma"/>
          <w:lang w:val="sr-Latn-ME"/>
        </w:rPr>
      </w:pPr>
      <w:r w:rsidRPr="009C1255">
        <w:rPr>
          <w:rFonts w:ascii="Tahoma" w:eastAsia="Times New Roman" w:hAnsi="Tahoma" w:cs="Tahoma"/>
          <w:lang w:val="sr-Latn-ME"/>
        </w:rPr>
        <w:t>A. METELKO-ZGOMBIĆ</w:t>
      </w:r>
    </w:p>
    <w:p w:rsidR="00D16C87" w:rsidRPr="00D16C87" w:rsidRDefault="00D16C87" w:rsidP="00175849">
      <w:pPr>
        <w:spacing w:after="0" w:line="240" w:lineRule="auto"/>
        <w:jc w:val="both"/>
        <w:rPr>
          <w:rFonts w:ascii="Tahoma" w:eastAsia="Times New Roman" w:hAnsi="Tahoma" w:cs="Tahoma"/>
          <w:lang w:val="sr-Latn-ME"/>
        </w:rPr>
      </w:pPr>
      <w:r w:rsidRPr="00D16C87">
        <w:rPr>
          <w:rFonts w:ascii="Tahoma" w:eastAsia="Times New Roman" w:hAnsi="Tahoma" w:cs="Tahoma"/>
          <w:lang w:val="sr-Latn-ME"/>
        </w:rPr>
        <w:pict>
          <v:rect id="_x0000_i1025" style="width:0;height:1.5pt" o:hralign="center" o:hrstd="t" o:hr="t" fillcolor="#a0a0a0" stroked="f"/>
        </w:pict>
      </w:r>
    </w:p>
    <w:p w:rsidR="00D16C87" w:rsidRPr="00D16C87" w:rsidRDefault="00D16C87" w:rsidP="00175849">
      <w:pPr>
        <w:spacing w:after="0" w:line="240" w:lineRule="auto"/>
        <w:jc w:val="both"/>
        <w:rPr>
          <w:rFonts w:ascii="Tahoma" w:eastAsia="Times New Roman" w:hAnsi="Tahoma" w:cs="Tahoma"/>
          <w:sz w:val="14"/>
          <w:szCs w:val="14"/>
          <w:lang w:val="sr-Latn-ME"/>
        </w:rPr>
      </w:pPr>
      <w:hyperlink r:id="rId8" w:anchor="ntc1-LI2020008HR.01000501-E0001" w:history="1">
        <w:r w:rsidRPr="00D16C87">
          <w:rPr>
            <w:rFonts w:ascii="Tahoma" w:eastAsia="Times New Roman" w:hAnsi="Tahoma" w:cs="Tahoma"/>
            <w:color w:val="0000FF"/>
            <w:sz w:val="14"/>
            <w:szCs w:val="14"/>
            <w:u w:val="single"/>
            <w:lang w:val="sr-Latn-ME"/>
          </w:rPr>
          <w:t>(1)</w:t>
        </w:r>
      </w:hyperlink>
      <w:r w:rsidR="00175849" w:rsidRPr="00C76B13">
        <w:rPr>
          <w:rFonts w:ascii="Tahoma" w:eastAsia="Times New Roman" w:hAnsi="Tahoma" w:cs="Tahoma"/>
          <w:sz w:val="14"/>
          <w:szCs w:val="14"/>
          <w:lang w:val="sr-Latn-ME"/>
        </w:rPr>
        <w:t>  Zajednički</w:t>
      </w:r>
      <w:r w:rsidRPr="00D16C87">
        <w:rPr>
          <w:rFonts w:ascii="Tahoma" w:eastAsia="Times New Roman" w:hAnsi="Tahoma" w:cs="Tahoma"/>
          <w:sz w:val="14"/>
          <w:szCs w:val="14"/>
          <w:lang w:val="sr-Latn-ME"/>
        </w:rPr>
        <w:t xml:space="preserve"> sta</w:t>
      </w:r>
      <w:r w:rsidR="00D077F1" w:rsidRPr="00C76B13">
        <w:rPr>
          <w:rFonts w:ascii="Tahoma" w:eastAsia="Times New Roman" w:hAnsi="Tahoma" w:cs="Tahoma"/>
          <w:sz w:val="14"/>
          <w:szCs w:val="14"/>
          <w:lang w:val="sr-Latn-ME"/>
        </w:rPr>
        <w:t>v</w:t>
      </w:r>
      <w:r w:rsidRPr="00D16C87">
        <w:rPr>
          <w:rFonts w:ascii="Tahoma" w:eastAsia="Times New Roman" w:hAnsi="Tahoma" w:cs="Tahoma"/>
          <w:sz w:val="14"/>
          <w:szCs w:val="14"/>
          <w:lang w:val="sr-Latn-ME"/>
        </w:rPr>
        <w:t xml:space="preserve"> Vijeća 2001/931/</w:t>
      </w:r>
      <w:r w:rsidR="006A6F66" w:rsidRPr="00C76B13">
        <w:rPr>
          <w:rFonts w:ascii="Tahoma" w:eastAsia="Times New Roman" w:hAnsi="Tahoma" w:cs="Tahoma"/>
          <w:sz w:val="14"/>
          <w:szCs w:val="14"/>
          <w:lang w:val="sr-Latn-ME"/>
        </w:rPr>
        <w:t>ZVBP</w:t>
      </w:r>
      <w:r w:rsidRPr="00D16C87">
        <w:rPr>
          <w:rFonts w:ascii="Tahoma" w:eastAsia="Times New Roman" w:hAnsi="Tahoma" w:cs="Tahoma"/>
          <w:sz w:val="14"/>
          <w:szCs w:val="14"/>
          <w:lang w:val="sr-Latn-ME"/>
        </w:rPr>
        <w:t xml:space="preserve"> od 27. </w:t>
      </w:r>
      <w:r w:rsidR="00D077F1" w:rsidRPr="00C76B13">
        <w:rPr>
          <w:rFonts w:ascii="Tahoma" w:eastAsia="Times New Roman" w:hAnsi="Tahoma" w:cs="Tahoma"/>
          <w:sz w:val="14"/>
          <w:szCs w:val="14"/>
          <w:lang w:val="sr-Latn-ME"/>
        </w:rPr>
        <w:t>decembra</w:t>
      </w:r>
      <w:r w:rsidRPr="00D16C87">
        <w:rPr>
          <w:rFonts w:ascii="Tahoma" w:eastAsia="Times New Roman" w:hAnsi="Tahoma" w:cs="Tahoma"/>
          <w:sz w:val="14"/>
          <w:szCs w:val="14"/>
          <w:lang w:val="sr-Latn-ME"/>
        </w:rPr>
        <w:t xml:space="preserve"> 2001.</w:t>
      </w:r>
      <w:r w:rsidR="00D077F1" w:rsidRPr="00C76B13">
        <w:rPr>
          <w:rFonts w:ascii="Tahoma" w:eastAsia="Times New Roman" w:hAnsi="Tahoma" w:cs="Tahoma"/>
          <w:sz w:val="14"/>
          <w:szCs w:val="14"/>
          <w:lang w:val="sr-Latn-ME"/>
        </w:rPr>
        <w:t xml:space="preserve"> godine</w:t>
      </w:r>
      <w:r w:rsidRPr="00D16C87">
        <w:rPr>
          <w:rFonts w:ascii="Tahoma" w:eastAsia="Times New Roman" w:hAnsi="Tahoma" w:cs="Tahoma"/>
          <w:sz w:val="14"/>
          <w:szCs w:val="14"/>
          <w:lang w:val="sr-Latn-ME"/>
        </w:rPr>
        <w:t xml:space="preserve"> o primjeni posebnih mjera u borbi protiv terorizma (</w:t>
      </w:r>
      <w:hyperlink r:id="rId9" w:history="1">
        <w:r w:rsidRPr="00D16C87">
          <w:rPr>
            <w:rFonts w:ascii="Tahoma" w:eastAsia="Times New Roman" w:hAnsi="Tahoma" w:cs="Tahoma"/>
            <w:color w:val="0000FF"/>
            <w:sz w:val="14"/>
            <w:szCs w:val="14"/>
            <w:u w:val="single"/>
            <w:lang w:val="sr-Latn-ME"/>
          </w:rPr>
          <w:t>SL L 344, 28.12.2001., str. 93.</w:t>
        </w:r>
      </w:hyperlink>
      <w:r w:rsidRPr="00D16C87">
        <w:rPr>
          <w:rFonts w:ascii="Tahoma" w:eastAsia="Times New Roman" w:hAnsi="Tahoma" w:cs="Tahoma"/>
          <w:sz w:val="14"/>
          <w:szCs w:val="14"/>
          <w:lang w:val="sr-Latn-ME"/>
        </w:rPr>
        <w:t>).</w:t>
      </w:r>
    </w:p>
    <w:p w:rsidR="00D16C87" w:rsidRPr="00D16C87" w:rsidRDefault="00D16C87" w:rsidP="00175849">
      <w:pPr>
        <w:spacing w:after="0" w:line="240" w:lineRule="auto"/>
        <w:jc w:val="both"/>
        <w:rPr>
          <w:rFonts w:ascii="Tahoma" w:eastAsia="Times New Roman" w:hAnsi="Tahoma" w:cs="Tahoma"/>
          <w:sz w:val="14"/>
          <w:szCs w:val="14"/>
          <w:lang w:val="sr-Latn-ME"/>
        </w:rPr>
      </w:pPr>
      <w:hyperlink r:id="rId10" w:anchor="ntc2-LI2020008HR.01000501-E0002" w:history="1">
        <w:r w:rsidRPr="00D16C87">
          <w:rPr>
            <w:rFonts w:ascii="Tahoma" w:eastAsia="Times New Roman" w:hAnsi="Tahoma" w:cs="Tahoma"/>
            <w:color w:val="0000FF"/>
            <w:sz w:val="14"/>
            <w:szCs w:val="14"/>
            <w:u w:val="single"/>
            <w:lang w:val="sr-Latn-ME"/>
          </w:rPr>
          <w:t>(2)</w:t>
        </w:r>
      </w:hyperlink>
      <w:r w:rsidRPr="00D16C87">
        <w:rPr>
          <w:rFonts w:ascii="Tahoma" w:eastAsia="Times New Roman" w:hAnsi="Tahoma" w:cs="Tahoma"/>
          <w:sz w:val="14"/>
          <w:szCs w:val="14"/>
          <w:lang w:val="sr-Latn-ME"/>
        </w:rPr>
        <w:t>  Odluka Vijeća (</w:t>
      </w:r>
      <w:r w:rsidR="006A6F66" w:rsidRPr="00C76B13">
        <w:rPr>
          <w:rFonts w:ascii="Tahoma" w:eastAsia="Times New Roman" w:hAnsi="Tahoma" w:cs="Tahoma"/>
          <w:sz w:val="14"/>
          <w:szCs w:val="14"/>
          <w:lang w:val="sr-Latn-ME"/>
        </w:rPr>
        <w:t>ZVBP</w:t>
      </w:r>
      <w:r w:rsidRPr="00D16C87">
        <w:rPr>
          <w:rFonts w:ascii="Tahoma" w:eastAsia="Times New Roman" w:hAnsi="Tahoma" w:cs="Tahoma"/>
          <w:sz w:val="14"/>
          <w:szCs w:val="14"/>
          <w:lang w:val="sr-Latn-ME"/>
        </w:rPr>
        <w:t xml:space="preserve">) 2019/1341 od 8. </w:t>
      </w:r>
      <w:r w:rsidR="00D077F1" w:rsidRPr="00C76B13">
        <w:rPr>
          <w:rFonts w:ascii="Tahoma" w:eastAsia="Times New Roman" w:hAnsi="Tahoma" w:cs="Tahoma"/>
          <w:sz w:val="14"/>
          <w:szCs w:val="14"/>
          <w:lang w:val="sr-Latn-ME"/>
        </w:rPr>
        <w:t>avgusta</w:t>
      </w:r>
      <w:r w:rsidRPr="00D16C87">
        <w:rPr>
          <w:rFonts w:ascii="Tahoma" w:eastAsia="Times New Roman" w:hAnsi="Tahoma" w:cs="Tahoma"/>
          <w:sz w:val="14"/>
          <w:szCs w:val="14"/>
          <w:lang w:val="sr-Latn-ME"/>
        </w:rPr>
        <w:t xml:space="preserve"> 2019. o ažuriranju </w:t>
      </w:r>
      <w:r w:rsidR="006A6F66" w:rsidRPr="00C76B13">
        <w:rPr>
          <w:rFonts w:ascii="Tahoma" w:eastAsia="Times New Roman" w:hAnsi="Tahoma" w:cs="Tahoma"/>
          <w:sz w:val="14"/>
          <w:szCs w:val="14"/>
          <w:lang w:val="sr-Latn-ME"/>
        </w:rPr>
        <w:t>liste lica, grupa i subjekata</w:t>
      </w:r>
      <w:r w:rsidR="00D077F1" w:rsidRPr="00C76B13">
        <w:rPr>
          <w:rFonts w:ascii="Tahoma" w:eastAsia="Times New Roman" w:hAnsi="Tahoma" w:cs="Tahoma"/>
          <w:sz w:val="14"/>
          <w:szCs w:val="14"/>
          <w:lang w:val="sr-Latn-ME"/>
        </w:rPr>
        <w:t xml:space="preserve"> </w:t>
      </w:r>
      <w:r w:rsidRPr="00D16C87">
        <w:rPr>
          <w:rFonts w:ascii="Tahoma" w:eastAsia="Times New Roman" w:hAnsi="Tahoma" w:cs="Tahoma"/>
          <w:sz w:val="14"/>
          <w:szCs w:val="14"/>
          <w:lang w:val="sr-Latn-ME"/>
        </w:rPr>
        <w:t xml:space="preserve">na koje se primjenjuju </w:t>
      </w:r>
      <w:r w:rsidR="00186607" w:rsidRPr="00C76B13">
        <w:rPr>
          <w:rFonts w:ascii="Tahoma" w:eastAsia="Times New Roman" w:hAnsi="Tahoma" w:cs="Tahoma"/>
          <w:sz w:val="14"/>
          <w:szCs w:val="14"/>
          <w:lang w:val="sr-Latn-ME"/>
        </w:rPr>
        <w:t>članovi</w:t>
      </w:r>
      <w:r w:rsidR="00D077F1" w:rsidRPr="00C76B13">
        <w:rPr>
          <w:rFonts w:ascii="Tahoma" w:eastAsia="Times New Roman" w:hAnsi="Tahoma" w:cs="Tahoma"/>
          <w:sz w:val="14"/>
          <w:szCs w:val="14"/>
          <w:lang w:val="sr-Latn-ME"/>
        </w:rPr>
        <w:t xml:space="preserve"> 2, 3 i 4.</w:t>
      </w:r>
      <w:r w:rsidRPr="00D16C87">
        <w:rPr>
          <w:rFonts w:ascii="Tahoma" w:eastAsia="Times New Roman" w:hAnsi="Tahoma" w:cs="Tahoma"/>
          <w:sz w:val="14"/>
          <w:szCs w:val="14"/>
          <w:lang w:val="sr-Latn-ME"/>
        </w:rPr>
        <w:t xml:space="preserve">Zajedničkog </w:t>
      </w:r>
      <w:r w:rsidR="00186607" w:rsidRPr="00C76B13">
        <w:rPr>
          <w:rFonts w:ascii="Tahoma" w:eastAsia="Times New Roman" w:hAnsi="Tahoma" w:cs="Tahoma"/>
          <w:sz w:val="14"/>
          <w:szCs w:val="14"/>
          <w:lang w:val="sr-Latn-ME"/>
        </w:rPr>
        <w:t>stava</w:t>
      </w:r>
      <w:r w:rsidRPr="00D16C87">
        <w:rPr>
          <w:rFonts w:ascii="Tahoma" w:eastAsia="Times New Roman" w:hAnsi="Tahoma" w:cs="Tahoma"/>
          <w:sz w:val="14"/>
          <w:szCs w:val="14"/>
          <w:lang w:val="sr-Latn-ME"/>
        </w:rPr>
        <w:t xml:space="preserve"> 2001/931/</w:t>
      </w:r>
      <w:r w:rsidR="006A6F66" w:rsidRPr="00C76B13">
        <w:rPr>
          <w:rFonts w:ascii="Tahoma" w:eastAsia="Times New Roman" w:hAnsi="Tahoma" w:cs="Tahoma"/>
          <w:sz w:val="14"/>
          <w:szCs w:val="14"/>
          <w:lang w:val="sr-Latn-ME"/>
        </w:rPr>
        <w:t>ZVBP</w:t>
      </w:r>
      <w:r w:rsidRPr="00D16C87">
        <w:rPr>
          <w:rFonts w:ascii="Tahoma" w:eastAsia="Times New Roman" w:hAnsi="Tahoma" w:cs="Tahoma"/>
          <w:sz w:val="14"/>
          <w:szCs w:val="14"/>
          <w:lang w:val="sr-Latn-ME"/>
        </w:rPr>
        <w:t xml:space="preserve"> o primjeni posebnih mjera u borbi pr</w:t>
      </w:r>
      <w:r w:rsidR="00D077F1" w:rsidRPr="00C76B13">
        <w:rPr>
          <w:rFonts w:ascii="Tahoma" w:eastAsia="Times New Roman" w:hAnsi="Tahoma" w:cs="Tahoma"/>
          <w:sz w:val="14"/>
          <w:szCs w:val="14"/>
          <w:lang w:val="sr-Latn-ME"/>
        </w:rPr>
        <w:t xml:space="preserve">otiv terorizma i o stavljanju </w:t>
      </w:r>
      <w:r w:rsidRPr="00D16C87">
        <w:rPr>
          <w:rFonts w:ascii="Tahoma" w:eastAsia="Times New Roman" w:hAnsi="Tahoma" w:cs="Tahoma"/>
          <w:sz w:val="14"/>
          <w:szCs w:val="14"/>
          <w:lang w:val="sr-Latn-ME"/>
        </w:rPr>
        <w:t>van snage Odluke (</w:t>
      </w:r>
      <w:r w:rsidR="006A6F66" w:rsidRPr="00C76B13">
        <w:rPr>
          <w:rFonts w:ascii="Tahoma" w:eastAsia="Times New Roman" w:hAnsi="Tahoma" w:cs="Tahoma"/>
          <w:sz w:val="14"/>
          <w:szCs w:val="14"/>
          <w:lang w:val="sr-Latn-ME"/>
        </w:rPr>
        <w:t>ZVBP</w:t>
      </w:r>
      <w:r w:rsidRPr="00D16C87">
        <w:rPr>
          <w:rFonts w:ascii="Tahoma" w:eastAsia="Times New Roman" w:hAnsi="Tahoma" w:cs="Tahoma"/>
          <w:sz w:val="14"/>
          <w:szCs w:val="14"/>
          <w:lang w:val="sr-Latn-ME"/>
        </w:rPr>
        <w:t>) 2019/25 (</w:t>
      </w:r>
      <w:hyperlink r:id="rId11" w:history="1">
        <w:r w:rsidRPr="00D16C87">
          <w:rPr>
            <w:rFonts w:ascii="Tahoma" w:eastAsia="Times New Roman" w:hAnsi="Tahoma" w:cs="Tahoma"/>
            <w:color w:val="0000FF"/>
            <w:sz w:val="14"/>
            <w:szCs w:val="14"/>
            <w:u w:val="single"/>
            <w:lang w:val="sr-Latn-ME"/>
          </w:rPr>
          <w:t>SL L 209, 9.8.2019., str. 15.</w:t>
        </w:r>
      </w:hyperlink>
      <w:r w:rsidRPr="00D16C87">
        <w:rPr>
          <w:rFonts w:ascii="Tahoma" w:eastAsia="Times New Roman" w:hAnsi="Tahoma" w:cs="Tahoma"/>
          <w:sz w:val="14"/>
          <w:szCs w:val="14"/>
          <w:lang w:val="sr-Latn-ME"/>
        </w:rPr>
        <w:t>).</w:t>
      </w:r>
    </w:p>
    <w:p w:rsidR="00D077F1" w:rsidRDefault="00D16C87" w:rsidP="00175849">
      <w:pPr>
        <w:spacing w:after="0" w:line="240" w:lineRule="auto"/>
        <w:jc w:val="both"/>
        <w:rPr>
          <w:rFonts w:ascii="Tahoma" w:eastAsia="Times New Roman" w:hAnsi="Tahoma" w:cs="Tahoma"/>
          <w:lang w:val="sr-Latn-ME"/>
        </w:rPr>
      </w:pPr>
      <w:r w:rsidRPr="00D16C87">
        <w:rPr>
          <w:rFonts w:ascii="Tahoma" w:eastAsia="Times New Roman" w:hAnsi="Tahoma" w:cs="Tahoma"/>
          <w:lang w:val="sr-Latn-ME"/>
        </w:rPr>
        <w:pict>
          <v:rect id="_x0000_i1026" style="width:0;height:1.5pt" o:hralign="center" o:hrstd="t" o:hr="t" fillcolor="#a0a0a0" stroked="f"/>
        </w:pict>
      </w:r>
    </w:p>
    <w:p w:rsidR="00C76B13" w:rsidRPr="00175849" w:rsidRDefault="00C76B13" w:rsidP="00175849">
      <w:pPr>
        <w:spacing w:after="0" w:line="240" w:lineRule="auto"/>
        <w:jc w:val="both"/>
        <w:rPr>
          <w:rFonts w:ascii="Tahoma" w:eastAsia="Times New Roman" w:hAnsi="Tahoma" w:cs="Tahoma"/>
          <w:lang w:val="sr-Latn-ME"/>
        </w:rPr>
      </w:pPr>
    </w:p>
    <w:p w:rsidR="006E6C1E" w:rsidRPr="00175849" w:rsidRDefault="006E6C1E"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011A6C" w:rsidRDefault="00011A6C" w:rsidP="00175849">
      <w:pPr>
        <w:spacing w:after="0" w:line="240" w:lineRule="auto"/>
        <w:jc w:val="both"/>
        <w:rPr>
          <w:rFonts w:ascii="Tahoma" w:eastAsia="Times New Roman" w:hAnsi="Tahoma" w:cs="Tahoma"/>
          <w:lang w:val="sr-Latn-ME"/>
        </w:rPr>
      </w:pPr>
    </w:p>
    <w:p w:rsidR="00D16C87" w:rsidRDefault="00D16C87" w:rsidP="00175849">
      <w:pPr>
        <w:spacing w:after="0" w:line="240" w:lineRule="auto"/>
        <w:jc w:val="both"/>
        <w:rPr>
          <w:rFonts w:ascii="Tahoma" w:eastAsia="Times New Roman" w:hAnsi="Tahoma" w:cs="Tahoma"/>
          <w:lang w:val="sr-Latn-ME"/>
        </w:rPr>
      </w:pPr>
      <w:bookmarkStart w:id="0" w:name="_GoBack"/>
      <w:bookmarkEnd w:id="0"/>
      <w:r w:rsidRPr="00D16C87">
        <w:rPr>
          <w:rFonts w:ascii="Tahoma" w:eastAsia="Times New Roman" w:hAnsi="Tahoma" w:cs="Tahoma"/>
          <w:lang w:val="sr-Latn-ME"/>
        </w:rPr>
        <w:t>PRILOG</w:t>
      </w:r>
    </w:p>
    <w:p w:rsidR="00F03740" w:rsidRPr="00D16C87" w:rsidRDefault="00F03740" w:rsidP="00175849">
      <w:pPr>
        <w:spacing w:after="0" w:line="240" w:lineRule="auto"/>
        <w:jc w:val="both"/>
        <w:rPr>
          <w:rFonts w:ascii="Tahoma" w:eastAsia="Times New Roman" w:hAnsi="Tahoma" w:cs="Tahoma"/>
          <w:lang w:val="sr-Latn-ME"/>
        </w:rPr>
      </w:pPr>
    </w:p>
    <w:p w:rsidR="00D16C87" w:rsidRDefault="006A6F66" w:rsidP="00175849">
      <w:pPr>
        <w:spacing w:after="0" w:line="240" w:lineRule="auto"/>
        <w:jc w:val="both"/>
        <w:rPr>
          <w:rFonts w:ascii="Tahoma" w:eastAsia="Times New Roman" w:hAnsi="Tahoma" w:cs="Tahoma"/>
          <w:lang w:val="sr-Latn-ME"/>
        </w:rPr>
      </w:pPr>
      <w:r w:rsidRPr="00175849">
        <w:rPr>
          <w:rFonts w:ascii="Tahoma" w:eastAsia="Times New Roman" w:hAnsi="Tahoma" w:cs="Tahoma"/>
          <w:lang w:val="sr-Latn-ME"/>
        </w:rPr>
        <w:t xml:space="preserve">LISTA LICA, GRUPA I SUBJEKATA IZ ČLANA </w:t>
      </w:r>
      <w:r w:rsidR="00641FD5" w:rsidRPr="00175849">
        <w:rPr>
          <w:rFonts w:ascii="Tahoma" w:eastAsia="Times New Roman" w:hAnsi="Tahoma" w:cs="Tahoma"/>
          <w:lang w:val="sr-Latn-ME"/>
        </w:rPr>
        <w:t>1</w:t>
      </w:r>
      <w:r w:rsidR="00D16C87" w:rsidRPr="00D16C87">
        <w:rPr>
          <w:rFonts w:ascii="Tahoma" w:eastAsia="Times New Roman" w:hAnsi="Tahoma" w:cs="Tahoma"/>
          <w:lang w:val="sr-Latn-ME"/>
        </w:rPr>
        <w:t xml:space="preserve"> </w:t>
      </w:r>
    </w:p>
    <w:p w:rsidR="00C76B13" w:rsidRPr="00D16C87" w:rsidRDefault="00C76B13" w:rsidP="00175849">
      <w:pPr>
        <w:spacing w:after="0" w:line="240" w:lineRule="auto"/>
        <w:jc w:val="both"/>
        <w:rPr>
          <w:rFonts w:ascii="Tahoma" w:eastAsia="Times New Roman" w:hAnsi="Tahoma" w:cs="Tahoma"/>
          <w:lang w:val="sr-Latn-ME"/>
        </w:rPr>
      </w:pPr>
    </w:p>
    <w:p w:rsidR="00D16C87" w:rsidRDefault="00D16C87" w:rsidP="00175849">
      <w:pPr>
        <w:spacing w:after="0" w:line="240" w:lineRule="auto"/>
        <w:jc w:val="both"/>
        <w:rPr>
          <w:rFonts w:ascii="Tahoma" w:eastAsia="Times New Roman" w:hAnsi="Tahoma" w:cs="Tahoma"/>
          <w:lang w:val="sr-Latn-ME"/>
        </w:rPr>
      </w:pPr>
      <w:r w:rsidRPr="00D16C87">
        <w:rPr>
          <w:rFonts w:ascii="Tahoma" w:eastAsia="Times New Roman" w:hAnsi="Tahoma" w:cs="Tahoma"/>
          <w:lang w:val="sr-Latn-ME"/>
        </w:rPr>
        <w:t>I.   </w:t>
      </w:r>
      <w:r w:rsidR="006A6F66" w:rsidRPr="00175849">
        <w:rPr>
          <w:rFonts w:ascii="Tahoma" w:eastAsia="Times New Roman" w:hAnsi="Tahoma" w:cs="Tahoma"/>
          <w:lang w:val="sr-Latn-ME"/>
        </w:rPr>
        <w:t>LICA</w:t>
      </w:r>
    </w:p>
    <w:p w:rsidR="00C76B13" w:rsidRPr="00175849" w:rsidRDefault="00C76B13" w:rsidP="00175849">
      <w:pPr>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ABDOLLAHI Hamed (takođe poznat kao Mustafa Abdullahi), rođen 11.8.1960. godine u Iranu. broj pasoša: D9004878.</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 xml:space="preserve"> AL-NASSER, Abdelkarim Hussein Mohamed, rođen u Al Ihsi (Saudijska Arabija), državljanin Saudijske Arabije.</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AL YACOUB, Ibrahim Salih Mohammed, rođen 16.10.1966. godine  u Tarutu (Saudijska Arabija), državljanin Saudijske Arabije.</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ARBABSIAR Manssor (takođe poznat kao Mansour Arbabsiar), rođen 6.3.1955. ili 15.3.1955. godine, u Iranu. Državljanin Irana i SAD-a, broj pasoša: C2002515 (Iran); broj pasoša: 477845448 (SAD). Broj nacionalne lične isprave: 07442833, datum isteka 15.3.2016. godine (vozačka dozvola SAD-a).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ASADI Assadollah, rođen 22.12.1971. godine u Teheranu (Iran), državljanin Irana. Broj iranskog diplomatskog pasoša: D9016657.</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BOUYERI, Mohammed (takođe poznat kao Abu ZUBAIR, takođe poznat kao SOBIAR, takođe poznat kao Abu ZOUBAIR), rođen 8.3.1978. godine  u Amsterdamu (Holandija).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EL HAJJ, Hassan Hassan, rođen 22.3.1988. godine u Zaghdraiyi, okrug Sidon, Liban, državljanin Kanade. Broj pasoša: JX446643 (Kanada).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HASHEMI MOGHADAM Saeid, rođen 6.8.1962. godine u Teheranu (Iran), državljanin Irana. Broj pasoša: D9016290, validan do 4.2.2019. godine</w:t>
      </w:r>
      <w:r w:rsidRPr="00175849">
        <w:rPr>
          <w:rFonts w:ascii="Tahoma" w:eastAsia="Times New Roman" w:hAnsi="Tahoma" w:cs="Tahoma"/>
          <w:lang w:val="sr-Latn-ME"/>
        </w:rPr>
        <w:t>.</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IZZ-AL-DIN, Hasan (takođe poznat kao GARBAYA, Ahmed; takođe poznat kao SA-ID; takođe poznat kao SALWWAN, Samir), rođen 1963. godine u Libanu, državljanin Libana.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MELIAD, Farah, rođen 5.11.1980. godine u Sidneju (Australija), državljanin Australije. Broj pasoša: M2719127 (Australija).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MOHAMMED, Khalid Shaikh (takođe poznat kao ALI, Salem, takođe poznat kao BIN KHALID, Fahd Bin Adballah, takođe poznat kao HENIN, Ashraf Refaat Nabith, takođe poznat kao WADOOD, Khalid Adbul), rođen 14.4.1965. ili 1.3.1964.  godine u Pakistanu, broj pasoša 488555.</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ŞANLI, Dalokay (takođe poznat kao Sinan), rođen 13.10.1976. godine u Pülümüru (Turska).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 xml:space="preserve">SHAHLAI Abdul Reza (takođe poznat kao Abdol Reza Shala'i, takođe poznat kao Abd-al Reza Shalai, takođe poznat kao Abdorreza Shahlai, takođe poznat kao Abdolreza Shahla'i, takođe poznat kao Abdul-Reza Shahlaee, takođe poznat kao Hajj Yusef, takođe poznat kao Haji Yusif, takođe poznat kao Hajji Yasir, takođe poznat kao Hajji Yusif, </w:t>
      </w:r>
      <w:r w:rsidRPr="00175849">
        <w:rPr>
          <w:rFonts w:ascii="Tahoma" w:eastAsia="Times New Roman" w:hAnsi="Tahoma" w:cs="Tahoma"/>
          <w:lang w:val="sr-Latn-ME"/>
        </w:rPr>
        <w:lastRenderedPageBreak/>
        <w:t>takođe poznat kao Yusuf Abu-al-Karkh), rođen oko 1957. u Iranu. Adrese: (1) Kermanshah, Iran, (2) Vojna baza Mehran, provincija Ilam, Iran.</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SHAKURI Ali Gholam, rođen oko 1965. godine u Teheranu, Iran.</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6E6C1E" w:rsidRDefault="006E6C1E" w:rsidP="00175849">
      <w:pPr>
        <w:pStyle w:val="ListParagraph"/>
        <w:numPr>
          <w:ilvl w:val="0"/>
          <w:numId w:val="3"/>
        </w:numPr>
        <w:spacing w:after="0" w:line="240" w:lineRule="auto"/>
        <w:jc w:val="both"/>
        <w:rPr>
          <w:rFonts w:ascii="Tahoma" w:eastAsia="Times New Roman" w:hAnsi="Tahoma" w:cs="Tahoma"/>
          <w:lang w:val="sr-Latn-ME"/>
        </w:rPr>
      </w:pPr>
      <w:r w:rsidRPr="00175849">
        <w:rPr>
          <w:rFonts w:ascii="Tahoma" w:eastAsia="Times New Roman" w:hAnsi="Tahoma" w:cs="Tahoma"/>
          <w:lang w:val="sr-Latn-ME"/>
        </w:rPr>
        <w:t>SOLEIMANI Qasem (preminuo) (takođe poznat kao Ghasem Soleymani, takođe poznat kao Qasmi Sulayman, takođe poznat kao Qasem Soleymani, takođe poznat kao Qasem Solaimani, takođe poznat kao Qasem Salimani, takođe poznat kao Qasem Solemani, takođe poznat kao Qasem Sulaimani, takođe poznat kao Qasem Sulemani), rođen 11.3.1957.  godine u Iranu. Državljanin Irana. Broj pasoša: 008827 (iranski diplomatski pasoš), izdat: 1999. godine. Čin: general major.</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9831C8" w:rsidRDefault="00D16C87" w:rsidP="00175849">
      <w:pPr>
        <w:spacing w:after="0" w:line="240" w:lineRule="auto"/>
        <w:jc w:val="both"/>
        <w:rPr>
          <w:rFonts w:ascii="Tahoma" w:eastAsia="Times New Roman" w:hAnsi="Tahoma" w:cs="Tahoma"/>
          <w:lang w:val="sr-Latn-ME"/>
        </w:rPr>
      </w:pPr>
      <w:r w:rsidRPr="00D16C87">
        <w:rPr>
          <w:rFonts w:ascii="Tahoma" w:eastAsia="Times New Roman" w:hAnsi="Tahoma" w:cs="Tahoma"/>
          <w:lang w:val="sr-Latn-ME"/>
        </w:rPr>
        <w:t>II.   </w:t>
      </w:r>
      <w:r w:rsidR="00875AB7" w:rsidRPr="00175849">
        <w:rPr>
          <w:rFonts w:ascii="Tahoma" w:eastAsia="Times New Roman" w:hAnsi="Tahoma" w:cs="Tahoma"/>
          <w:lang w:val="sr-Latn-ME"/>
        </w:rPr>
        <w:t>GRUPE</w:t>
      </w:r>
      <w:r w:rsidRPr="00D16C87">
        <w:rPr>
          <w:rFonts w:ascii="Tahoma" w:eastAsia="Times New Roman" w:hAnsi="Tahoma" w:cs="Tahoma"/>
          <w:lang w:val="sr-Latn-ME"/>
        </w:rPr>
        <w:t xml:space="preserve"> I SUBJEKTI</w:t>
      </w:r>
    </w:p>
    <w:p w:rsidR="004E7B10" w:rsidRPr="00175849" w:rsidRDefault="004E7B10" w:rsidP="00175849">
      <w:pPr>
        <w:spacing w:after="0" w:line="240" w:lineRule="auto"/>
        <w:jc w:val="both"/>
        <w:rPr>
          <w:rFonts w:ascii="Tahoma" w:eastAsia="Times New Roman" w:hAnsi="Tahoma" w:cs="Tahoma"/>
          <w:lang w:val="sr-Latn-ME"/>
        </w:rPr>
      </w:pPr>
    </w:p>
    <w:p w:rsidR="00875AB7" w:rsidRPr="00175849"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„Abu Nidal Organisation” (Organizacija Abu Nidal) — „ANO” (takođe poznata kao „Fatah Revolutionary Council” (Revolucionarno Savjet Fataha), takođe poznata kao „Arab Revolutionary Brigades” (Arapske revolucionarne brigade), takođe poznata kao „Black September” (Crni septembar), takođe poznata kao „Revolutionary Organisation of Socialist Muslims” (Revolucionarna organizacija socijalističkih muslimana)).</w:t>
      </w:r>
    </w:p>
    <w:p w:rsidR="009831C8" w:rsidRPr="00175849" w:rsidRDefault="009831C8" w:rsidP="00175849">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„Al-Aqsa Martyrs' Brigade” (Brigada mučenika Al-Aqse</w:t>
      </w:r>
      <w:r w:rsidR="009831C8" w:rsidRPr="00175849">
        <w:rPr>
          <w:rFonts w:ascii="Tahoma" w:hAnsi="Tahoma" w:cs="Tahoma"/>
          <w:lang w:val="sr-Latn-ME"/>
        </w:rPr>
        <w:t>(Al Akse)</w:t>
      </w:r>
      <w:r w:rsidRPr="00175849">
        <w:rPr>
          <w:rFonts w:ascii="Tahoma" w:hAnsi="Tahoma" w:cs="Tahoma"/>
          <w:lang w:val="sr-Latn-ME"/>
        </w:rPr>
        <w:t>).</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„Al-Aqsa e.V.”</w:t>
      </w:r>
      <w:r w:rsidR="00E759A5" w:rsidRPr="00175849">
        <w:rPr>
          <w:rFonts w:ascii="Tahoma" w:hAnsi="Tahoma" w:cs="Tahoma"/>
          <w:lang w:val="sr-Latn-ME"/>
        </w:rPr>
        <w:t xml:space="preserve"> (Al –Aksa e.V)</w:t>
      </w:r>
      <w:r w:rsidRPr="00175849">
        <w:rPr>
          <w:rFonts w:ascii="Tahoma" w:hAnsi="Tahoma" w:cs="Tahoma"/>
          <w:lang w:val="sr-Latn-ME"/>
        </w:rPr>
        <w:t>.</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„Babbar Khalsa”.</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„Communist Party of the Philippines” (Komunistička partija Filipina), uključujući „New People's Army” (Nova narodna vojska) — „NPA”, Filipini.</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„Directorate for Internal Security of the Iranian Ministry for Intelligence and Security” (Uprava za unu</w:t>
      </w:r>
      <w:r w:rsidR="00E759A5" w:rsidRPr="00175849">
        <w:rPr>
          <w:rFonts w:ascii="Tahoma" w:hAnsi="Tahoma" w:cs="Tahoma"/>
          <w:lang w:val="sr-Latn-ME"/>
        </w:rPr>
        <w:t>trašnju</w:t>
      </w:r>
      <w:r w:rsidRPr="00175849">
        <w:rPr>
          <w:rFonts w:ascii="Tahoma" w:hAnsi="Tahoma" w:cs="Tahoma"/>
          <w:lang w:val="sr-Latn-ME"/>
        </w:rPr>
        <w:t xml:space="preserve"> sigurnost iranskog Ministarstva obavještajne djelatnosti i </w:t>
      </w:r>
      <w:r w:rsidR="008C6101" w:rsidRPr="00175849">
        <w:rPr>
          <w:rFonts w:ascii="Tahoma" w:hAnsi="Tahoma" w:cs="Tahoma"/>
          <w:lang w:val="sr-Latn-ME"/>
        </w:rPr>
        <w:t>bezbjednosti</w:t>
      </w:r>
      <w:r w:rsidRPr="00175849">
        <w:rPr>
          <w:rFonts w:ascii="Tahoma" w:hAnsi="Tahoma" w:cs="Tahoma"/>
          <w:lang w:val="sr-Latn-ME"/>
        </w:rPr>
        <w:t>).</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4E7B10"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 xml:space="preserve">„Gama'a al Islamiyya” (takođe poznata kao „Al-Gama'a al-Islamiyya”) („Islamic Group” (Islamska </w:t>
      </w:r>
      <w:r w:rsidR="00C76B13">
        <w:rPr>
          <w:rFonts w:ascii="Tahoma" w:hAnsi="Tahoma" w:cs="Tahoma"/>
          <w:lang w:val="sr-Latn-ME"/>
        </w:rPr>
        <w:t>grupa</w:t>
      </w:r>
      <w:r w:rsidRPr="00175849">
        <w:rPr>
          <w:rFonts w:ascii="Tahoma" w:hAnsi="Tahoma" w:cs="Tahoma"/>
          <w:lang w:val="sr-Latn-ME"/>
        </w:rPr>
        <w:t>) — „IG”).</w:t>
      </w:r>
    </w:p>
    <w:p w:rsidR="004E7B10" w:rsidRPr="00175849" w:rsidRDefault="004E7B10" w:rsidP="004E7B10">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w:t>
      </w:r>
      <w:r w:rsidR="00C76B13">
        <w:rPr>
          <w:rFonts w:ascii="Tahoma" w:hAnsi="Tahoma" w:cs="Tahoma"/>
          <w:lang w:val="sr-Latn-ME"/>
        </w:rPr>
        <w:t>I</w:t>
      </w:r>
      <w:r w:rsidRPr="00175849">
        <w:rPr>
          <w:rFonts w:ascii="Tahoma" w:hAnsi="Tahoma" w:cs="Tahoma"/>
          <w:lang w:val="sr-Latn-ME"/>
        </w:rPr>
        <w:t xml:space="preserve">slami Büyük Doğu Akıncılar Cephesi” — „IBDA-C” („Great Islamic </w:t>
      </w:r>
      <w:r w:rsidR="00D35443" w:rsidRPr="00175849">
        <w:rPr>
          <w:rFonts w:ascii="Tahoma" w:hAnsi="Tahoma" w:cs="Tahoma"/>
          <w:lang w:val="sr-Latn-ME"/>
        </w:rPr>
        <w:t>Eastern Warriors Front”) (Front</w:t>
      </w:r>
      <w:r w:rsidRPr="00175849">
        <w:rPr>
          <w:rFonts w:ascii="Tahoma" w:hAnsi="Tahoma" w:cs="Tahoma"/>
          <w:lang w:val="sr-Latn-ME"/>
        </w:rPr>
        <w:t xml:space="preserve"> ratnika velikog islamskog istoka).</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175849"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„Hamas”, uključujući „Hamas-Izz al-Din al-Qassem”.</w:t>
      </w:r>
    </w:p>
    <w:p w:rsidR="00D35443" w:rsidRPr="00175849" w:rsidRDefault="00D35443" w:rsidP="00175849">
      <w:pPr>
        <w:pStyle w:val="ListParagraph"/>
        <w:spacing w:after="0" w:line="240" w:lineRule="auto"/>
        <w:jc w:val="both"/>
        <w:rPr>
          <w:rFonts w:ascii="Tahoma" w:eastAsia="Times New Roman" w:hAnsi="Tahoma" w:cs="Tahoma"/>
          <w:lang w:val="sr-Latn-ME"/>
        </w:rPr>
      </w:pPr>
    </w:p>
    <w:p w:rsidR="008C6101" w:rsidRPr="00C76B13" w:rsidRDefault="00875AB7" w:rsidP="0082686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 xml:space="preserve">„Hizballah Military Wing” (Vojno krilo Hezbolaha) (takođe poznato kao „Hezbollah Military Wing”, takođe poznato kao „Hizbullah Military Wing”, takođe poznato kao „Hizbollah Military Wing”, takođe poznato kao „Hezballah Military Wing”, takođe poznato kao „Hisbollah Military Wing”, takođe poznato kao „Hizbu'llah Military Wing”, takođe poznato kao „Hizb Allah Military Wing”, takođe poznato kao „Jihad Council” (Savjet džihada) (kao i sve jedinice koje su mu podređene, uključujući Organizaciju za vanjsku </w:t>
      </w:r>
      <w:r w:rsidR="008C6101" w:rsidRPr="00175849">
        <w:rPr>
          <w:rFonts w:ascii="Tahoma" w:hAnsi="Tahoma" w:cs="Tahoma"/>
          <w:lang w:val="sr-Latn-ME"/>
        </w:rPr>
        <w:t>bezbjednost</w:t>
      </w:r>
      <w:r w:rsidRPr="00175849">
        <w:rPr>
          <w:rFonts w:ascii="Tahoma" w:hAnsi="Tahoma" w:cs="Tahoma"/>
          <w:lang w:val="sr-Latn-ME"/>
        </w:rPr>
        <w:t>)).</w:t>
      </w:r>
    </w:p>
    <w:p w:rsidR="00C76B13" w:rsidRPr="0082686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C6101"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 xml:space="preserve"> </w:t>
      </w:r>
      <w:r w:rsidR="00875AB7" w:rsidRPr="00175849">
        <w:rPr>
          <w:rFonts w:ascii="Tahoma" w:hAnsi="Tahoma" w:cs="Tahoma"/>
          <w:lang w:val="sr-Latn-ME"/>
        </w:rPr>
        <w:t>„Hizbul Mujahideen” — „HM”.</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lastRenderedPageBreak/>
        <w:t>„Khalistan Zindabad Force” (Snage Khalistan Zindabad) — „KZF”.</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„Kurdistan Workers' Party” (</w:t>
      </w:r>
      <w:r w:rsidR="00960E18" w:rsidRPr="00175849">
        <w:rPr>
          <w:rFonts w:ascii="Tahoma" w:hAnsi="Tahoma" w:cs="Tahoma"/>
          <w:lang w:val="sr-Latn-ME"/>
        </w:rPr>
        <w:t>Radnička partijaKurdistana</w:t>
      </w:r>
      <w:r w:rsidRPr="00175849">
        <w:rPr>
          <w:rFonts w:ascii="Tahoma" w:hAnsi="Tahoma" w:cs="Tahoma"/>
          <w:lang w:val="sr-Latn-ME"/>
        </w:rPr>
        <w:t>) — „PKK” (takođe poznata kao „KADEK”, takođe poznata kao „KONGRA-GEL”).</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„Liberation Tigers of Tamil Eelam” (</w:t>
      </w:r>
      <w:r w:rsidR="00960E18" w:rsidRPr="00175849">
        <w:rPr>
          <w:rFonts w:ascii="Tahoma" w:hAnsi="Tahoma" w:cs="Tahoma"/>
          <w:lang w:val="sr-Latn-ME"/>
        </w:rPr>
        <w:t>Tamilski tigrovi-</w:t>
      </w:r>
      <w:r w:rsidRPr="00175849">
        <w:rPr>
          <w:rFonts w:ascii="Tahoma" w:hAnsi="Tahoma" w:cs="Tahoma"/>
          <w:lang w:val="sr-Latn-ME"/>
        </w:rPr>
        <w:t>Oslobodilački tigrovi tamilskog Eelama) — „LTTE”.</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„Ejército de Liberación Nacional” („National Liberation Army”) (Nacionalna oslobodilačka vojska).</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„Palestinian Islamic Jihad” (Palestinski islamski džihad) — „PIJ”.</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„Popular Front for the Liberation of Palestine” (Narodn</w:t>
      </w:r>
      <w:r w:rsidR="00F34B07" w:rsidRPr="00175849">
        <w:rPr>
          <w:rFonts w:ascii="Tahoma" w:hAnsi="Tahoma" w:cs="Tahoma"/>
          <w:lang w:val="sr-Latn-ME"/>
        </w:rPr>
        <w:t>i</w:t>
      </w:r>
      <w:r w:rsidRPr="00175849">
        <w:rPr>
          <w:rFonts w:ascii="Tahoma" w:hAnsi="Tahoma" w:cs="Tahoma"/>
          <w:lang w:val="sr-Latn-ME"/>
        </w:rPr>
        <w:t xml:space="preserve"> fronta za oslobođenje Palestine) — „PFLP”.</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„Popular Front for the Liberation of Palestine — General Command” (Narodn</w:t>
      </w:r>
      <w:r w:rsidR="00F34B07" w:rsidRPr="00175849">
        <w:rPr>
          <w:rFonts w:ascii="Tahoma" w:hAnsi="Tahoma" w:cs="Tahoma"/>
          <w:lang w:val="sr-Latn-ME"/>
        </w:rPr>
        <w:t>i</w:t>
      </w:r>
      <w:r w:rsidRPr="00175849">
        <w:rPr>
          <w:rFonts w:ascii="Tahoma" w:hAnsi="Tahoma" w:cs="Tahoma"/>
          <w:lang w:val="sr-Latn-ME"/>
        </w:rPr>
        <w:t xml:space="preserve"> fronta za</w:t>
      </w:r>
      <w:r w:rsidR="00F34B07" w:rsidRPr="00175849">
        <w:rPr>
          <w:rFonts w:ascii="Tahoma" w:hAnsi="Tahoma" w:cs="Tahoma"/>
          <w:lang w:val="sr-Latn-ME"/>
        </w:rPr>
        <w:t xml:space="preserve"> oslobođenje Palestine — Glavna komanda</w:t>
      </w:r>
      <w:r w:rsidRPr="00175849">
        <w:rPr>
          <w:rFonts w:ascii="Tahoma" w:hAnsi="Tahoma" w:cs="Tahoma"/>
          <w:lang w:val="sr-Latn-ME"/>
        </w:rPr>
        <w:t>) (takođe poznata kao „PFLP — G</w:t>
      </w:r>
      <w:r w:rsidR="00223E05" w:rsidRPr="00175849">
        <w:rPr>
          <w:rFonts w:ascii="Tahoma" w:hAnsi="Tahoma" w:cs="Tahoma"/>
          <w:lang w:val="sr-Latn-ME"/>
        </w:rPr>
        <w:t>eneral Command” (PFLP — Glavna komanda</w:t>
      </w:r>
      <w:r w:rsidRPr="00175849">
        <w:rPr>
          <w:rFonts w:ascii="Tahoma" w:hAnsi="Tahoma" w:cs="Tahoma"/>
          <w:lang w:val="sr-Latn-ME"/>
        </w:rPr>
        <w:t>)).</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„Devrimci Halk Kurtuluș Partisi-Cephesi”— „DHKP/C” (takođe poznata kao „Devrimci Sol”) („Revolutionary Left”) (Revolucionarna ljevica), (takođe poznata kao „Dev Sol”) („Revolutionary People's Liberation Army/Front/Party”) (Narodna oslobodila</w:t>
      </w:r>
      <w:r w:rsidR="00223E05" w:rsidRPr="00175849">
        <w:rPr>
          <w:rFonts w:ascii="Tahoma" w:hAnsi="Tahoma" w:cs="Tahoma"/>
          <w:lang w:val="sr-Latn-ME"/>
        </w:rPr>
        <w:t>čka revolucionarna vojska/front</w:t>
      </w:r>
      <w:r w:rsidRPr="00175849">
        <w:rPr>
          <w:rFonts w:ascii="Tahoma" w:hAnsi="Tahoma" w:cs="Tahoma"/>
          <w:lang w:val="sr-Latn-ME"/>
        </w:rPr>
        <w:t>/</w:t>
      </w:r>
      <w:r w:rsidR="00223E05" w:rsidRPr="00175849">
        <w:rPr>
          <w:rFonts w:ascii="Tahoma" w:hAnsi="Tahoma" w:cs="Tahoma"/>
          <w:lang w:val="sr-Latn-ME"/>
        </w:rPr>
        <w:t>partija</w:t>
      </w:r>
      <w:r w:rsidRPr="00175849">
        <w:rPr>
          <w:rFonts w:ascii="Tahoma" w:hAnsi="Tahoma" w:cs="Tahoma"/>
          <w:lang w:val="sr-Latn-ME"/>
        </w:rPr>
        <w:t>).</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875AB7" w:rsidRPr="00C76B13"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„Sendero Luminoso” — „SL” („Shining Path”) (Osvijetljeni put).</w:t>
      </w:r>
    </w:p>
    <w:p w:rsidR="00C76B13" w:rsidRPr="00175849" w:rsidRDefault="00C76B13" w:rsidP="00C76B13">
      <w:pPr>
        <w:pStyle w:val="ListParagraph"/>
        <w:spacing w:after="0" w:line="240" w:lineRule="auto"/>
        <w:jc w:val="both"/>
        <w:rPr>
          <w:rFonts w:ascii="Tahoma" w:eastAsia="Times New Roman" w:hAnsi="Tahoma" w:cs="Tahoma"/>
          <w:lang w:val="sr-Latn-ME"/>
        </w:rPr>
      </w:pPr>
    </w:p>
    <w:p w:rsidR="00772320" w:rsidRPr="00175849" w:rsidRDefault="00875AB7" w:rsidP="00175849">
      <w:pPr>
        <w:pStyle w:val="ListParagraph"/>
        <w:numPr>
          <w:ilvl w:val="0"/>
          <w:numId w:val="2"/>
        </w:numPr>
        <w:spacing w:after="0" w:line="240" w:lineRule="auto"/>
        <w:jc w:val="both"/>
        <w:rPr>
          <w:rFonts w:ascii="Tahoma" w:eastAsia="Times New Roman" w:hAnsi="Tahoma" w:cs="Tahoma"/>
          <w:lang w:val="sr-Latn-ME"/>
        </w:rPr>
      </w:pPr>
      <w:r w:rsidRPr="00175849">
        <w:rPr>
          <w:rFonts w:ascii="Tahoma" w:hAnsi="Tahoma" w:cs="Tahoma"/>
          <w:lang w:val="sr-Latn-ME"/>
        </w:rPr>
        <w:t xml:space="preserve">„Teyrbazen Azadiya Kurdistan” — „TAK” (takođe poznata kao „Kurdistan Freedom Falcons” (Kurdistanski </w:t>
      </w:r>
      <w:r w:rsidR="00223E05" w:rsidRPr="00175849">
        <w:rPr>
          <w:rFonts w:ascii="Tahoma" w:hAnsi="Tahoma" w:cs="Tahoma"/>
          <w:lang w:val="sr-Latn-ME"/>
        </w:rPr>
        <w:t>sokolovi</w:t>
      </w:r>
      <w:r w:rsidRPr="00175849">
        <w:rPr>
          <w:rFonts w:ascii="Tahoma" w:hAnsi="Tahoma" w:cs="Tahoma"/>
          <w:lang w:val="sr-Latn-ME"/>
        </w:rPr>
        <w:t xml:space="preserve"> slobode), takođe poznata kao „Kurdistan Freedom Hawks” (Kurdistanski jastrebovi slobode)).</w:t>
      </w:r>
    </w:p>
    <w:sectPr w:rsidR="00772320" w:rsidRPr="00175849" w:rsidSect="00C76B13">
      <w:pgSz w:w="12240" w:h="15840"/>
      <w:pgMar w:top="135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35AE" w:rsidRDefault="008735AE" w:rsidP="003B042B">
      <w:pPr>
        <w:spacing w:after="0" w:line="240" w:lineRule="auto"/>
      </w:pPr>
      <w:r>
        <w:separator/>
      </w:r>
    </w:p>
  </w:endnote>
  <w:endnote w:type="continuationSeparator" w:id="0">
    <w:p w:rsidR="008735AE" w:rsidRDefault="008735AE" w:rsidP="003B04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35AE" w:rsidRDefault="008735AE" w:rsidP="003B042B">
      <w:pPr>
        <w:spacing w:after="0" w:line="240" w:lineRule="auto"/>
      </w:pPr>
      <w:r>
        <w:separator/>
      </w:r>
    </w:p>
  </w:footnote>
  <w:footnote w:type="continuationSeparator" w:id="0">
    <w:p w:rsidR="008735AE" w:rsidRDefault="008735AE" w:rsidP="003B04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1A19"/>
    <w:multiLevelType w:val="hybridMultilevel"/>
    <w:tmpl w:val="ABF45940"/>
    <w:lvl w:ilvl="0" w:tplc="D1C062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DF482A"/>
    <w:multiLevelType w:val="hybridMultilevel"/>
    <w:tmpl w:val="8C924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0F3DE6"/>
    <w:multiLevelType w:val="hybridMultilevel"/>
    <w:tmpl w:val="C7882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190993"/>
    <w:multiLevelType w:val="hybridMultilevel"/>
    <w:tmpl w:val="E16457F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C87"/>
    <w:rsid w:val="00011A6C"/>
    <w:rsid w:val="000444BA"/>
    <w:rsid w:val="000509C9"/>
    <w:rsid w:val="00114D77"/>
    <w:rsid w:val="00117B5F"/>
    <w:rsid w:val="00120196"/>
    <w:rsid w:val="00142B30"/>
    <w:rsid w:val="00150716"/>
    <w:rsid w:val="00175849"/>
    <w:rsid w:val="00176F5C"/>
    <w:rsid w:val="00186607"/>
    <w:rsid w:val="00223E05"/>
    <w:rsid w:val="002E31C3"/>
    <w:rsid w:val="00307453"/>
    <w:rsid w:val="00397E2D"/>
    <w:rsid w:val="003B042B"/>
    <w:rsid w:val="004E7B10"/>
    <w:rsid w:val="005669AF"/>
    <w:rsid w:val="00577931"/>
    <w:rsid w:val="00641FD5"/>
    <w:rsid w:val="00683A0B"/>
    <w:rsid w:val="006A6F66"/>
    <w:rsid w:val="006B1E79"/>
    <w:rsid w:val="006E6C1E"/>
    <w:rsid w:val="00772320"/>
    <w:rsid w:val="007F7358"/>
    <w:rsid w:val="00826869"/>
    <w:rsid w:val="008735AE"/>
    <w:rsid w:val="00875AB7"/>
    <w:rsid w:val="008C6101"/>
    <w:rsid w:val="00960E18"/>
    <w:rsid w:val="009831C8"/>
    <w:rsid w:val="009B679B"/>
    <w:rsid w:val="009C1255"/>
    <w:rsid w:val="009E274B"/>
    <w:rsid w:val="009E353B"/>
    <w:rsid w:val="00A12B49"/>
    <w:rsid w:val="00A950F1"/>
    <w:rsid w:val="00AF3D1C"/>
    <w:rsid w:val="00C14C82"/>
    <w:rsid w:val="00C76B13"/>
    <w:rsid w:val="00CD30C1"/>
    <w:rsid w:val="00D077F1"/>
    <w:rsid w:val="00D16C87"/>
    <w:rsid w:val="00D35443"/>
    <w:rsid w:val="00D76BAB"/>
    <w:rsid w:val="00DA6C40"/>
    <w:rsid w:val="00DE3269"/>
    <w:rsid w:val="00E220B6"/>
    <w:rsid w:val="00E33259"/>
    <w:rsid w:val="00E64B38"/>
    <w:rsid w:val="00E759A5"/>
    <w:rsid w:val="00EB7187"/>
    <w:rsid w:val="00F03740"/>
    <w:rsid w:val="00F34B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AB7"/>
    <w:pPr>
      <w:ind w:left="720"/>
      <w:contextualSpacing/>
    </w:pPr>
  </w:style>
  <w:style w:type="paragraph" w:styleId="Header">
    <w:name w:val="header"/>
    <w:basedOn w:val="Normal"/>
    <w:link w:val="HeaderChar"/>
    <w:uiPriority w:val="99"/>
    <w:unhideWhenUsed/>
    <w:rsid w:val="003B0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2B"/>
  </w:style>
  <w:style w:type="paragraph" w:styleId="Footer">
    <w:name w:val="footer"/>
    <w:basedOn w:val="Normal"/>
    <w:link w:val="FooterChar"/>
    <w:uiPriority w:val="99"/>
    <w:unhideWhenUsed/>
    <w:rsid w:val="003B0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2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5AB7"/>
    <w:pPr>
      <w:ind w:left="720"/>
      <w:contextualSpacing/>
    </w:pPr>
  </w:style>
  <w:style w:type="paragraph" w:styleId="Header">
    <w:name w:val="header"/>
    <w:basedOn w:val="Normal"/>
    <w:link w:val="HeaderChar"/>
    <w:uiPriority w:val="99"/>
    <w:unhideWhenUsed/>
    <w:rsid w:val="003B04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042B"/>
  </w:style>
  <w:style w:type="paragraph" w:styleId="Footer">
    <w:name w:val="footer"/>
    <w:basedOn w:val="Normal"/>
    <w:link w:val="FooterChar"/>
    <w:uiPriority w:val="99"/>
    <w:unhideWhenUsed/>
    <w:rsid w:val="003B04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04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5019659">
      <w:bodyDiv w:val="1"/>
      <w:marLeft w:val="0"/>
      <w:marRight w:val="0"/>
      <w:marTop w:val="0"/>
      <w:marBottom w:val="0"/>
      <w:divBdr>
        <w:top w:val="none" w:sz="0" w:space="0" w:color="auto"/>
        <w:left w:val="none" w:sz="0" w:space="0" w:color="auto"/>
        <w:bottom w:val="none" w:sz="0" w:space="0" w:color="auto"/>
        <w:right w:val="none" w:sz="0" w:space="0" w:color="auto"/>
      </w:divBdr>
      <w:divsChild>
        <w:div w:id="922570380">
          <w:marLeft w:val="0"/>
          <w:marRight w:val="0"/>
          <w:marTop w:val="0"/>
          <w:marBottom w:val="0"/>
          <w:divBdr>
            <w:top w:val="none" w:sz="0" w:space="0" w:color="auto"/>
            <w:left w:val="none" w:sz="0" w:space="0" w:color="auto"/>
            <w:bottom w:val="none" w:sz="0" w:space="0" w:color="auto"/>
            <w:right w:val="none" w:sz="0" w:space="0" w:color="auto"/>
          </w:divBdr>
          <w:divsChild>
            <w:div w:id="1096026097">
              <w:marLeft w:val="0"/>
              <w:marRight w:val="0"/>
              <w:marTop w:val="0"/>
              <w:marBottom w:val="0"/>
              <w:divBdr>
                <w:top w:val="none" w:sz="0" w:space="0" w:color="auto"/>
                <w:left w:val="none" w:sz="0" w:space="0" w:color="auto"/>
                <w:bottom w:val="none" w:sz="0" w:space="0" w:color="auto"/>
                <w:right w:val="none" w:sz="0" w:space="0" w:color="auto"/>
              </w:divBdr>
              <w:divsChild>
                <w:div w:id="1257910158">
                  <w:marLeft w:val="0"/>
                  <w:marRight w:val="0"/>
                  <w:marTop w:val="0"/>
                  <w:marBottom w:val="0"/>
                  <w:divBdr>
                    <w:top w:val="none" w:sz="0" w:space="0" w:color="auto"/>
                    <w:left w:val="none" w:sz="0" w:space="0" w:color="auto"/>
                    <w:bottom w:val="none" w:sz="0" w:space="0" w:color="auto"/>
                    <w:right w:val="none" w:sz="0" w:space="0" w:color="auto"/>
                  </w:divBdr>
                </w:div>
                <w:div w:id="1808861257">
                  <w:marLeft w:val="0"/>
                  <w:marRight w:val="0"/>
                  <w:marTop w:val="0"/>
                  <w:marBottom w:val="0"/>
                  <w:divBdr>
                    <w:top w:val="none" w:sz="0" w:space="0" w:color="auto"/>
                    <w:left w:val="none" w:sz="0" w:space="0" w:color="auto"/>
                    <w:bottom w:val="none" w:sz="0" w:space="0" w:color="auto"/>
                    <w:right w:val="none" w:sz="0" w:space="0" w:color="auto"/>
                  </w:divBdr>
                </w:div>
                <w:div w:id="1730881728">
                  <w:marLeft w:val="0"/>
                  <w:marRight w:val="0"/>
                  <w:marTop w:val="0"/>
                  <w:marBottom w:val="0"/>
                  <w:divBdr>
                    <w:top w:val="none" w:sz="0" w:space="0" w:color="auto"/>
                    <w:left w:val="none" w:sz="0" w:space="0" w:color="auto"/>
                    <w:bottom w:val="none" w:sz="0" w:space="0" w:color="auto"/>
                    <w:right w:val="none" w:sz="0" w:space="0" w:color="auto"/>
                  </w:divBdr>
                </w:div>
                <w:div w:id="1287083122">
                  <w:marLeft w:val="0"/>
                  <w:marRight w:val="0"/>
                  <w:marTop w:val="0"/>
                  <w:marBottom w:val="0"/>
                  <w:divBdr>
                    <w:top w:val="none" w:sz="0" w:space="0" w:color="auto"/>
                    <w:left w:val="none" w:sz="0" w:space="0" w:color="auto"/>
                    <w:bottom w:val="none" w:sz="0" w:space="0" w:color="auto"/>
                    <w:right w:val="none" w:sz="0" w:space="0" w:color="auto"/>
                  </w:divBdr>
                  <w:divsChild>
                    <w:div w:id="155866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529820">
              <w:marLeft w:val="0"/>
              <w:marRight w:val="0"/>
              <w:marTop w:val="0"/>
              <w:marBottom w:val="0"/>
              <w:divBdr>
                <w:top w:val="none" w:sz="0" w:space="0" w:color="auto"/>
                <w:left w:val="none" w:sz="0" w:space="0" w:color="auto"/>
                <w:bottom w:val="none" w:sz="0" w:space="0" w:color="auto"/>
                <w:right w:val="none" w:sz="0" w:space="0" w:color="auto"/>
              </w:divBdr>
              <w:divsChild>
                <w:div w:id="5511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9420">
          <w:marLeft w:val="0"/>
          <w:marRight w:val="0"/>
          <w:marTop w:val="0"/>
          <w:marBottom w:val="0"/>
          <w:divBdr>
            <w:top w:val="none" w:sz="0" w:space="0" w:color="auto"/>
            <w:left w:val="none" w:sz="0" w:space="0" w:color="auto"/>
            <w:bottom w:val="none" w:sz="0" w:space="0" w:color="auto"/>
            <w:right w:val="none" w:sz="0" w:space="0" w:color="auto"/>
          </w:divBdr>
          <w:divsChild>
            <w:div w:id="2063826366">
              <w:marLeft w:val="0"/>
              <w:marRight w:val="0"/>
              <w:marTop w:val="0"/>
              <w:marBottom w:val="0"/>
              <w:divBdr>
                <w:top w:val="none" w:sz="0" w:space="0" w:color="auto"/>
                <w:left w:val="none" w:sz="0" w:space="0" w:color="auto"/>
                <w:bottom w:val="none" w:sz="0" w:space="0" w:color="auto"/>
                <w:right w:val="none" w:sz="0" w:space="0" w:color="auto"/>
              </w:divBdr>
              <w:divsChild>
                <w:div w:id="1668903805">
                  <w:marLeft w:val="0"/>
                  <w:marRight w:val="0"/>
                  <w:marTop w:val="0"/>
                  <w:marBottom w:val="0"/>
                  <w:divBdr>
                    <w:top w:val="none" w:sz="0" w:space="0" w:color="auto"/>
                    <w:left w:val="none" w:sz="0" w:space="0" w:color="auto"/>
                    <w:bottom w:val="none" w:sz="0" w:space="0" w:color="auto"/>
                    <w:right w:val="none" w:sz="0" w:space="0" w:color="auto"/>
                  </w:divBdr>
                </w:div>
                <w:div w:id="779688999">
                  <w:marLeft w:val="0"/>
                  <w:marRight w:val="0"/>
                  <w:marTop w:val="0"/>
                  <w:marBottom w:val="0"/>
                  <w:divBdr>
                    <w:top w:val="none" w:sz="0" w:space="0" w:color="auto"/>
                    <w:left w:val="none" w:sz="0" w:space="0" w:color="auto"/>
                    <w:bottom w:val="none" w:sz="0" w:space="0" w:color="auto"/>
                    <w:right w:val="none" w:sz="0" w:space="0" w:color="auto"/>
                  </w:divBdr>
                </w:div>
                <w:div w:id="235746830">
                  <w:marLeft w:val="0"/>
                  <w:marRight w:val="0"/>
                  <w:marTop w:val="0"/>
                  <w:marBottom w:val="0"/>
                  <w:divBdr>
                    <w:top w:val="none" w:sz="0" w:space="0" w:color="auto"/>
                    <w:left w:val="none" w:sz="0" w:space="0" w:color="auto"/>
                    <w:bottom w:val="none" w:sz="0" w:space="0" w:color="auto"/>
                    <w:right w:val="none" w:sz="0" w:space="0" w:color="auto"/>
                  </w:divBdr>
                </w:div>
                <w:div w:id="1683583511">
                  <w:marLeft w:val="0"/>
                  <w:marRight w:val="0"/>
                  <w:marTop w:val="0"/>
                  <w:marBottom w:val="0"/>
                  <w:divBdr>
                    <w:top w:val="none" w:sz="0" w:space="0" w:color="auto"/>
                    <w:left w:val="none" w:sz="0" w:space="0" w:color="auto"/>
                    <w:bottom w:val="none" w:sz="0" w:space="0" w:color="auto"/>
                    <w:right w:val="none" w:sz="0" w:space="0" w:color="auto"/>
                  </w:divBdr>
                  <w:divsChild>
                    <w:div w:id="148400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18395">
              <w:marLeft w:val="0"/>
              <w:marRight w:val="0"/>
              <w:marTop w:val="0"/>
              <w:marBottom w:val="0"/>
              <w:divBdr>
                <w:top w:val="none" w:sz="0" w:space="0" w:color="auto"/>
                <w:left w:val="none" w:sz="0" w:space="0" w:color="auto"/>
                <w:bottom w:val="none" w:sz="0" w:space="0" w:color="auto"/>
                <w:right w:val="none" w:sz="0" w:space="0" w:color="auto"/>
              </w:divBdr>
              <w:divsChild>
                <w:div w:id="170065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HR/TXT/HTML/?uri=OJ:L:2020:008I:FULL&amp;from=EL"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eur-lex.europa.eu/legal-content/HR/AUTO/?uri=OJ:L:2019:209:TOC&amp;toc=OJ:L:2020:008I:FULL" TargetMode="External"/><Relationship Id="rId5" Type="http://schemas.openxmlformats.org/officeDocument/2006/relationships/webSettings" Target="webSettings.xml"/><Relationship Id="rId10" Type="http://schemas.openxmlformats.org/officeDocument/2006/relationships/hyperlink" Target="https://eur-lex.europa.eu/legal-content/HR/TXT/HTML/?uri=OJ:L:2020:008I:FULL&amp;from=EL" TargetMode="External"/><Relationship Id="rId4" Type="http://schemas.openxmlformats.org/officeDocument/2006/relationships/settings" Target="settings.xml"/><Relationship Id="rId9" Type="http://schemas.openxmlformats.org/officeDocument/2006/relationships/hyperlink" Target="https://eur-lex.europa.eu/legal-content/HR/AUTO/?uri=OJ:L:2001:344:TOC&amp;toc=OJ:L:2020:008I:FUL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65</TotalTime>
  <Pages>5</Pages>
  <Words>1376</Words>
  <Characters>7848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Montenegro</dc:creator>
  <cp:lastModifiedBy>Montenegro</cp:lastModifiedBy>
  <cp:revision>2</cp:revision>
  <dcterms:created xsi:type="dcterms:W3CDTF">2020-02-17T08:24:00Z</dcterms:created>
  <dcterms:modified xsi:type="dcterms:W3CDTF">2020-02-17T10:03:00Z</dcterms:modified>
</cp:coreProperties>
</file>