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7CA66" w14:textId="573F9B5E" w:rsidR="004B4983" w:rsidRPr="00807DAF" w:rsidRDefault="004B4983" w:rsidP="009A0F56">
      <w:pPr>
        <w:pStyle w:val="Guidelines1"/>
        <w:numPr>
          <w:ilvl w:val="0"/>
          <w:numId w:val="0"/>
        </w:numPr>
        <w:ind w:left="567"/>
        <w:rPr>
          <w:noProof/>
          <w:lang w:val="fr-FR" w:eastAsia="fr-FR"/>
        </w:rPr>
      </w:pPr>
    </w:p>
    <w:p w14:paraId="3F6C77E5" w14:textId="77777777" w:rsidR="00487AD2" w:rsidRDefault="006978A4" w:rsidP="00536D2E">
      <w:pPr>
        <w:spacing w:before="960"/>
        <w:jc w:val="center"/>
        <w:rPr>
          <w:b/>
          <w:sz w:val="32"/>
        </w:rPr>
      </w:pPr>
      <w:bookmarkStart w:id="0" w:name="_GoBack"/>
      <w:r>
        <w:rPr>
          <w:noProof/>
          <w:snapToGrid/>
          <w:lang w:eastAsia="en-GB"/>
        </w:rPr>
        <w:drawing>
          <wp:inline distT="0" distB="0" distL="0" distR="0" wp14:anchorId="37B4F231" wp14:editId="33BC1FB0">
            <wp:extent cx="899160" cy="527050"/>
            <wp:effectExtent l="0" t="0" r="0" b="635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527050"/>
                    </a:xfrm>
                    <a:prstGeom prst="rect">
                      <a:avLst/>
                    </a:prstGeom>
                    <a:noFill/>
                    <a:ln>
                      <a:noFill/>
                    </a:ln>
                  </pic:spPr>
                </pic:pic>
              </a:graphicData>
            </a:graphic>
          </wp:inline>
        </w:drawing>
      </w:r>
      <w:bookmarkEnd w:id="0"/>
      <w:r w:rsidR="00487AD2">
        <w:rPr>
          <w:b/>
          <w:sz w:val="32"/>
        </w:rPr>
        <w:tab/>
      </w:r>
      <w:r w:rsidR="00487AD2">
        <w:rPr>
          <w:b/>
          <w:sz w:val="32"/>
        </w:rPr>
        <w:tab/>
      </w:r>
      <w:r w:rsidR="00487AD2">
        <w:rPr>
          <w:b/>
          <w:sz w:val="32"/>
        </w:rPr>
        <w:tab/>
      </w:r>
      <w:r w:rsidR="00487AD2">
        <w:rPr>
          <w:b/>
          <w:sz w:val="32"/>
        </w:rPr>
        <w:tab/>
      </w:r>
      <w:r w:rsidR="00487AD2">
        <w:rPr>
          <w:b/>
          <w:sz w:val="32"/>
        </w:rPr>
        <w:tab/>
      </w:r>
      <w:r>
        <w:rPr>
          <w:noProof/>
          <w:snapToGrid/>
          <w:lang w:eastAsia="en-GB"/>
        </w:rPr>
        <w:drawing>
          <wp:inline distT="0" distB="0" distL="0" distR="0" wp14:anchorId="53188445" wp14:editId="6E972308">
            <wp:extent cx="1550035" cy="759460"/>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0035" cy="759460"/>
                    </a:xfrm>
                    <a:prstGeom prst="rect">
                      <a:avLst/>
                    </a:prstGeom>
                    <a:noFill/>
                    <a:ln>
                      <a:noFill/>
                    </a:ln>
                  </pic:spPr>
                </pic:pic>
              </a:graphicData>
            </a:graphic>
          </wp:inline>
        </w:drawing>
      </w:r>
    </w:p>
    <w:p w14:paraId="3F405D44" w14:textId="77777777" w:rsidR="0007408E" w:rsidRPr="00807DAF" w:rsidRDefault="0007408E" w:rsidP="00536D2E">
      <w:pPr>
        <w:spacing w:before="960"/>
        <w:jc w:val="center"/>
        <w:rPr>
          <w:b/>
          <w:sz w:val="32"/>
        </w:rPr>
      </w:pPr>
      <w:r w:rsidRPr="00807DAF">
        <w:rPr>
          <w:b/>
          <w:sz w:val="32"/>
        </w:rPr>
        <w:t xml:space="preserve">Contracting </w:t>
      </w:r>
      <w:r w:rsidR="00F118D3" w:rsidRPr="00807DAF">
        <w:rPr>
          <w:b/>
          <w:sz w:val="32"/>
        </w:rPr>
        <w:t>Authority</w:t>
      </w:r>
    </w:p>
    <w:p w14:paraId="2346C1B6" w14:textId="12033977" w:rsidR="00487AD2" w:rsidRPr="006E0721" w:rsidRDefault="00487AD2" w:rsidP="00487AD2">
      <w:pPr>
        <w:spacing w:before="960"/>
        <w:jc w:val="center"/>
        <w:rPr>
          <w:b/>
          <w:sz w:val="32"/>
          <w:szCs w:val="32"/>
        </w:rPr>
      </w:pPr>
      <w:r w:rsidRPr="006E0721">
        <w:rPr>
          <w:sz w:val="32"/>
          <w:szCs w:val="32"/>
        </w:rPr>
        <w:t>The Ministry of Finance of Montenegro – the Directorate for Finance and Contracting of the EU Assistance Funds</w:t>
      </w:r>
    </w:p>
    <w:p w14:paraId="4DE50E9E" w14:textId="77777777" w:rsidR="00516696" w:rsidRDefault="00516696" w:rsidP="00491F8A">
      <w:pPr>
        <w:pStyle w:val="SubTitle1"/>
        <w:spacing w:before="480"/>
        <w:rPr>
          <w:sz w:val="32"/>
          <w:szCs w:val="32"/>
        </w:rPr>
      </w:pPr>
      <w:r w:rsidRPr="00516696">
        <w:rPr>
          <w:sz w:val="32"/>
          <w:szCs w:val="32"/>
        </w:rPr>
        <w:t>Enhancement of Business Environment and Competitiveness of the Private Sector of Montenegro</w:t>
      </w:r>
    </w:p>
    <w:p w14:paraId="58DCD208" w14:textId="676EA973" w:rsidR="00491F8A" w:rsidRPr="00807DAF" w:rsidRDefault="0007408E" w:rsidP="00491F8A">
      <w:pPr>
        <w:pStyle w:val="SubTitle1"/>
        <w:spacing w:before="480"/>
        <w:rPr>
          <w:b w:val="0"/>
          <w:sz w:val="32"/>
          <w:szCs w:val="32"/>
        </w:rPr>
      </w:pPr>
      <w:r w:rsidRPr="00807DAF">
        <w:rPr>
          <w:b w:val="0"/>
          <w:sz w:val="32"/>
          <w:szCs w:val="32"/>
        </w:rPr>
        <w:t>Guidelines</w:t>
      </w:r>
      <w:r w:rsidRPr="00807DAF">
        <w:rPr>
          <w:b w:val="0"/>
          <w:sz w:val="32"/>
          <w:szCs w:val="32"/>
        </w:rPr>
        <w:br/>
        <w:t>for grant applicants</w:t>
      </w:r>
    </w:p>
    <w:p w14:paraId="2A726522" w14:textId="77777777" w:rsidR="00216BBF" w:rsidRDefault="00216BBF" w:rsidP="00487AD2">
      <w:pPr>
        <w:pStyle w:val="SubTitle2"/>
        <w:rPr>
          <w:b w:val="0"/>
        </w:rPr>
      </w:pPr>
    </w:p>
    <w:p w14:paraId="019E963B" w14:textId="77777777" w:rsidR="00487AD2" w:rsidRDefault="00216BBF" w:rsidP="00487AD2">
      <w:pPr>
        <w:pStyle w:val="SubTitle2"/>
        <w:rPr>
          <w:b w:val="0"/>
          <w:szCs w:val="32"/>
          <w:lang w:val="hr-HR"/>
        </w:rPr>
      </w:pPr>
      <w:r>
        <w:rPr>
          <w:b w:val="0"/>
        </w:rPr>
        <w:t xml:space="preserve">Budget lines: </w:t>
      </w:r>
      <w:r w:rsidR="00487AD2">
        <w:rPr>
          <w:b w:val="0"/>
        </w:rPr>
        <w:t xml:space="preserve">IPA II - </w:t>
      </w:r>
      <w:r w:rsidR="00487AD2" w:rsidRPr="00EF2FB4">
        <w:rPr>
          <w:b w:val="0"/>
          <w:szCs w:val="32"/>
          <w:lang w:val="hr-HR"/>
        </w:rPr>
        <w:t>Annual Country Action Programme for Montenegro for the year 2014</w:t>
      </w:r>
    </w:p>
    <w:p w14:paraId="6AD74C43" w14:textId="77777777" w:rsidR="00487AD2" w:rsidRDefault="00487AD2" w:rsidP="006225E8">
      <w:pPr>
        <w:pStyle w:val="SubTitle2"/>
        <w:rPr>
          <w:b w:val="0"/>
        </w:rPr>
      </w:pPr>
    </w:p>
    <w:p w14:paraId="60958BF1" w14:textId="20E17B35" w:rsidR="006225E8" w:rsidRPr="00807DAF" w:rsidRDefault="002B3CFB" w:rsidP="006225E8">
      <w:pPr>
        <w:pStyle w:val="SubTitle2"/>
      </w:pPr>
      <w:proofErr w:type="spellStart"/>
      <w:r>
        <w:rPr>
          <w:b w:val="0"/>
        </w:rPr>
        <w:t>Europ</w:t>
      </w:r>
      <w:r w:rsidR="00516696">
        <w:rPr>
          <w:b w:val="0"/>
        </w:rPr>
        <w:t>e</w:t>
      </w:r>
      <w:r>
        <w:rPr>
          <w:b w:val="0"/>
        </w:rPr>
        <w:t>Aid</w:t>
      </w:r>
      <w:proofErr w:type="spellEnd"/>
      <w:r>
        <w:rPr>
          <w:b w:val="0"/>
        </w:rPr>
        <w:t>/159-459/ID/ACT/ME</w:t>
      </w:r>
      <w:r w:rsidR="006225E8" w:rsidRPr="00807DAF">
        <w:rPr>
          <w:b w:val="0"/>
        </w:rPr>
        <w:t xml:space="preserve"> </w:t>
      </w:r>
    </w:p>
    <w:p w14:paraId="64268214" w14:textId="3779CCE9" w:rsidR="00BE3852" w:rsidRPr="00807DAF" w:rsidRDefault="007377DD" w:rsidP="00BE3852">
      <w:pPr>
        <w:pStyle w:val="SubTitle2"/>
        <w:rPr>
          <w:szCs w:val="32"/>
        </w:rPr>
      </w:pPr>
      <w:r w:rsidRPr="00807DAF">
        <w:rPr>
          <w:b w:val="0"/>
          <w:szCs w:val="32"/>
        </w:rPr>
        <w:t xml:space="preserve">Deadline for </w:t>
      </w:r>
      <w:r w:rsidR="006A7719" w:rsidRPr="00807DAF">
        <w:rPr>
          <w:b w:val="0"/>
          <w:szCs w:val="32"/>
        </w:rPr>
        <w:t xml:space="preserve">submission </w:t>
      </w:r>
      <w:r w:rsidRPr="00807DAF">
        <w:rPr>
          <w:b w:val="0"/>
          <w:szCs w:val="32"/>
        </w:rPr>
        <w:t xml:space="preserve">of </w:t>
      </w:r>
      <w:r w:rsidR="007C4720" w:rsidRPr="00F96D8D">
        <w:rPr>
          <w:b w:val="0"/>
          <w:szCs w:val="32"/>
        </w:rPr>
        <w:t>full application</w:t>
      </w:r>
      <w:r w:rsidRPr="00807DAF">
        <w:rPr>
          <w:b w:val="0"/>
          <w:szCs w:val="32"/>
        </w:rPr>
        <w:t xml:space="preserve">: </w:t>
      </w:r>
      <w:r w:rsidR="002B3CFB">
        <w:rPr>
          <w:b w:val="0"/>
          <w:szCs w:val="32"/>
        </w:rPr>
        <w:t>8</w:t>
      </w:r>
      <w:r w:rsidR="00BE3852" w:rsidRPr="003D200A">
        <w:rPr>
          <w:b w:val="0"/>
          <w:szCs w:val="32"/>
          <w:vertAlign w:val="superscript"/>
        </w:rPr>
        <w:t>th</w:t>
      </w:r>
      <w:r w:rsidR="00D76F58">
        <w:rPr>
          <w:b w:val="0"/>
          <w:szCs w:val="32"/>
        </w:rPr>
        <w:t xml:space="preserve"> </w:t>
      </w:r>
      <w:r w:rsidR="002B3CFB">
        <w:rPr>
          <w:b w:val="0"/>
          <w:szCs w:val="32"/>
        </w:rPr>
        <w:t>May</w:t>
      </w:r>
      <w:r w:rsidR="00D8170B">
        <w:rPr>
          <w:b w:val="0"/>
          <w:szCs w:val="32"/>
        </w:rPr>
        <w:t xml:space="preserve"> </w:t>
      </w:r>
      <w:r w:rsidR="00BE3852">
        <w:rPr>
          <w:b w:val="0"/>
          <w:szCs w:val="32"/>
        </w:rPr>
        <w:t>201</w:t>
      </w:r>
      <w:r w:rsidR="00EC0007">
        <w:rPr>
          <w:b w:val="0"/>
          <w:szCs w:val="32"/>
        </w:rPr>
        <w:t>8</w:t>
      </w:r>
    </w:p>
    <w:p w14:paraId="345917D3" w14:textId="77777777" w:rsidR="00491F8A" w:rsidRPr="00807DAF" w:rsidRDefault="00491F8A" w:rsidP="00491F8A">
      <w:pPr>
        <w:pStyle w:val="SubTitle2"/>
        <w:rPr>
          <w:szCs w:val="32"/>
        </w:rPr>
      </w:pPr>
    </w:p>
    <w:p w14:paraId="58F3DC55" w14:textId="77777777" w:rsidR="0007408E" w:rsidRPr="00807DAF" w:rsidRDefault="007857D2" w:rsidP="00F00789">
      <w:pPr>
        <w:pStyle w:val="SubTitle1"/>
        <w:rPr>
          <w:sz w:val="32"/>
          <w:szCs w:val="32"/>
        </w:rPr>
      </w:pPr>
      <w:r w:rsidRPr="00807DAF">
        <w:br w:type="page"/>
      </w:r>
      <w:r w:rsidRPr="00807DAF">
        <w:rPr>
          <w:sz w:val="32"/>
          <w:szCs w:val="32"/>
        </w:rPr>
        <w:lastRenderedPageBreak/>
        <w:t>NOTICE</w:t>
      </w:r>
    </w:p>
    <w:p w14:paraId="1E588B30" w14:textId="77777777" w:rsidR="007857D2" w:rsidRPr="00807DAF" w:rsidRDefault="007857D2" w:rsidP="007857D2">
      <w:pPr>
        <w:pStyle w:val="SubTitle2"/>
        <w:rPr>
          <w:sz w:val="22"/>
          <w:szCs w:val="22"/>
        </w:rPr>
      </w:pPr>
    </w:p>
    <w:p w14:paraId="45E06FE7" w14:textId="77777777" w:rsidR="004B4983" w:rsidRDefault="00216BBF" w:rsidP="00216BBF">
      <w:pPr>
        <w:pStyle w:val="Subtitle"/>
        <w:spacing w:after="240"/>
        <w:jc w:val="both"/>
        <w:rPr>
          <w:rFonts w:ascii="Times New Roman" w:hAnsi="Times New Roman"/>
          <w:b w:val="0"/>
          <w:sz w:val="22"/>
          <w:szCs w:val="22"/>
          <w:lang w:val="en-GB"/>
        </w:rPr>
      </w:pPr>
      <w:r w:rsidRPr="00216BBF">
        <w:rPr>
          <w:rFonts w:ascii="Times New Roman" w:hAnsi="Times New Roman"/>
          <w:b w:val="0"/>
          <w:sz w:val="22"/>
          <w:szCs w:val="22"/>
          <w:lang w:val="en-GB"/>
        </w:rPr>
        <w:t>This is an open call for proposals, where all documents are submitted together (concept note and full application). In the first instance, only the concept notes will be evaluated. Thereafter, for the lead applicants who have been pre-selected, the full applications will be evaluated.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application</w:t>
      </w:r>
      <w:r>
        <w:rPr>
          <w:rFonts w:ascii="Times New Roman" w:hAnsi="Times New Roman"/>
          <w:b w:val="0"/>
          <w:sz w:val="22"/>
          <w:szCs w:val="22"/>
          <w:lang w:val="en-GB"/>
        </w:rPr>
        <w:t>.</w:t>
      </w:r>
    </w:p>
    <w:p w14:paraId="4E31C4FD" w14:textId="77777777" w:rsidR="004B4983" w:rsidRPr="004B4983" w:rsidRDefault="004B4983" w:rsidP="004B4983"/>
    <w:p w14:paraId="665EF01B" w14:textId="77777777" w:rsidR="004B4983" w:rsidRPr="004B4983" w:rsidRDefault="004B4983" w:rsidP="004B4983"/>
    <w:p w14:paraId="632E1F9C" w14:textId="77777777" w:rsidR="004B4983" w:rsidRPr="004B4983" w:rsidRDefault="004B4983" w:rsidP="004B4983"/>
    <w:p w14:paraId="7B7FA1C6" w14:textId="77777777" w:rsidR="004B4983" w:rsidRPr="004B4983" w:rsidRDefault="004B4983" w:rsidP="004B4983"/>
    <w:p w14:paraId="6A6E1DAA" w14:textId="77777777" w:rsidR="004B4983" w:rsidRPr="004B4983" w:rsidRDefault="004B4983" w:rsidP="004B4983"/>
    <w:p w14:paraId="1D7502F6" w14:textId="77777777" w:rsidR="004B4983" w:rsidRPr="004B4983" w:rsidRDefault="004B4983" w:rsidP="004B4983"/>
    <w:p w14:paraId="2CFF690A" w14:textId="77777777" w:rsidR="004B4983" w:rsidRPr="004B4983" w:rsidRDefault="004B4983" w:rsidP="004B4983"/>
    <w:p w14:paraId="5D6D7E05" w14:textId="77777777" w:rsidR="004B4983" w:rsidRPr="004B4983" w:rsidRDefault="004B4983" w:rsidP="004B4983"/>
    <w:p w14:paraId="4C887A68" w14:textId="77777777" w:rsidR="004B4983" w:rsidRPr="004B4983" w:rsidRDefault="004B4983" w:rsidP="004B4983"/>
    <w:p w14:paraId="2ACCB389" w14:textId="77777777" w:rsidR="004B4983" w:rsidRDefault="004B4983" w:rsidP="004B4983"/>
    <w:p w14:paraId="03A3E77A" w14:textId="77777777" w:rsidR="006B6F21" w:rsidRDefault="006B6F21" w:rsidP="004B4983"/>
    <w:p w14:paraId="41F3D2A4" w14:textId="77777777" w:rsidR="006B6F21" w:rsidRPr="004B4983" w:rsidRDefault="006B6F21" w:rsidP="004B4983"/>
    <w:p w14:paraId="0A105AC0" w14:textId="77777777" w:rsidR="004B4983" w:rsidRPr="004B4983" w:rsidRDefault="004B4983" w:rsidP="004B4983"/>
    <w:p w14:paraId="30763245" w14:textId="77777777" w:rsidR="004B4983" w:rsidRPr="004B4983" w:rsidRDefault="004B4983" w:rsidP="004B4983"/>
    <w:p w14:paraId="41735596" w14:textId="77777777" w:rsidR="004B4983" w:rsidRPr="004B4983" w:rsidRDefault="004B4983" w:rsidP="004B4983"/>
    <w:p w14:paraId="00A73124" w14:textId="77777777" w:rsidR="004B4983" w:rsidRPr="004B4983" w:rsidRDefault="004B4983" w:rsidP="004B4983"/>
    <w:p w14:paraId="2914D6CB" w14:textId="77777777" w:rsidR="004B4983" w:rsidRPr="004B4983" w:rsidRDefault="004B4983" w:rsidP="004B4983"/>
    <w:p w14:paraId="1F8103BD" w14:textId="77777777" w:rsidR="004B4983" w:rsidRPr="004B4983" w:rsidRDefault="004B4983" w:rsidP="004B4983"/>
    <w:p w14:paraId="33792E68" w14:textId="77777777" w:rsidR="004B4983" w:rsidRPr="004B4983" w:rsidRDefault="004B4983" w:rsidP="004B4983"/>
    <w:p w14:paraId="4AF62B94" w14:textId="77777777" w:rsidR="004B4983" w:rsidRPr="004B4983" w:rsidRDefault="004B4983" w:rsidP="004B4983"/>
    <w:p w14:paraId="60F29C27" w14:textId="77777777" w:rsidR="004B4983" w:rsidRPr="004B4983" w:rsidRDefault="004B4983" w:rsidP="004B4983"/>
    <w:p w14:paraId="565D5BFC" w14:textId="77777777" w:rsidR="004B4983" w:rsidRPr="004B4983" w:rsidRDefault="004B4983" w:rsidP="004B4983"/>
    <w:p w14:paraId="569EA7E4" w14:textId="77777777" w:rsidR="004B4983" w:rsidRPr="004B4983" w:rsidRDefault="004B4983" w:rsidP="004B4983"/>
    <w:p w14:paraId="1F9BAB66" w14:textId="77777777" w:rsidR="004B4983" w:rsidRPr="004B4983" w:rsidRDefault="004B4983" w:rsidP="004B4983"/>
    <w:p w14:paraId="71AA255D" w14:textId="77777777" w:rsidR="00495849" w:rsidRPr="004B4983" w:rsidRDefault="00495849" w:rsidP="004B4983">
      <w:pPr>
        <w:tabs>
          <w:tab w:val="left" w:pos="1665"/>
        </w:tabs>
        <w:sectPr w:rsidR="00495849" w:rsidRPr="004B4983" w:rsidSect="00ED2366">
          <w:footerReference w:type="default" r:id="rId11"/>
          <w:footerReference w:type="first" r:id="rId12"/>
          <w:pgSz w:w="11906" w:h="16838" w:code="9"/>
          <w:pgMar w:top="1021" w:right="1134" w:bottom="1021" w:left="1134" w:header="567" w:footer="545" w:gutter="0"/>
          <w:pgNumType w:start="1"/>
          <w:cols w:space="720"/>
          <w:titlePg/>
        </w:sectPr>
      </w:pPr>
    </w:p>
    <w:p w14:paraId="27686662" w14:textId="48D6D5F7" w:rsidR="0007408E" w:rsidRPr="00807DAF" w:rsidRDefault="00377383" w:rsidP="00377383">
      <w:pPr>
        <w:pageBreakBefore/>
        <w:spacing w:after="600"/>
        <w:rPr>
          <w:sz w:val="32"/>
        </w:rPr>
      </w:pPr>
      <w:r>
        <w:rPr>
          <w:sz w:val="32"/>
        </w:rPr>
        <w:lastRenderedPageBreak/>
        <w:t xml:space="preserve">                                            </w:t>
      </w:r>
      <w:r w:rsidR="0007408E" w:rsidRPr="00807DAF">
        <w:rPr>
          <w:sz w:val="32"/>
        </w:rPr>
        <w:t>Table of contents</w:t>
      </w:r>
    </w:p>
    <w:p w14:paraId="6CB0F9DB" w14:textId="4FC1C451" w:rsidR="0022260F" w:rsidRDefault="00387E9B">
      <w:pPr>
        <w:pStyle w:val="TOC1"/>
        <w:rPr>
          <w:rFonts w:asciiTheme="minorHAnsi" w:eastAsiaTheme="minorEastAsia" w:hAnsiTheme="minorHAnsi" w:cstheme="minorBidi"/>
          <w:b w:val="0"/>
          <w:caps w:val="0"/>
          <w:noProof/>
          <w:snapToGrid/>
          <w:szCs w:val="22"/>
          <w:lang w:val="hr-HR" w:eastAsia="hr-HR"/>
        </w:rPr>
      </w:pPr>
      <w:r>
        <w:rPr>
          <w:sz w:val="28"/>
          <w:szCs w:val="28"/>
        </w:rPr>
        <w:fldChar w:fldCharType="begin"/>
      </w:r>
      <w:r w:rsidR="004B7BC2">
        <w:rPr>
          <w:sz w:val="28"/>
          <w:szCs w:val="28"/>
        </w:rPr>
        <w:instrText xml:space="preserve"> TOC \h \z \t "Guidelines 1;1;Guidelines 2;2;Guidelines 3;3" </w:instrText>
      </w:r>
      <w:r>
        <w:rPr>
          <w:sz w:val="28"/>
          <w:szCs w:val="28"/>
        </w:rPr>
        <w:fldChar w:fldCharType="separate"/>
      </w:r>
      <w:hyperlink w:anchor="_Toc502218257" w:history="1">
        <w:r w:rsidR="0022260F" w:rsidRPr="006C484C">
          <w:rPr>
            <w:rStyle w:val="Hyperlink"/>
            <w:noProof/>
          </w:rPr>
          <w:t>1.</w:t>
        </w:r>
        <w:r w:rsidR="0022260F">
          <w:rPr>
            <w:rFonts w:asciiTheme="minorHAnsi" w:eastAsiaTheme="minorEastAsia" w:hAnsiTheme="minorHAnsi" w:cstheme="minorBidi"/>
            <w:b w:val="0"/>
            <w:caps w:val="0"/>
            <w:noProof/>
            <w:snapToGrid/>
            <w:szCs w:val="22"/>
            <w:lang w:val="hr-HR" w:eastAsia="hr-HR"/>
          </w:rPr>
          <w:tab/>
        </w:r>
        <w:r w:rsidR="0022260F" w:rsidRPr="006C484C">
          <w:rPr>
            <w:rStyle w:val="Hyperlink"/>
            <w:noProof/>
          </w:rPr>
          <w:t>ENHANCEMENT OF BUSINESS ENVIRONMENT AND COMPETITIVENESS OF THE PRIVATE SECTOR OF MONTENEGRO</w:t>
        </w:r>
        <w:r w:rsidR="0022260F">
          <w:rPr>
            <w:noProof/>
            <w:webHidden/>
          </w:rPr>
          <w:tab/>
        </w:r>
        <w:r w:rsidR="0022260F">
          <w:rPr>
            <w:noProof/>
            <w:webHidden/>
          </w:rPr>
          <w:fldChar w:fldCharType="begin"/>
        </w:r>
        <w:r w:rsidR="0022260F">
          <w:rPr>
            <w:noProof/>
            <w:webHidden/>
          </w:rPr>
          <w:instrText xml:space="preserve"> PAGEREF _Toc502218257 \h </w:instrText>
        </w:r>
        <w:r w:rsidR="0022260F">
          <w:rPr>
            <w:noProof/>
            <w:webHidden/>
          </w:rPr>
        </w:r>
        <w:r w:rsidR="0022260F">
          <w:rPr>
            <w:noProof/>
            <w:webHidden/>
          </w:rPr>
          <w:fldChar w:fldCharType="separate"/>
        </w:r>
        <w:r w:rsidR="009A0F56">
          <w:rPr>
            <w:noProof/>
            <w:webHidden/>
          </w:rPr>
          <w:t>4</w:t>
        </w:r>
        <w:r w:rsidR="0022260F">
          <w:rPr>
            <w:noProof/>
            <w:webHidden/>
          </w:rPr>
          <w:fldChar w:fldCharType="end"/>
        </w:r>
      </w:hyperlink>
    </w:p>
    <w:p w14:paraId="5C6E33CD" w14:textId="1DDDF3AA" w:rsidR="0022260F" w:rsidRDefault="00516696">
      <w:pPr>
        <w:pStyle w:val="TOC2"/>
        <w:rPr>
          <w:rFonts w:asciiTheme="minorHAnsi" w:eastAsiaTheme="minorEastAsia" w:hAnsiTheme="minorHAnsi" w:cstheme="minorBidi"/>
          <w:noProof/>
          <w:snapToGrid/>
          <w:szCs w:val="22"/>
          <w:lang w:val="hr-HR" w:eastAsia="hr-HR"/>
        </w:rPr>
      </w:pPr>
      <w:hyperlink w:anchor="_Toc502218258" w:history="1">
        <w:r w:rsidR="0022260F" w:rsidRPr="006C484C">
          <w:rPr>
            <w:rStyle w:val="Hyperlink"/>
            <w:noProof/>
          </w:rPr>
          <w:t>1.1.</w:t>
        </w:r>
        <w:r w:rsidR="0022260F">
          <w:rPr>
            <w:rFonts w:asciiTheme="minorHAnsi" w:eastAsiaTheme="minorEastAsia" w:hAnsiTheme="minorHAnsi" w:cstheme="minorBidi"/>
            <w:noProof/>
            <w:snapToGrid/>
            <w:szCs w:val="22"/>
            <w:lang w:val="hr-HR" w:eastAsia="hr-HR"/>
          </w:rPr>
          <w:tab/>
        </w:r>
        <w:r w:rsidR="0022260F" w:rsidRPr="006C484C">
          <w:rPr>
            <w:rStyle w:val="Hyperlink"/>
            <w:noProof/>
          </w:rPr>
          <w:t>Background</w:t>
        </w:r>
        <w:r w:rsidR="0022260F">
          <w:rPr>
            <w:noProof/>
            <w:webHidden/>
          </w:rPr>
          <w:tab/>
        </w:r>
        <w:r w:rsidR="0022260F">
          <w:rPr>
            <w:noProof/>
            <w:webHidden/>
          </w:rPr>
          <w:fldChar w:fldCharType="begin"/>
        </w:r>
        <w:r w:rsidR="0022260F">
          <w:rPr>
            <w:noProof/>
            <w:webHidden/>
          </w:rPr>
          <w:instrText xml:space="preserve"> PAGEREF _Toc502218258 \h </w:instrText>
        </w:r>
        <w:r w:rsidR="0022260F">
          <w:rPr>
            <w:noProof/>
            <w:webHidden/>
          </w:rPr>
        </w:r>
        <w:r w:rsidR="0022260F">
          <w:rPr>
            <w:noProof/>
            <w:webHidden/>
          </w:rPr>
          <w:fldChar w:fldCharType="separate"/>
        </w:r>
        <w:r w:rsidR="009A0F56">
          <w:rPr>
            <w:noProof/>
            <w:webHidden/>
          </w:rPr>
          <w:t>4</w:t>
        </w:r>
        <w:r w:rsidR="0022260F">
          <w:rPr>
            <w:noProof/>
            <w:webHidden/>
          </w:rPr>
          <w:fldChar w:fldCharType="end"/>
        </w:r>
      </w:hyperlink>
    </w:p>
    <w:p w14:paraId="0AC63962" w14:textId="3D11B2A6" w:rsidR="0022260F" w:rsidRDefault="00516696">
      <w:pPr>
        <w:pStyle w:val="TOC2"/>
        <w:rPr>
          <w:rFonts w:asciiTheme="minorHAnsi" w:eastAsiaTheme="minorEastAsia" w:hAnsiTheme="minorHAnsi" w:cstheme="minorBidi"/>
          <w:noProof/>
          <w:snapToGrid/>
          <w:szCs w:val="22"/>
          <w:lang w:val="hr-HR" w:eastAsia="hr-HR"/>
        </w:rPr>
      </w:pPr>
      <w:hyperlink w:anchor="_Toc502218259" w:history="1">
        <w:r w:rsidR="0022260F" w:rsidRPr="006C484C">
          <w:rPr>
            <w:rStyle w:val="Hyperlink"/>
            <w:noProof/>
          </w:rPr>
          <w:t>1.2.</w:t>
        </w:r>
        <w:r w:rsidR="0022260F">
          <w:rPr>
            <w:rFonts w:asciiTheme="minorHAnsi" w:eastAsiaTheme="minorEastAsia" w:hAnsiTheme="minorHAnsi" w:cstheme="minorBidi"/>
            <w:noProof/>
            <w:snapToGrid/>
            <w:szCs w:val="22"/>
            <w:lang w:val="hr-HR" w:eastAsia="hr-HR"/>
          </w:rPr>
          <w:tab/>
        </w:r>
        <w:r w:rsidR="0022260F" w:rsidRPr="006C484C">
          <w:rPr>
            <w:rStyle w:val="Hyperlink"/>
            <w:noProof/>
          </w:rPr>
          <w:t>Objectives of the programme</w:t>
        </w:r>
        <w:r w:rsidR="0022260F">
          <w:rPr>
            <w:noProof/>
            <w:webHidden/>
          </w:rPr>
          <w:tab/>
        </w:r>
        <w:r w:rsidR="0022260F">
          <w:rPr>
            <w:noProof/>
            <w:webHidden/>
          </w:rPr>
          <w:fldChar w:fldCharType="begin"/>
        </w:r>
        <w:r w:rsidR="0022260F">
          <w:rPr>
            <w:noProof/>
            <w:webHidden/>
          </w:rPr>
          <w:instrText xml:space="preserve"> PAGEREF _Toc502218259 \h </w:instrText>
        </w:r>
        <w:r w:rsidR="0022260F">
          <w:rPr>
            <w:noProof/>
            <w:webHidden/>
          </w:rPr>
        </w:r>
        <w:r w:rsidR="0022260F">
          <w:rPr>
            <w:noProof/>
            <w:webHidden/>
          </w:rPr>
          <w:fldChar w:fldCharType="separate"/>
        </w:r>
        <w:r w:rsidR="009A0F56">
          <w:rPr>
            <w:noProof/>
            <w:webHidden/>
          </w:rPr>
          <w:t>7</w:t>
        </w:r>
        <w:r w:rsidR="0022260F">
          <w:rPr>
            <w:noProof/>
            <w:webHidden/>
          </w:rPr>
          <w:fldChar w:fldCharType="end"/>
        </w:r>
      </w:hyperlink>
    </w:p>
    <w:p w14:paraId="71942C61" w14:textId="18F998C1" w:rsidR="0022260F" w:rsidRDefault="00516696">
      <w:pPr>
        <w:pStyle w:val="TOC2"/>
        <w:rPr>
          <w:rFonts w:asciiTheme="minorHAnsi" w:eastAsiaTheme="minorEastAsia" w:hAnsiTheme="minorHAnsi" w:cstheme="minorBidi"/>
          <w:noProof/>
          <w:snapToGrid/>
          <w:szCs w:val="22"/>
          <w:lang w:val="hr-HR" w:eastAsia="hr-HR"/>
        </w:rPr>
      </w:pPr>
      <w:hyperlink w:anchor="_Toc502218260" w:history="1">
        <w:r w:rsidR="0022260F" w:rsidRPr="006C484C">
          <w:rPr>
            <w:rStyle w:val="Hyperlink"/>
            <w:noProof/>
          </w:rPr>
          <w:t>1.3.</w:t>
        </w:r>
        <w:r w:rsidR="0022260F">
          <w:rPr>
            <w:rFonts w:asciiTheme="minorHAnsi" w:eastAsiaTheme="minorEastAsia" w:hAnsiTheme="minorHAnsi" w:cstheme="minorBidi"/>
            <w:noProof/>
            <w:snapToGrid/>
            <w:szCs w:val="22"/>
            <w:lang w:val="hr-HR" w:eastAsia="hr-HR"/>
          </w:rPr>
          <w:tab/>
        </w:r>
        <w:r w:rsidR="0022260F" w:rsidRPr="006C484C">
          <w:rPr>
            <w:rStyle w:val="Hyperlink"/>
            <w:noProof/>
          </w:rPr>
          <w:t>Financial allocation provided by the contracting authority</w:t>
        </w:r>
        <w:r w:rsidR="0022260F">
          <w:rPr>
            <w:noProof/>
            <w:webHidden/>
          </w:rPr>
          <w:tab/>
        </w:r>
        <w:r w:rsidR="0022260F">
          <w:rPr>
            <w:noProof/>
            <w:webHidden/>
          </w:rPr>
          <w:fldChar w:fldCharType="begin"/>
        </w:r>
        <w:r w:rsidR="0022260F">
          <w:rPr>
            <w:noProof/>
            <w:webHidden/>
          </w:rPr>
          <w:instrText xml:space="preserve"> PAGEREF _Toc502218260 \h </w:instrText>
        </w:r>
        <w:r w:rsidR="0022260F">
          <w:rPr>
            <w:noProof/>
            <w:webHidden/>
          </w:rPr>
        </w:r>
        <w:r w:rsidR="0022260F">
          <w:rPr>
            <w:noProof/>
            <w:webHidden/>
          </w:rPr>
          <w:fldChar w:fldCharType="separate"/>
        </w:r>
        <w:r w:rsidR="009A0F56">
          <w:rPr>
            <w:noProof/>
            <w:webHidden/>
          </w:rPr>
          <w:t>8</w:t>
        </w:r>
        <w:r w:rsidR="0022260F">
          <w:rPr>
            <w:noProof/>
            <w:webHidden/>
          </w:rPr>
          <w:fldChar w:fldCharType="end"/>
        </w:r>
      </w:hyperlink>
    </w:p>
    <w:p w14:paraId="5C7785E4" w14:textId="366BE25B" w:rsidR="0022260F" w:rsidRDefault="00516696">
      <w:pPr>
        <w:pStyle w:val="TOC1"/>
        <w:rPr>
          <w:rFonts w:asciiTheme="minorHAnsi" w:eastAsiaTheme="minorEastAsia" w:hAnsiTheme="minorHAnsi" w:cstheme="minorBidi"/>
          <w:b w:val="0"/>
          <w:caps w:val="0"/>
          <w:noProof/>
          <w:snapToGrid/>
          <w:szCs w:val="22"/>
          <w:lang w:val="hr-HR" w:eastAsia="hr-HR"/>
        </w:rPr>
      </w:pPr>
      <w:hyperlink w:anchor="_Toc502218261" w:history="1">
        <w:r w:rsidR="0022260F" w:rsidRPr="006C484C">
          <w:rPr>
            <w:rStyle w:val="Hyperlink"/>
            <w:noProof/>
          </w:rPr>
          <w:t>2.</w:t>
        </w:r>
        <w:r w:rsidR="0022260F">
          <w:rPr>
            <w:rFonts w:asciiTheme="minorHAnsi" w:eastAsiaTheme="minorEastAsia" w:hAnsiTheme="minorHAnsi" w:cstheme="minorBidi"/>
            <w:b w:val="0"/>
            <w:caps w:val="0"/>
            <w:noProof/>
            <w:snapToGrid/>
            <w:szCs w:val="22"/>
            <w:lang w:val="hr-HR" w:eastAsia="hr-HR"/>
          </w:rPr>
          <w:tab/>
        </w:r>
        <w:r w:rsidR="0022260F" w:rsidRPr="006C484C">
          <w:rPr>
            <w:rStyle w:val="Hyperlink"/>
            <w:noProof/>
          </w:rPr>
          <w:t>Rules FOR thIS call for proposalS</w:t>
        </w:r>
        <w:r w:rsidR="0022260F">
          <w:rPr>
            <w:noProof/>
            <w:webHidden/>
          </w:rPr>
          <w:tab/>
        </w:r>
        <w:r w:rsidR="0022260F">
          <w:rPr>
            <w:noProof/>
            <w:webHidden/>
          </w:rPr>
          <w:fldChar w:fldCharType="begin"/>
        </w:r>
        <w:r w:rsidR="0022260F">
          <w:rPr>
            <w:noProof/>
            <w:webHidden/>
          </w:rPr>
          <w:instrText xml:space="preserve"> PAGEREF _Toc502218261 \h </w:instrText>
        </w:r>
        <w:r w:rsidR="0022260F">
          <w:rPr>
            <w:noProof/>
            <w:webHidden/>
          </w:rPr>
        </w:r>
        <w:r w:rsidR="0022260F">
          <w:rPr>
            <w:noProof/>
            <w:webHidden/>
          </w:rPr>
          <w:fldChar w:fldCharType="separate"/>
        </w:r>
        <w:r w:rsidR="009A0F56">
          <w:rPr>
            <w:noProof/>
            <w:webHidden/>
          </w:rPr>
          <w:t>8</w:t>
        </w:r>
        <w:r w:rsidR="0022260F">
          <w:rPr>
            <w:noProof/>
            <w:webHidden/>
          </w:rPr>
          <w:fldChar w:fldCharType="end"/>
        </w:r>
      </w:hyperlink>
    </w:p>
    <w:p w14:paraId="70585105" w14:textId="0070AFC1" w:rsidR="0022260F" w:rsidRDefault="00516696">
      <w:pPr>
        <w:pStyle w:val="TOC2"/>
        <w:rPr>
          <w:rFonts w:asciiTheme="minorHAnsi" w:eastAsiaTheme="minorEastAsia" w:hAnsiTheme="minorHAnsi" w:cstheme="minorBidi"/>
          <w:noProof/>
          <w:snapToGrid/>
          <w:szCs w:val="22"/>
          <w:lang w:val="hr-HR" w:eastAsia="hr-HR"/>
        </w:rPr>
      </w:pPr>
      <w:hyperlink w:anchor="_Toc502218262" w:history="1">
        <w:r w:rsidR="0022260F" w:rsidRPr="006C484C">
          <w:rPr>
            <w:rStyle w:val="Hyperlink"/>
            <w:noProof/>
          </w:rPr>
          <w:t>2.1.</w:t>
        </w:r>
        <w:r w:rsidR="0022260F">
          <w:rPr>
            <w:rFonts w:asciiTheme="minorHAnsi" w:eastAsiaTheme="minorEastAsia" w:hAnsiTheme="minorHAnsi" w:cstheme="minorBidi"/>
            <w:noProof/>
            <w:snapToGrid/>
            <w:szCs w:val="22"/>
            <w:lang w:val="hr-HR" w:eastAsia="hr-HR"/>
          </w:rPr>
          <w:tab/>
        </w:r>
        <w:r w:rsidR="0022260F" w:rsidRPr="006C484C">
          <w:rPr>
            <w:rStyle w:val="Hyperlink"/>
            <w:noProof/>
          </w:rPr>
          <w:t>Eligibility criteria</w:t>
        </w:r>
        <w:r w:rsidR="0022260F">
          <w:rPr>
            <w:noProof/>
            <w:webHidden/>
          </w:rPr>
          <w:tab/>
        </w:r>
        <w:r w:rsidR="0022260F">
          <w:rPr>
            <w:noProof/>
            <w:webHidden/>
          </w:rPr>
          <w:fldChar w:fldCharType="begin"/>
        </w:r>
        <w:r w:rsidR="0022260F">
          <w:rPr>
            <w:noProof/>
            <w:webHidden/>
          </w:rPr>
          <w:instrText xml:space="preserve"> PAGEREF _Toc502218262 \h </w:instrText>
        </w:r>
        <w:r w:rsidR="0022260F">
          <w:rPr>
            <w:noProof/>
            <w:webHidden/>
          </w:rPr>
        </w:r>
        <w:r w:rsidR="0022260F">
          <w:rPr>
            <w:noProof/>
            <w:webHidden/>
          </w:rPr>
          <w:fldChar w:fldCharType="separate"/>
        </w:r>
        <w:r w:rsidR="009A0F56">
          <w:rPr>
            <w:noProof/>
            <w:webHidden/>
          </w:rPr>
          <w:t>9</w:t>
        </w:r>
        <w:r w:rsidR="0022260F">
          <w:rPr>
            <w:noProof/>
            <w:webHidden/>
          </w:rPr>
          <w:fldChar w:fldCharType="end"/>
        </w:r>
      </w:hyperlink>
    </w:p>
    <w:p w14:paraId="07291AD1" w14:textId="3ACBB758" w:rsidR="0022260F" w:rsidRDefault="00516696">
      <w:pPr>
        <w:pStyle w:val="TOC3"/>
        <w:rPr>
          <w:rFonts w:asciiTheme="minorHAnsi" w:eastAsiaTheme="minorEastAsia" w:hAnsiTheme="minorHAnsi" w:cstheme="minorBidi"/>
          <w:snapToGrid/>
          <w:sz w:val="22"/>
          <w:szCs w:val="22"/>
          <w:lang w:val="hr-HR" w:eastAsia="hr-HR"/>
        </w:rPr>
      </w:pPr>
      <w:hyperlink w:anchor="_Toc502218263" w:history="1">
        <w:r w:rsidR="0022260F" w:rsidRPr="006C484C">
          <w:rPr>
            <w:rStyle w:val="Hyperlink"/>
            <w:rFonts w:ascii="Times New Roman Bold" w:hAnsi="Times New Roman Bold"/>
          </w:rPr>
          <w:t>2.1.1.</w:t>
        </w:r>
        <w:r w:rsidR="0022260F">
          <w:rPr>
            <w:rFonts w:asciiTheme="minorHAnsi" w:eastAsiaTheme="minorEastAsia" w:hAnsiTheme="minorHAnsi" w:cstheme="minorBidi"/>
            <w:snapToGrid/>
            <w:sz w:val="22"/>
            <w:szCs w:val="22"/>
            <w:lang w:val="hr-HR" w:eastAsia="hr-HR"/>
          </w:rPr>
          <w:tab/>
        </w:r>
        <w:r w:rsidR="0022260F" w:rsidRPr="006C484C">
          <w:rPr>
            <w:rStyle w:val="Hyperlink"/>
          </w:rPr>
          <w:t>Eligibility of applicants (i.e. lead applicant and co-applicant(s))</w:t>
        </w:r>
        <w:r w:rsidR="0022260F">
          <w:rPr>
            <w:webHidden/>
          </w:rPr>
          <w:tab/>
        </w:r>
        <w:r w:rsidR="0022260F">
          <w:rPr>
            <w:webHidden/>
          </w:rPr>
          <w:fldChar w:fldCharType="begin"/>
        </w:r>
        <w:r w:rsidR="0022260F">
          <w:rPr>
            <w:webHidden/>
          </w:rPr>
          <w:instrText xml:space="preserve"> PAGEREF _Toc502218263 \h </w:instrText>
        </w:r>
        <w:r w:rsidR="0022260F">
          <w:rPr>
            <w:webHidden/>
          </w:rPr>
        </w:r>
        <w:r w:rsidR="0022260F">
          <w:rPr>
            <w:webHidden/>
          </w:rPr>
          <w:fldChar w:fldCharType="separate"/>
        </w:r>
        <w:r w:rsidR="009A0F56">
          <w:rPr>
            <w:webHidden/>
          </w:rPr>
          <w:t>9</w:t>
        </w:r>
        <w:r w:rsidR="0022260F">
          <w:rPr>
            <w:webHidden/>
          </w:rPr>
          <w:fldChar w:fldCharType="end"/>
        </w:r>
      </w:hyperlink>
    </w:p>
    <w:p w14:paraId="4EF669EA" w14:textId="599BABB3" w:rsidR="0022260F" w:rsidRDefault="00516696">
      <w:pPr>
        <w:pStyle w:val="TOC3"/>
        <w:rPr>
          <w:rFonts w:asciiTheme="minorHAnsi" w:eastAsiaTheme="minorEastAsia" w:hAnsiTheme="minorHAnsi" w:cstheme="minorBidi"/>
          <w:snapToGrid/>
          <w:sz w:val="22"/>
          <w:szCs w:val="22"/>
          <w:lang w:val="hr-HR" w:eastAsia="hr-HR"/>
        </w:rPr>
      </w:pPr>
      <w:hyperlink w:anchor="_Toc502218264" w:history="1">
        <w:r w:rsidR="0022260F" w:rsidRPr="006C484C">
          <w:rPr>
            <w:rStyle w:val="Hyperlink"/>
            <w:rFonts w:ascii="Times New Roman Bold" w:hAnsi="Times New Roman Bold"/>
          </w:rPr>
          <w:t>2.1.2.</w:t>
        </w:r>
        <w:r w:rsidR="0022260F">
          <w:rPr>
            <w:rFonts w:asciiTheme="minorHAnsi" w:eastAsiaTheme="minorEastAsia" w:hAnsiTheme="minorHAnsi" w:cstheme="minorBidi"/>
            <w:snapToGrid/>
            <w:sz w:val="22"/>
            <w:szCs w:val="22"/>
            <w:lang w:val="hr-HR" w:eastAsia="hr-HR"/>
          </w:rPr>
          <w:tab/>
        </w:r>
        <w:r w:rsidR="0022260F" w:rsidRPr="006C484C">
          <w:rPr>
            <w:rStyle w:val="Hyperlink"/>
          </w:rPr>
          <w:t>Affiliated entities</w:t>
        </w:r>
        <w:r w:rsidR="0022260F">
          <w:rPr>
            <w:webHidden/>
          </w:rPr>
          <w:tab/>
        </w:r>
        <w:r w:rsidR="0022260F">
          <w:rPr>
            <w:webHidden/>
          </w:rPr>
          <w:fldChar w:fldCharType="begin"/>
        </w:r>
        <w:r w:rsidR="0022260F">
          <w:rPr>
            <w:webHidden/>
          </w:rPr>
          <w:instrText xml:space="preserve"> PAGEREF _Toc502218264 \h </w:instrText>
        </w:r>
        <w:r w:rsidR="0022260F">
          <w:rPr>
            <w:webHidden/>
          </w:rPr>
        </w:r>
        <w:r w:rsidR="0022260F">
          <w:rPr>
            <w:webHidden/>
          </w:rPr>
          <w:fldChar w:fldCharType="separate"/>
        </w:r>
        <w:r w:rsidR="009A0F56">
          <w:rPr>
            <w:webHidden/>
          </w:rPr>
          <w:t>10</w:t>
        </w:r>
        <w:r w:rsidR="0022260F">
          <w:rPr>
            <w:webHidden/>
          </w:rPr>
          <w:fldChar w:fldCharType="end"/>
        </w:r>
      </w:hyperlink>
    </w:p>
    <w:p w14:paraId="5E4A135E" w14:textId="4F7F5AB7" w:rsidR="0022260F" w:rsidRDefault="00516696">
      <w:pPr>
        <w:pStyle w:val="TOC3"/>
        <w:rPr>
          <w:rFonts w:asciiTheme="minorHAnsi" w:eastAsiaTheme="minorEastAsia" w:hAnsiTheme="minorHAnsi" w:cstheme="minorBidi"/>
          <w:snapToGrid/>
          <w:sz w:val="22"/>
          <w:szCs w:val="22"/>
          <w:lang w:val="hr-HR" w:eastAsia="hr-HR"/>
        </w:rPr>
      </w:pPr>
      <w:hyperlink w:anchor="_Toc502218265" w:history="1">
        <w:r w:rsidR="0022260F" w:rsidRPr="006C484C">
          <w:rPr>
            <w:rStyle w:val="Hyperlink"/>
            <w:rFonts w:ascii="Times New Roman Bold" w:hAnsi="Times New Roman Bold"/>
          </w:rPr>
          <w:t>2.1.3.</w:t>
        </w:r>
        <w:r w:rsidR="0022260F">
          <w:rPr>
            <w:rFonts w:asciiTheme="minorHAnsi" w:eastAsiaTheme="minorEastAsia" w:hAnsiTheme="minorHAnsi" w:cstheme="minorBidi"/>
            <w:snapToGrid/>
            <w:sz w:val="22"/>
            <w:szCs w:val="22"/>
            <w:lang w:val="hr-HR" w:eastAsia="hr-HR"/>
          </w:rPr>
          <w:tab/>
        </w:r>
        <w:r w:rsidR="0022260F" w:rsidRPr="006C484C">
          <w:rPr>
            <w:rStyle w:val="Hyperlink"/>
          </w:rPr>
          <w:t>Associates and Contractors</w:t>
        </w:r>
        <w:r w:rsidR="0022260F">
          <w:rPr>
            <w:webHidden/>
          </w:rPr>
          <w:tab/>
        </w:r>
        <w:r w:rsidR="0022260F">
          <w:rPr>
            <w:webHidden/>
          </w:rPr>
          <w:fldChar w:fldCharType="begin"/>
        </w:r>
        <w:r w:rsidR="0022260F">
          <w:rPr>
            <w:webHidden/>
          </w:rPr>
          <w:instrText xml:space="preserve"> PAGEREF _Toc502218265 \h </w:instrText>
        </w:r>
        <w:r w:rsidR="0022260F">
          <w:rPr>
            <w:webHidden/>
          </w:rPr>
        </w:r>
        <w:r w:rsidR="0022260F">
          <w:rPr>
            <w:webHidden/>
          </w:rPr>
          <w:fldChar w:fldCharType="separate"/>
        </w:r>
        <w:r w:rsidR="009A0F56">
          <w:rPr>
            <w:webHidden/>
          </w:rPr>
          <w:t>12</w:t>
        </w:r>
        <w:r w:rsidR="0022260F">
          <w:rPr>
            <w:webHidden/>
          </w:rPr>
          <w:fldChar w:fldCharType="end"/>
        </w:r>
      </w:hyperlink>
    </w:p>
    <w:p w14:paraId="5AD5E36D" w14:textId="37A93C19" w:rsidR="0022260F" w:rsidRDefault="00516696">
      <w:pPr>
        <w:pStyle w:val="TOC3"/>
        <w:rPr>
          <w:rFonts w:asciiTheme="minorHAnsi" w:eastAsiaTheme="minorEastAsia" w:hAnsiTheme="minorHAnsi" w:cstheme="minorBidi"/>
          <w:snapToGrid/>
          <w:sz w:val="22"/>
          <w:szCs w:val="22"/>
          <w:lang w:val="hr-HR" w:eastAsia="hr-HR"/>
        </w:rPr>
      </w:pPr>
      <w:hyperlink w:anchor="_Toc502218266" w:history="1">
        <w:r w:rsidR="0022260F" w:rsidRPr="006C484C">
          <w:rPr>
            <w:rStyle w:val="Hyperlink"/>
            <w:rFonts w:ascii="Times New Roman Bold" w:hAnsi="Times New Roman Bold"/>
          </w:rPr>
          <w:t>2.1.4.</w:t>
        </w:r>
        <w:r w:rsidR="0022260F">
          <w:rPr>
            <w:rFonts w:asciiTheme="minorHAnsi" w:eastAsiaTheme="minorEastAsia" w:hAnsiTheme="minorHAnsi" w:cstheme="minorBidi"/>
            <w:snapToGrid/>
            <w:sz w:val="22"/>
            <w:szCs w:val="22"/>
            <w:lang w:val="hr-HR" w:eastAsia="hr-HR"/>
          </w:rPr>
          <w:tab/>
        </w:r>
        <w:r w:rsidR="0022260F" w:rsidRPr="006C484C">
          <w:rPr>
            <w:rStyle w:val="Hyperlink"/>
          </w:rPr>
          <w:t>Eligible actions: actions for which an application may be made</w:t>
        </w:r>
        <w:r w:rsidR="0022260F">
          <w:rPr>
            <w:webHidden/>
          </w:rPr>
          <w:tab/>
        </w:r>
        <w:r w:rsidR="0022260F">
          <w:rPr>
            <w:webHidden/>
          </w:rPr>
          <w:fldChar w:fldCharType="begin"/>
        </w:r>
        <w:r w:rsidR="0022260F">
          <w:rPr>
            <w:webHidden/>
          </w:rPr>
          <w:instrText xml:space="preserve"> PAGEREF _Toc502218266 \h </w:instrText>
        </w:r>
        <w:r w:rsidR="0022260F">
          <w:rPr>
            <w:webHidden/>
          </w:rPr>
        </w:r>
        <w:r w:rsidR="0022260F">
          <w:rPr>
            <w:webHidden/>
          </w:rPr>
          <w:fldChar w:fldCharType="separate"/>
        </w:r>
        <w:r w:rsidR="009A0F56">
          <w:rPr>
            <w:webHidden/>
          </w:rPr>
          <w:t>12</w:t>
        </w:r>
        <w:r w:rsidR="0022260F">
          <w:rPr>
            <w:webHidden/>
          </w:rPr>
          <w:fldChar w:fldCharType="end"/>
        </w:r>
      </w:hyperlink>
    </w:p>
    <w:p w14:paraId="5A82A41D" w14:textId="402DAF74" w:rsidR="0022260F" w:rsidRDefault="00516696">
      <w:pPr>
        <w:pStyle w:val="TOC3"/>
        <w:rPr>
          <w:rFonts w:asciiTheme="minorHAnsi" w:eastAsiaTheme="minorEastAsia" w:hAnsiTheme="minorHAnsi" w:cstheme="minorBidi"/>
          <w:snapToGrid/>
          <w:sz w:val="22"/>
          <w:szCs w:val="22"/>
          <w:lang w:val="hr-HR" w:eastAsia="hr-HR"/>
        </w:rPr>
      </w:pPr>
      <w:hyperlink w:anchor="_Toc502218267" w:history="1">
        <w:r w:rsidR="0022260F" w:rsidRPr="006C484C">
          <w:rPr>
            <w:rStyle w:val="Hyperlink"/>
            <w:rFonts w:ascii="Times New Roman Bold" w:hAnsi="Times New Roman Bold"/>
          </w:rPr>
          <w:t>2.1.5.</w:t>
        </w:r>
        <w:r w:rsidR="0022260F">
          <w:rPr>
            <w:rFonts w:asciiTheme="minorHAnsi" w:eastAsiaTheme="minorEastAsia" w:hAnsiTheme="minorHAnsi" w:cstheme="minorBidi"/>
            <w:snapToGrid/>
            <w:sz w:val="22"/>
            <w:szCs w:val="22"/>
            <w:lang w:val="hr-HR" w:eastAsia="hr-HR"/>
          </w:rPr>
          <w:tab/>
        </w:r>
        <w:r w:rsidR="0022260F" w:rsidRPr="006C484C">
          <w:rPr>
            <w:rStyle w:val="Hyperlink"/>
          </w:rPr>
          <w:t>Eligibility of costs: costs that can be included</w:t>
        </w:r>
        <w:r w:rsidR="0022260F">
          <w:rPr>
            <w:webHidden/>
          </w:rPr>
          <w:tab/>
        </w:r>
        <w:r w:rsidR="0022260F">
          <w:rPr>
            <w:webHidden/>
          </w:rPr>
          <w:fldChar w:fldCharType="begin"/>
        </w:r>
        <w:r w:rsidR="0022260F">
          <w:rPr>
            <w:webHidden/>
          </w:rPr>
          <w:instrText xml:space="preserve"> PAGEREF _Toc502218267 \h </w:instrText>
        </w:r>
        <w:r w:rsidR="0022260F">
          <w:rPr>
            <w:webHidden/>
          </w:rPr>
        </w:r>
        <w:r w:rsidR="0022260F">
          <w:rPr>
            <w:webHidden/>
          </w:rPr>
          <w:fldChar w:fldCharType="separate"/>
        </w:r>
        <w:r w:rsidR="009A0F56">
          <w:rPr>
            <w:webHidden/>
          </w:rPr>
          <w:t>18</w:t>
        </w:r>
        <w:r w:rsidR="0022260F">
          <w:rPr>
            <w:webHidden/>
          </w:rPr>
          <w:fldChar w:fldCharType="end"/>
        </w:r>
      </w:hyperlink>
    </w:p>
    <w:p w14:paraId="60DECC5E" w14:textId="771545DF" w:rsidR="0022260F" w:rsidRDefault="00516696">
      <w:pPr>
        <w:pStyle w:val="TOC2"/>
        <w:rPr>
          <w:rFonts w:asciiTheme="minorHAnsi" w:eastAsiaTheme="minorEastAsia" w:hAnsiTheme="minorHAnsi" w:cstheme="minorBidi"/>
          <w:noProof/>
          <w:snapToGrid/>
          <w:szCs w:val="22"/>
          <w:lang w:val="hr-HR" w:eastAsia="hr-HR"/>
        </w:rPr>
      </w:pPr>
      <w:hyperlink w:anchor="_Toc502218268" w:history="1">
        <w:r w:rsidR="0022260F" w:rsidRPr="006C484C">
          <w:rPr>
            <w:rStyle w:val="Hyperlink"/>
            <w:noProof/>
          </w:rPr>
          <w:t>2.2.</w:t>
        </w:r>
        <w:r w:rsidR="0022260F">
          <w:rPr>
            <w:rFonts w:asciiTheme="minorHAnsi" w:eastAsiaTheme="minorEastAsia" w:hAnsiTheme="minorHAnsi" w:cstheme="minorBidi"/>
            <w:noProof/>
            <w:snapToGrid/>
            <w:szCs w:val="22"/>
            <w:lang w:val="hr-HR" w:eastAsia="hr-HR"/>
          </w:rPr>
          <w:tab/>
        </w:r>
        <w:r w:rsidR="0022260F" w:rsidRPr="006C484C">
          <w:rPr>
            <w:rStyle w:val="Hyperlink"/>
            <w:noProof/>
          </w:rPr>
          <w:t>How to apply and the procedures to follow</w:t>
        </w:r>
        <w:r w:rsidR="0022260F">
          <w:rPr>
            <w:noProof/>
            <w:webHidden/>
          </w:rPr>
          <w:tab/>
        </w:r>
        <w:r w:rsidR="0022260F">
          <w:rPr>
            <w:noProof/>
            <w:webHidden/>
          </w:rPr>
          <w:fldChar w:fldCharType="begin"/>
        </w:r>
        <w:r w:rsidR="0022260F">
          <w:rPr>
            <w:noProof/>
            <w:webHidden/>
          </w:rPr>
          <w:instrText xml:space="preserve"> PAGEREF _Toc502218268 \h </w:instrText>
        </w:r>
        <w:r w:rsidR="0022260F">
          <w:rPr>
            <w:noProof/>
            <w:webHidden/>
          </w:rPr>
        </w:r>
        <w:r w:rsidR="0022260F">
          <w:rPr>
            <w:noProof/>
            <w:webHidden/>
          </w:rPr>
          <w:fldChar w:fldCharType="separate"/>
        </w:r>
        <w:r w:rsidR="009A0F56">
          <w:rPr>
            <w:noProof/>
            <w:webHidden/>
          </w:rPr>
          <w:t>21</w:t>
        </w:r>
        <w:r w:rsidR="0022260F">
          <w:rPr>
            <w:noProof/>
            <w:webHidden/>
          </w:rPr>
          <w:fldChar w:fldCharType="end"/>
        </w:r>
      </w:hyperlink>
    </w:p>
    <w:p w14:paraId="5E531833" w14:textId="7467C7A8" w:rsidR="0022260F" w:rsidRDefault="00516696">
      <w:pPr>
        <w:pStyle w:val="TOC3"/>
        <w:rPr>
          <w:rFonts w:asciiTheme="minorHAnsi" w:eastAsiaTheme="minorEastAsia" w:hAnsiTheme="minorHAnsi" w:cstheme="minorBidi"/>
          <w:snapToGrid/>
          <w:sz w:val="22"/>
          <w:szCs w:val="22"/>
          <w:lang w:val="hr-HR" w:eastAsia="hr-HR"/>
        </w:rPr>
      </w:pPr>
      <w:hyperlink w:anchor="_Toc502218269" w:history="1">
        <w:r w:rsidR="0022260F" w:rsidRPr="006C484C">
          <w:rPr>
            <w:rStyle w:val="Hyperlink"/>
            <w:rFonts w:ascii="Times New Roman Bold" w:hAnsi="Times New Roman Bold"/>
          </w:rPr>
          <w:t>2.2.1.</w:t>
        </w:r>
        <w:r w:rsidR="0022260F">
          <w:rPr>
            <w:rFonts w:asciiTheme="minorHAnsi" w:eastAsiaTheme="minorEastAsia" w:hAnsiTheme="minorHAnsi" w:cstheme="minorBidi"/>
            <w:snapToGrid/>
            <w:sz w:val="22"/>
            <w:szCs w:val="22"/>
            <w:lang w:val="hr-HR" w:eastAsia="hr-HR"/>
          </w:rPr>
          <w:tab/>
        </w:r>
        <w:r w:rsidR="0022260F" w:rsidRPr="006C484C">
          <w:rPr>
            <w:rStyle w:val="Hyperlink"/>
          </w:rPr>
          <w:t>Application forms</w:t>
        </w:r>
        <w:r w:rsidR="0022260F">
          <w:rPr>
            <w:webHidden/>
          </w:rPr>
          <w:tab/>
        </w:r>
        <w:r w:rsidR="0022260F">
          <w:rPr>
            <w:webHidden/>
          </w:rPr>
          <w:fldChar w:fldCharType="begin"/>
        </w:r>
        <w:r w:rsidR="0022260F">
          <w:rPr>
            <w:webHidden/>
          </w:rPr>
          <w:instrText xml:space="preserve"> PAGEREF _Toc502218269 \h </w:instrText>
        </w:r>
        <w:r w:rsidR="0022260F">
          <w:rPr>
            <w:webHidden/>
          </w:rPr>
        </w:r>
        <w:r w:rsidR="0022260F">
          <w:rPr>
            <w:webHidden/>
          </w:rPr>
          <w:fldChar w:fldCharType="separate"/>
        </w:r>
        <w:r w:rsidR="009A0F56">
          <w:rPr>
            <w:webHidden/>
          </w:rPr>
          <w:t>21</w:t>
        </w:r>
        <w:r w:rsidR="0022260F">
          <w:rPr>
            <w:webHidden/>
          </w:rPr>
          <w:fldChar w:fldCharType="end"/>
        </w:r>
      </w:hyperlink>
    </w:p>
    <w:p w14:paraId="34D44581" w14:textId="1EEF40F7" w:rsidR="0022260F" w:rsidRDefault="00516696">
      <w:pPr>
        <w:pStyle w:val="TOC3"/>
        <w:rPr>
          <w:rFonts w:asciiTheme="minorHAnsi" w:eastAsiaTheme="minorEastAsia" w:hAnsiTheme="minorHAnsi" w:cstheme="minorBidi"/>
          <w:snapToGrid/>
          <w:sz w:val="22"/>
          <w:szCs w:val="22"/>
          <w:lang w:val="hr-HR" w:eastAsia="hr-HR"/>
        </w:rPr>
      </w:pPr>
      <w:hyperlink w:anchor="_Toc502218270" w:history="1">
        <w:r w:rsidR="0022260F" w:rsidRPr="006C484C">
          <w:rPr>
            <w:rStyle w:val="Hyperlink"/>
            <w:rFonts w:ascii="Times New Roman Bold" w:hAnsi="Times New Roman Bold"/>
          </w:rPr>
          <w:t>2.2.2.</w:t>
        </w:r>
        <w:r w:rsidR="0022260F">
          <w:rPr>
            <w:rFonts w:asciiTheme="minorHAnsi" w:eastAsiaTheme="minorEastAsia" w:hAnsiTheme="minorHAnsi" w:cstheme="minorBidi"/>
            <w:snapToGrid/>
            <w:sz w:val="22"/>
            <w:szCs w:val="22"/>
            <w:lang w:val="hr-HR" w:eastAsia="hr-HR"/>
          </w:rPr>
          <w:tab/>
        </w:r>
        <w:r w:rsidR="0022260F" w:rsidRPr="006C484C">
          <w:rPr>
            <w:rStyle w:val="Hyperlink"/>
          </w:rPr>
          <w:t>Where and how to send applications</w:t>
        </w:r>
        <w:r w:rsidR="0022260F">
          <w:rPr>
            <w:webHidden/>
          </w:rPr>
          <w:tab/>
        </w:r>
        <w:r w:rsidR="0022260F">
          <w:rPr>
            <w:webHidden/>
          </w:rPr>
          <w:fldChar w:fldCharType="begin"/>
        </w:r>
        <w:r w:rsidR="0022260F">
          <w:rPr>
            <w:webHidden/>
          </w:rPr>
          <w:instrText xml:space="preserve"> PAGEREF _Toc502218270 \h </w:instrText>
        </w:r>
        <w:r w:rsidR="0022260F">
          <w:rPr>
            <w:webHidden/>
          </w:rPr>
        </w:r>
        <w:r w:rsidR="0022260F">
          <w:rPr>
            <w:webHidden/>
          </w:rPr>
          <w:fldChar w:fldCharType="separate"/>
        </w:r>
        <w:r w:rsidR="009A0F56">
          <w:rPr>
            <w:webHidden/>
          </w:rPr>
          <w:t>21</w:t>
        </w:r>
        <w:r w:rsidR="0022260F">
          <w:rPr>
            <w:webHidden/>
          </w:rPr>
          <w:fldChar w:fldCharType="end"/>
        </w:r>
      </w:hyperlink>
    </w:p>
    <w:p w14:paraId="4E7B2BB2" w14:textId="5A4BBABE" w:rsidR="0022260F" w:rsidRDefault="00516696">
      <w:pPr>
        <w:pStyle w:val="TOC3"/>
        <w:rPr>
          <w:rFonts w:asciiTheme="minorHAnsi" w:eastAsiaTheme="minorEastAsia" w:hAnsiTheme="minorHAnsi" w:cstheme="minorBidi"/>
          <w:snapToGrid/>
          <w:sz w:val="22"/>
          <w:szCs w:val="22"/>
          <w:lang w:val="hr-HR" w:eastAsia="hr-HR"/>
        </w:rPr>
      </w:pPr>
      <w:hyperlink w:anchor="_Toc502218271" w:history="1">
        <w:r w:rsidR="0022260F" w:rsidRPr="006C484C">
          <w:rPr>
            <w:rStyle w:val="Hyperlink"/>
            <w:rFonts w:ascii="Times New Roman Bold" w:hAnsi="Times New Roman Bold"/>
          </w:rPr>
          <w:t>2.2.3.</w:t>
        </w:r>
        <w:r w:rsidR="0022260F">
          <w:rPr>
            <w:rFonts w:asciiTheme="minorHAnsi" w:eastAsiaTheme="minorEastAsia" w:hAnsiTheme="minorHAnsi" w:cstheme="minorBidi"/>
            <w:snapToGrid/>
            <w:sz w:val="22"/>
            <w:szCs w:val="22"/>
            <w:lang w:val="hr-HR" w:eastAsia="hr-HR"/>
          </w:rPr>
          <w:tab/>
        </w:r>
        <w:r w:rsidR="0022260F" w:rsidRPr="006C484C">
          <w:rPr>
            <w:rStyle w:val="Hyperlink"/>
          </w:rPr>
          <w:t>Deadline for submission of applications</w:t>
        </w:r>
        <w:r w:rsidR="0022260F">
          <w:rPr>
            <w:webHidden/>
          </w:rPr>
          <w:tab/>
        </w:r>
        <w:r w:rsidR="0022260F">
          <w:rPr>
            <w:webHidden/>
          </w:rPr>
          <w:fldChar w:fldCharType="begin"/>
        </w:r>
        <w:r w:rsidR="0022260F">
          <w:rPr>
            <w:webHidden/>
          </w:rPr>
          <w:instrText xml:space="preserve"> PAGEREF _Toc502218271 \h </w:instrText>
        </w:r>
        <w:r w:rsidR="0022260F">
          <w:rPr>
            <w:webHidden/>
          </w:rPr>
        </w:r>
        <w:r w:rsidR="0022260F">
          <w:rPr>
            <w:webHidden/>
          </w:rPr>
          <w:fldChar w:fldCharType="separate"/>
        </w:r>
        <w:r w:rsidR="009A0F56">
          <w:rPr>
            <w:webHidden/>
          </w:rPr>
          <w:t>22</w:t>
        </w:r>
        <w:r w:rsidR="0022260F">
          <w:rPr>
            <w:webHidden/>
          </w:rPr>
          <w:fldChar w:fldCharType="end"/>
        </w:r>
      </w:hyperlink>
    </w:p>
    <w:p w14:paraId="66483097" w14:textId="7ED95B67" w:rsidR="0022260F" w:rsidRDefault="00516696">
      <w:pPr>
        <w:pStyle w:val="TOC3"/>
        <w:rPr>
          <w:rFonts w:asciiTheme="minorHAnsi" w:eastAsiaTheme="minorEastAsia" w:hAnsiTheme="minorHAnsi" w:cstheme="minorBidi"/>
          <w:snapToGrid/>
          <w:sz w:val="22"/>
          <w:szCs w:val="22"/>
          <w:lang w:val="hr-HR" w:eastAsia="hr-HR"/>
        </w:rPr>
      </w:pPr>
      <w:hyperlink w:anchor="_Toc502218272" w:history="1">
        <w:r w:rsidR="0022260F" w:rsidRPr="006C484C">
          <w:rPr>
            <w:rStyle w:val="Hyperlink"/>
            <w:rFonts w:ascii="Times New Roman Bold" w:hAnsi="Times New Roman Bold"/>
          </w:rPr>
          <w:t>2.2.4.</w:t>
        </w:r>
        <w:r w:rsidR="0022260F">
          <w:rPr>
            <w:rFonts w:asciiTheme="minorHAnsi" w:eastAsiaTheme="minorEastAsia" w:hAnsiTheme="minorHAnsi" w:cstheme="minorBidi"/>
            <w:snapToGrid/>
            <w:sz w:val="22"/>
            <w:szCs w:val="22"/>
            <w:lang w:val="hr-HR" w:eastAsia="hr-HR"/>
          </w:rPr>
          <w:tab/>
        </w:r>
        <w:r w:rsidR="0022260F" w:rsidRPr="006C484C">
          <w:rPr>
            <w:rStyle w:val="Hyperlink"/>
          </w:rPr>
          <w:t>Further information about</w:t>
        </w:r>
        <w:r w:rsidR="0022260F" w:rsidRPr="006C484C">
          <w:rPr>
            <w:rStyle w:val="Hyperlink"/>
            <w:lang w:val="sr-Cyrl-RS"/>
          </w:rPr>
          <w:t xml:space="preserve"> </w:t>
        </w:r>
        <w:r w:rsidR="0022260F" w:rsidRPr="006C484C">
          <w:rPr>
            <w:rStyle w:val="Hyperlink"/>
          </w:rPr>
          <w:t>applications</w:t>
        </w:r>
        <w:r w:rsidR="0022260F">
          <w:rPr>
            <w:webHidden/>
          </w:rPr>
          <w:tab/>
        </w:r>
        <w:r w:rsidR="0022260F">
          <w:rPr>
            <w:webHidden/>
          </w:rPr>
          <w:fldChar w:fldCharType="begin"/>
        </w:r>
        <w:r w:rsidR="0022260F">
          <w:rPr>
            <w:webHidden/>
          </w:rPr>
          <w:instrText xml:space="preserve"> PAGEREF _Toc502218272 \h </w:instrText>
        </w:r>
        <w:r w:rsidR="0022260F">
          <w:rPr>
            <w:webHidden/>
          </w:rPr>
        </w:r>
        <w:r w:rsidR="0022260F">
          <w:rPr>
            <w:webHidden/>
          </w:rPr>
          <w:fldChar w:fldCharType="separate"/>
        </w:r>
        <w:r w:rsidR="009A0F56">
          <w:rPr>
            <w:webHidden/>
          </w:rPr>
          <w:t>23</w:t>
        </w:r>
        <w:r w:rsidR="0022260F">
          <w:rPr>
            <w:webHidden/>
          </w:rPr>
          <w:fldChar w:fldCharType="end"/>
        </w:r>
      </w:hyperlink>
    </w:p>
    <w:p w14:paraId="7A7D0464" w14:textId="3F2317FF" w:rsidR="0022260F" w:rsidRDefault="00516696">
      <w:pPr>
        <w:pStyle w:val="TOC2"/>
        <w:rPr>
          <w:rFonts w:asciiTheme="minorHAnsi" w:eastAsiaTheme="minorEastAsia" w:hAnsiTheme="minorHAnsi" w:cstheme="minorBidi"/>
          <w:noProof/>
          <w:snapToGrid/>
          <w:szCs w:val="22"/>
          <w:lang w:val="hr-HR" w:eastAsia="hr-HR"/>
        </w:rPr>
      </w:pPr>
      <w:hyperlink w:anchor="_Toc502218273" w:history="1">
        <w:r w:rsidR="0022260F" w:rsidRPr="006C484C">
          <w:rPr>
            <w:rStyle w:val="Hyperlink"/>
            <w:noProof/>
          </w:rPr>
          <w:t>2.3.</w:t>
        </w:r>
        <w:r w:rsidR="0022260F">
          <w:rPr>
            <w:rFonts w:asciiTheme="minorHAnsi" w:eastAsiaTheme="minorEastAsia" w:hAnsiTheme="minorHAnsi" w:cstheme="minorBidi"/>
            <w:noProof/>
            <w:snapToGrid/>
            <w:szCs w:val="22"/>
            <w:lang w:val="hr-HR" w:eastAsia="hr-HR"/>
          </w:rPr>
          <w:tab/>
        </w:r>
        <w:r w:rsidR="0022260F" w:rsidRPr="006C484C">
          <w:rPr>
            <w:rStyle w:val="Hyperlink"/>
            <w:noProof/>
          </w:rPr>
          <w:t>Evaluation and selection of applications</w:t>
        </w:r>
        <w:r w:rsidR="0022260F">
          <w:rPr>
            <w:noProof/>
            <w:webHidden/>
          </w:rPr>
          <w:tab/>
        </w:r>
        <w:r w:rsidR="0022260F">
          <w:rPr>
            <w:noProof/>
            <w:webHidden/>
          </w:rPr>
          <w:fldChar w:fldCharType="begin"/>
        </w:r>
        <w:r w:rsidR="0022260F">
          <w:rPr>
            <w:noProof/>
            <w:webHidden/>
          </w:rPr>
          <w:instrText xml:space="preserve"> PAGEREF _Toc502218273 \h </w:instrText>
        </w:r>
        <w:r w:rsidR="0022260F">
          <w:rPr>
            <w:noProof/>
            <w:webHidden/>
          </w:rPr>
        </w:r>
        <w:r w:rsidR="0022260F">
          <w:rPr>
            <w:noProof/>
            <w:webHidden/>
          </w:rPr>
          <w:fldChar w:fldCharType="separate"/>
        </w:r>
        <w:r w:rsidR="009A0F56">
          <w:rPr>
            <w:noProof/>
            <w:webHidden/>
          </w:rPr>
          <w:t>23</w:t>
        </w:r>
        <w:r w:rsidR="0022260F">
          <w:rPr>
            <w:noProof/>
            <w:webHidden/>
          </w:rPr>
          <w:fldChar w:fldCharType="end"/>
        </w:r>
      </w:hyperlink>
    </w:p>
    <w:p w14:paraId="291E73FB" w14:textId="49C1D685" w:rsidR="0022260F" w:rsidRDefault="00516696">
      <w:pPr>
        <w:pStyle w:val="TOC2"/>
        <w:rPr>
          <w:rFonts w:asciiTheme="minorHAnsi" w:eastAsiaTheme="minorEastAsia" w:hAnsiTheme="minorHAnsi" w:cstheme="minorBidi"/>
          <w:noProof/>
          <w:snapToGrid/>
          <w:szCs w:val="22"/>
          <w:lang w:val="hr-HR" w:eastAsia="hr-HR"/>
        </w:rPr>
      </w:pPr>
      <w:hyperlink w:anchor="_Toc502218274" w:history="1">
        <w:r w:rsidR="0022260F" w:rsidRPr="006C484C">
          <w:rPr>
            <w:rStyle w:val="Hyperlink"/>
            <w:noProof/>
          </w:rPr>
          <w:t>2.4.</w:t>
        </w:r>
        <w:r w:rsidR="0022260F">
          <w:rPr>
            <w:rFonts w:asciiTheme="minorHAnsi" w:eastAsiaTheme="minorEastAsia" w:hAnsiTheme="minorHAnsi" w:cstheme="minorBidi"/>
            <w:noProof/>
            <w:snapToGrid/>
            <w:szCs w:val="22"/>
            <w:lang w:val="hr-HR" w:eastAsia="hr-HR"/>
          </w:rPr>
          <w:tab/>
        </w:r>
        <w:r w:rsidR="0022260F" w:rsidRPr="006C484C">
          <w:rPr>
            <w:rStyle w:val="Hyperlink"/>
            <w:noProof/>
          </w:rPr>
          <w:t>Submission of supporting documents for provisionally</w:t>
        </w:r>
        <w:r w:rsidR="0022260F" w:rsidRPr="006C484C">
          <w:rPr>
            <w:rStyle w:val="Hyperlink"/>
            <w:noProof/>
            <w:lang w:val="sr-Cyrl-RS"/>
          </w:rPr>
          <w:t xml:space="preserve"> </w:t>
        </w:r>
        <w:r w:rsidR="0022260F" w:rsidRPr="006C484C">
          <w:rPr>
            <w:rStyle w:val="Hyperlink"/>
            <w:noProof/>
          </w:rPr>
          <w:t>selected applications</w:t>
        </w:r>
        <w:r w:rsidR="0022260F">
          <w:rPr>
            <w:noProof/>
            <w:webHidden/>
          </w:rPr>
          <w:tab/>
        </w:r>
        <w:r w:rsidR="0022260F">
          <w:rPr>
            <w:noProof/>
            <w:webHidden/>
          </w:rPr>
          <w:fldChar w:fldCharType="begin"/>
        </w:r>
        <w:r w:rsidR="0022260F">
          <w:rPr>
            <w:noProof/>
            <w:webHidden/>
          </w:rPr>
          <w:instrText xml:space="preserve"> PAGEREF _Toc502218274 \h </w:instrText>
        </w:r>
        <w:r w:rsidR="0022260F">
          <w:rPr>
            <w:noProof/>
            <w:webHidden/>
          </w:rPr>
        </w:r>
        <w:r w:rsidR="0022260F">
          <w:rPr>
            <w:noProof/>
            <w:webHidden/>
          </w:rPr>
          <w:fldChar w:fldCharType="separate"/>
        </w:r>
        <w:r w:rsidR="009A0F56">
          <w:rPr>
            <w:noProof/>
            <w:webHidden/>
          </w:rPr>
          <w:t>29</w:t>
        </w:r>
        <w:r w:rsidR="0022260F">
          <w:rPr>
            <w:noProof/>
            <w:webHidden/>
          </w:rPr>
          <w:fldChar w:fldCharType="end"/>
        </w:r>
      </w:hyperlink>
    </w:p>
    <w:p w14:paraId="10541D35" w14:textId="1BFF5518" w:rsidR="0022260F" w:rsidRDefault="00516696">
      <w:pPr>
        <w:pStyle w:val="TOC2"/>
        <w:rPr>
          <w:rFonts w:asciiTheme="minorHAnsi" w:eastAsiaTheme="minorEastAsia" w:hAnsiTheme="minorHAnsi" w:cstheme="minorBidi"/>
          <w:noProof/>
          <w:snapToGrid/>
          <w:szCs w:val="22"/>
          <w:lang w:val="hr-HR" w:eastAsia="hr-HR"/>
        </w:rPr>
      </w:pPr>
      <w:hyperlink w:anchor="_Toc502218275" w:history="1">
        <w:r w:rsidR="0022260F" w:rsidRPr="006C484C">
          <w:rPr>
            <w:rStyle w:val="Hyperlink"/>
            <w:noProof/>
          </w:rPr>
          <w:t>2.5.</w:t>
        </w:r>
        <w:r w:rsidR="0022260F">
          <w:rPr>
            <w:rFonts w:asciiTheme="minorHAnsi" w:eastAsiaTheme="minorEastAsia" w:hAnsiTheme="minorHAnsi" w:cstheme="minorBidi"/>
            <w:noProof/>
            <w:snapToGrid/>
            <w:szCs w:val="22"/>
            <w:lang w:val="hr-HR" w:eastAsia="hr-HR"/>
          </w:rPr>
          <w:tab/>
        </w:r>
        <w:r w:rsidR="0022260F" w:rsidRPr="006C484C">
          <w:rPr>
            <w:rStyle w:val="Hyperlink"/>
            <w:noProof/>
          </w:rPr>
          <w:t>Notification of the Contracting Authority’s decision</w:t>
        </w:r>
        <w:r w:rsidR="0022260F">
          <w:rPr>
            <w:noProof/>
            <w:webHidden/>
          </w:rPr>
          <w:tab/>
        </w:r>
        <w:r w:rsidR="0022260F">
          <w:rPr>
            <w:noProof/>
            <w:webHidden/>
          </w:rPr>
          <w:fldChar w:fldCharType="begin"/>
        </w:r>
        <w:r w:rsidR="0022260F">
          <w:rPr>
            <w:noProof/>
            <w:webHidden/>
          </w:rPr>
          <w:instrText xml:space="preserve"> PAGEREF _Toc502218275 \h </w:instrText>
        </w:r>
        <w:r w:rsidR="0022260F">
          <w:rPr>
            <w:noProof/>
            <w:webHidden/>
          </w:rPr>
        </w:r>
        <w:r w:rsidR="0022260F">
          <w:rPr>
            <w:noProof/>
            <w:webHidden/>
          </w:rPr>
          <w:fldChar w:fldCharType="separate"/>
        </w:r>
        <w:r w:rsidR="009A0F56">
          <w:rPr>
            <w:noProof/>
            <w:webHidden/>
          </w:rPr>
          <w:t>31</w:t>
        </w:r>
        <w:r w:rsidR="0022260F">
          <w:rPr>
            <w:noProof/>
            <w:webHidden/>
          </w:rPr>
          <w:fldChar w:fldCharType="end"/>
        </w:r>
      </w:hyperlink>
    </w:p>
    <w:p w14:paraId="05F13680" w14:textId="6DB0805F" w:rsidR="0022260F" w:rsidRDefault="00516696">
      <w:pPr>
        <w:pStyle w:val="TOC3"/>
        <w:rPr>
          <w:rFonts w:asciiTheme="minorHAnsi" w:eastAsiaTheme="minorEastAsia" w:hAnsiTheme="minorHAnsi" w:cstheme="minorBidi"/>
          <w:snapToGrid/>
          <w:sz w:val="22"/>
          <w:szCs w:val="22"/>
          <w:lang w:val="hr-HR" w:eastAsia="hr-HR"/>
        </w:rPr>
      </w:pPr>
      <w:hyperlink w:anchor="_Toc502218276" w:history="1">
        <w:r w:rsidR="0022260F" w:rsidRPr="006C484C">
          <w:rPr>
            <w:rStyle w:val="Hyperlink"/>
            <w:rFonts w:ascii="Times New Roman Bold" w:hAnsi="Times New Roman Bold"/>
          </w:rPr>
          <w:t>2.5.1.</w:t>
        </w:r>
        <w:r w:rsidR="0022260F">
          <w:rPr>
            <w:rFonts w:asciiTheme="minorHAnsi" w:eastAsiaTheme="minorEastAsia" w:hAnsiTheme="minorHAnsi" w:cstheme="minorBidi"/>
            <w:snapToGrid/>
            <w:sz w:val="22"/>
            <w:szCs w:val="22"/>
            <w:lang w:val="hr-HR" w:eastAsia="hr-HR"/>
          </w:rPr>
          <w:tab/>
        </w:r>
        <w:r w:rsidR="0022260F" w:rsidRPr="006C484C">
          <w:rPr>
            <w:rStyle w:val="Hyperlink"/>
          </w:rPr>
          <w:t>Content of the decision</w:t>
        </w:r>
        <w:r w:rsidR="0022260F">
          <w:rPr>
            <w:webHidden/>
          </w:rPr>
          <w:tab/>
        </w:r>
        <w:r w:rsidR="0022260F">
          <w:rPr>
            <w:webHidden/>
          </w:rPr>
          <w:fldChar w:fldCharType="begin"/>
        </w:r>
        <w:r w:rsidR="0022260F">
          <w:rPr>
            <w:webHidden/>
          </w:rPr>
          <w:instrText xml:space="preserve"> PAGEREF _Toc502218276 \h </w:instrText>
        </w:r>
        <w:r w:rsidR="0022260F">
          <w:rPr>
            <w:webHidden/>
          </w:rPr>
        </w:r>
        <w:r w:rsidR="0022260F">
          <w:rPr>
            <w:webHidden/>
          </w:rPr>
          <w:fldChar w:fldCharType="separate"/>
        </w:r>
        <w:r w:rsidR="009A0F56">
          <w:rPr>
            <w:webHidden/>
          </w:rPr>
          <w:t>31</w:t>
        </w:r>
        <w:r w:rsidR="0022260F">
          <w:rPr>
            <w:webHidden/>
          </w:rPr>
          <w:fldChar w:fldCharType="end"/>
        </w:r>
      </w:hyperlink>
    </w:p>
    <w:p w14:paraId="11C4817A" w14:textId="46F5068A" w:rsidR="0022260F" w:rsidRDefault="00516696">
      <w:pPr>
        <w:pStyle w:val="TOC3"/>
        <w:rPr>
          <w:rFonts w:asciiTheme="minorHAnsi" w:eastAsiaTheme="minorEastAsia" w:hAnsiTheme="minorHAnsi" w:cstheme="minorBidi"/>
          <w:snapToGrid/>
          <w:sz w:val="22"/>
          <w:szCs w:val="22"/>
          <w:lang w:val="hr-HR" w:eastAsia="hr-HR"/>
        </w:rPr>
      </w:pPr>
      <w:hyperlink w:anchor="_Toc502218277" w:history="1">
        <w:r w:rsidR="0022260F" w:rsidRPr="006C484C">
          <w:rPr>
            <w:rStyle w:val="Hyperlink"/>
            <w:rFonts w:ascii="Times New Roman Bold" w:hAnsi="Times New Roman Bold"/>
          </w:rPr>
          <w:t>2.5.2.</w:t>
        </w:r>
        <w:r w:rsidR="0022260F">
          <w:rPr>
            <w:rFonts w:asciiTheme="minorHAnsi" w:eastAsiaTheme="minorEastAsia" w:hAnsiTheme="minorHAnsi" w:cstheme="minorBidi"/>
            <w:snapToGrid/>
            <w:sz w:val="22"/>
            <w:szCs w:val="22"/>
            <w:lang w:val="hr-HR" w:eastAsia="hr-HR"/>
          </w:rPr>
          <w:tab/>
        </w:r>
        <w:r w:rsidR="0022260F" w:rsidRPr="006C484C">
          <w:rPr>
            <w:rStyle w:val="Hyperlink"/>
          </w:rPr>
          <w:t>Indicative timetable</w:t>
        </w:r>
        <w:r w:rsidR="0022260F">
          <w:rPr>
            <w:webHidden/>
          </w:rPr>
          <w:tab/>
        </w:r>
        <w:r w:rsidR="0022260F">
          <w:rPr>
            <w:webHidden/>
          </w:rPr>
          <w:fldChar w:fldCharType="begin"/>
        </w:r>
        <w:r w:rsidR="0022260F">
          <w:rPr>
            <w:webHidden/>
          </w:rPr>
          <w:instrText xml:space="preserve"> PAGEREF _Toc502218277 \h </w:instrText>
        </w:r>
        <w:r w:rsidR="0022260F">
          <w:rPr>
            <w:webHidden/>
          </w:rPr>
        </w:r>
        <w:r w:rsidR="0022260F">
          <w:rPr>
            <w:webHidden/>
          </w:rPr>
          <w:fldChar w:fldCharType="separate"/>
        </w:r>
        <w:r w:rsidR="009A0F56">
          <w:rPr>
            <w:webHidden/>
          </w:rPr>
          <w:t>31</w:t>
        </w:r>
        <w:r w:rsidR="0022260F">
          <w:rPr>
            <w:webHidden/>
          </w:rPr>
          <w:fldChar w:fldCharType="end"/>
        </w:r>
      </w:hyperlink>
    </w:p>
    <w:p w14:paraId="3AA7E8E8" w14:textId="29A309C0" w:rsidR="0022260F" w:rsidRDefault="00516696">
      <w:pPr>
        <w:pStyle w:val="TOC2"/>
        <w:rPr>
          <w:rFonts w:asciiTheme="minorHAnsi" w:eastAsiaTheme="minorEastAsia" w:hAnsiTheme="minorHAnsi" w:cstheme="minorBidi"/>
          <w:noProof/>
          <w:snapToGrid/>
          <w:szCs w:val="22"/>
          <w:lang w:val="hr-HR" w:eastAsia="hr-HR"/>
        </w:rPr>
      </w:pPr>
      <w:hyperlink w:anchor="_Toc502218278" w:history="1">
        <w:r w:rsidR="0022260F" w:rsidRPr="006C484C">
          <w:rPr>
            <w:rStyle w:val="Hyperlink"/>
            <w:noProof/>
          </w:rPr>
          <w:t>2.6.</w:t>
        </w:r>
        <w:r w:rsidR="0022260F">
          <w:rPr>
            <w:rFonts w:asciiTheme="minorHAnsi" w:eastAsiaTheme="minorEastAsia" w:hAnsiTheme="minorHAnsi" w:cstheme="minorBidi"/>
            <w:noProof/>
            <w:snapToGrid/>
            <w:szCs w:val="22"/>
            <w:lang w:val="hr-HR" w:eastAsia="hr-HR"/>
          </w:rPr>
          <w:tab/>
        </w:r>
        <w:r w:rsidR="0022260F" w:rsidRPr="006C484C">
          <w:rPr>
            <w:rStyle w:val="Hyperlink"/>
            <w:noProof/>
          </w:rPr>
          <w:t>Conditions for implementation after the Contracting Authority’s decision to award a grant</w:t>
        </w:r>
        <w:r w:rsidR="0022260F">
          <w:rPr>
            <w:noProof/>
            <w:webHidden/>
          </w:rPr>
          <w:tab/>
        </w:r>
        <w:r w:rsidR="0022260F">
          <w:rPr>
            <w:noProof/>
            <w:webHidden/>
          </w:rPr>
          <w:fldChar w:fldCharType="begin"/>
        </w:r>
        <w:r w:rsidR="0022260F">
          <w:rPr>
            <w:noProof/>
            <w:webHidden/>
          </w:rPr>
          <w:instrText xml:space="preserve"> PAGEREF _Toc502218278 \h </w:instrText>
        </w:r>
        <w:r w:rsidR="0022260F">
          <w:rPr>
            <w:noProof/>
            <w:webHidden/>
          </w:rPr>
        </w:r>
        <w:r w:rsidR="0022260F">
          <w:rPr>
            <w:noProof/>
            <w:webHidden/>
          </w:rPr>
          <w:fldChar w:fldCharType="separate"/>
        </w:r>
        <w:r w:rsidR="009A0F56">
          <w:rPr>
            <w:noProof/>
            <w:webHidden/>
          </w:rPr>
          <w:t>32</w:t>
        </w:r>
        <w:r w:rsidR="0022260F">
          <w:rPr>
            <w:noProof/>
            <w:webHidden/>
          </w:rPr>
          <w:fldChar w:fldCharType="end"/>
        </w:r>
      </w:hyperlink>
    </w:p>
    <w:p w14:paraId="569EDFFA" w14:textId="241B33B5" w:rsidR="0022260F" w:rsidRDefault="00516696">
      <w:pPr>
        <w:pStyle w:val="TOC1"/>
        <w:rPr>
          <w:rFonts w:asciiTheme="minorHAnsi" w:eastAsiaTheme="minorEastAsia" w:hAnsiTheme="minorHAnsi" w:cstheme="minorBidi"/>
          <w:b w:val="0"/>
          <w:caps w:val="0"/>
          <w:noProof/>
          <w:snapToGrid/>
          <w:szCs w:val="22"/>
          <w:lang w:val="hr-HR" w:eastAsia="hr-HR"/>
        </w:rPr>
      </w:pPr>
      <w:hyperlink w:anchor="_Toc502218279" w:history="1">
        <w:r w:rsidR="0022260F" w:rsidRPr="006C484C">
          <w:rPr>
            <w:rStyle w:val="Hyperlink"/>
            <w:noProof/>
          </w:rPr>
          <w:t>3.</w:t>
        </w:r>
        <w:r w:rsidR="0022260F">
          <w:rPr>
            <w:rFonts w:asciiTheme="minorHAnsi" w:eastAsiaTheme="minorEastAsia" w:hAnsiTheme="minorHAnsi" w:cstheme="minorBidi"/>
            <w:b w:val="0"/>
            <w:caps w:val="0"/>
            <w:noProof/>
            <w:snapToGrid/>
            <w:szCs w:val="22"/>
            <w:lang w:val="hr-HR" w:eastAsia="hr-HR"/>
          </w:rPr>
          <w:tab/>
        </w:r>
        <w:r w:rsidR="0022260F" w:rsidRPr="006C484C">
          <w:rPr>
            <w:rStyle w:val="Hyperlink"/>
            <w:noProof/>
          </w:rPr>
          <w:t>LIST OF annexes</w:t>
        </w:r>
        <w:r w:rsidR="0022260F">
          <w:rPr>
            <w:noProof/>
            <w:webHidden/>
          </w:rPr>
          <w:tab/>
        </w:r>
        <w:r w:rsidR="0022260F">
          <w:rPr>
            <w:noProof/>
            <w:webHidden/>
          </w:rPr>
          <w:fldChar w:fldCharType="begin"/>
        </w:r>
        <w:r w:rsidR="0022260F">
          <w:rPr>
            <w:noProof/>
            <w:webHidden/>
          </w:rPr>
          <w:instrText xml:space="preserve"> PAGEREF _Toc502218279 \h </w:instrText>
        </w:r>
        <w:r w:rsidR="0022260F">
          <w:rPr>
            <w:noProof/>
            <w:webHidden/>
          </w:rPr>
        </w:r>
        <w:r w:rsidR="0022260F">
          <w:rPr>
            <w:noProof/>
            <w:webHidden/>
          </w:rPr>
          <w:fldChar w:fldCharType="separate"/>
        </w:r>
        <w:r w:rsidR="009A0F56">
          <w:rPr>
            <w:noProof/>
            <w:webHidden/>
          </w:rPr>
          <w:t>33</w:t>
        </w:r>
        <w:r w:rsidR="0022260F">
          <w:rPr>
            <w:noProof/>
            <w:webHidden/>
          </w:rPr>
          <w:fldChar w:fldCharType="end"/>
        </w:r>
      </w:hyperlink>
    </w:p>
    <w:p w14:paraId="2234E251" w14:textId="4D846F5C" w:rsidR="004B4983" w:rsidRDefault="00387E9B" w:rsidP="00495849">
      <w:pPr>
        <w:rPr>
          <w:sz w:val="28"/>
          <w:szCs w:val="28"/>
        </w:rPr>
      </w:pPr>
      <w:r>
        <w:rPr>
          <w:sz w:val="28"/>
          <w:szCs w:val="28"/>
        </w:rPr>
        <w:fldChar w:fldCharType="end"/>
      </w:r>
    </w:p>
    <w:p w14:paraId="61DAF2D9" w14:textId="77777777" w:rsidR="004B4983" w:rsidRPr="004B4983" w:rsidRDefault="004B4983" w:rsidP="004B4983">
      <w:pPr>
        <w:rPr>
          <w:sz w:val="28"/>
          <w:szCs w:val="28"/>
        </w:rPr>
      </w:pPr>
    </w:p>
    <w:p w14:paraId="27A35C3B" w14:textId="77777777" w:rsidR="004B4983" w:rsidRPr="004B4983" w:rsidRDefault="004B4983" w:rsidP="004B4983">
      <w:pPr>
        <w:rPr>
          <w:sz w:val="28"/>
          <w:szCs w:val="28"/>
        </w:rPr>
      </w:pPr>
    </w:p>
    <w:p w14:paraId="4115FE67" w14:textId="77777777" w:rsidR="004B4983" w:rsidRPr="004B4983" w:rsidRDefault="004B4983" w:rsidP="004B4983">
      <w:pPr>
        <w:rPr>
          <w:sz w:val="28"/>
          <w:szCs w:val="28"/>
        </w:rPr>
      </w:pPr>
    </w:p>
    <w:p w14:paraId="03CD8D63" w14:textId="77777777" w:rsidR="004B4983" w:rsidRPr="004B4983" w:rsidRDefault="004B4983" w:rsidP="004B4983">
      <w:pPr>
        <w:rPr>
          <w:sz w:val="28"/>
          <w:szCs w:val="28"/>
        </w:rPr>
      </w:pPr>
    </w:p>
    <w:p w14:paraId="7FB5CBE1" w14:textId="77777777" w:rsidR="004B4983" w:rsidRPr="004B4983" w:rsidRDefault="004B4983" w:rsidP="004B4983">
      <w:pPr>
        <w:rPr>
          <w:sz w:val="28"/>
          <w:szCs w:val="28"/>
        </w:rPr>
      </w:pPr>
    </w:p>
    <w:p w14:paraId="7C5B6A6D" w14:textId="77777777" w:rsidR="004B4983" w:rsidRPr="004B4983" w:rsidRDefault="004B4983" w:rsidP="004B4983">
      <w:pPr>
        <w:rPr>
          <w:sz w:val="28"/>
          <w:szCs w:val="28"/>
        </w:rPr>
      </w:pPr>
    </w:p>
    <w:p w14:paraId="5A0EC2D2" w14:textId="77777777" w:rsidR="004B4983" w:rsidRPr="004B4983" w:rsidRDefault="004B4983" w:rsidP="004B4983">
      <w:pPr>
        <w:rPr>
          <w:sz w:val="28"/>
          <w:szCs w:val="28"/>
        </w:rPr>
      </w:pPr>
    </w:p>
    <w:p w14:paraId="0354C96F" w14:textId="77777777" w:rsidR="004B4983" w:rsidRPr="004B4983" w:rsidRDefault="004B4983" w:rsidP="004B4983">
      <w:pPr>
        <w:rPr>
          <w:sz w:val="28"/>
          <w:szCs w:val="28"/>
        </w:rPr>
      </w:pPr>
    </w:p>
    <w:p w14:paraId="66C06450" w14:textId="77777777" w:rsidR="004B4983" w:rsidRPr="004B4983" w:rsidRDefault="004B4983" w:rsidP="004B4983">
      <w:pPr>
        <w:rPr>
          <w:sz w:val="28"/>
          <w:szCs w:val="28"/>
        </w:rPr>
      </w:pPr>
    </w:p>
    <w:p w14:paraId="7DD54BB8" w14:textId="77777777" w:rsidR="004B4983" w:rsidRDefault="004B4983" w:rsidP="004B4983">
      <w:pPr>
        <w:rPr>
          <w:sz w:val="28"/>
          <w:szCs w:val="28"/>
        </w:rPr>
      </w:pPr>
    </w:p>
    <w:p w14:paraId="7AC6CFF2" w14:textId="77777777" w:rsidR="00491F8A" w:rsidRPr="004B4983" w:rsidRDefault="00491F8A" w:rsidP="004B4983">
      <w:pPr>
        <w:rPr>
          <w:sz w:val="28"/>
          <w:szCs w:val="28"/>
        </w:rPr>
        <w:sectPr w:rsidR="00491F8A" w:rsidRPr="004B4983" w:rsidSect="002D4ACD">
          <w:footerReference w:type="first" r:id="rId13"/>
          <w:pgSz w:w="11906" w:h="16838" w:code="9"/>
          <w:pgMar w:top="1021" w:right="1134" w:bottom="1021" w:left="1134" w:header="567" w:footer="545" w:gutter="0"/>
          <w:cols w:space="720"/>
          <w:titlePg/>
        </w:sectPr>
      </w:pPr>
    </w:p>
    <w:p w14:paraId="38246BBA" w14:textId="77777777" w:rsidR="00C026D9" w:rsidRPr="00F02ACE" w:rsidRDefault="00C026D9" w:rsidP="00CE56AC">
      <w:pPr>
        <w:pStyle w:val="Guidelines1"/>
        <w:numPr>
          <w:ilvl w:val="0"/>
          <w:numId w:val="42"/>
        </w:numPr>
      </w:pPr>
      <w:bookmarkStart w:id="1" w:name="_Toc502218257"/>
      <w:r w:rsidRPr="00F02ACE">
        <w:lastRenderedPageBreak/>
        <w:t>ENHANCEMENT OF BUSINESS ENVIRONMENT AND COMPETITIVENESS OF THE PRIVATE SECTOR OF MONTENEGRO</w:t>
      </w:r>
      <w:bookmarkEnd w:id="1"/>
    </w:p>
    <w:p w14:paraId="68459F4D" w14:textId="77777777" w:rsidR="0007408E" w:rsidRPr="00F02ACE" w:rsidRDefault="0007408E" w:rsidP="00F02ACE">
      <w:pPr>
        <w:pStyle w:val="Guidelines2"/>
      </w:pPr>
      <w:bookmarkStart w:id="2" w:name="_Toc502218258"/>
      <w:r w:rsidRPr="00F02ACE">
        <w:t>Background</w:t>
      </w:r>
      <w:bookmarkEnd w:id="2"/>
    </w:p>
    <w:p w14:paraId="51FD39EB" w14:textId="77777777" w:rsidR="00910796" w:rsidRDefault="00910796" w:rsidP="008B523C">
      <w:pPr>
        <w:autoSpaceDE w:val="0"/>
        <w:autoSpaceDN w:val="0"/>
        <w:adjustRightInd w:val="0"/>
        <w:spacing w:after="0"/>
      </w:pPr>
    </w:p>
    <w:p w14:paraId="60F0FCA4" w14:textId="77777777" w:rsidR="00044A63" w:rsidRPr="00044A63" w:rsidRDefault="00044A63" w:rsidP="00044A63">
      <w:pPr>
        <w:autoSpaceDE w:val="0"/>
        <w:autoSpaceDN w:val="0"/>
        <w:adjustRightInd w:val="0"/>
        <w:spacing w:after="0"/>
      </w:pPr>
      <w:r w:rsidRPr="00044A63">
        <w:t xml:space="preserve">The creation of an encouraging business environment has been acknowledged as an essential prerequisite for unleashing a private sector response that will accelerate dynamic growth, employment and income generation. The Montenegrin private sector relies almost entirely on Small and Medium Sized enterprises (SMEs) which make up 99% of the private sector in Montenegro, generating 60% of national GDP. In this context, a dynamic and innovative private sector fuelled by home-grown entrepreneurship is the principal source of economic development and could sizably contribute to the growth of GDP, exports and new employment. </w:t>
      </w:r>
    </w:p>
    <w:p w14:paraId="181909FB" w14:textId="77777777" w:rsidR="00044A63" w:rsidRPr="00044A63" w:rsidRDefault="00044A63" w:rsidP="00044A63">
      <w:pPr>
        <w:autoSpaceDE w:val="0"/>
        <w:autoSpaceDN w:val="0"/>
        <w:adjustRightInd w:val="0"/>
        <w:spacing w:after="0"/>
      </w:pPr>
    </w:p>
    <w:p w14:paraId="13A092F7" w14:textId="77777777" w:rsidR="00044A63" w:rsidRPr="00044A63" w:rsidRDefault="00044A63" w:rsidP="00044A63">
      <w:pPr>
        <w:autoSpaceDE w:val="0"/>
        <w:autoSpaceDN w:val="0"/>
        <w:adjustRightInd w:val="0"/>
        <w:spacing w:after="0"/>
      </w:pPr>
      <w:r w:rsidRPr="00044A63">
        <w:t xml:space="preserve">At present, Montenegro lacks administrative capacity in the Competitiveness and Innovation sector, mainly due to the number of institutions involved in the implementation of different strategies. As a consequence, this fragmentation negatively affects competitiveness. There is a need to further strengthen administrative capacity and ensure strong inter-ministerial coordination for implementation of SME and innovation policies, COSME, EU programmes and other support programmes. It is also necessary to further strengthen administrative capacities and to enhance the technical competencies of the institutions within the sector in order to implement relevant laws, finalise the harmonisation of laws with the EU Acquis and implement SME policies and programmes. In addition, the capacities of key stakeholders to create and implement policies and programmes need to be improved.  This assumes the development of key strategic documents related to competitiveness and innovation as well as capacity building for policy making institutions and implementing agencies. </w:t>
      </w:r>
    </w:p>
    <w:p w14:paraId="1232CABA" w14:textId="77777777" w:rsidR="00044A63" w:rsidRPr="00044A63" w:rsidRDefault="00044A63" w:rsidP="00044A63">
      <w:pPr>
        <w:autoSpaceDE w:val="0"/>
        <w:autoSpaceDN w:val="0"/>
        <w:adjustRightInd w:val="0"/>
        <w:spacing w:after="0"/>
      </w:pPr>
    </w:p>
    <w:p w14:paraId="4197EF80" w14:textId="77777777" w:rsidR="00044A63" w:rsidRPr="00044A63" w:rsidRDefault="00044A63" w:rsidP="00044A63">
      <w:pPr>
        <w:autoSpaceDE w:val="0"/>
        <w:autoSpaceDN w:val="0"/>
        <w:adjustRightInd w:val="0"/>
        <w:spacing w:after="0"/>
      </w:pPr>
      <w:r w:rsidRPr="00044A63">
        <w:t>Furthermore, access to finance for SMEs remains a major challenge, as lending to the private sector has not yet recovered to pre-crisis levels. The low credit growth is the result of cumulative risk aversion among banks due to the high level of nonperforming loans (NPLs), poor investment readiness and financial literacy among SMEs. The non-bank financial sector is small. Corporate lending of the state-run Investment Development Fund (IDF) represents 3% of GDP, compared to 28% of GDP from commercial banks.</w:t>
      </w:r>
    </w:p>
    <w:p w14:paraId="7CCBE899" w14:textId="77777777" w:rsidR="00044A63" w:rsidRPr="00044A63" w:rsidRDefault="00044A63" w:rsidP="00044A63">
      <w:pPr>
        <w:autoSpaceDE w:val="0"/>
        <w:autoSpaceDN w:val="0"/>
        <w:adjustRightInd w:val="0"/>
        <w:spacing w:after="0"/>
      </w:pPr>
    </w:p>
    <w:p w14:paraId="35A73363" w14:textId="77777777" w:rsidR="00044A63" w:rsidRPr="00044A63" w:rsidRDefault="00044A63" w:rsidP="00044A63">
      <w:pPr>
        <w:autoSpaceDE w:val="0"/>
        <w:autoSpaceDN w:val="0"/>
        <w:adjustRightInd w:val="0"/>
        <w:spacing w:after="0"/>
      </w:pPr>
      <w:r w:rsidRPr="00044A63">
        <w:t xml:space="preserve">In order to achieve economic development goals, it will be necessary to address the main problems of the sector. In that regard, the main issues to be addressed in terms of innovation and entrepreneurship are:   </w:t>
      </w:r>
    </w:p>
    <w:p w14:paraId="6A6B35E7" w14:textId="77777777" w:rsidR="00044A63" w:rsidRPr="00044A63" w:rsidRDefault="00044A63" w:rsidP="00044A63">
      <w:pPr>
        <w:autoSpaceDE w:val="0"/>
        <w:autoSpaceDN w:val="0"/>
        <w:adjustRightInd w:val="0"/>
        <w:spacing w:after="0"/>
      </w:pPr>
    </w:p>
    <w:p w14:paraId="2DFFD010" w14:textId="77777777" w:rsidR="00044A63" w:rsidRPr="00044A63" w:rsidRDefault="00044A63" w:rsidP="00044A63">
      <w:pPr>
        <w:autoSpaceDE w:val="0"/>
        <w:autoSpaceDN w:val="0"/>
        <w:adjustRightInd w:val="0"/>
        <w:spacing w:after="0"/>
      </w:pPr>
      <w:r w:rsidRPr="00044A63">
        <w:t>-</w:t>
      </w:r>
      <w:r w:rsidRPr="00044A63">
        <w:tab/>
        <w:t xml:space="preserve">Low level of enterprise productivity and competitiveness, </w:t>
      </w:r>
    </w:p>
    <w:p w14:paraId="49DDB3EE" w14:textId="77777777" w:rsidR="00044A63" w:rsidRPr="00044A63" w:rsidRDefault="00044A63" w:rsidP="00044A63">
      <w:pPr>
        <w:autoSpaceDE w:val="0"/>
        <w:autoSpaceDN w:val="0"/>
        <w:adjustRightInd w:val="0"/>
        <w:spacing w:after="0"/>
      </w:pPr>
      <w:r w:rsidRPr="00044A63">
        <w:t>-</w:t>
      </w:r>
      <w:r w:rsidRPr="00044A63">
        <w:tab/>
        <w:t>Low number of enterprises whose development is based upon knowledge and innovation;</w:t>
      </w:r>
    </w:p>
    <w:p w14:paraId="594C7B30" w14:textId="77777777" w:rsidR="00044A63" w:rsidRPr="00044A63" w:rsidRDefault="00044A63" w:rsidP="00044A63">
      <w:pPr>
        <w:autoSpaceDE w:val="0"/>
        <w:autoSpaceDN w:val="0"/>
        <w:adjustRightInd w:val="0"/>
        <w:spacing w:after="0"/>
      </w:pPr>
      <w:r w:rsidRPr="00044A63">
        <w:t>-</w:t>
      </w:r>
      <w:r w:rsidRPr="00044A63">
        <w:tab/>
        <w:t xml:space="preserve">Insufficient cooperation between enterprises and science that limits the progress necessary to facilitate goals assigned in the field of innovation;  </w:t>
      </w:r>
    </w:p>
    <w:p w14:paraId="661ED673" w14:textId="77777777" w:rsidR="00044A63" w:rsidRPr="00044A63" w:rsidRDefault="00044A63" w:rsidP="00044A63">
      <w:pPr>
        <w:autoSpaceDE w:val="0"/>
        <w:autoSpaceDN w:val="0"/>
        <w:adjustRightInd w:val="0"/>
        <w:spacing w:after="0"/>
      </w:pPr>
      <w:r w:rsidRPr="00044A63">
        <w:t>-</w:t>
      </w:r>
      <w:r w:rsidRPr="00044A63">
        <w:tab/>
        <w:t>Current financial and non-financial institutional support is not fully developed and does not meet the development needs of SMEs.</w:t>
      </w:r>
    </w:p>
    <w:p w14:paraId="4815D6D7" w14:textId="77777777" w:rsidR="00044A63" w:rsidRPr="00044A63" w:rsidRDefault="00044A63" w:rsidP="00044A63">
      <w:pPr>
        <w:autoSpaceDE w:val="0"/>
        <w:autoSpaceDN w:val="0"/>
        <w:adjustRightInd w:val="0"/>
        <w:spacing w:after="0"/>
      </w:pPr>
    </w:p>
    <w:p w14:paraId="08DFC083" w14:textId="73C5B2D2" w:rsidR="00044A63" w:rsidRPr="00044A63" w:rsidRDefault="00044A63" w:rsidP="00044A63">
      <w:pPr>
        <w:autoSpaceDE w:val="0"/>
        <w:autoSpaceDN w:val="0"/>
        <w:adjustRightInd w:val="0"/>
        <w:spacing w:after="0"/>
      </w:pPr>
      <w:r w:rsidRPr="00044A63">
        <w:t>Based upon the key issues to be further addressed, the main challenges facing SMEs are</w:t>
      </w:r>
      <w:r w:rsidR="00BA1F84">
        <w:rPr>
          <w:rStyle w:val="FootnoteReference"/>
        </w:rPr>
        <w:footnoteReference w:id="2"/>
      </w:r>
      <w:r w:rsidRPr="00044A63">
        <w:t xml:space="preserve">: </w:t>
      </w:r>
    </w:p>
    <w:p w14:paraId="0AE9233B" w14:textId="77777777" w:rsidR="00044A63" w:rsidRPr="00044A63" w:rsidRDefault="00044A63" w:rsidP="00044A63">
      <w:pPr>
        <w:autoSpaceDE w:val="0"/>
        <w:autoSpaceDN w:val="0"/>
        <w:adjustRightInd w:val="0"/>
        <w:spacing w:after="0"/>
      </w:pPr>
    </w:p>
    <w:p w14:paraId="2CF94668" w14:textId="77777777" w:rsidR="00044A63" w:rsidRPr="00044A63" w:rsidRDefault="00044A63" w:rsidP="00044A63">
      <w:pPr>
        <w:autoSpaceDE w:val="0"/>
        <w:autoSpaceDN w:val="0"/>
        <w:adjustRightInd w:val="0"/>
        <w:spacing w:after="0"/>
      </w:pPr>
      <w:r w:rsidRPr="00044A63">
        <w:t>-</w:t>
      </w:r>
      <w:r w:rsidRPr="00044A63">
        <w:tab/>
        <w:t xml:space="preserve">Inadequate and inequitable market governance; </w:t>
      </w:r>
    </w:p>
    <w:p w14:paraId="720ED18E" w14:textId="77777777" w:rsidR="00044A63" w:rsidRPr="00044A63" w:rsidRDefault="00044A63" w:rsidP="00044A63">
      <w:pPr>
        <w:autoSpaceDE w:val="0"/>
        <w:autoSpaceDN w:val="0"/>
        <w:adjustRightInd w:val="0"/>
        <w:spacing w:after="0"/>
      </w:pPr>
      <w:r w:rsidRPr="00044A63">
        <w:t>-</w:t>
      </w:r>
      <w:r w:rsidRPr="00044A63">
        <w:tab/>
        <w:t xml:space="preserve">Underdeveloped value chain infrastructure which enhances the marginalization of SMEs;  </w:t>
      </w:r>
    </w:p>
    <w:p w14:paraId="3D8A2341" w14:textId="77777777" w:rsidR="00044A63" w:rsidRPr="00044A63" w:rsidRDefault="00044A63" w:rsidP="00044A63">
      <w:pPr>
        <w:autoSpaceDE w:val="0"/>
        <w:autoSpaceDN w:val="0"/>
        <w:adjustRightInd w:val="0"/>
        <w:spacing w:after="0"/>
      </w:pPr>
      <w:r w:rsidRPr="00044A63">
        <w:t>-</w:t>
      </w:r>
      <w:r w:rsidRPr="00044A63">
        <w:tab/>
        <w:t xml:space="preserve">High transaction costs associated with sourcing and transporting/shipping products;  </w:t>
      </w:r>
    </w:p>
    <w:p w14:paraId="77775964" w14:textId="77777777" w:rsidR="00044A63" w:rsidRPr="00044A63" w:rsidRDefault="00044A63" w:rsidP="00044A63">
      <w:pPr>
        <w:autoSpaceDE w:val="0"/>
        <w:autoSpaceDN w:val="0"/>
        <w:adjustRightInd w:val="0"/>
        <w:spacing w:after="0"/>
      </w:pPr>
      <w:r w:rsidRPr="00044A63">
        <w:t>-</w:t>
      </w:r>
      <w:r w:rsidRPr="00044A63">
        <w:tab/>
        <w:t>Limited access to capital, relevant information and know-how for emerging businesses.</w:t>
      </w:r>
    </w:p>
    <w:p w14:paraId="38AD36EF" w14:textId="77777777" w:rsidR="00044A63" w:rsidRPr="00044A63" w:rsidRDefault="00044A63" w:rsidP="00044A63">
      <w:pPr>
        <w:autoSpaceDE w:val="0"/>
        <w:autoSpaceDN w:val="0"/>
        <w:adjustRightInd w:val="0"/>
        <w:spacing w:after="0"/>
      </w:pPr>
    </w:p>
    <w:p w14:paraId="68212DFD" w14:textId="77777777" w:rsidR="00044A63" w:rsidRPr="00044A63" w:rsidRDefault="00044A63" w:rsidP="00044A63">
      <w:pPr>
        <w:autoSpaceDE w:val="0"/>
        <w:autoSpaceDN w:val="0"/>
        <w:adjustRightInd w:val="0"/>
        <w:spacing w:after="0"/>
      </w:pPr>
      <w:r w:rsidRPr="00044A63">
        <w:t xml:space="preserve">The relevant strategic documents foresee the implementation of different support grant schemes to improve financing for SMEs and clusters i.e. overall improvement of private sector competitiveness though </w:t>
      </w:r>
      <w:r w:rsidRPr="00044A63">
        <w:lastRenderedPageBreak/>
        <w:t xml:space="preserve">enhancement of the business environment. The key constraints, problems and opportunities are highlighted in the national strategic plans and policies: </w:t>
      </w:r>
    </w:p>
    <w:p w14:paraId="5BEE2178" w14:textId="77777777" w:rsidR="00044A63" w:rsidRPr="00044A63" w:rsidRDefault="00044A63" w:rsidP="00044A63">
      <w:pPr>
        <w:autoSpaceDE w:val="0"/>
        <w:autoSpaceDN w:val="0"/>
        <w:adjustRightInd w:val="0"/>
        <w:spacing w:after="0"/>
      </w:pPr>
    </w:p>
    <w:p w14:paraId="5986DB46" w14:textId="77777777" w:rsidR="00044A63" w:rsidRPr="00044A63" w:rsidRDefault="00044A63" w:rsidP="00044A63">
      <w:pPr>
        <w:autoSpaceDE w:val="0"/>
        <w:autoSpaceDN w:val="0"/>
        <w:adjustRightInd w:val="0"/>
        <w:spacing w:after="0"/>
      </w:pPr>
      <w:r w:rsidRPr="00044A63">
        <w:t>-</w:t>
      </w:r>
      <w:r w:rsidRPr="00044A63">
        <w:tab/>
        <w:t>Montenegro Economic Reform Programme 2016-2018;</w:t>
      </w:r>
    </w:p>
    <w:p w14:paraId="2596EEBD" w14:textId="77777777" w:rsidR="00044A63" w:rsidRPr="00044A63" w:rsidRDefault="00044A63" w:rsidP="00044A63">
      <w:pPr>
        <w:autoSpaceDE w:val="0"/>
        <w:autoSpaceDN w:val="0"/>
        <w:adjustRightInd w:val="0"/>
        <w:spacing w:after="0"/>
      </w:pPr>
      <w:r w:rsidRPr="00044A63">
        <w:t>-</w:t>
      </w:r>
      <w:r w:rsidRPr="00044A63">
        <w:tab/>
        <w:t>Montenegro Development Directions 2015-2018;</w:t>
      </w:r>
    </w:p>
    <w:p w14:paraId="2A518820" w14:textId="77777777" w:rsidR="00044A63" w:rsidRPr="00044A63" w:rsidRDefault="00044A63" w:rsidP="00044A63">
      <w:pPr>
        <w:autoSpaceDE w:val="0"/>
        <w:autoSpaceDN w:val="0"/>
        <w:adjustRightInd w:val="0"/>
        <w:spacing w:after="0"/>
      </w:pPr>
      <w:r w:rsidRPr="00044A63">
        <w:t>-</w:t>
      </w:r>
      <w:r w:rsidRPr="00044A63">
        <w:tab/>
        <w:t>Strategy for Regional Development of Montenegro 2014-2020;</w:t>
      </w:r>
    </w:p>
    <w:p w14:paraId="14E007B3" w14:textId="77777777" w:rsidR="00044A63" w:rsidRPr="00044A63" w:rsidRDefault="00044A63" w:rsidP="00044A63">
      <w:pPr>
        <w:autoSpaceDE w:val="0"/>
        <w:autoSpaceDN w:val="0"/>
        <w:adjustRightInd w:val="0"/>
        <w:spacing w:after="0"/>
      </w:pPr>
      <w:r w:rsidRPr="00044A63">
        <w:t>-</w:t>
      </w:r>
      <w:r w:rsidRPr="00044A63">
        <w:tab/>
        <w:t xml:space="preserve">Strategy for Sustainable Economic Growth in Montenegro through the Introduction of Business Clusters 2012- 2016; </w:t>
      </w:r>
    </w:p>
    <w:p w14:paraId="719409DC" w14:textId="77777777" w:rsidR="00044A63" w:rsidRPr="00044A63" w:rsidRDefault="00044A63" w:rsidP="00044A63">
      <w:pPr>
        <w:autoSpaceDE w:val="0"/>
        <w:autoSpaceDN w:val="0"/>
        <w:adjustRightInd w:val="0"/>
        <w:spacing w:after="0"/>
      </w:pPr>
      <w:r w:rsidRPr="00044A63">
        <w:t>-</w:t>
      </w:r>
      <w:r w:rsidRPr="00044A63">
        <w:tab/>
        <w:t>Strategy for Innovation Activity 2016-2020;</w:t>
      </w:r>
    </w:p>
    <w:p w14:paraId="574B20BA" w14:textId="77777777" w:rsidR="00044A63" w:rsidRPr="00044A63" w:rsidRDefault="00044A63" w:rsidP="00044A63">
      <w:pPr>
        <w:autoSpaceDE w:val="0"/>
        <w:autoSpaceDN w:val="0"/>
        <w:adjustRightInd w:val="0"/>
        <w:spacing w:after="0"/>
      </w:pPr>
      <w:r w:rsidRPr="00044A63">
        <w:t>-</w:t>
      </w:r>
      <w:r w:rsidRPr="00044A63">
        <w:tab/>
        <w:t xml:space="preserve">Industrial Policy of Montenegro until 2020. </w:t>
      </w:r>
    </w:p>
    <w:p w14:paraId="7833574F" w14:textId="77777777" w:rsidR="00044A63" w:rsidRPr="00044A63" w:rsidRDefault="00044A63" w:rsidP="00044A63">
      <w:pPr>
        <w:autoSpaceDE w:val="0"/>
        <w:autoSpaceDN w:val="0"/>
        <w:adjustRightInd w:val="0"/>
        <w:spacing w:after="0"/>
      </w:pPr>
    </w:p>
    <w:p w14:paraId="64A96670" w14:textId="77777777" w:rsidR="00044A63" w:rsidRPr="00044A63" w:rsidRDefault="00044A63" w:rsidP="00044A63">
      <w:pPr>
        <w:autoSpaceDE w:val="0"/>
        <w:autoSpaceDN w:val="0"/>
        <w:adjustRightInd w:val="0"/>
        <w:spacing w:after="0"/>
      </w:pPr>
      <w:r w:rsidRPr="00044A63">
        <w:t>All these documents prescribe solutions for implementation of structural reforms that are crucial for improving competitiveness and innovation of the private sector in Montenegro. According to these national strategic guidelines, the enhancement of the business environment and competitiveness of the private sector of Montenegro is the precondition for sustainable economic development.</w:t>
      </w:r>
    </w:p>
    <w:p w14:paraId="51CBB060" w14:textId="77777777" w:rsidR="00044A63" w:rsidRPr="00044A63" w:rsidRDefault="00044A63" w:rsidP="00044A63">
      <w:pPr>
        <w:autoSpaceDE w:val="0"/>
        <w:autoSpaceDN w:val="0"/>
        <w:adjustRightInd w:val="0"/>
        <w:spacing w:after="0"/>
      </w:pPr>
    </w:p>
    <w:p w14:paraId="0E3A3CFA" w14:textId="77777777" w:rsidR="00044A63" w:rsidRPr="00044A63" w:rsidRDefault="00044A63" w:rsidP="00044A63">
      <w:pPr>
        <w:autoSpaceDE w:val="0"/>
        <w:autoSpaceDN w:val="0"/>
        <w:adjustRightInd w:val="0"/>
        <w:spacing w:after="0"/>
      </w:pPr>
      <w:r w:rsidRPr="00044A63">
        <w:t>SMEs are the foundation for development of a competitive private sector. However due to their small size, they often face considerable barriers to growth due to constrained bargaining power in the purchase of inputs and limited ability to leverage the market opportunities for the delivery of large stocks of standardised products. A potential solution to this problem was introduced to Montenegro by UNIDO in 2009 in the form of cluster development to support SMEs. UNIDO provided support to the Ministry of Economy in building local capacity on cluster development, conducting a mapping of existing SME clusters and in developing a national cluster strategy.</w:t>
      </w:r>
    </w:p>
    <w:p w14:paraId="6B41FE16" w14:textId="77777777" w:rsidR="00044A63" w:rsidRPr="00044A63" w:rsidRDefault="00044A63" w:rsidP="00044A63">
      <w:pPr>
        <w:autoSpaceDE w:val="0"/>
        <w:autoSpaceDN w:val="0"/>
        <w:adjustRightInd w:val="0"/>
        <w:spacing w:after="0"/>
      </w:pPr>
    </w:p>
    <w:p w14:paraId="5DBD85D4" w14:textId="77777777" w:rsidR="00044A63" w:rsidRPr="00044A63" w:rsidRDefault="00044A63" w:rsidP="00044A63">
      <w:pPr>
        <w:autoSpaceDE w:val="0"/>
        <w:autoSpaceDN w:val="0"/>
        <w:adjustRightInd w:val="0"/>
        <w:spacing w:after="0"/>
      </w:pPr>
      <w:r w:rsidRPr="00044A63">
        <w:t xml:space="preserve">Clusters can play a significant role in innovation, due to their absorption capacity for innovation enhancement, diffusion of technologies and knowledge support continuous improvement of technological processes. Thus far, the existing support to cluster development in Montenegro has been aimed at resolving the bottlenecks in production through the purchase of equipment, but it has not yet reached the level required for sustainable development of these clusters. </w:t>
      </w:r>
    </w:p>
    <w:p w14:paraId="4AC40F2D" w14:textId="77777777" w:rsidR="00044A63" w:rsidRPr="00044A63" w:rsidRDefault="00044A63" w:rsidP="00044A63">
      <w:pPr>
        <w:autoSpaceDE w:val="0"/>
        <w:autoSpaceDN w:val="0"/>
        <w:adjustRightInd w:val="0"/>
        <w:spacing w:after="0"/>
      </w:pPr>
    </w:p>
    <w:p w14:paraId="5E87002C" w14:textId="77777777" w:rsidR="00044A63" w:rsidRPr="00044A63" w:rsidRDefault="00044A63" w:rsidP="00044A63">
      <w:pPr>
        <w:autoSpaceDE w:val="0"/>
        <w:autoSpaceDN w:val="0"/>
        <w:adjustRightInd w:val="0"/>
        <w:spacing w:after="0"/>
      </w:pPr>
      <w:r w:rsidRPr="00044A63">
        <w:t xml:space="preserve">Additional support for development of SMEs and innovation has also been provided though the establishment of the first Innovation and Entrepreneurship Centre </w:t>
      </w:r>
      <w:proofErr w:type="spellStart"/>
      <w:r w:rsidRPr="00044A63">
        <w:t>Tehnopolis</w:t>
      </w:r>
      <w:proofErr w:type="spellEnd"/>
      <w:r w:rsidRPr="00044A63">
        <w:t xml:space="preserve"> in </w:t>
      </w:r>
      <w:proofErr w:type="spellStart"/>
      <w:r w:rsidRPr="00044A63">
        <w:t>Niksic</w:t>
      </w:r>
      <w:proofErr w:type="spellEnd"/>
      <w:r w:rsidRPr="00044A63">
        <w:t xml:space="preserve"> in 2016. The main objective for the establishment of </w:t>
      </w:r>
      <w:proofErr w:type="spellStart"/>
      <w:r w:rsidRPr="00044A63">
        <w:t>Tehnopolis</w:t>
      </w:r>
      <w:proofErr w:type="spellEnd"/>
      <w:r w:rsidRPr="00044A63">
        <w:t xml:space="preserve"> was to set up the required infrastructure for increasing research and innovation capacity of the private sector. </w:t>
      </w:r>
      <w:proofErr w:type="spellStart"/>
      <w:r w:rsidRPr="00044A63">
        <w:t>Tehnopolis</w:t>
      </w:r>
      <w:proofErr w:type="spellEnd"/>
      <w:r w:rsidRPr="00044A63">
        <w:t xml:space="preserve"> provides information infrastructure, professional and consulting services, support for cooperation with potential partners for participation in national and international programmes in various fields of science, users of scientific research services institutions, higher education institutions and other innovative organizations and companies. </w:t>
      </w:r>
      <w:proofErr w:type="spellStart"/>
      <w:r w:rsidRPr="00044A63">
        <w:t>Tehnopolis</w:t>
      </w:r>
      <w:proofErr w:type="spellEnd"/>
      <w:r w:rsidRPr="00044A63">
        <w:t xml:space="preserve"> offers space for the development of existing SMEs and start-ups. Within the </w:t>
      </w:r>
      <w:proofErr w:type="spellStart"/>
      <w:r w:rsidRPr="00044A63">
        <w:t>Tehnopolis</w:t>
      </w:r>
      <w:proofErr w:type="spellEnd"/>
      <w:r w:rsidRPr="00044A63">
        <w:t xml:space="preserve"> facilities companies can use research infrastructure that they could not otherwise access, i.e. Laboratory for Biochemistry, Industrial Design Laboratory, and Data Centre, meeting rooms, multimedia hall and cybercafé.</w:t>
      </w:r>
    </w:p>
    <w:p w14:paraId="7C1E751E" w14:textId="77777777" w:rsidR="00044A63" w:rsidRPr="00044A63" w:rsidRDefault="00044A63" w:rsidP="00044A63">
      <w:pPr>
        <w:autoSpaceDE w:val="0"/>
        <w:autoSpaceDN w:val="0"/>
        <w:adjustRightInd w:val="0"/>
        <w:spacing w:after="0"/>
      </w:pPr>
    </w:p>
    <w:p w14:paraId="377FF7A2" w14:textId="79EF9178" w:rsidR="00044A63" w:rsidRPr="00044A63" w:rsidRDefault="00044A63" w:rsidP="00044A63">
      <w:pPr>
        <w:autoSpaceDE w:val="0"/>
        <w:autoSpaceDN w:val="0"/>
        <w:adjustRightInd w:val="0"/>
        <w:spacing w:after="0"/>
      </w:pPr>
      <w:r w:rsidRPr="00044A63">
        <w:t>This action focuses on strengthening administrative capacities and framework for coordination, planning and implementation within the Competitiveness and Innovation sector through targeted support for development, research and innovation. It addresses a number of priorities within the Accession Partnership and represents a continuation of an ongoing activities and support to the relevant negotiation chapters</w:t>
      </w:r>
      <w:r w:rsidR="00BA1F84">
        <w:rPr>
          <w:rStyle w:val="FootnoteReference"/>
        </w:rPr>
        <w:footnoteReference w:id="3"/>
      </w:r>
      <w:r w:rsidRPr="00044A63">
        <w:t xml:space="preserve">. By strengthening capacities for coordination and implementation of key policies for competitiveness, it is anticipated that local SMEs will benefit from an improved business environment.  In addition, this call for proposals addresses the </w:t>
      </w:r>
      <w:r w:rsidRPr="00044A63">
        <w:lastRenderedPageBreak/>
        <w:t>requirements to improve the efficiency of innovation and the promotion of entrepreneurship and development of SMEs. In that regard, it will be necessary to provide targeted support to SMEs in order to prepare them to compete successfully in the EU. One of the results expected to be achieved is to increase the competitiveness of SMEs through preparation of competitiveness support grant schemes, which should be directly linked with assistance to Montenegrin SMEs to comply with EU and international quality standards.</w:t>
      </w:r>
    </w:p>
    <w:p w14:paraId="434BE5BB" w14:textId="77777777" w:rsidR="00044A63" w:rsidRPr="00044A63" w:rsidRDefault="00044A63" w:rsidP="00044A63">
      <w:pPr>
        <w:autoSpaceDE w:val="0"/>
        <w:autoSpaceDN w:val="0"/>
        <w:adjustRightInd w:val="0"/>
        <w:spacing w:after="0"/>
      </w:pPr>
    </w:p>
    <w:p w14:paraId="51B915A4" w14:textId="77777777" w:rsidR="00044A63" w:rsidRPr="00044A63" w:rsidRDefault="00044A63" w:rsidP="00044A63">
      <w:pPr>
        <w:autoSpaceDE w:val="0"/>
        <w:autoSpaceDN w:val="0"/>
        <w:adjustRightInd w:val="0"/>
        <w:spacing w:after="0"/>
      </w:pPr>
      <w:r w:rsidRPr="00044A63">
        <w:t>The key stakeholders and beneficiaries of the action are the Ministries of Economy, Ministry of Finance, Ministry of Science, Ministry of Sustainable Development and Tourism, the Directorate for Development of Small and Medium Enterprises, the Investment Development Fund, local self-government units, civil society organisations, the Chamber of Economy, Union of Employers of Montenegro and the Montenegrin Investment Promotion Agency and Quality Infrastructure institutions.</w:t>
      </w:r>
    </w:p>
    <w:p w14:paraId="44802532" w14:textId="77777777" w:rsidR="00044A63" w:rsidRPr="00044A63" w:rsidRDefault="00044A63" w:rsidP="00044A63">
      <w:pPr>
        <w:autoSpaceDE w:val="0"/>
        <w:autoSpaceDN w:val="0"/>
        <w:adjustRightInd w:val="0"/>
        <w:spacing w:after="0"/>
      </w:pPr>
    </w:p>
    <w:p w14:paraId="031FC93B" w14:textId="77777777" w:rsidR="00044A63" w:rsidRPr="00044A63" w:rsidRDefault="00044A63" w:rsidP="00044A63">
      <w:pPr>
        <w:autoSpaceDE w:val="0"/>
        <w:autoSpaceDN w:val="0"/>
        <w:adjustRightInd w:val="0"/>
        <w:spacing w:after="0"/>
      </w:pPr>
    </w:p>
    <w:p w14:paraId="75779CA5" w14:textId="77777777" w:rsidR="00044A63" w:rsidRPr="00044A63" w:rsidRDefault="00044A63" w:rsidP="00044A63">
      <w:pPr>
        <w:autoSpaceDE w:val="0"/>
        <w:autoSpaceDN w:val="0"/>
        <w:adjustRightInd w:val="0"/>
        <w:spacing w:after="0"/>
        <w:rPr>
          <w:b/>
        </w:rPr>
      </w:pPr>
      <w:r w:rsidRPr="00044A63">
        <w:rPr>
          <w:b/>
        </w:rPr>
        <w:t>Linked activities:</w:t>
      </w:r>
    </w:p>
    <w:p w14:paraId="1AFA25A3" w14:textId="77777777" w:rsidR="00044A63" w:rsidRPr="00044A63" w:rsidRDefault="00044A63" w:rsidP="00044A63">
      <w:pPr>
        <w:autoSpaceDE w:val="0"/>
        <w:autoSpaceDN w:val="0"/>
        <w:adjustRightInd w:val="0"/>
        <w:spacing w:after="0"/>
      </w:pPr>
    </w:p>
    <w:p w14:paraId="08C15956" w14:textId="77777777" w:rsidR="00044A63" w:rsidRDefault="00044A63" w:rsidP="00044A63">
      <w:pPr>
        <w:autoSpaceDE w:val="0"/>
        <w:autoSpaceDN w:val="0"/>
        <w:adjustRightInd w:val="0"/>
        <w:spacing w:after="0"/>
      </w:pPr>
      <w:r w:rsidRPr="00044A63">
        <w:t xml:space="preserve">This Programme builds on previous financial support provided under IPA 2007-2013, targeted at enhancing competitiveness and private sector development. </w:t>
      </w:r>
    </w:p>
    <w:p w14:paraId="0982A27A" w14:textId="77777777" w:rsidR="00044A63" w:rsidRPr="00044A63" w:rsidRDefault="00044A63" w:rsidP="00044A63">
      <w:pPr>
        <w:autoSpaceDE w:val="0"/>
        <w:autoSpaceDN w:val="0"/>
        <w:adjustRightInd w:val="0"/>
        <w:spacing w:after="0"/>
      </w:pPr>
    </w:p>
    <w:p w14:paraId="7C8CF827" w14:textId="77777777" w:rsidR="00044A63" w:rsidRDefault="00044A63" w:rsidP="00044A63">
      <w:pPr>
        <w:autoSpaceDE w:val="0"/>
        <w:autoSpaceDN w:val="0"/>
        <w:adjustRightInd w:val="0"/>
        <w:spacing w:after="0"/>
      </w:pPr>
      <w:r w:rsidRPr="00044A63">
        <w:rPr>
          <w:b/>
        </w:rPr>
        <w:t>IPA 2008 Project BESRE</w:t>
      </w:r>
      <w:r w:rsidRPr="00044A63">
        <w:t xml:space="preserve"> – </w:t>
      </w:r>
      <w:r w:rsidRPr="00044A63">
        <w:rPr>
          <w:b/>
        </w:rPr>
        <w:t>Technical Assistance to improve the Business Environment for Small and Rural Enterprises</w:t>
      </w:r>
      <w:r w:rsidRPr="00044A63">
        <w:t xml:space="preserve"> focused on strengthening the administrative capacity by providing assistance for better coordination, implementation and evaluation of policies targeting competitiveness and innovation. The need for implementation of new business models and recommendation to local government and local stakeholders to place emphasis on providing business information and advice to new entrepreneurs was identified by this project.</w:t>
      </w:r>
    </w:p>
    <w:p w14:paraId="739FE800" w14:textId="77777777" w:rsidR="00044A63" w:rsidRPr="00044A63" w:rsidRDefault="00044A63" w:rsidP="00044A63">
      <w:pPr>
        <w:autoSpaceDE w:val="0"/>
        <w:autoSpaceDN w:val="0"/>
        <w:adjustRightInd w:val="0"/>
        <w:spacing w:after="0"/>
      </w:pPr>
    </w:p>
    <w:p w14:paraId="4718EE0C" w14:textId="77777777" w:rsidR="00044A63" w:rsidRDefault="00044A63" w:rsidP="00044A63">
      <w:pPr>
        <w:autoSpaceDE w:val="0"/>
        <w:autoSpaceDN w:val="0"/>
        <w:adjustRightInd w:val="0"/>
        <w:spacing w:after="0"/>
      </w:pPr>
      <w:r w:rsidRPr="00044A63">
        <w:rPr>
          <w:b/>
        </w:rPr>
        <w:t>IPA 2011 Project - Enhancing the competitiveness of local SMEs in Montenegro through cluster development</w:t>
      </w:r>
      <w:r w:rsidRPr="00044A63">
        <w:t xml:space="preserve"> improved market access of selected SME clusters of SMEs and networks, especially in the less developed northern region municipalities. The project assisted the establishment of 4 clusters with high development potential and supported those government institutions responsible for implementing the National Cluster Strategy. This project was implemented by UNIDO and UNDP.</w:t>
      </w:r>
    </w:p>
    <w:p w14:paraId="5894455B" w14:textId="77777777" w:rsidR="00044A63" w:rsidRPr="00044A63" w:rsidRDefault="00044A63" w:rsidP="00044A63">
      <w:pPr>
        <w:autoSpaceDE w:val="0"/>
        <w:autoSpaceDN w:val="0"/>
        <w:adjustRightInd w:val="0"/>
        <w:spacing w:after="0"/>
      </w:pPr>
    </w:p>
    <w:p w14:paraId="22712232" w14:textId="77777777" w:rsidR="00044A63" w:rsidRPr="00044A63" w:rsidRDefault="00044A63" w:rsidP="00044A63">
      <w:pPr>
        <w:autoSpaceDE w:val="0"/>
        <w:autoSpaceDN w:val="0"/>
        <w:adjustRightInd w:val="0"/>
        <w:spacing w:after="0"/>
      </w:pPr>
      <w:proofErr w:type="gramStart"/>
      <w:r w:rsidRPr="00044A63">
        <w:rPr>
          <w:b/>
        </w:rPr>
        <w:t>IPA 2012 Project - Technical Assistance for the preparation of the Industrial Policy for Montenegro.</w:t>
      </w:r>
      <w:proofErr w:type="gramEnd"/>
      <w:r w:rsidRPr="00044A63">
        <w:t xml:space="preserve"> This project produced the Industrial Policy of Montenegro 2020, including the institutional framework and mechanisms for its implementation and monitoring. In addition, it strengthened administrative capacities in line with EU integrated industrial policy orientation and principles.</w:t>
      </w:r>
    </w:p>
    <w:p w14:paraId="693997DA" w14:textId="77777777" w:rsidR="00044A63" w:rsidRPr="00044A63" w:rsidRDefault="00044A63" w:rsidP="00044A63">
      <w:pPr>
        <w:autoSpaceDE w:val="0"/>
        <w:autoSpaceDN w:val="0"/>
        <w:adjustRightInd w:val="0"/>
        <w:spacing w:after="0"/>
      </w:pPr>
    </w:p>
    <w:p w14:paraId="61836F2B" w14:textId="574A0162" w:rsidR="00044A63" w:rsidRPr="00044A63" w:rsidRDefault="00044A63" w:rsidP="00044A63">
      <w:pPr>
        <w:autoSpaceDE w:val="0"/>
        <w:autoSpaceDN w:val="0"/>
        <w:adjustRightInd w:val="0"/>
        <w:spacing w:after="0"/>
      </w:pPr>
      <w:r w:rsidRPr="00044A63">
        <w:t>In additio</w:t>
      </w:r>
      <w:r>
        <w:t>n, several national programmes</w:t>
      </w:r>
      <w:r w:rsidR="00BA1F84">
        <w:rPr>
          <w:rStyle w:val="FootnoteReference"/>
        </w:rPr>
        <w:footnoteReference w:id="4"/>
      </w:r>
      <w:r>
        <w:t xml:space="preserve"> </w:t>
      </w:r>
      <w:r w:rsidRPr="00044A63">
        <w:t>have been implemented for supporting innovation, introduction of standards and business clusters development to enhance SME competitiveness.</w:t>
      </w:r>
    </w:p>
    <w:p w14:paraId="0A4CB0D2" w14:textId="77777777" w:rsidR="00044A63" w:rsidRPr="00044A63" w:rsidRDefault="00044A63" w:rsidP="00044A63">
      <w:pPr>
        <w:autoSpaceDE w:val="0"/>
        <w:autoSpaceDN w:val="0"/>
        <w:adjustRightInd w:val="0"/>
        <w:spacing w:after="0"/>
      </w:pPr>
      <w:r w:rsidRPr="00044A63">
        <w:tab/>
      </w:r>
    </w:p>
    <w:p w14:paraId="3B2826DB" w14:textId="77777777" w:rsidR="00044A63" w:rsidRDefault="00044A63" w:rsidP="00044A63">
      <w:pPr>
        <w:autoSpaceDE w:val="0"/>
        <w:autoSpaceDN w:val="0"/>
        <w:adjustRightInd w:val="0"/>
        <w:spacing w:after="0"/>
      </w:pPr>
      <w:r w:rsidRPr="00044A63">
        <w:rPr>
          <w:b/>
          <w:i/>
        </w:rPr>
        <w:t>The programme for the promotion of cluster development in Montenegro</w:t>
      </w:r>
      <w:r w:rsidRPr="00044A63">
        <w:t xml:space="preserve"> - The objective of the programme is to provide financial support to business entities that are grouped into clusters through investments in tangible, intangible and operating costs, in order to strengthen cluster capacity and positioning on the domestic and foreign markets. The Ministry of Economy provides support up to 65% of eligible costs for purchase of equipment, for clusters operating in the territory of less developed units of local self-government, or up to 50% of eligible costs for clusters from other areas, up to a maximum of €15.000 per applicant.</w:t>
      </w:r>
    </w:p>
    <w:p w14:paraId="4D49C6CD" w14:textId="77777777" w:rsidR="00044A63" w:rsidRPr="00044A63" w:rsidRDefault="00044A63" w:rsidP="00044A63">
      <w:pPr>
        <w:autoSpaceDE w:val="0"/>
        <w:autoSpaceDN w:val="0"/>
        <w:adjustRightInd w:val="0"/>
        <w:spacing w:after="0"/>
      </w:pPr>
    </w:p>
    <w:p w14:paraId="0E676CBD" w14:textId="77777777" w:rsidR="00044A63" w:rsidRDefault="00044A63" w:rsidP="00044A63">
      <w:pPr>
        <w:autoSpaceDE w:val="0"/>
        <w:autoSpaceDN w:val="0"/>
        <w:adjustRightInd w:val="0"/>
        <w:spacing w:after="0"/>
      </w:pPr>
      <w:r w:rsidRPr="00044A63">
        <w:rPr>
          <w:b/>
          <w:i/>
        </w:rPr>
        <w:lastRenderedPageBreak/>
        <w:t>The programme for increasing regional and local competitiveness through compliance with the requirements of international business standards for the period 2017-2020</w:t>
      </w:r>
      <w:r w:rsidRPr="00044A63">
        <w:t xml:space="preserve"> - The programme provides financial support to business entities from less developed municipalities to improve their operations, primarily through harmonisation with the requirements of international product standards and support for obtaining accreditation for conformity assessment. The programme reimburses costs incurred by SMEs for accreditation and conformity assessment bodies and implementation of standards/certification/recertification. The approved assistance is up to 70% of the eligible costs for small businesses, or up to 60% of eligible costs for medium-sized companies, to a maximum of €5,000 per applicant</w:t>
      </w:r>
    </w:p>
    <w:p w14:paraId="225C8556" w14:textId="77777777" w:rsidR="00044A63" w:rsidRPr="00044A63" w:rsidRDefault="00044A63" w:rsidP="00044A63">
      <w:pPr>
        <w:autoSpaceDE w:val="0"/>
        <w:autoSpaceDN w:val="0"/>
        <w:adjustRightInd w:val="0"/>
        <w:spacing w:after="0"/>
      </w:pPr>
    </w:p>
    <w:p w14:paraId="30C34595" w14:textId="77777777" w:rsidR="00044A63" w:rsidRDefault="00044A63" w:rsidP="00044A63">
      <w:pPr>
        <w:autoSpaceDE w:val="0"/>
        <w:autoSpaceDN w:val="0"/>
        <w:adjustRightInd w:val="0"/>
        <w:spacing w:after="0"/>
      </w:pPr>
      <w:r w:rsidRPr="00044A63">
        <w:rPr>
          <w:b/>
          <w:i/>
        </w:rPr>
        <w:t>Industrial Modernization Support Programme</w:t>
      </w:r>
      <w:r w:rsidRPr="00044A63">
        <w:t xml:space="preserve"> - The programme supports investments in technical equipment of production capacities by co-financing the eligible costs of procuring equipment (up to 20% for entrepreneurs, micro and small companies, or up to 10% for medium-sized companies). The approved grants cannot be less than €5,000 or greater than €20,000. The entrepreneur must previously be a beneficiary of an Investment and Development Fund loan.</w:t>
      </w:r>
    </w:p>
    <w:p w14:paraId="5273E612" w14:textId="77777777" w:rsidR="00044A63" w:rsidRPr="00044A63" w:rsidRDefault="00044A63" w:rsidP="00044A63">
      <w:pPr>
        <w:autoSpaceDE w:val="0"/>
        <w:autoSpaceDN w:val="0"/>
        <w:adjustRightInd w:val="0"/>
        <w:spacing w:after="0"/>
      </w:pPr>
    </w:p>
    <w:p w14:paraId="4E514470" w14:textId="77777777" w:rsidR="00044A63" w:rsidRDefault="00044A63" w:rsidP="00044A63">
      <w:pPr>
        <w:autoSpaceDE w:val="0"/>
        <w:autoSpaceDN w:val="0"/>
        <w:adjustRightInd w:val="0"/>
        <w:spacing w:after="0"/>
      </w:pPr>
      <w:r w:rsidRPr="00044A63">
        <w:rPr>
          <w:b/>
          <w:i/>
        </w:rPr>
        <w:t>The Innovation Improvement Programme in Small and Medium Enterprises</w:t>
      </w:r>
      <w:r w:rsidRPr="00044A63">
        <w:t xml:space="preserve"> – The programme is designed to improve the efficiency of manufacturing SMEs, by co-financing a maximum 50% of the eligible costs up to €2,500 excluding VAT.</w:t>
      </w:r>
    </w:p>
    <w:p w14:paraId="434E125C" w14:textId="77777777" w:rsidR="00044A63" w:rsidRPr="00044A63" w:rsidRDefault="00044A63" w:rsidP="00044A63">
      <w:pPr>
        <w:autoSpaceDE w:val="0"/>
        <w:autoSpaceDN w:val="0"/>
        <w:adjustRightInd w:val="0"/>
        <w:spacing w:after="0"/>
      </w:pPr>
    </w:p>
    <w:p w14:paraId="1EBB5854" w14:textId="77777777" w:rsidR="00044A63" w:rsidRDefault="00044A63" w:rsidP="00044A63">
      <w:pPr>
        <w:autoSpaceDE w:val="0"/>
        <w:autoSpaceDN w:val="0"/>
        <w:adjustRightInd w:val="0"/>
        <w:spacing w:after="0"/>
      </w:pPr>
      <w:r w:rsidRPr="00044A63">
        <w:rPr>
          <w:b/>
          <w:i/>
        </w:rPr>
        <w:t>Mentoring programme for small and medium enterprises</w:t>
      </w:r>
      <w:r w:rsidRPr="00044A63">
        <w:t xml:space="preserve"> - The programme links entrepreneurs with mentors to enhance future business performance. The mentor undertakes an analysis of the current situation in the company; assists in preparing development activities/plans/projects and their implementation; advises and coordinates activities to access funds and/or Government programmes for business development, new technologies, consulting services, etc.; assists in finding new business partners and establishing business cooperation.</w:t>
      </w:r>
    </w:p>
    <w:p w14:paraId="25233AC0" w14:textId="77777777" w:rsidR="00044A63" w:rsidRPr="00044A63" w:rsidRDefault="00044A63" w:rsidP="00044A63">
      <w:pPr>
        <w:autoSpaceDE w:val="0"/>
        <w:autoSpaceDN w:val="0"/>
        <w:adjustRightInd w:val="0"/>
        <w:spacing w:after="0"/>
      </w:pPr>
    </w:p>
    <w:p w14:paraId="1438479D" w14:textId="77777777" w:rsidR="00044A63" w:rsidRDefault="00044A63" w:rsidP="00044A63">
      <w:pPr>
        <w:autoSpaceDE w:val="0"/>
        <w:autoSpaceDN w:val="0"/>
        <w:adjustRightInd w:val="0"/>
        <w:spacing w:after="0"/>
      </w:pPr>
      <w:r w:rsidRPr="00044A63">
        <w:rPr>
          <w:b/>
          <w:i/>
        </w:rPr>
        <w:t xml:space="preserve">Support programme for entrepreneurship development </w:t>
      </w:r>
      <w:r w:rsidRPr="00044A63">
        <w:t xml:space="preserve">- The Investment Development Fund of Montenegro provides loans up to a maximum of €50.000, at an interest rate of 2.5% annually, with a repayment period of up to 12 years and a grace period of up to 4 years. For entities implementing projects in northern region municipalities and in municipalities below the national average development level, the interest rate is 2% annually. </w:t>
      </w:r>
    </w:p>
    <w:p w14:paraId="53919DBB" w14:textId="77777777" w:rsidR="00044A63" w:rsidRPr="00044A63" w:rsidRDefault="00044A63" w:rsidP="00044A63">
      <w:pPr>
        <w:autoSpaceDE w:val="0"/>
        <w:autoSpaceDN w:val="0"/>
        <w:adjustRightInd w:val="0"/>
        <w:spacing w:after="0"/>
      </w:pPr>
    </w:p>
    <w:p w14:paraId="4E20153F" w14:textId="77777777" w:rsidR="00044A63" w:rsidRDefault="00044A63" w:rsidP="00044A63">
      <w:pPr>
        <w:autoSpaceDE w:val="0"/>
        <w:autoSpaceDN w:val="0"/>
        <w:adjustRightInd w:val="0"/>
        <w:spacing w:after="0"/>
      </w:pPr>
      <w:r w:rsidRPr="00044A63">
        <w:t xml:space="preserve">Other donors that provide support in this sector are GIZ, USAID, UNDP, UNIDO, </w:t>
      </w:r>
      <w:proofErr w:type="gramStart"/>
      <w:r w:rsidRPr="00044A63">
        <w:t>the</w:t>
      </w:r>
      <w:proofErr w:type="gramEnd"/>
      <w:r w:rsidRPr="00044A63">
        <w:t xml:space="preserve"> Kingdom of Norway etc. Support from these institutions/programmes is related to improving competitiveness; local and regional development, cluster development etc.  </w:t>
      </w:r>
    </w:p>
    <w:p w14:paraId="145D01CD" w14:textId="77777777" w:rsidR="00044A63" w:rsidRPr="00044A63" w:rsidRDefault="00044A63" w:rsidP="00044A63">
      <w:pPr>
        <w:autoSpaceDE w:val="0"/>
        <w:autoSpaceDN w:val="0"/>
        <w:adjustRightInd w:val="0"/>
        <w:spacing w:after="0"/>
      </w:pPr>
    </w:p>
    <w:p w14:paraId="3FDBE91B" w14:textId="77777777" w:rsidR="00044A63" w:rsidRDefault="00044A63" w:rsidP="00044A63">
      <w:pPr>
        <w:autoSpaceDE w:val="0"/>
        <w:autoSpaceDN w:val="0"/>
        <w:adjustRightInd w:val="0"/>
        <w:spacing w:after="0"/>
      </w:pPr>
      <w:r w:rsidRPr="00044A63">
        <w:t xml:space="preserve">In 2016, a </w:t>
      </w:r>
      <w:r w:rsidRPr="00044A63">
        <w:rPr>
          <w:b/>
          <w:i/>
        </w:rPr>
        <w:t>Study on enhancement of investments in metal industry based on energy efficiency and increasing performance in environment protection</w:t>
      </w:r>
      <w:r w:rsidRPr="00044A63">
        <w:t xml:space="preserve"> was undertaken in cooperation with UNIDO to identify low cost options that can be implemented by companies for cleaner production. </w:t>
      </w:r>
    </w:p>
    <w:p w14:paraId="4F1ADA68" w14:textId="77777777" w:rsidR="00044A63" w:rsidRPr="00044A63" w:rsidRDefault="00044A63" w:rsidP="00044A63">
      <w:pPr>
        <w:autoSpaceDE w:val="0"/>
        <w:autoSpaceDN w:val="0"/>
        <w:adjustRightInd w:val="0"/>
        <w:spacing w:after="0"/>
      </w:pPr>
    </w:p>
    <w:p w14:paraId="4AA15170" w14:textId="728A74C4" w:rsidR="0053726B" w:rsidRDefault="00044A63" w:rsidP="00044A63">
      <w:pPr>
        <w:autoSpaceDE w:val="0"/>
        <w:autoSpaceDN w:val="0"/>
        <w:adjustRightInd w:val="0"/>
        <w:spacing w:after="0"/>
      </w:pPr>
      <w:r w:rsidRPr="00044A63">
        <w:t xml:space="preserve">Similarly, a </w:t>
      </w:r>
      <w:r w:rsidRPr="00044A63">
        <w:rPr>
          <w:b/>
          <w:i/>
        </w:rPr>
        <w:t>Study on mapping potentials for establishing mechanism and cooperation programmes in area of strengthening innovation and modernisation of priority industrial sectors</w:t>
      </w:r>
      <w:r w:rsidRPr="00044A63">
        <w:rPr>
          <w:i/>
        </w:rPr>
        <w:t xml:space="preserve"> </w:t>
      </w:r>
      <w:r w:rsidRPr="00044A63">
        <w:t>was undertaken with UNIDO to map service providers in the field of innovation enhancement for the industrial sector, and identify opportunities for establishing mechanisms to strengthen innovation and modernisation of priority industrial sectors.</w:t>
      </w:r>
    </w:p>
    <w:p w14:paraId="5439A5D1" w14:textId="77777777" w:rsidR="00044A63" w:rsidRPr="00044A63" w:rsidRDefault="00044A63" w:rsidP="00044A63">
      <w:pPr>
        <w:autoSpaceDE w:val="0"/>
        <w:autoSpaceDN w:val="0"/>
        <w:adjustRightInd w:val="0"/>
        <w:spacing w:after="0"/>
      </w:pPr>
    </w:p>
    <w:p w14:paraId="29BE1047" w14:textId="77777777" w:rsidR="0007408E" w:rsidRPr="00F02ACE" w:rsidRDefault="0007408E" w:rsidP="00F02ACE">
      <w:pPr>
        <w:pStyle w:val="Guidelines2"/>
      </w:pPr>
      <w:bookmarkStart w:id="3" w:name="_Toc502218259"/>
      <w:r w:rsidRPr="00F02ACE">
        <w:t>Objectives of the programme</w:t>
      </w:r>
      <w:bookmarkEnd w:id="3"/>
      <w:r w:rsidRPr="00F02ACE">
        <w:t xml:space="preserve"> </w:t>
      </w:r>
    </w:p>
    <w:p w14:paraId="7B833E6B" w14:textId="77777777" w:rsidR="008319B8" w:rsidRPr="000C6F48" w:rsidRDefault="008319B8" w:rsidP="008319B8">
      <w:pPr>
        <w:rPr>
          <w:szCs w:val="22"/>
        </w:rPr>
      </w:pPr>
      <w:r w:rsidRPr="000C6F48">
        <w:rPr>
          <w:szCs w:val="22"/>
        </w:rPr>
        <w:t xml:space="preserve">The </w:t>
      </w:r>
      <w:r w:rsidRPr="000C6F48">
        <w:rPr>
          <w:b/>
          <w:szCs w:val="22"/>
        </w:rPr>
        <w:t>global objective</w:t>
      </w:r>
      <w:r w:rsidRPr="000C6F48">
        <w:rPr>
          <w:szCs w:val="22"/>
        </w:rPr>
        <w:t xml:space="preserve"> of this Call for Proposals is </w:t>
      </w:r>
      <w:r w:rsidR="004208AB">
        <w:rPr>
          <w:szCs w:val="22"/>
        </w:rPr>
        <w:t xml:space="preserve">to </w:t>
      </w:r>
      <w:r w:rsidRPr="000C6F48">
        <w:rPr>
          <w:szCs w:val="22"/>
        </w:rPr>
        <w:t>further enhance the business environment and competitiveness of the private sector of Montenegro.</w:t>
      </w:r>
    </w:p>
    <w:p w14:paraId="74FE8BC6" w14:textId="005F408D" w:rsidR="008319B8" w:rsidRDefault="008319B8" w:rsidP="008319B8">
      <w:pPr>
        <w:rPr>
          <w:szCs w:val="22"/>
        </w:rPr>
      </w:pPr>
      <w:r w:rsidRPr="000C6F48">
        <w:rPr>
          <w:szCs w:val="22"/>
        </w:rPr>
        <w:t xml:space="preserve">The </w:t>
      </w:r>
      <w:r w:rsidRPr="000C6F48">
        <w:rPr>
          <w:b/>
          <w:szCs w:val="22"/>
        </w:rPr>
        <w:t>specific objective</w:t>
      </w:r>
      <w:r w:rsidR="00A133E3">
        <w:rPr>
          <w:b/>
          <w:szCs w:val="22"/>
          <w:lang w:val="sr-Cyrl-RS"/>
        </w:rPr>
        <w:t xml:space="preserve"> </w:t>
      </w:r>
      <w:r w:rsidRPr="00370188">
        <w:rPr>
          <w:szCs w:val="22"/>
        </w:rPr>
        <w:t>of this</w:t>
      </w:r>
      <w:r w:rsidRPr="000C6F48">
        <w:rPr>
          <w:szCs w:val="22"/>
        </w:rPr>
        <w:t xml:space="preserve"> Call for Proposals </w:t>
      </w:r>
      <w:r w:rsidR="005D6A48">
        <w:rPr>
          <w:szCs w:val="22"/>
        </w:rPr>
        <w:t xml:space="preserve">is to strengthen the administrative capacity and </w:t>
      </w:r>
      <w:r w:rsidR="00D855A2">
        <w:rPr>
          <w:szCs w:val="22"/>
        </w:rPr>
        <w:t xml:space="preserve">operational </w:t>
      </w:r>
      <w:r w:rsidR="005D6A48">
        <w:rPr>
          <w:szCs w:val="22"/>
        </w:rPr>
        <w:t xml:space="preserve">framework for coordination, planning and implementation within </w:t>
      </w:r>
      <w:r w:rsidR="00C47A59">
        <w:rPr>
          <w:szCs w:val="22"/>
        </w:rPr>
        <w:t xml:space="preserve">the </w:t>
      </w:r>
      <w:r w:rsidR="005D6A48">
        <w:rPr>
          <w:szCs w:val="22"/>
        </w:rPr>
        <w:t>Competitiveness and Innovation sector through t</w:t>
      </w:r>
      <w:r w:rsidR="001C2D15">
        <w:rPr>
          <w:szCs w:val="22"/>
        </w:rPr>
        <w:t xml:space="preserve">argeted support for development, research and innovation. </w:t>
      </w:r>
    </w:p>
    <w:p w14:paraId="64452356" w14:textId="6818445F" w:rsidR="001D3284" w:rsidRDefault="001D3284" w:rsidP="008319B8">
      <w:pPr>
        <w:rPr>
          <w:szCs w:val="22"/>
        </w:rPr>
      </w:pPr>
      <w:r w:rsidRPr="001D3284">
        <w:rPr>
          <w:szCs w:val="22"/>
        </w:rPr>
        <w:lastRenderedPageBreak/>
        <w:t xml:space="preserve">This Call for Proposals foresees the award of </w:t>
      </w:r>
      <w:r w:rsidR="00A7570D">
        <w:rPr>
          <w:szCs w:val="22"/>
        </w:rPr>
        <w:t>a</w:t>
      </w:r>
      <w:r w:rsidR="000C0BAB">
        <w:rPr>
          <w:szCs w:val="22"/>
          <w:lang w:val="sr-Cyrl-RS"/>
        </w:rPr>
        <w:t xml:space="preserve"> </w:t>
      </w:r>
      <w:r w:rsidRPr="001D3284">
        <w:rPr>
          <w:szCs w:val="22"/>
        </w:rPr>
        <w:t xml:space="preserve">single grant </w:t>
      </w:r>
      <w:r w:rsidR="00A7570D">
        <w:rPr>
          <w:szCs w:val="22"/>
        </w:rPr>
        <w:t xml:space="preserve">contract </w:t>
      </w:r>
      <w:r w:rsidRPr="001D3284">
        <w:rPr>
          <w:szCs w:val="22"/>
        </w:rPr>
        <w:t>to cover all of the actio</w:t>
      </w:r>
      <w:r w:rsidR="003824A8">
        <w:rPr>
          <w:szCs w:val="22"/>
        </w:rPr>
        <w:t>ns outlined under section 2.1.4</w:t>
      </w:r>
      <w:r w:rsidRPr="001D3284">
        <w:rPr>
          <w:szCs w:val="22"/>
        </w:rPr>
        <w:t>.</w:t>
      </w:r>
      <w:r w:rsidR="00B764D8">
        <w:rPr>
          <w:szCs w:val="22"/>
        </w:rPr>
        <w:t xml:space="preserve"> The applicant is expected to ensure that the specific objective and </w:t>
      </w:r>
      <w:r w:rsidR="00A7570D">
        <w:rPr>
          <w:szCs w:val="22"/>
        </w:rPr>
        <w:t xml:space="preserve">the expected </w:t>
      </w:r>
      <w:r w:rsidR="00B764D8">
        <w:rPr>
          <w:szCs w:val="22"/>
        </w:rPr>
        <w:t>results are addressed through the proposal.</w:t>
      </w:r>
    </w:p>
    <w:p w14:paraId="4B69968C" w14:textId="77777777" w:rsidR="001C2D15" w:rsidRPr="00185AAB" w:rsidRDefault="008027DB" w:rsidP="008319B8">
      <w:pPr>
        <w:rPr>
          <w:szCs w:val="22"/>
        </w:rPr>
      </w:pPr>
      <w:r w:rsidRPr="00185AAB">
        <w:rPr>
          <w:snapToGrid/>
          <w:szCs w:val="22"/>
          <w:lang w:val="en-US"/>
        </w:rPr>
        <w:t xml:space="preserve">The </w:t>
      </w:r>
      <w:r w:rsidRPr="00185AAB">
        <w:rPr>
          <w:b/>
          <w:snapToGrid/>
          <w:szCs w:val="22"/>
          <w:lang w:val="en-US"/>
        </w:rPr>
        <w:t>results</w:t>
      </w:r>
      <w:r w:rsidRPr="00185AAB">
        <w:rPr>
          <w:snapToGrid/>
          <w:szCs w:val="22"/>
          <w:lang w:val="en-US"/>
        </w:rPr>
        <w:t xml:space="preserve"> to be achieved within this Call for Proposals are the following</w:t>
      </w:r>
      <w:r w:rsidR="001C2D15" w:rsidRPr="00185AAB">
        <w:rPr>
          <w:bCs/>
          <w:snapToGrid/>
          <w:szCs w:val="22"/>
          <w:lang w:val="en-US"/>
        </w:rPr>
        <w:t>:</w:t>
      </w:r>
    </w:p>
    <w:p w14:paraId="2CC15FD0" w14:textId="77777777" w:rsidR="002951E2" w:rsidRPr="00185AAB" w:rsidRDefault="00F51F8C" w:rsidP="00F51F8C">
      <w:pPr>
        <w:numPr>
          <w:ilvl w:val="0"/>
          <w:numId w:val="22"/>
        </w:numPr>
        <w:rPr>
          <w:szCs w:val="22"/>
        </w:rPr>
      </w:pPr>
      <w:r w:rsidRPr="00F51F8C">
        <w:rPr>
          <w:szCs w:val="22"/>
        </w:rPr>
        <w:t>Developed strategic and operational framework for implementation of policies for enhancement of the competitiveness and innovation</w:t>
      </w:r>
      <w:r w:rsidR="002951E2" w:rsidRPr="00185AAB">
        <w:rPr>
          <w:szCs w:val="22"/>
        </w:rPr>
        <w:t xml:space="preserve">; </w:t>
      </w:r>
    </w:p>
    <w:p w14:paraId="11857812" w14:textId="77777777" w:rsidR="008319B8" w:rsidRPr="00185AAB" w:rsidRDefault="00F51F8C" w:rsidP="00F51F8C">
      <w:pPr>
        <w:numPr>
          <w:ilvl w:val="0"/>
          <w:numId w:val="22"/>
        </w:numPr>
        <w:rPr>
          <w:szCs w:val="22"/>
        </w:rPr>
      </w:pPr>
      <w:r w:rsidRPr="00F51F8C">
        <w:rPr>
          <w:szCs w:val="22"/>
        </w:rPr>
        <w:t>Strengthened institutional, technical and administrative capacities for the implementation of Competitiveness and Innovation policies, including actions targeting the improvement of research and innovation capacities of SMEs</w:t>
      </w:r>
      <w:r w:rsidR="008319B8" w:rsidRPr="00185AAB">
        <w:rPr>
          <w:szCs w:val="22"/>
        </w:rPr>
        <w:t>;</w:t>
      </w:r>
    </w:p>
    <w:p w14:paraId="485C0548" w14:textId="77777777" w:rsidR="00B96E51" w:rsidRPr="0019553F" w:rsidRDefault="0019553F" w:rsidP="0019553F">
      <w:pPr>
        <w:numPr>
          <w:ilvl w:val="0"/>
          <w:numId w:val="22"/>
        </w:numPr>
        <w:rPr>
          <w:szCs w:val="22"/>
        </w:rPr>
      </w:pPr>
      <w:r w:rsidRPr="0019553F">
        <w:rPr>
          <w:szCs w:val="22"/>
        </w:rPr>
        <w:t>Strengthened competitiveness and innovation of clusters and business entities, improved business performance, productivity and profitability</w:t>
      </w:r>
    </w:p>
    <w:p w14:paraId="0D438495" w14:textId="77777777" w:rsidR="00C9229E" w:rsidRDefault="00C9229E" w:rsidP="00430D3F">
      <w:pPr>
        <w:rPr>
          <w:b/>
          <w:szCs w:val="22"/>
        </w:rPr>
      </w:pPr>
      <w:r>
        <w:rPr>
          <w:b/>
          <w:szCs w:val="22"/>
        </w:rPr>
        <w:t xml:space="preserve">Project </w:t>
      </w:r>
      <w:r w:rsidR="00A7570D">
        <w:rPr>
          <w:b/>
          <w:szCs w:val="22"/>
        </w:rPr>
        <w:t>b</w:t>
      </w:r>
      <w:r>
        <w:rPr>
          <w:b/>
          <w:szCs w:val="22"/>
        </w:rPr>
        <w:t>eneficiaries</w:t>
      </w:r>
    </w:p>
    <w:p w14:paraId="6BA2B558" w14:textId="5A5758AA" w:rsidR="00C9229E" w:rsidRDefault="00E1071E" w:rsidP="00430D3F">
      <w:pPr>
        <w:rPr>
          <w:szCs w:val="22"/>
        </w:rPr>
      </w:pPr>
      <w:r>
        <w:rPr>
          <w:szCs w:val="22"/>
        </w:rPr>
        <w:t xml:space="preserve">The project </w:t>
      </w:r>
      <w:r w:rsidR="00185AAB">
        <w:rPr>
          <w:szCs w:val="22"/>
        </w:rPr>
        <w:t>be</w:t>
      </w:r>
      <w:r w:rsidR="00E96298">
        <w:rPr>
          <w:szCs w:val="22"/>
        </w:rPr>
        <w:t>neficiaries will be the Ministry o</w:t>
      </w:r>
      <w:r w:rsidR="00C43D51">
        <w:rPr>
          <w:szCs w:val="22"/>
        </w:rPr>
        <w:t>f Economy, Ministry of Finance,</w:t>
      </w:r>
      <w:r w:rsidR="00E96298">
        <w:rPr>
          <w:szCs w:val="22"/>
        </w:rPr>
        <w:t xml:space="preserve"> Ministry of Science, Ministry of Sustainable Development and Tourism, Directorate for Development of Small and Medium Enterprise</w:t>
      </w:r>
      <w:r w:rsidR="00A133E3">
        <w:rPr>
          <w:szCs w:val="22"/>
          <w:lang w:val="sr-Cyrl-RS"/>
        </w:rPr>
        <w:t xml:space="preserve"> </w:t>
      </w:r>
      <w:r w:rsidR="00E96298">
        <w:rPr>
          <w:szCs w:val="22"/>
        </w:rPr>
        <w:t xml:space="preserve">and </w:t>
      </w:r>
      <w:r w:rsidR="00C47A59">
        <w:rPr>
          <w:szCs w:val="22"/>
        </w:rPr>
        <w:t xml:space="preserve">the </w:t>
      </w:r>
      <w:r w:rsidR="00E96298">
        <w:rPr>
          <w:szCs w:val="22"/>
        </w:rPr>
        <w:t>Montenegrin Investment Promotion Agency.</w:t>
      </w:r>
      <w:r w:rsidR="000C0BAB">
        <w:rPr>
          <w:szCs w:val="22"/>
          <w:lang w:val="sr-Cyrl-RS"/>
        </w:rPr>
        <w:t xml:space="preserve"> </w:t>
      </w:r>
      <w:r w:rsidR="00E96298">
        <w:rPr>
          <w:szCs w:val="22"/>
        </w:rPr>
        <w:t xml:space="preserve">Other project </w:t>
      </w:r>
      <w:r w:rsidR="00A7570D">
        <w:rPr>
          <w:szCs w:val="22"/>
        </w:rPr>
        <w:t>b</w:t>
      </w:r>
      <w:r w:rsidR="00E96298">
        <w:rPr>
          <w:szCs w:val="22"/>
        </w:rPr>
        <w:t>eneficiaries will be</w:t>
      </w:r>
      <w:r w:rsidR="00A133E3">
        <w:rPr>
          <w:szCs w:val="22"/>
          <w:lang w:val="sr-Cyrl-RS"/>
        </w:rPr>
        <w:t xml:space="preserve"> </w:t>
      </w:r>
      <w:r w:rsidR="003576D6">
        <w:rPr>
          <w:szCs w:val="22"/>
        </w:rPr>
        <w:t>SMEs, Clusters,</w:t>
      </w:r>
      <w:r w:rsidR="005134D8">
        <w:rPr>
          <w:szCs w:val="22"/>
        </w:rPr>
        <w:t xml:space="preserve"> Chambers of Commerce, </w:t>
      </w:r>
      <w:proofErr w:type="spellStart"/>
      <w:r w:rsidR="00185AAB">
        <w:rPr>
          <w:szCs w:val="22"/>
        </w:rPr>
        <w:t>Tehnopolis</w:t>
      </w:r>
      <w:proofErr w:type="spellEnd"/>
      <w:r w:rsidR="005134D8">
        <w:rPr>
          <w:szCs w:val="22"/>
        </w:rPr>
        <w:t xml:space="preserve">, </w:t>
      </w:r>
      <w:r w:rsidR="003576D6">
        <w:rPr>
          <w:szCs w:val="22"/>
        </w:rPr>
        <w:t xml:space="preserve">the </w:t>
      </w:r>
      <w:r w:rsidR="005134D8">
        <w:rPr>
          <w:szCs w:val="22"/>
        </w:rPr>
        <w:t>Business Cent</w:t>
      </w:r>
      <w:r w:rsidR="003576D6">
        <w:rPr>
          <w:szCs w:val="22"/>
        </w:rPr>
        <w:t>re</w:t>
      </w:r>
      <w:r w:rsidR="005134D8">
        <w:rPr>
          <w:szCs w:val="22"/>
        </w:rPr>
        <w:t xml:space="preserve"> Network, and any other public/private organisations involved in the competitiveness and innovation sector.</w:t>
      </w:r>
    </w:p>
    <w:p w14:paraId="5C13E6D4" w14:textId="3B2D3B69" w:rsidR="008B606C" w:rsidRDefault="008B606C" w:rsidP="008B606C">
      <w:r>
        <w:t>Where possible</w:t>
      </w:r>
      <w:r w:rsidR="00C47A59">
        <w:t>,</w:t>
      </w:r>
      <w:r>
        <w:t xml:space="preserve"> the project should address</w:t>
      </w:r>
      <w:r w:rsidR="00A133E3">
        <w:rPr>
          <w:lang w:val="sr-Cyrl-RS"/>
        </w:rPr>
        <w:t xml:space="preserve"> </w:t>
      </w:r>
      <w:r w:rsidRPr="003E452F">
        <w:rPr>
          <w:u w:val="single"/>
        </w:rPr>
        <w:t>cross-cutting</w:t>
      </w:r>
      <w:r w:rsidRPr="003A6175">
        <w:t xml:space="preserve"> issues</w:t>
      </w:r>
      <w:r>
        <w:t xml:space="preserve"> related to gender-equality and</w:t>
      </w:r>
      <w:r w:rsidR="00A133E3">
        <w:rPr>
          <w:lang w:val="sr-Cyrl-RS"/>
        </w:rPr>
        <w:t xml:space="preserve"> </w:t>
      </w:r>
      <w:r>
        <w:t>vulnerable and/or marginalized groups</w:t>
      </w:r>
      <w:r w:rsidR="00C47A59">
        <w:t xml:space="preserve"> and</w:t>
      </w:r>
      <w:r>
        <w:t xml:space="preserve"> unemployment (youth, </w:t>
      </w:r>
      <w:r w:rsidRPr="008B606C">
        <w:t xml:space="preserve">persons with disabilities, elderly </w:t>
      </w:r>
      <w:r>
        <w:t xml:space="preserve">people, </w:t>
      </w:r>
      <w:r w:rsidRPr="008B606C">
        <w:t>indigenous people, ethnic or religious minorities</w:t>
      </w:r>
      <w:r>
        <w:t>).</w:t>
      </w:r>
    </w:p>
    <w:p w14:paraId="028B4895" w14:textId="77777777" w:rsidR="008B606C" w:rsidRPr="00C9229E" w:rsidRDefault="008B606C" w:rsidP="00430D3F">
      <w:pPr>
        <w:rPr>
          <w:szCs w:val="22"/>
        </w:rPr>
      </w:pPr>
    </w:p>
    <w:p w14:paraId="346C2F62" w14:textId="77777777" w:rsidR="0007408E" w:rsidRPr="00F02ACE" w:rsidRDefault="0007408E" w:rsidP="00F02ACE">
      <w:pPr>
        <w:pStyle w:val="Guidelines2"/>
      </w:pPr>
      <w:bookmarkStart w:id="4" w:name="_Toc502218260"/>
      <w:r w:rsidRPr="00F02ACE">
        <w:t>Financial allocation provided by the contracting authority</w:t>
      </w:r>
      <w:bookmarkEnd w:id="4"/>
    </w:p>
    <w:p w14:paraId="35627F5F" w14:textId="77777777" w:rsidR="0007408E" w:rsidRPr="00807DAF" w:rsidRDefault="0007408E" w:rsidP="00BD6FF1">
      <w:r w:rsidRPr="00807DAF">
        <w:t xml:space="preserve">The overall indicative amount made available under this </w:t>
      </w:r>
      <w:r w:rsidR="002F0314">
        <w:t>c</w:t>
      </w:r>
      <w:r w:rsidR="001D0C7B" w:rsidRPr="00807DAF">
        <w:t xml:space="preserve">all for </w:t>
      </w:r>
      <w:r w:rsidR="002F0314">
        <w:t>p</w:t>
      </w:r>
      <w:r w:rsidR="001D0C7B" w:rsidRPr="00807DAF">
        <w:t>roposals</w:t>
      </w:r>
      <w:r w:rsidRPr="00807DAF">
        <w:t xml:space="preserve"> is </w:t>
      </w:r>
      <w:r w:rsidR="00B85AB5" w:rsidRPr="00B85AB5">
        <w:rPr>
          <w:b/>
        </w:rPr>
        <w:t>€</w:t>
      </w:r>
      <w:r w:rsidR="000A0D0B" w:rsidRPr="000A0D0B">
        <w:rPr>
          <w:b/>
        </w:rPr>
        <w:t>1,660,000</w:t>
      </w:r>
      <w:r w:rsidR="005134D8">
        <w:t xml:space="preserve">. </w:t>
      </w:r>
      <w:r w:rsidRPr="00807DAF">
        <w:t xml:space="preserve">The </w:t>
      </w:r>
      <w:r w:rsidR="002E4196" w:rsidRPr="00807DAF">
        <w:t>C</w:t>
      </w:r>
      <w:r w:rsidRPr="00807DAF">
        <w:t xml:space="preserve">ontracting </w:t>
      </w:r>
      <w:r w:rsidR="002E4196" w:rsidRPr="00807DAF">
        <w:t>A</w:t>
      </w:r>
      <w:r w:rsidRPr="00807DAF">
        <w:t>uthority reserves the right not to award all available funds.</w:t>
      </w:r>
    </w:p>
    <w:p w14:paraId="1EBD35E8" w14:textId="77777777" w:rsidR="0007408E" w:rsidRPr="000A0D0B" w:rsidRDefault="00A016F9" w:rsidP="00BD6FF1">
      <w:pPr>
        <w:rPr>
          <w:b/>
        </w:rPr>
      </w:pPr>
      <w:r w:rsidRPr="000A0D0B">
        <w:rPr>
          <w:b/>
        </w:rPr>
        <w:t>Size</w:t>
      </w:r>
      <w:r w:rsidR="0007408E" w:rsidRPr="000A0D0B">
        <w:rPr>
          <w:b/>
        </w:rPr>
        <w:t xml:space="preserve"> of grants</w:t>
      </w:r>
    </w:p>
    <w:p w14:paraId="5BC9C951" w14:textId="77777777" w:rsidR="000A0D0B" w:rsidRPr="000A0D0B" w:rsidRDefault="000A0D0B" w:rsidP="000A0D0B">
      <w:pPr>
        <w:rPr>
          <w:szCs w:val="22"/>
        </w:rPr>
      </w:pPr>
      <w:r w:rsidRPr="000A0D0B">
        <w:rPr>
          <w:szCs w:val="22"/>
        </w:rPr>
        <w:t>Any grant requested under this Call for Proposals must be equal or less than the available budget, i.e. € 1,660,000.</w:t>
      </w:r>
    </w:p>
    <w:p w14:paraId="673CFF91" w14:textId="77777777" w:rsidR="00BA00F7" w:rsidRPr="00807DAF" w:rsidRDefault="00BA00F7" w:rsidP="00BD6FF1">
      <w:r w:rsidRPr="00807DAF">
        <w:t xml:space="preserve">Any grant </w:t>
      </w:r>
      <w:r w:rsidR="00470768" w:rsidRPr="00807DAF">
        <w:t>requested</w:t>
      </w:r>
      <w:r w:rsidRPr="00807DAF">
        <w:t xml:space="preserve"> under this </w:t>
      </w:r>
      <w:r w:rsidR="002F0314">
        <w:t>c</w:t>
      </w:r>
      <w:r w:rsidRPr="00807DAF">
        <w:t xml:space="preserve">all for </w:t>
      </w:r>
      <w:r w:rsidR="002F0314">
        <w:t>p</w:t>
      </w:r>
      <w:r w:rsidRPr="00807DAF">
        <w:t xml:space="preserve">roposals must fall between the following </w:t>
      </w:r>
      <w:r w:rsidRPr="00835AA7">
        <w:t>minimum and</w:t>
      </w:r>
      <w:r w:rsidRPr="00807DAF">
        <w:t xml:space="preserve"> maximum percentages of total eligible costs of the action</w:t>
      </w:r>
      <w:r w:rsidR="00D57C7A" w:rsidRPr="00807DAF">
        <w:t>:</w:t>
      </w:r>
    </w:p>
    <w:p w14:paraId="2A254108" w14:textId="5DB3F98E" w:rsidR="00201E89" w:rsidRPr="00714071" w:rsidRDefault="00BA00F7" w:rsidP="00714071">
      <w:pPr>
        <w:numPr>
          <w:ilvl w:val="0"/>
          <w:numId w:val="2"/>
        </w:numPr>
        <w:rPr>
          <w:b/>
        </w:rPr>
      </w:pPr>
      <w:r w:rsidRPr="00835AA7">
        <w:rPr>
          <w:b/>
        </w:rPr>
        <w:t xml:space="preserve">Maximum </w:t>
      </w:r>
      <w:r w:rsidR="006E0555" w:rsidRPr="00835AA7">
        <w:rPr>
          <w:b/>
        </w:rPr>
        <w:t>percentage</w:t>
      </w:r>
      <w:r w:rsidR="00835AA7" w:rsidRPr="00835AA7">
        <w:rPr>
          <w:b/>
        </w:rPr>
        <w:t>: 100</w:t>
      </w:r>
      <w:r w:rsidR="0007408E" w:rsidRPr="00835AA7">
        <w:rPr>
          <w:b/>
        </w:rPr>
        <w:t>% of the total eligible costs of the action</w:t>
      </w:r>
      <w:r w:rsidR="00B567F9" w:rsidRPr="00714071">
        <w:rPr>
          <w:b/>
        </w:rPr>
        <w:t xml:space="preserve"> (</w:t>
      </w:r>
      <w:r w:rsidR="0007408E" w:rsidRPr="00714071">
        <w:rPr>
          <w:b/>
        </w:rPr>
        <w:t xml:space="preserve">see also </w:t>
      </w:r>
      <w:r w:rsidR="00C7032D" w:rsidRPr="00714071">
        <w:rPr>
          <w:b/>
        </w:rPr>
        <w:t>s</w:t>
      </w:r>
      <w:r w:rsidR="00896ECA" w:rsidRPr="00714071">
        <w:rPr>
          <w:b/>
        </w:rPr>
        <w:t>ection</w:t>
      </w:r>
      <w:r w:rsidR="0007408E" w:rsidRPr="00714071">
        <w:rPr>
          <w:b/>
        </w:rPr>
        <w:t xml:space="preserve"> 2.1.</w:t>
      </w:r>
      <w:r w:rsidR="00446C56" w:rsidRPr="00714071">
        <w:rPr>
          <w:b/>
        </w:rPr>
        <w:t>5</w:t>
      </w:r>
      <w:r w:rsidR="0007408E" w:rsidRPr="00714071">
        <w:rPr>
          <w:b/>
        </w:rPr>
        <w:t>).</w:t>
      </w:r>
    </w:p>
    <w:p w14:paraId="723CA433" w14:textId="77777777" w:rsidR="0007408E" w:rsidRDefault="0007408E" w:rsidP="00042967">
      <w:pPr>
        <w:spacing w:before="120"/>
        <w:rPr>
          <w:color w:val="000000"/>
          <w:szCs w:val="22"/>
        </w:rPr>
      </w:pPr>
      <w:r w:rsidRPr="00835AA7">
        <w:rPr>
          <w:szCs w:val="22"/>
        </w:rPr>
        <w:t>The grant may cover the entire</w:t>
      </w:r>
      <w:r w:rsidR="00BA00F7" w:rsidRPr="00835AA7">
        <w:rPr>
          <w:szCs w:val="22"/>
        </w:rPr>
        <w:t xml:space="preserve"> eligible</w:t>
      </w:r>
      <w:r w:rsidRPr="00835AA7">
        <w:rPr>
          <w:szCs w:val="22"/>
        </w:rPr>
        <w:t xml:space="preserve"> costs of the action if this is </w:t>
      </w:r>
      <w:r w:rsidR="000648BB" w:rsidRPr="00835AA7">
        <w:rPr>
          <w:szCs w:val="22"/>
        </w:rPr>
        <w:t xml:space="preserve">deemed </w:t>
      </w:r>
      <w:r w:rsidRPr="00835AA7">
        <w:rPr>
          <w:szCs w:val="22"/>
        </w:rPr>
        <w:t xml:space="preserve">essential to carry it out. If that is the case, the </w:t>
      </w:r>
      <w:r w:rsidR="00ED0176" w:rsidRPr="00835AA7">
        <w:rPr>
          <w:szCs w:val="22"/>
        </w:rPr>
        <w:t>lead a</w:t>
      </w:r>
      <w:r w:rsidRPr="00835AA7">
        <w:rPr>
          <w:szCs w:val="22"/>
        </w:rPr>
        <w:t xml:space="preserve">pplicant must justify full financing in </w:t>
      </w:r>
      <w:r w:rsidR="00440800" w:rsidRPr="00835AA7">
        <w:rPr>
          <w:szCs w:val="22"/>
        </w:rPr>
        <w:t>s</w:t>
      </w:r>
      <w:r w:rsidR="00896ECA" w:rsidRPr="00835AA7">
        <w:rPr>
          <w:szCs w:val="22"/>
        </w:rPr>
        <w:t>ection</w:t>
      </w:r>
      <w:r w:rsidR="000F7405" w:rsidRPr="00835AA7">
        <w:rPr>
          <w:szCs w:val="22"/>
        </w:rPr>
        <w:t> </w:t>
      </w:r>
      <w:r w:rsidR="00896ECA" w:rsidRPr="00835AA7">
        <w:rPr>
          <w:szCs w:val="22"/>
        </w:rPr>
        <w:t xml:space="preserve">2.1 of Part B </w:t>
      </w:r>
      <w:r w:rsidRPr="00835AA7">
        <w:rPr>
          <w:szCs w:val="22"/>
        </w:rPr>
        <w:t>of the grant application form.</w:t>
      </w:r>
      <w:r w:rsidR="00370173" w:rsidRPr="00835AA7">
        <w:rPr>
          <w:szCs w:val="22"/>
        </w:rPr>
        <w:t xml:space="preserve"> The validity of the justification provided will be examined during the evaluation procedure. </w:t>
      </w:r>
      <w:r w:rsidR="00370173" w:rsidRPr="00835AA7">
        <w:rPr>
          <w:color w:val="000000"/>
          <w:szCs w:val="22"/>
        </w:rPr>
        <w:t>The absence of any justification may lead to th</w:t>
      </w:r>
      <w:r w:rsidR="00835AA7">
        <w:rPr>
          <w:color w:val="000000"/>
          <w:szCs w:val="22"/>
        </w:rPr>
        <w:t>e rejection of the application.</w:t>
      </w:r>
    </w:p>
    <w:p w14:paraId="1B741FA2" w14:textId="0603DA9D" w:rsidR="0007408E" w:rsidRPr="00F02ACE" w:rsidRDefault="0007408E" w:rsidP="00CE56AC">
      <w:pPr>
        <w:pStyle w:val="Guidelines1"/>
      </w:pPr>
      <w:bookmarkStart w:id="5" w:name="_Toc502218261"/>
      <w:r w:rsidRPr="00F02ACE">
        <w:t xml:space="preserve">Rules </w:t>
      </w:r>
      <w:r w:rsidR="0024146B" w:rsidRPr="00F02ACE">
        <w:t xml:space="preserve">FOR </w:t>
      </w:r>
      <w:r w:rsidRPr="00F02ACE">
        <w:t>thIS call for proposalS</w:t>
      </w:r>
      <w:bookmarkEnd w:id="5"/>
    </w:p>
    <w:p w14:paraId="50EE3AEE" w14:textId="4572660A" w:rsidR="0007408E" w:rsidRPr="00807DAF" w:rsidRDefault="0007408E" w:rsidP="00BD6FF1">
      <w:r w:rsidRPr="00807DAF">
        <w:lastRenderedPageBreak/>
        <w:t xml:space="preserve">These guidelines set out the rules for </w:t>
      </w:r>
      <w:r w:rsidR="008A6F06" w:rsidRPr="00807DAF">
        <w:t xml:space="preserve">the </w:t>
      </w:r>
      <w:r w:rsidRPr="00807DAF">
        <w:t>submi</w:t>
      </w:r>
      <w:r w:rsidR="008A6F06" w:rsidRPr="00807DAF">
        <w:t>ssion</w:t>
      </w:r>
      <w:r w:rsidRPr="00807DAF">
        <w:t>, selecti</w:t>
      </w:r>
      <w:r w:rsidR="008A6F06" w:rsidRPr="00807DAF">
        <w:t>on</w:t>
      </w:r>
      <w:r w:rsidRPr="00807DAF">
        <w:t xml:space="preserve"> and implement</w:t>
      </w:r>
      <w:r w:rsidR="008A6F06" w:rsidRPr="00807DAF">
        <w:t>ation of</w:t>
      </w:r>
      <w:r w:rsidR="00AA424B" w:rsidRPr="00807DAF">
        <w:t xml:space="preserve"> the</w:t>
      </w:r>
      <w:r w:rsidRPr="00807DAF">
        <w:t xml:space="preserve"> actions financed under th</w:t>
      </w:r>
      <w:r w:rsidR="00E359F9" w:rsidRPr="00807DAF">
        <w:t xml:space="preserve">is </w:t>
      </w:r>
      <w:r w:rsidR="002F0314">
        <w:t>c</w:t>
      </w:r>
      <w:r w:rsidR="00E359F9" w:rsidRPr="00807DAF">
        <w:t>all</w:t>
      </w:r>
      <w:r w:rsidRPr="00807DAF">
        <w:t>, in conformity with the Practical Guide</w:t>
      </w:r>
      <w:r w:rsidR="009E6254" w:rsidRPr="00807DAF">
        <w:t>, which is applicable to the present call</w:t>
      </w:r>
      <w:r w:rsidR="001A3FE1" w:rsidRPr="00807DAF">
        <w:t xml:space="preserve"> (</w:t>
      </w:r>
      <w:r w:rsidR="00087373" w:rsidRPr="00807DAF">
        <w:t>a</w:t>
      </w:r>
      <w:r w:rsidR="001A3FE1" w:rsidRPr="00807DAF">
        <w:t>vailable on the Internet at this address</w:t>
      </w:r>
      <w:r w:rsidR="00A133E3">
        <w:rPr>
          <w:lang w:val="sr-Cyrl-RS"/>
        </w:rPr>
        <w:t xml:space="preserve"> </w:t>
      </w:r>
      <w:hyperlink r:id="rId14" w:history="1">
        <w:r w:rsidR="009C7178" w:rsidRPr="00F2526B">
          <w:rPr>
            <w:rStyle w:val="Hyperlink"/>
          </w:rPr>
          <w:t>http://ec.europa.eu/europeaid/prag/document.do?locale=en</w:t>
        </w:r>
      </w:hyperlink>
      <w:r w:rsidR="001A3FE1" w:rsidRPr="00807DAF">
        <w:t>)</w:t>
      </w:r>
      <w:r w:rsidRPr="00807DAF">
        <w:t>.</w:t>
      </w:r>
      <w:r w:rsidR="00C60C7C">
        <w:rPr>
          <w:rStyle w:val="FootnoteReference"/>
        </w:rPr>
        <w:footnoteReference w:id="5"/>
      </w:r>
    </w:p>
    <w:p w14:paraId="5E579553" w14:textId="77777777" w:rsidR="0007408E" w:rsidRPr="00F02ACE" w:rsidRDefault="0007408E" w:rsidP="00F02ACE">
      <w:pPr>
        <w:pStyle w:val="Guidelines2"/>
      </w:pPr>
      <w:bookmarkStart w:id="6" w:name="_Toc502218262"/>
      <w:r w:rsidRPr="00F02ACE">
        <w:t>Eligibility criteria</w:t>
      </w:r>
      <w:bookmarkEnd w:id="6"/>
    </w:p>
    <w:p w14:paraId="61087B53" w14:textId="77777777" w:rsidR="0007408E" w:rsidRPr="00807DAF" w:rsidRDefault="0007408E" w:rsidP="006E0555">
      <w:r w:rsidRPr="00807DAF">
        <w:t>There are three sets of eligibility criteria, relating to:</w:t>
      </w:r>
    </w:p>
    <w:p w14:paraId="1D7007C1" w14:textId="77777777" w:rsidR="003477DE" w:rsidRPr="00807DAF" w:rsidRDefault="00296A25" w:rsidP="00345D21">
      <w:pPr>
        <w:numPr>
          <w:ilvl w:val="0"/>
          <w:numId w:val="17"/>
        </w:numPr>
      </w:pPr>
      <w:r w:rsidRPr="00807DAF">
        <w:t>the actors:</w:t>
      </w:r>
    </w:p>
    <w:p w14:paraId="6DE64077" w14:textId="50C16F57" w:rsidR="003477DE" w:rsidRPr="00807DAF" w:rsidRDefault="006A36F9" w:rsidP="00345D21">
      <w:pPr>
        <w:numPr>
          <w:ilvl w:val="0"/>
          <w:numId w:val="3"/>
        </w:numPr>
        <w:ind w:left="1134"/>
      </w:pPr>
      <w:r w:rsidRPr="00807DAF">
        <w:t xml:space="preserve">The </w:t>
      </w:r>
      <w:r w:rsidR="002F0314">
        <w:t>'</w:t>
      </w:r>
      <w:r w:rsidR="00ED0176">
        <w:rPr>
          <w:b/>
        </w:rPr>
        <w:t>lead a</w:t>
      </w:r>
      <w:r w:rsidRPr="00807DAF">
        <w:rPr>
          <w:b/>
        </w:rPr>
        <w:t>pplicant</w:t>
      </w:r>
      <w:r w:rsidR="002F0314">
        <w:rPr>
          <w:b/>
        </w:rPr>
        <w:t>'</w:t>
      </w:r>
      <w:r w:rsidRPr="00807DAF">
        <w:t xml:space="preserve">, </w:t>
      </w:r>
      <w:r w:rsidR="00296A25" w:rsidRPr="00807DAF">
        <w:t xml:space="preserve">i.e. </w:t>
      </w:r>
      <w:r w:rsidR="00A31B91" w:rsidRPr="00807DAF">
        <w:t>the entity</w:t>
      </w:r>
      <w:r w:rsidR="00A133E3">
        <w:rPr>
          <w:lang w:val="sr-Cyrl-RS"/>
        </w:rPr>
        <w:t xml:space="preserve"> </w:t>
      </w:r>
      <w:r w:rsidR="00D54450" w:rsidRPr="00807DAF">
        <w:t>submit</w:t>
      </w:r>
      <w:r w:rsidR="00A31B91" w:rsidRPr="00807DAF">
        <w:t>ting</w:t>
      </w:r>
      <w:r w:rsidR="00D54450" w:rsidRPr="00807DAF">
        <w:t xml:space="preserve"> the application form</w:t>
      </w:r>
      <w:r w:rsidR="00F06309" w:rsidRPr="00807DAF">
        <w:t xml:space="preserve"> (2.1.1),</w:t>
      </w:r>
    </w:p>
    <w:p w14:paraId="35440EC4" w14:textId="27D9310D" w:rsidR="003477DE" w:rsidRPr="00807DAF" w:rsidRDefault="00B85AB5" w:rsidP="00345D21">
      <w:pPr>
        <w:numPr>
          <w:ilvl w:val="0"/>
          <w:numId w:val="3"/>
        </w:numPr>
        <w:ind w:left="1134"/>
      </w:pPr>
      <w:r>
        <w:t>I</w:t>
      </w:r>
      <w:r w:rsidR="00A31B91" w:rsidRPr="00807DAF">
        <w:t xml:space="preserve">f any, </w:t>
      </w:r>
      <w:r w:rsidR="009901E5" w:rsidRPr="00807DAF">
        <w:t>its</w:t>
      </w:r>
      <w:r w:rsidR="00A133E3">
        <w:rPr>
          <w:lang w:val="sr-Cyrl-RS"/>
        </w:rPr>
        <w:t xml:space="preserve"> </w:t>
      </w:r>
      <w:r w:rsidR="006A36F9" w:rsidRPr="00807DAF">
        <w:rPr>
          <w:b/>
        </w:rPr>
        <w:t>co-applicant(s)</w:t>
      </w:r>
      <w:r w:rsidR="006A36F9" w:rsidRPr="00807DAF">
        <w:t xml:space="preserve"> (</w:t>
      </w:r>
      <w:r w:rsidR="006A36F9" w:rsidRPr="00807DAF">
        <w:rPr>
          <w:b/>
          <w:u w:val="single"/>
        </w:rPr>
        <w:t xml:space="preserve">where it </w:t>
      </w:r>
      <w:r w:rsidR="00B254EE" w:rsidRPr="00807DAF">
        <w:rPr>
          <w:b/>
          <w:u w:val="single"/>
        </w:rPr>
        <w:t xml:space="preserve">is </w:t>
      </w:r>
      <w:r w:rsidR="006A36F9" w:rsidRPr="00807DAF">
        <w:rPr>
          <w:b/>
          <w:u w:val="single"/>
        </w:rPr>
        <w:t xml:space="preserve">not specified otherwise the </w:t>
      </w:r>
      <w:r w:rsidR="00ED0176">
        <w:rPr>
          <w:b/>
          <w:u w:val="single"/>
        </w:rPr>
        <w:t>lead a</w:t>
      </w:r>
      <w:r w:rsidR="006A36F9" w:rsidRPr="00807DAF">
        <w:rPr>
          <w:b/>
          <w:u w:val="single"/>
        </w:rPr>
        <w:t xml:space="preserve">pplicant and </w:t>
      </w:r>
      <w:r w:rsidR="003477DE" w:rsidRPr="00807DAF">
        <w:rPr>
          <w:b/>
          <w:u w:val="single"/>
        </w:rPr>
        <w:t xml:space="preserve">its </w:t>
      </w:r>
      <w:r w:rsidR="006A36F9" w:rsidRPr="00807DAF">
        <w:rPr>
          <w:b/>
          <w:u w:val="single"/>
        </w:rPr>
        <w:t xml:space="preserve">co-applicant(s) are </w:t>
      </w:r>
      <w:r w:rsidR="009901E5" w:rsidRPr="00807DAF">
        <w:rPr>
          <w:b/>
          <w:u w:val="single"/>
        </w:rPr>
        <w:t xml:space="preserve">hereinafter </w:t>
      </w:r>
      <w:r w:rsidR="006A36F9" w:rsidRPr="00807DAF">
        <w:rPr>
          <w:b/>
          <w:u w:val="single"/>
        </w:rPr>
        <w:t>jointly referred as "</w:t>
      </w:r>
      <w:r w:rsidR="006A36F9" w:rsidRPr="00807DAF">
        <w:rPr>
          <w:b/>
          <w:i/>
          <w:u w:val="single"/>
        </w:rPr>
        <w:t>applicant</w:t>
      </w:r>
      <w:r w:rsidR="009F3146">
        <w:rPr>
          <w:b/>
          <w:i/>
          <w:u w:val="single"/>
        </w:rPr>
        <w:t>(</w:t>
      </w:r>
      <w:r w:rsidR="006A36F9" w:rsidRPr="00807DAF">
        <w:rPr>
          <w:b/>
          <w:i/>
          <w:u w:val="single"/>
        </w:rPr>
        <w:t>s</w:t>
      </w:r>
      <w:r w:rsidR="009F3146">
        <w:rPr>
          <w:b/>
          <w:i/>
          <w:u w:val="single"/>
        </w:rPr>
        <w:t>)</w:t>
      </w:r>
      <w:r w:rsidR="00A31B91" w:rsidRPr="00807DAF">
        <w:t>")</w:t>
      </w:r>
      <w:r w:rsidR="006A36F9" w:rsidRPr="00807DAF">
        <w:t xml:space="preserve"> (2.1.1), </w:t>
      </w:r>
    </w:p>
    <w:p w14:paraId="0EF740A9" w14:textId="3E745744" w:rsidR="00E95995" w:rsidRPr="00807DAF" w:rsidRDefault="00B85AB5" w:rsidP="00345D21">
      <w:pPr>
        <w:numPr>
          <w:ilvl w:val="0"/>
          <w:numId w:val="3"/>
        </w:numPr>
        <w:ind w:left="1134"/>
      </w:pPr>
      <w:r>
        <w:t>I</w:t>
      </w:r>
      <w:r w:rsidR="00A31B91" w:rsidRPr="00807DAF">
        <w:t>f any,</w:t>
      </w:r>
      <w:r w:rsidR="00A133E3">
        <w:rPr>
          <w:lang w:val="sr-Cyrl-RS"/>
        </w:rPr>
        <w:t xml:space="preserve"> </w:t>
      </w:r>
      <w:r w:rsidR="00A31B91" w:rsidRPr="00807DAF">
        <w:rPr>
          <w:b/>
        </w:rPr>
        <w:t xml:space="preserve">affiliated </w:t>
      </w:r>
      <w:proofErr w:type="gramStart"/>
      <w:r w:rsidR="00A31B91" w:rsidRPr="00807DAF">
        <w:rPr>
          <w:b/>
        </w:rPr>
        <w:t>entity(</w:t>
      </w:r>
      <w:proofErr w:type="spellStart"/>
      <w:proofErr w:type="gramEnd"/>
      <w:r w:rsidR="00A31B91" w:rsidRPr="00807DAF">
        <w:rPr>
          <w:b/>
        </w:rPr>
        <w:t>ies</w:t>
      </w:r>
      <w:proofErr w:type="spellEnd"/>
      <w:r w:rsidR="00A31B91" w:rsidRPr="00807DAF">
        <w:rPr>
          <w:b/>
        </w:rPr>
        <w:t>)</w:t>
      </w:r>
      <w:r w:rsidR="006B6F21">
        <w:rPr>
          <w:b/>
        </w:rPr>
        <w:t xml:space="preserve"> </w:t>
      </w:r>
      <w:r w:rsidR="00296A25" w:rsidRPr="00807DAF">
        <w:t xml:space="preserve">to the </w:t>
      </w:r>
      <w:r w:rsidR="00ED0176">
        <w:t>lead a</w:t>
      </w:r>
      <w:r w:rsidR="00296A25" w:rsidRPr="00807DAF">
        <w:t xml:space="preserve">pplicant and/or to a co-applicant(s). </w:t>
      </w:r>
      <w:r w:rsidR="00A31B91" w:rsidRPr="00807DAF">
        <w:t>(2.1.</w:t>
      </w:r>
      <w:r w:rsidR="00F06309" w:rsidRPr="00807DAF">
        <w:t>2</w:t>
      </w:r>
      <w:r w:rsidR="006A36F9" w:rsidRPr="00807DAF">
        <w:t>);</w:t>
      </w:r>
    </w:p>
    <w:p w14:paraId="3E784380" w14:textId="77777777" w:rsidR="00E95995" w:rsidRPr="00807DAF" w:rsidRDefault="00296A25" w:rsidP="00345D21">
      <w:pPr>
        <w:numPr>
          <w:ilvl w:val="0"/>
          <w:numId w:val="17"/>
        </w:numPr>
      </w:pPr>
      <w:r w:rsidRPr="00807DAF">
        <w:t xml:space="preserve">the </w:t>
      </w:r>
      <w:r w:rsidR="00F06309" w:rsidRPr="00807DAF">
        <w:t>a</w:t>
      </w:r>
      <w:r w:rsidR="006F1CFC" w:rsidRPr="00807DAF">
        <w:t>ctions</w:t>
      </w:r>
      <w:r w:rsidRPr="00807DAF">
        <w:t>:</w:t>
      </w:r>
    </w:p>
    <w:p w14:paraId="26C25081" w14:textId="77777777" w:rsidR="003477DE" w:rsidRPr="00807DAF" w:rsidRDefault="006F1CFC" w:rsidP="00E95995">
      <w:pPr>
        <w:ind w:left="720"/>
      </w:pPr>
      <w:r w:rsidRPr="00807DAF">
        <w:t>Action</w:t>
      </w:r>
      <w:r w:rsidR="00A07623" w:rsidRPr="00807DAF">
        <w:t>s</w:t>
      </w:r>
      <w:r w:rsidR="003477DE" w:rsidRPr="00807DAF">
        <w:t xml:space="preserve"> for which a grant may be awarded (2.1.4);</w:t>
      </w:r>
    </w:p>
    <w:p w14:paraId="079737E3" w14:textId="77777777" w:rsidR="00E95995" w:rsidRPr="00807DAF" w:rsidRDefault="00296A25" w:rsidP="00345D21">
      <w:pPr>
        <w:numPr>
          <w:ilvl w:val="0"/>
          <w:numId w:val="17"/>
        </w:numPr>
      </w:pPr>
      <w:r w:rsidRPr="00807DAF">
        <w:t>the costs:</w:t>
      </w:r>
    </w:p>
    <w:p w14:paraId="4F47BCD5" w14:textId="77777777" w:rsidR="00267E4F" w:rsidRPr="00807DAF" w:rsidRDefault="00B85AB5" w:rsidP="00345D21">
      <w:pPr>
        <w:numPr>
          <w:ilvl w:val="0"/>
          <w:numId w:val="3"/>
        </w:numPr>
        <w:ind w:left="1134"/>
      </w:pPr>
      <w:r>
        <w:t>T</w:t>
      </w:r>
      <w:r w:rsidR="0007408E" w:rsidRPr="00807DAF">
        <w:t xml:space="preserve">ypes of cost </w:t>
      </w:r>
      <w:r w:rsidR="00AA424B" w:rsidRPr="00807DAF">
        <w:t xml:space="preserve">that </w:t>
      </w:r>
      <w:r w:rsidR="0007408E" w:rsidRPr="00807DAF">
        <w:t>may be taken into account in setting the amount of the grant</w:t>
      </w:r>
      <w:r w:rsidR="0032711C" w:rsidRPr="00807DAF">
        <w:t xml:space="preserve"> (2.1.</w:t>
      </w:r>
      <w:r w:rsidR="00B971F7" w:rsidRPr="00807DAF">
        <w:t>5</w:t>
      </w:r>
      <w:r w:rsidR="0032711C" w:rsidRPr="00807DAF">
        <w:t>)</w:t>
      </w:r>
      <w:r w:rsidR="0007408E" w:rsidRPr="00807DAF">
        <w:t>.</w:t>
      </w:r>
    </w:p>
    <w:p w14:paraId="0E240828" w14:textId="77777777" w:rsidR="0007408E" w:rsidRPr="00807DAF" w:rsidRDefault="0007408E" w:rsidP="004B7BC2">
      <w:pPr>
        <w:pStyle w:val="Guidelines3"/>
      </w:pPr>
      <w:bookmarkStart w:id="7" w:name="_Toc502218263"/>
      <w:r w:rsidRPr="00807DAF">
        <w:t>Eligibility of applicant</w:t>
      </w:r>
      <w:r w:rsidR="00A2450D" w:rsidRPr="00807DAF">
        <w:t>s</w:t>
      </w:r>
      <w:r w:rsidR="00C4172B" w:rsidRPr="00807DAF">
        <w:t xml:space="preserve"> (i.e. </w:t>
      </w:r>
      <w:r w:rsidR="00ED0176">
        <w:t>lead a</w:t>
      </w:r>
      <w:r w:rsidR="00C4172B" w:rsidRPr="00807DAF">
        <w:t>pplicant and co-applicant(s))</w:t>
      </w:r>
      <w:bookmarkEnd w:id="7"/>
    </w:p>
    <w:p w14:paraId="175992AB" w14:textId="77777777" w:rsidR="004127BD" w:rsidRPr="00951BF6" w:rsidRDefault="00ED0176" w:rsidP="006E0555">
      <w:pPr>
        <w:spacing w:before="240"/>
        <w:rPr>
          <w:b/>
        </w:rPr>
      </w:pPr>
      <w:r w:rsidRPr="00951BF6">
        <w:rPr>
          <w:b/>
        </w:rPr>
        <w:t>Lead a</w:t>
      </w:r>
      <w:r w:rsidR="004127BD" w:rsidRPr="007E4F56">
        <w:rPr>
          <w:b/>
        </w:rPr>
        <w:t>pplicant</w:t>
      </w:r>
    </w:p>
    <w:p w14:paraId="625C5D12" w14:textId="77777777" w:rsidR="0007408E" w:rsidRPr="00807DAF" w:rsidRDefault="006E0555" w:rsidP="006E0555">
      <w:pPr>
        <w:ind w:left="426" w:hanging="426"/>
      </w:pPr>
      <w:r w:rsidRPr="00807DAF">
        <w:t>(1)</w:t>
      </w:r>
      <w:r w:rsidRPr="00807DAF">
        <w:tab/>
      </w:r>
      <w:r w:rsidR="006A36F9" w:rsidRPr="00807DAF">
        <w:t xml:space="preserve">In order to be eligible for a grant, the </w:t>
      </w:r>
      <w:r w:rsidR="00ED0176">
        <w:t>lead a</w:t>
      </w:r>
      <w:r w:rsidR="006A36F9" w:rsidRPr="00807DAF">
        <w:t>pplicant must:</w:t>
      </w:r>
    </w:p>
    <w:p w14:paraId="0C6B692A" w14:textId="77777777" w:rsidR="009D4824" w:rsidRPr="005B238F" w:rsidRDefault="009D4824" w:rsidP="00345D21">
      <w:pPr>
        <w:numPr>
          <w:ilvl w:val="0"/>
          <w:numId w:val="4"/>
        </w:numPr>
      </w:pPr>
      <w:r w:rsidRPr="005B238F">
        <w:t>be a legal person</w:t>
      </w:r>
      <w:r>
        <w:t xml:space="preserve">, </w:t>
      </w:r>
      <w:r w:rsidRPr="005B238F">
        <w:rPr>
          <w:b/>
        </w:rPr>
        <w:t>and</w:t>
      </w:r>
    </w:p>
    <w:p w14:paraId="0FAE19C5" w14:textId="77777777" w:rsidR="009D4824" w:rsidRPr="005B238F" w:rsidRDefault="009D4824" w:rsidP="00345D21">
      <w:pPr>
        <w:numPr>
          <w:ilvl w:val="0"/>
          <w:numId w:val="4"/>
        </w:numPr>
        <w:rPr>
          <w:szCs w:val="22"/>
        </w:rPr>
      </w:pPr>
      <w:r w:rsidRPr="005B238F">
        <w:rPr>
          <w:szCs w:val="22"/>
        </w:rPr>
        <w:t xml:space="preserve">be non-profit-making </w:t>
      </w:r>
      <w:r w:rsidRPr="0055451C">
        <w:rPr>
          <w:szCs w:val="22"/>
        </w:rPr>
        <w:t>or profit making organisation which is aware that the grant cannot be used for making profit</w:t>
      </w:r>
      <w:r w:rsidRPr="005B238F">
        <w:rPr>
          <w:szCs w:val="22"/>
        </w:rPr>
        <w:t xml:space="preserve">, </w:t>
      </w:r>
      <w:r w:rsidRPr="005B238F">
        <w:rPr>
          <w:b/>
          <w:szCs w:val="22"/>
        </w:rPr>
        <w:t>and</w:t>
      </w:r>
    </w:p>
    <w:p w14:paraId="251F662C" w14:textId="2F41CEB8" w:rsidR="00262604" w:rsidRPr="00262604" w:rsidRDefault="009D4824" w:rsidP="00345D21">
      <w:pPr>
        <w:numPr>
          <w:ilvl w:val="0"/>
          <w:numId w:val="4"/>
        </w:numPr>
        <w:rPr>
          <w:rStyle w:val="CommentReference"/>
          <w:sz w:val="22"/>
          <w:szCs w:val="22"/>
        </w:rPr>
      </w:pPr>
      <w:r w:rsidRPr="005B238F">
        <w:rPr>
          <w:szCs w:val="22"/>
        </w:rPr>
        <w:t>be a</w:t>
      </w:r>
      <w:r w:rsidR="005A15AA">
        <w:rPr>
          <w:szCs w:val="22"/>
        </w:rPr>
        <w:t xml:space="preserve"> specific type of organisation</w:t>
      </w:r>
      <w:r w:rsidR="004208AB">
        <w:rPr>
          <w:rStyle w:val="FootnoteReference"/>
          <w:szCs w:val="22"/>
        </w:rPr>
        <w:t xml:space="preserve"> </w:t>
      </w:r>
      <w:r w:rsidR="005A15AA">
        <w:rPr>
          <w:szCs w:val="22"/>
        </w:rPr>
        <w:t xml:space="preserve">such as: </w:t>
      </w:r>
    </w:p>
    <w:p w14:paraId="409F6406" w14:textId="4267A771" w:rsidR="006D18FB" w:rsidRPr="007E4989" w:rsidRDefault="00262604" w:rsidP="00345D21">
      <w:pPr>
        <w:numPr>
          <w:ilvl w:val="1"/>
          <w:numId w:val="4"/>
        </w:numPr>
        <w:rPr>
          <w:sz w:val="32"/>
          <w:szCs w:val="22"/>
        </w:rPr>
      </w:pPr>
      <w:r w:rsidRPr="007E4989">
        <w:rPr>
          <w:rStyle w:val="CommentReference"/>
          <w:sz w:val="22"/>
        </w:rPr>
        <w:t>Ministr</w:t>
      </w:r>
      <w:r w:rsidR="004208AB">
        <w:rPr>
          <w:rStyle w:val="CommentReference"/>
          <w:sz w:val="22"/>
        </w:rPr>
        <w:t>y</w:t>
      </w:r>
      <w:r w:rsidRPr="007E4989">
        <w:rPr>
          <w:rStyle w:val="CommentReference"/>
          <w:sz w:val="22"/>
        </w:rPr>
        <w:t xml:space="preserve"> </w:t>
      </w:r>
      <w:r w:rsidR="004208AB">
        <w:rPr>
          <w:rStyle w:val="CommentReference"/>
          <w:sz w:val="22"/>
        </w:rPr>
        <w:t>or</w:t>
      </w:r>
      <w:r w:rsidRPr="007E4989">
        <w:rPr>
          <w:rStyle w:val="CommentReference"/>
          <w:sz w:val="22"/>
        </w:rPr>
        <w:t xml:space="preserve"> other relevant Government bod</w:t>
      </w:r>
      <w:r w:rsidR="004208AB">
        <w:rPr>
          <w:rStyle w:val="CommentReference"/>
          <w:sz w:val="22"/>
        </w:rPr>
        <w:t>y</w:t>
      </w:r>
      <w:r w:rsidRPr="007E4989">
        <w:rPr>
          <w:rStyle w:val="CommentReference"/>
          <w:sz w:val="22"/>
        </w:rPr>
        <w:t>;</w:t>
      </w:r>
    </w:p>
    <w:p w14:paraId="3DCD234E" w14:textId="77777777" w:rsidR="006D18FB" w:rsidRDefault="00CA1328" w:rsidP="00345D21">
      <w:pPr>
        <w:numPr>
          <w:ilvl w:val="1"/>
          <w:numId w:val="4"/>
        </w:numPr>
        <w:rPr>
          <w:szCs w:val="22"/>
        </w:rPr>
      </w:pPr>
      <w:r>
        <w:rPr>
          <w:szCs w:val="22"/>
        </w:rPr>
        <w:t xml:space="preserve">Public body, </w:t>
      </w:r>
    </w:p>
    <w:p w14:paraId="01D03B1C" w14:textId="1D8F72EB" w:rsidR="006D18FB" w:rsidRDefault="00CA1328" w:rsidP="00345D21">
      <w:pPr>
        <w:numPr>
          <w:ilvl w:val="1"/>
          <w:numId w:val="4"/>
        </w:numPr>
        <w:rPr>
          <w:szCs w:val="22"/>
        </w:rPr>
      </w:pPr>
      <w:r>
        <w:rPr>
          <w:szCs w:val="22"/>
        </w:rPr>
        <w:t>relevant mandated body of a Government Department or public authority of an European Union Member State in the fields related to this action,</w:t>
      </w:r>
    </w:p>
    <w:p w14:paraId="2C78577F" w14:textId="59E8DED7" w:rsidR="006D18FB" w:rsidRDefault="003576D6" w:rsidP="00345D21">
      <w:pPr>
        <w:numPr>
          <w:ilvl w:val="1"/>
          <w:numId w:val="4"/>
        </w:numPr>
        <w:rPr>
          <w:szCs w:val="22"/>
        </w:rPr>
      </w:pPr>
      <w:r>
        <w:rPr>
          <w:szCs w:val="22"/>
        </w:rPr>
        <w:t>I</w:t>
      </w:r>
      <w:r w:rsidR="00A66390">
        <w:rPr>
          <w:szCs w:val="22"/>
        </w:rPr>
        <w:t>nternational (inter</w:t>
      </w:r>
      <w:r w:rsidR="00CA1328">
        <w:rPr>
          <w:szCs w:val="22"/>
        </w:rPr>
        <w:t xml:space="preserve">governmental) </w:t>
      </w:r>
      <w:r>
        <w:rPr>
          <w:szCs w:val="22"/>
        </w:rPr>
        <w:t>O</w:t>
      </w:r>
      <w:r w:rsidR="00CA1328">
        <w:rPr>
          <w:szCs w:val="22"/>
        </w:rPr>
        <w:t xml:space="preserve">rganisation </w:t>
      </w:r>
      <w:r w:rsidR="00CA1328">
        <w:rPr>
          <w:rStyle w:val="FootnoteReference"/>
          <w:szCs w:val="22"/>
        </w:rPr>
        <w:footnoteReference w:id="6"/>
      </w:r>
    </w:p>
    <w:p w14:paraId="1FC17111" w14:textId="77777777" w:rsidR="00CA1328" w:rsidRPr="003956FA" w:rsidRDefault="00CA1328" w:rsidP="00E51A90">
      <w:pPr>
        <w:rPr>
          <w:szCs w:val="22"/>
        </w:rPr>
      </w:pPr>
      <w:proofErr w:type="gramStart"/>
      <w:r>
        <w:rPr>
          <w:szCs w:val="22"/>
        </w:rPr>
        <w:lastRenderedPageBreak/>
        <w:t>as</w:t>
      </w:r>
      <w:proofErr w:type="gramEnd"/>
      <w:r>
        <w:rPr>
          <w:szCs w:val="22"/>
        </w:rPr>
        <w:t xml:space="preserve"> defined by Article 43 of the Rules of application of the EU Financial Regulation </w:t>
      </w:r>
      <w:r>
        <w:rPr>
          <w:b/>
          <w:szCs w:val="22"/>
        </w:rPr>
        <w:t>and</w:t>
      </w:r>
    </w:p>
    <w:p w14:paraId="5B1B600E" w14:textId="51D2AE41" w:rsidR="009D4824" w:rsidRPr="005B238F" w:rsidRDefault="00A7570D" w:rsidP="00345D21">
      <w:pPr>
        <w:numPr>
          <w:ilvl w:val="0"/>
          <w:numId w:val="4"/>
        </w:numPr>
        <w:rPr>
          <w:szCs w:val="22"/>
        </w:rPr>
      </w:pPr>
      <w:r w:rsidRPr="0020102F">
        <w:rPr>
          <w:szCs w:val="22"/>
        </w:rPr>
        <w:t>B</w:t>
      </w:r>
      <w:r w:rsidR="00CA1328" w:rsidRPr="0020102F">
        <w:rPr>
          <w:szCs w:val="22"/>
        </w:rPr>
        <w:t>e</w:t>
      </w:r>
      <w:r w:rsidR="00A133E3">
        <w:rPr>
          <w:szCs w:val="22"/>
          <w:lang w:val="sr-Cyrl-RS"/>
        </w:rPr>
        <w:t xml:space="preserve"> </w:t>
      </w:r>
      <w:r w:rsidR="00CA1328">
        <w:rPr>
          <w:szCs w:val="22"/>
        </w:rPr>
        <w:t>established in</w:t>
      </w:r>
      <w:r w:rsidR="00CA1328">
        <w:rPr>
          <w:rStyle w:val="FootnoteReference"/>
          <w:szCs w:val="22"/>
        </w:rPr>
        <w:footnoteReference w:id="7"/>
      </w:r>
      <w:r w:rsidR="0062605F">
        <w:rPr>
          <w:szCs w:val="22"/>
        </w:rPr>
        <w:t xml:space="preserve"> a </w:t>
      </w:r>
      <w:r w:rsidR="009D4824" w:rsidRPr="005B238F">
        <w:rPr>
          <w:szCs w:val="22"/>
        </w:rPr>
        <w:t>European Union Member State</w:t>
      </w:r>
      <w:r w:rsidR="0062605F">
        <w:rPr>
          <w:szCs w:val="22"/>
        </w:rPr>
        <w:t xml:space="preserve">. This obligation does not apply to international organisations, </w:t>
      </w:r>
      <w:r w:rsidR="009D4824" w:rsidRPr="005B238F">
        <w:rPr>
          <w:b/>
          <w:szCs w:val="22"/>
        </w:rPr>
        <w:t xml:space="preserve">and </w:t>
      </w:r>
    </w:p>
    <w:p w14:paraId="4440F2D8" w14:textId="135AB806" w:rsidR="009D4824" w:rsidRPr="00B36F45" w:rsidRDefault="00B85AB5" w:rsidP="00345D21">
      <w:pPr>
        <w:numPr>
          <w:ilvl w:val="0"/>
          <w:numId w:val="4"/>
        </w:numPr>
        <w:rPr>
          <w:szCs w:val="22"/>
        </w:rPr>
      </w:pPr>
      <w:r>
        <w:rPr>
          <w:szCs w:val="22"/>
        </w:rPr>
        <w:t>B</w:t>
      </w:r>
      <w:r w:rsidR="009D4824" w:rsidRPr="005B238F">
        <w:rPr>
          <w:szCs w:val="22"/>
        </w:rPr>
        <w:t xml:space="preserve">e directly responsible for the preparation and management of the action with the co-applicant(s) and affiliated </w:t>
      </w:r>
      <w:proofErr w:type="gramStart"/>
      <w:r w:rsidR="009D4824" w:rsidRPr="005B238F">
        <w:rPr>
          <w:szCs w:val="22"/>
        </w:rPr>
        <w:t>entity(</w:t>
      </w:r>
      <w:proofErr w:type="spellStart"/>
      <w:proofErr w:type="gramEnd"/>
      <w:r w:rsidR="009D4824" w:rsidRPr="005B238F">
        <w:rPr>
          <w:szCs w:val="22"/>
        </w:rPr>
        <w:t>ies</w:t>
      </w:r>
      <w:proofErr w:type="spellEnd"/>
      <w:r w:rsidR="009D4824" w:rsidRPr="005B238F">
        <w:rPr>
          <w:szCs w:val="22"/>
        </w:rPr>
        <w:t>), if any, not acting as an intermediary</w:t>
      </w:r>
      <w:r w:rsidR="0062605F">
        <w:rPr>
          <w:szCs w:val="22"/>
        </w:rPr>
        <w:t>.</w:t>
      </w:r>
    </w:p>
    <w:p w14:paraId="0AB128AE" w14:textId="048592BB" w:rsidR="006A0AD3" w:rsidRPr="00807DAF" w:rsidRDefault="00DE6435" w:rsidP="00807DAF">
      <w:pPr>
        <w:spacing w:after="0"/>
        <w:ind w:left="425" w:hanging="425"/>
      </w:pPr>
      <w:r w:rsidRPr="00807DAF">
        <w:t>(2)</w:t>
      </w:r>
      <w:r w:rsidR="007E58A6" w:rsidRPr="00807DAF">
        <w:tab/>
      </w:r>
      <w:r w:rsidR="002F0314">
        <w:t>P</w:t>
      </w:r>
      <w:r w:rsidR="0007408E" w:rsidRPr="00807DAF">
        <w:t>otential applicant</w:t>
      </w:r>
      <w:r w:rsidR="002F0314">
        <w:t>s</w:t>
      </w:r>
      <w:r w:rsidR="00A133E3">
        <w:rPr>
          <w:lang w:val="sr-Cyrl-RS"/>
        </w:rPr>
        <w:t xml:space="preserve"> </w:t>
      </w:r>
      <w:r w:rsidR="0007408E" w:rsidRPr="00807DAF">
        <w:t xml:space="preserve">may not participate in calls for proposals or be awarded grants </w:t>
      </w:r>
      <w:r w:rsidR="00770096" w:rsidRPr="00807DAF">
        <w:t>if</w:t>
      </w:r>
      <w:r w:rsidR="004A033E">
        <w:t xml:space="preserve"> </w:t>
      </w:r>
      <w:r w:rsidR="00770096">
        <w:t>t</w:t>
      </w:r>
      <w:r w:rsidR="002F0314">
        <w:t xml:space="preserve">hey are </w:t>
      </w:r>
      <w:r w:rsidR="006A0AD3" w:rsidRPr="00807DAF">
        <w:t xml:space="preserve">in any of the situations listed in </w:t>
      </w:r>
      <w:r w:rsidR="000043F8">
        <w:t>s</w:t>
      </w:r>
      <w:r w:rsidR="006A0AD3" w:rsidRPr="00807DAF">
        <w:t>ection 2.3.3 of the Practical Guide;</w:t>
      </w:r>
    </w:p>
    <w:p w14:paraId="49725761" w14:textId="77777777" w:rsidR="00B175EE" w:rsidRPr="00807DAF" w:rsidRDefault="00B175EE" w:rsidP="00807DAF">
      <w:pPr>
        <w:spacing w:after="0"/>
        <w:ind w:left="425" w:hanging="425"/>
      </w:pPr>
    </w:p>
    <w:p w14:paraId="428EF89C" w14:textId="36BE3818" w:rsidR="00C4172B" w:rsidRPr="00807DAF" w:rsidRDefault="001F59CD" w:rsidP="004741A1">
      <w:pPr>
        <w:ind w:left="426"/>
      </w:pPr>
      <w:r w:rsidRPr="009D4824">
        <w:t>I</w:t>
      </w:r>
      <w:r w:rsidR="000312D2" w:rsidRPr="009D4824">
        <w:t>n</w:t>
      </w:r>
      <w:r w:rsidR="00A133E3">
        <w:rPr>
          <w:lang w:val="sr-Cyrl-RS"/>
        </w:rPr>
        <w:t xml:space="preserve"> </w:t>
      </w:r>
      <w:r w:rsidR="00896ECA" w:rsidRPr="009D4824">
        <w:t>Part</w:t>
      </w:r>
      <w:r w:rsidR="0024146B" w:rsidRPr="009D4824">
        <w:t xml:space="preserve"> B sectio</w:t>
      </w:r>
      <w:r w:rsidR="00B85AB5">
        <w:t xml:space="preserve">n </w:t>
      </w:r>
      <w:r w:rsidR="00B971F7" w:rsidRPr="009D4824">
        <w:t>8</w:t>
      </w:r>
      <w:r w:rsidR="000312D2" w:rsidRPr="00807DAF">
        <w:t xml:space="preserve"> of the grant application form (</w:t>
      </w:r>
      <w:r w:rsidR="00A016F9" w:rsidRPr="00807DAF">
        <w:t>‘</w:t>
      </w:r>
      <w:r w:rsidR="00AD15CE">
        <w:t>d</w:t>
      </w:r>
      <w:r w:rsidR="000312D2" w:rsidRPr="00807DAF">
        <w:t xml:space="preserve">eclaration by the </w:t>
      </w:r>
      <w:r w:rsidR="00BD53D5">
        <w:t>lead a</w:t>
      </w:r>
      <w:r w:rsidR="000312D2" w:rsidRPr="00807DAF">
        <w:t>pplicant</w:t>
      </w:r>
      <w:r w:rsidR="00A016F9" w:rsidRPr="00807DAF">
        <w:t>’</w:t>
      </w:r>
      <w:r w:rsidR="000312D2" w:rsidRPr="00807DAF">
        <w:t xml:space="preserve">), </w:t>
      </w:r>
      <w:r w:rsidR="007E58A6" w:rsidRPr="00807DAF">
        <w:t xml:space="preserve">the </w:t>
      </w:r>
      <w:r w:rsidR="00BD53D5">
        <w:t>lead a</w:t>
      </w:r>
      <w:r w:rsidR="0007408E" w:rsidRPr="00807DAF">
        <w:t xml:space="preserve">pplicant must </w:t>
      </w:r>
      <w:r w:rsidR="000312D2" w:rsidRPr="00807DAF">
        <w:t>declare</w:t>
      </w:r>
      <w:r w:rsidR="0007408E" w:rsidRPr="00807DAF">
        <w:t xml:space="preserve"> that </w:t>
      </w:r>
      <w:r w:rsidR="006A36F9" w:rsidRPr="00807DAF">
        <w:t xml:space="preserve">the </w:t>
      </w:r>
      <w:r w:rsidR="00BD53D5">
        <w:t>lead a</w:t>
      </w:r>
      <w:r w:rsidR="006A36F9" w:rsidRPr="00807DAF">
        <w:t>pplicant himself</w:t>
      </w:r>
      <w:r w:rsidR="007E58A6" w:rsidRPr="00807DAF">
        <w:t xml:space="preserve">, the co-applicant(s) and affiliated </w:t>
      </w:r>
      <w:proofErr w:type="gramStart"/>
      <w:r w:rsidR="007E58A6" w:rsidRPr="00807DAF">
        <w:t>entity(</w:t>
      </w:r>
      <w:proofErr w:type="spellStart"/>
      <w:proofErr w:type="gramEnd"/>
      <w:r w:rsidR="007E58A6" w:rsidRPr="00807DAF">
        <w:t>ies</w:t>
      </w:r>
      <w:proofErr w:type="spellEnd"/>
      <w:r w:rsidR="007E58A6" w:rsidRPr="00807DAF">
        <w:t>)</w:t>
      </w:r>
      <w:r w:rsidR="00C43D51">
        <w:t xml:space="preserve"> </w:t>
      </w:r>
      <w:r w:rsidR="00C124E7" w:rsidRPr="00807DAF">
        <w:t xml:space="preserve">are </w:t>
      </w:r>
      <w:r w:rsidR="0007408E" w:rsidRPr="00807DAF">
        <w:t>not in any of the</w:t>
      </w:r>
      <w:r w:rsidR="006A4E72" w:rsidRPr="00807DAF">
        <w:t>se</w:t>
      </w:r>
      <w:r w:rsidR="00A133E3">
        <w:rPr>
          <w:lang w:val="sr-Cyrl-RS"/>
        </w:rPr>
        <w:t xml:space="preserve"> </w:t>
      </w:r>
      <w:r w:rsidR="006A0AD3" w:rsidRPr="00807DAF">
        <w:t>situations.</w:t>
      </w:r>
    </w:p>
    <w:p w14:paraId="01E44062" w14:textId="77777777" w:rsidR="006A36F9" w:rsidRPr="00807DAF" w:rsidRDefault="006A36F9" w:rsidP="004741A1">
      <w:pPr>
        <w:ind w:left="426"/>
        <w:rPr>
          <w:snapToGrid/>
        </w:rPr>
      </w:pPr>
      <w:r w:rsidRPr="00807DAF">
        <w:t xml:space="preserve">The </w:t>
      </w:r>
      <w:r w:rsidR="00BD53D5">
        <w:t>lead a</w:t>
      </w:r>
      <w:r w:rsidRPr="00807DAF">
        <w:t xml:space="preserve">pplicant </w:t>
      </w:r>
      <w:r w:rsidRPr="009D4824">
        <w:rPr>
          <w:snapToGrid/>
        </w:rPr>
        <w:t>may act indiv</w:t>
      </w:r>
      <w:r w:rsidR="009D4824" w:rsidRPr="009D4824">
        <w:rPr>
          <w:snapToGrid/>
        </w:rPr>
        <w:t>idually or with co-applicant(s).</w:t>
      </w:r>
    </w:p>
    <w:p w14:paraId="2C869C8F" w14:textId="514CF699" w:rsidR="00296A25" w:rsidRPr="00807DAF" w:rsidRDefault="00D80885" w:rsidP="004741A1">
      <w:pPr>
        <w:ind w:left="426"/>
        <w:rPr>
          <w:snapToGrid/>
        </w:rPr>
      </w:pPr>
      <w:r w:rsidRPr="00807DAF">
        <w:rPr>
          <w:snapToGrid/>
        </w:rPr>
        <w:t xml:space="preserve">If awarded the </w:t>
      </w:r>
      <w:r w:rsidR="00176B31">
        <w:rPr>
          <w:snapToGrid/>
        </w:rPr>
        <w:t>g</w:t>
      </w:r>
      <w:r w:rsidRPr="00807DAF">
        <w:rPr>
          <w:snapToGrid/>
        </w:rPr>
        <w:t xml:space="preserve">rant contract, the </w:t>
      </w:r>
      <w:r w:rsidR="00BD53D5">
        <w:rPr>
          <w:snapToGrid/>
        </w:rPr>
        <w:t>lead a</w:t>
      </w:r>
      <w:r w:rsidRPr="00807DAF">
        <w:rPr>
          <w:snapToGrid/>
        </w:rPr>
        <w:t>pplicant will become the</w:t>
      </w:r>
      <w:r w:rsidR="004A033E">
        <w:rPr>
          <w:snapToGrid/>
        </w:rPr>
        <w:t xml:space="preserve"> </w:t>
      </w:r>
      <w:r w:rsidR="00176B31">
        <w:rPr>
          <w:snapToGrid/>
        </w:rPr>
        <w:t>b</w:t>
      </w:r>
      <w:r w:rsidRPr="00807DAF">
        <w:rPr>
          <w:snapToGrid/>
        </w:rPr>
        <w:t xml:space="preserve">eneficiary identified as the Coordinator in </w:t>
      </w:r>
      <w:r w:rsidR="002A66CB">
        <w:rPr>
          <w:snapToGrid/>
        </w:rPr>
        <w:t>A</w:t>
      </w:r>
      <w:r w:rsidRPr="00807DAF">
        <w:rPr>
          <w:snapToGrid/>
        </w:rPr>
        <w:t xml:space="preserve">nnex E3h1 (Special </w:t>
      </w:r>
      <w:r w:rsidR="006765B7" w:rsidRPr="00807DAF">
        <w:rPr>
          <w:snapToGrid/>
        </w:rPr>
        <w:t>C</w:t>
      </w:r>
      <w:r w:rsidRPr="00807DAF">
        <w:rPr>
          <w:snapToGrid/>
        </w:rPr>
        <w:t>onditions). The Coordinator is the main interlocutor of the Contracting Authority. It represents and acts on behalf of any other co-beneficiary (if any) and coordinate</w:t>
      </w:r>
      <w:r w:rsidR="00C47A59">
        <w:rPr>
          <w:snapToGrid/>
        </w:rPr>
        <w:t>s</w:t>
      </w:r>
      <w:r w:rsidRPr="00807DAF">
        <w:rPr>
          <w:snapToGrid/>
        </w:rPr>
        <w:t xml:space="preserve"> the design and implementation of the </w:t>
      </w:r>
      <w:r w:rsidR="00176B31">
        <w:rPr>
          <w:snapToGrid/>
        </w:rPr>
        <w:t>a</w:t>
      </w:r>
      <w:r w:rsidRPr="00807DAF">
        <w:rPr>
          <w:snapToGrid/>
        </w:rPr>
        <w:t>ction.</w:t>
      </w:r>
    </w:p>
    <w:p w14:paraId="4330F331" w14:textId="77777777" w:rsidR="006A36F9" w:rsidRPr="009D4824" w:rsidRDefault="006A36F9" w:rsidP="004741A1">
      <w:pPr>
        <w:ind w:left="426"/>
        <w:rPr>
          <w:b/>
          <w:snapToGrid/>
        </w:rPr>
      </w:pPr>
      <w:r w:rsidRPr="009D4824">
        <w:rPr>
          <w:b/>
          <w:snapToGrid/>
        </w:rPr>
        <w:t>Co-applicant(s)</w:t>
      </w:r>
    </w:p>
    <w:p w14:paraId="47EE7618" w14:textId="77777777" w:rsidR="00D54450" w:rsidRPr="00C55820" w:rsidRDefault="00F42DD2" w:rsidP="004741A1">
      <w:pPr>
        <w:ind w:left="426"/>
        <w:rPr>
          <w:snapToGrid/>
        </w:rPr>
      </w:pPr>
      <w:r w:rsidRPr="00593829">
        <w:rPr>
          <w:snapToGrid/>
        </w:rPr>
        <w:t xml:space="preserve">Co-applicants participate in designing and implementing the action, and the costs they incur are eligible in the same way as those incurred by the </w:t>
      </w:r>
      <w:r w:rsidR="00BD53D5">
        <w:rPr>
          <w:snapToGrid/>
        </w:rPr>
        <w:t>lead a</w:t>
      </w:r>
      <w:r w:rsidRPr="00593829">
        <w:rPr>
          <w:snapToGrid/>
        </w:rPr>
        <w:t xml:space="preserve">pplicant. </w:t>
      </w:r>
    </w:p>
    <w:p w14:paraId="223541A6" w14:textId="77777777" w:rsidR="00D54450" w:rsidRPr="00807DAF" w:rsidRDefault="006A36F9" w:rsidP="004741A1">
      <w:pPr>
        <w:ind w:left="426"/>
        <w:rPr>
          <w:snapToGrid/>
        </w:rPr>
      </w:pPr>
      <w:r w:rsidRPr="008C30AD">
        <w:rPr>
          <w:snapToGrid/>
        </w:rPr>
        <w:t xml:space="preserve">Co-applicants must satisfy the eligibility criteria as applicable </w:t>
      </w:r>
      <w:r w:rsidR="008A6F06" w:rsidRPr="00424E58">
        <w:rPr>
          <w:snapToGrid/>
        </w:rPr>
        <w:t>to</w:t>
      </w:r>
      <w:r w:rsidRPr="00424E58">
        <w:rPr>
          <w:snapToGrid/>
        </w:rPr>
        <w:t xml:space="preserve"> the </w:t>
      </w:r>
      <w:r w:rsidR="00BD53D5">
        <w:rPr>
          <w:snapToGrid/>
        </w:rPr>
        <w:t>lead a</w:t>
      </w:r>
      <w:r w:rsidRPr="00424E58">
        <w:rPr>
          <w:snapToGrid/>
        </w:rPr>
        <w:t>pplicant himself.</w:t>
      </w:r>
    </w:p>
    <w:p w14:paraId="7024495B" w14:textId="77777777" w:rsidR="00D80885" w:rsidRPr="00593829" w:rsidRDefault="00D80885" w:rsidP="004741A1">
      <w:pPr>
        <w:ind w:left="426"/>
        <w:rPr>
          <w:snapToGrid/>
        </w:rPr>
      </w:pPr>
      <w:r w:rsidRPr="00593829">
        <w:rPr>
          <w:snapToGrid/>
        </w:rPr>
        <w:t xml:space="preserve">Co-applicants must sign the </w:t>
      </w:r>
      <w:r w:rsidR="00176B31">
        <w:rPr>
          <w:snapToGrid/>
        </w:rPr>
        <w:t>m</w:t>
      </w:r>
      <w:r w:rsidRPr="00593829">
        <w:rPr>
          <w:snapToGrid/>
        </w:rPr>
        <w:t>andate in Part B section 4 of the grant application form.</w:t>
      </w:r>
    </w:p>
    <w:p w14:paraId="3B1F0FE9" w14:textId="3A7AC64A" w:rsidR="007E58A6" w:rsidRPr="009D4824" w:rsidRDefault="00914462" w:rsidP="004741A1">
      <w:pPr>
        <w:ind w:left="426"/>
        <w:rPr>
          <w:snapToGrid/>
        </w:rPr>
      </w:pPr>
      <w:r w:rsidRPr="009D4824">
        <w:rPr>
          <w:snapToGrid/>
        </w:rPr>
        <w:t xml:space="preserve">If awarded the </w:t>
      </w:r>
      <w:r w:rsidR="00176B31" w:rsidRPr="009D4824">
        <w:rPr>
          <w:snapToGrid/>
        </w:rPr>
        <w:t>g</w:t>
      </w:r>
      <w:r w:rsidRPr="009D4824">
        <w:rPr>
          <w:snapToGrid/>
        </w:rPr>
        <w:t xml:space="preserve">rant contract, </w:t>
      </w:r>
      <w:r w:rsidR="00A07623" w:rsidRPr="009D4824">
        <w:rPr>
          <w:snapToGrid/>
        </w:rPr>
        <w:t xml:space="preserve">the </w:t>
      </w:r>
      <w:r w:rsidR="00C4172B" w:rsidRPr="009D4824">
        <w:rPr>
          <w:snapToGrid/>
        </w:rPr>
        <w:t>co-applicant</w:t>
      </w:r>
      <w:r w:rsidR="00D35017" w:rsidRPr="009D4824">
        <w:rPr>
          <w:snapToGrid/>
        </w:rPr>
        <w:t>(</w:t>
      </w:r>
      <w:r w:rsidR="00C4172B" w:rsidRPr="009D4824">
        <w:rPr>
          <w:snapToGrid/>
        </w:rPr>
        <w:t>s</w:t>
      </w:r>
      <w:r w:rsidR="00D35017" w:rsidRPr="009D4824">
        <w:rPr>
          <w:snapToGrid/>
        </w:rPr>
        <w:t>)</w:t>
      </w:r>
      <w:r w:rsidR="00C43D51">
        <w:rPr>
          <w:snapToGrid/>
        </w:rPr>
        <w:t xml:space="preserve"> </w:t>
      </w:r>
      <w:r w:rsidR="00D80885" w:rsidRPr="009D4824">
        <w:rPr>
          <w:snapToGrid/>
        </w:rPr>
        <w:t xml:space="preserve">(if any) </w:t>
      </w:r>
      <w:r w:rsidR="00C4172B" w:rsidRPr="009D4824">
        <w:rPr>
          <w:snapToGrid/>
        </w:rPr>
        <w:t xml:space="preserve">will become </w:t>
      </w:r>
      <w:proofErr w:type="gramStart"/>
      <w:r w:rsidR="00D80885" w:rsidRPr="009D4824">
        <w:rPr>
          <w:snapToGrid/>
        </w:rPr>
        <w:t>b</w:t>
      </w:r>
      <w:r w:rsidR="00C4172B" w:rsidRPr="009D4824">
        <w:rPr>
          <w:snapToGrid/>
        </w:rPr>
        <w:t>eneficiar</w:t>
      </w:r>
      <w:r w:rsidR="002A66CB" w:rsidRPr="009D4824">
        <w:rPr>
          <w:snapToGrid/>
        </w:rPr>
        <w:t>y(</w:t>
      </w:r>
      <w:proofErr w:type="spellStart"/>
      <w:proofErr w:type="gramEnd"/>
      <w:r w:rsidR="00C4172B" w:rsidRPr="009D4824">
        <w:rPr>
          <w:snapToGrid/>
        </w:rPr>
        <w:t>ies</w:t>
      </w:r>
      <w:proofErr w:type="spellEnd"/>
      <w:r w:rsidR="002A66CB" w:rsidRPr="009D4824">
        <w:rPr>
          <w:snapToGrid/>
        </w:rPr>
        <w:t>)</w:t>
      </w:r>
      <w:r w:rsidR="00C4172B" w:rsidRPr="009D4824">
        <w:rPr>
          <w:snapToGrid/>
        </w:rPr>
        <w:t xml:space="preserve"> in the </w:t>
      </w:r>
      <w:r w:rsidR="00176B31" w:rsidRPr="009D4824">
        <w:rPr>
          <w:snapToGrid/>
        </w:rPr>
        <w:t>a</w:t>
      </w:r>
      <w:r w:rsidR="00C4172B" w:rsidRPr="009D4824">
        <w:rPr>
          <w:snapToGrid/>
        </w:rPr>
        <w:t>ction</w:t>
      </w:r>
      <w:r w:rsidR="00D35017" w:rsidRPr="009D4824">
        <w:rPr>
          <w:snapToGrid/>
        </w:rPr>
        <w:t xml:space="preserve"> (together with the Coordinator)</w:t>
      </w:r>
      <w:r w:rsidR="009D4824">
        <w:rPr>
          <w:snapToGrid/>
        </w:rPr>
        <w:t>.</w:t>
      </w:r>
    </w:p>
    <w:p w14:paraId="31B22E32" w14:textId="77777777" w:rsidR="00914462" w:rsidRPr="00807DAF" w:rsidRDefault="00914462" w:rsidP="004B7BC2">
      <w:pPr>
        <w:pStyle w:val="Guidelines3"/>
      </w:pPr>
      <w:bookmarkStart w:id="8" w:name="_Toc502218264"/>
      <w:r w:rsidRPr="00807DAF">
        <w:t>Affiliated entities</w:t>
      </w:r>
      <w:bookmarkEnd w:id="8"/>
    </w:p>
    <w:p w14:paraId="1BA2F1C2" w14:textId="77777777" w:rsidR="00914462" w:rsidRPr="009D4824" w:rsidRDefault="00914462" w:rsidP="00D570FA">
      <w:pPr>
        <w:spacing w:before="240"/>
        <w:rPr>
          <w:snapToGrid/>
        </w:rPr>
      </w:pPr>
      <w:r w:rsidRPr="009D4824">
        <w:rPr>
          <w:snapToGrid/>
        </w:rPr>
        <w:t xml:space="preserve">Affiliated </w:t>
      </w:r>
      <w:proofErr w:type="gramStart"/>
      <w:r w:rsidRPr="009D4824">
        <w:rPr>
          <w:snapToGrid/>
        </w:rPr>
        <w:t>entity(</w:t>
      </w:r>
      <w:proofErr w:type="spellStart"/>
      <w:proofErr w:type="gramEnd"/>
      <w:r w:rsidRPr="009D4824">
        <w:rPr>
          <w:snapToGrid/>
        </w:rPr>
        <w:t>ies</w:t>
      </w:r>
      <w:proofErr w:type="spellEnd"/>
      <w:r w:rsidRPr="009D4824">
        <w:rPr>
          <w:snapToGrid/>
        </w:rPr>
        <w:t>)</w:t>
      </w:r>
    </w:p>
    <w:p w14:paraId="55215ECA" w14:textId="77777777" w:rsidR="00A07623" w:rsidRPr="009D4824" w:rsidRDefault="00A07623" w:rsidP="006B6048">
      <w:pPr>
        <w:rPr>
          <w:snapToGrid/>
        </w:rPr>
      </w:pPr>
      <w:r w:rsidRPr="009D4824">
        <w:rPr>
          <w:snapToGrid/>
        </w:rPr>
        <w:t xml:space="preserve">The </w:t>
      </w:r>
      <w:r w:rsidR="00BD53D5" w:rsidRPr="009D4824">
        <w:rPr>
          <w:snapToGrid/>
        </w:rPr>
        <w:t>lead a</w:t>
      </w:r>
      <w:r w:rsidRPr="009D4824">
        <w:rPr>
          <w:snapToGrid/>
        </w:rPr>
        <w:t xml:space="preserve">pplicant and its co-applicant(s) may act with affiliated </w:t>
      </w:r>
      <w:proofErr w:type="gramStart"/>
      <w:r w:rsidRPr="009D4824">
        <w:rPr>
          <w:snapToGrid/>
        </w:rPr>
        <w:t>entity(</w:t>
      </w:r>
      <w:proofErr w:type="spellStart"/>
      <w:proofErr w:type="gramEnd"/>
      <w:r w:rsidRPr="009D4824">
        <w:rPr>
          <w:snapToGrid/>
        </w:rPr>
        <w:t>ies</w:t>
      </w:r>
      <w:proofErr w:type="spellEnd"/>
      <w:r w:rsidRPr="009D4824">
        <w:rPr>
          <w:snapToGrid/>
        </w:rPr>
        <w:t>)</w:t>
      </w:r>
      <w:r w:rsidR="00176B31" w:rsidRPr="009D4824">
        <w:rPr>
          <w:snapToGrid/>
        </w:rPr>
        <w:t>.</w:t>
      </w:r>
    </w:p>
    <w:p w14:paraId="7C3E57E0" w14:textId="77777777" w:rsidR="00914462" w:rsidRPr="00593829" w:rsidRDefault="003477DE" w:rsidP="006B6048">
      <w:r w:rsidRPr="00593829">
        <w:rPr>
          <w:b/>
        </w:rPr>
        <w:t xml:space="preserve">Only the </w:t>
      </w:r>
      <w:r w:rsidR="00914462" w:rsidRPr="00593829">
        <w:rPr>
          <w:b/>
        </w:rPr>
        <w:t xml:space="preserve">following entities may be considered as affiliated entities to the </w:t>
      </w:r>
      <w:r w:rsidR="00BD53D5">
        <w:rPr>
          <w:b/>
        </w:rPr>
        <w:t>lead a</w:t>
      </w:r>
      <w:r w:rsidR="00914462" w:rsidRPr="00593829">
        <w:rPr>
          <w:b/>
        </w:rPr>
        <w:t xml:space="preserve">pplicant </w:t>
      </w:r>
      <w:r w:rsidR="00E86372" w:rsidRPr="00593829">
        <w:rPr>
          <w:b/>
        </w:rPr>
        <w:t>and/</w:t>
      </w:r>
      <w:r w:rsidR="00914462" w:rsidRPr="00593829">
        <w:rPr>
          <w:b/>
        </w:rPr>
        <w:t>or to co-applicant(s):</w:t>
      </w:r>
    </w:p>
    <w:p w14:paraId="7EBE2D2C" w14:textId="77777777" w:rsidR="005E7A18" w:rsidRPr="00593829" w:rsidRDefault="003576D6" w:rsidP="005E7A18">
      <w:pPr>
        <w:keepNext/>
        <w:spacing w:after="120" w:line="276" w:lineRule="auto"/>
      </w:pPr>
      <w:proofErr w:type="gramStart"/>
      <w:r>
        <w:lastRenderedPageBreak/>
        <w:t>E</w:t>
      </w:r>
      <w:r w:rsidR="005E7A18" w:rsidRPr="00593829">
        <w:t>ntities having a structural link with the applicants</w:t>
      </w:r>
      <w:r w:rsidR="000043F8">
        <w:t xml:space="preserve"> (</w:t>
      </w:r>
      <w:r w:rsidR="00F72E51">
        <w:t xml:space="preserve">i.e. </w:t>
      </w:r>
      <w:r w:rsidR="000043F8">
        <w:t xml:space="preserve">the </w:t>
      </w:r>
      <w:r w:rsidR="00BD53D5">
        <w:t>lead a</w:t>
      </w:r>
      <w:r w:rsidR="000043F8">
        <w:t>pplicant or a co-applicant)</w:t>
      </w:r>
      <w:r w:rsidR="005E7A18" w:rsidRPr="00593829">
        <w:t>, in particular a legal or capital link.</w:t>
      </w:r>
      <w:proofErr w:type="gramEnd"/>
    </w:p>
    <w:p w14:paraId="60D7FA7A" w14:textId="77777777" w:rsidR="005E7A18" w:rsidRPr="00593829" w:rsidRDefault="005E7A18" w:rsidP="005E7A18">
      <w:pPr>
        <w:spacing w:line="276" w:lineRule="auto"/>
      </w:pPr>
      <w:r w:rsidRPr="00593829">
        <w:t>This structural link encompasses mainly two notions:</w:t>
      </w:r>
    </w:p>
    <w:p w14:paraId="58B10026" w14:textId="77777777" w:rsidR="005E7A18" w:rsidRPr="00593829" w:rsidRDefault="005E7A18" w:rsidP="005E7A18">
      <w:pPr>
        <w:spacing w:line="276" w:lineRule="auto"/>
        <w:ind w:left="720" w:hanging="567"/>
      </w:pPr>
      <w:r w:rsidRPr="00593829">
        <w:t>(</w:t>
      </w:r>
      <w:proofErr w:type="spellStart"/>
      <w:r w:rsidRPr="00593829">
        <w:t>i</w:t>
      </w:r>
      <w:proofErr w:type="spellEnd"/>
      <w:r w:rsidRPr="00593829">
        <w:t xml:space="preserve">) </w:t>
      </w:r>
      <w:r w:rsidRPr="00593829">
        <w:tab/>
        <w:t>Control, as defined in Directive 2013/34/EU on the annual financial statements, consolidated financial statements and related reports of certain types of undertakings:</w:t>
      </w:r>
    </w:p>
    <w:p w14:paraId="195F85E0" w14:textId="0A6BA1DE" w:rsidR="005E7A18" w:rsidRPr="00593829" w:rsidRDefault="005E7A18" w:rsidP="00951BF6">
      <w:pPr>
        <w:spacing w:after="120" w:line="276" w:lineRule="auto"/>
        <w:ind w:left="709"/>
      </w:pPr>
      <w:r w:rsidRPr="00593829">
        <w:t xml:space="preserve">Entities affiliated to </w:t>
      </w:r>
      <w:r w:rsidR="000043F8">
        <w:t xml:space="preserve">an applicant </w:t>
      </w:r>
      <w:r w:rsidRPr="00593829">
        <w:t xml:space="preserve">may </w:t>
      </w:r>
      <w:r w:rsidR="00C47A59">
        <w:t>therefore</w:t>
      </w:r>
      <w:r w:rsidRPr="00593829">
        <w:t xml:space="preserve"> be:</w:t>
      </w:r>
    </w:p>
    <w:p w14:paraId="009FB493" w14:textId="77777777" w:rsidR="005E7A18" w:rsidRPr="00593829" w:rsidRDefault="005E7A18" w:rsidP="00345D21">
      <w:pPr>
        <w:numPr>
          <w:ilvl w:val="0"/>
          <w:numId w:val="20"/>
        </w:numPr>
        <w:spacing w:after="0" w:line="276" w:lineRule="auto"/>
        <w:ind w:left="1276" w:hanging="283"/>
      </w:pPr>
      <w:r w:rsidRPr="00593829">
        <w:t xml:space="preserve">Entities directly or indirectly controlled by </w:t>
      </w:r>
      <w:r w:rsidR="00AF62CA">
        <w:t>the</w:t>
      </w:r>
      <w:r w:rsidR="000043F8">
        <w:t xml:space="preserve"> applicant </w:t>
      </w:r>
      <w:r w:rsidRPr="00593829">
        <w:t xml:space="preserve">(daughter companies or first-tier subsidiaries). They may also be entities controlled by an entity controlled by </w:t>
      </w:r>
      <w:r w:rsidR="00AF62CA">
        <w:t>the</w:t>
      </w:r>
      <w:r w:rsidR="000043F8">
        <w:t xml:space="preserve"> applicant </w:t>
      </w:r>
      <w:r w:rsidRPr="00593829">
        <w:t>(granddaughter companies or second-tier subsidiaries) and the same applies to further tiers of control;</w:t>
      </w:r>
    </w:p>
    <w:p w14:paraId="09DF28D9" w14:textId="7C2D3654" w:rsidR="005E7A18" w:rsidRPr="00593829" w:rsidRDefault="005E7A18" w:rsidP="00345D21">
      <w:pPr>
        <w:numPr>
          <w:ilvl w:val="0"/>
          <w:numId w:val="20"/>
        </w:numPr>
        <w:spacing w:after="0" w:line="276" w:lineRule="auto"/>
        <w:ind w:left="1276" w:hanging="283"/>
      </w:pPr>
      <w:r w:rsidRPr="00593829">
        <w:t xml:space="preserve">Entities directly or indirectly controlling the </w:t>
      </w:r>
      <w:r w:rsidR="00156DE6">
        <w:t>applicant</w:t>
      </w:r>
      <w:r w:rsidR="004A033E">
        <w:t xml:space="preserve"> </w:t>
      </w:r>
      <w:r w:rsidRPr="00593829">
        <w:t xml:space="preserve">(parent companies). Likewise, they may be entities controlling an entity controlling the </w:t>
      </w:r>
      <w:r w:rsidR="000043F8">
        <w:t>applicant</w:t>
      </w:r>
      <w:r w:rsidRPr="00593829">
        <w:t>;</w:t>
      </w:r>
    </w:p>
    <w:p w14:paraId="512EBE36" w14:textId="77777777" w:rsidR="005E7A18" w:rsidRDefault="005E7A18" w:rsidP="00345D21">
      <w:pPr>
        <w:numPr>
          <w:ilvl w:val="0"/>
          <w:numId w:val="20"/>
        </w:numPr>
        <w:spacing w:after="0" w:line="276" w:lineRule="auto"/>
        <w:ind w:left="1276" w:hanging="283"/>
      </w:pPr>
      <w:r w:rsidRPr="00593829">
        <w:t xml:space="preserve">Entities under the same direct or indirect control as the </w:t>
      </w:r>
      <w:r w:rsidR="000043F8">
        <w:t xml:space="preserve">applicant </w:t>
      </w:r>
      <w:r w:rsidRPr="00593829">
        <w:t>(sister companies).</w:t>
      </w:r>
    </w:p>
    <w:p w14:paraId="0943F77F" w14:textId="77777777" w:rsidR="0062605F" w:rsidRPr="00593829" w:rsidRDefault="0062605F" w:rsidP="0062605F">
      <w:pPr>
        <w:spacing w:after="0" w:line="276" w:lineRule="auto"/>
        <w:ind w:left="1276"/>
      </w:pPr>
    </w:p>
    <w:p w14:paraId="0F7A8514" w14:textId="77777777" w:rsidR="005E7A18" w:rsidRPr="00593829" w:rsidRDefault="005E7A18" w:rsidP="005E7A18">
      <w:pPr>
        <w:spacing w:after="0" w:line="276" w:lineRule="auto"/>
        <w:ind w:left="720" w:hanging="578"/>
      </w:pPr>
      <w:r w:rsidRPr="00593829">
        <w:t xml:space="preserve">(ii) </w:t>
      </w:r>
      <w:r w:rsidRPr="00593829">
        <w:tab/>
        <w:t xml:space="preserve">Membership, i.e. the </w:t>
      </w:r>
      <w:r w:rsidR="000043F8">
        <w:t xml:space="preserve">applicant </w:t>
      </w:r>
      <w:r w:rsidRPr="00593829">
        <w:t xml:space="preserve">is legally defined as a e.g. network, federation, association in which the proposed affiliated entities also participate or the </w:t>
      </w:r>
      <w:r w:rsidR="000043F8">
        <w:t xml:space="preserve">applicant </w:t>
      </w:r>
      <w:r w:rsidRPr="00593829">
        <w:t>participates in the same entity (e.g. network, federation, association) as the proposed affiliated entities.</w:t>
      </w:r>
    </w:p>
    <w:p w14:paraId="6A4FFDBF" w14:textId="77777777" w:rsidR="005E7A18" w:rsidRPr="00593829" w:rsidRDefault="005E7A18" w:rsidP="005E7A18">
      <w:pPr>
        <w:spacing w:after="0" w:line="276" w:lineRule="auto"/>
      </w:pPr>
    </w:p>
    <w:p w14:paraId="19C66C0B" w14:textId="5E2D8395" w:rsidR="005E7A18" w:rsidRPr="00593829" w:rsidRDefault="005E7A18" w:rsidP="005E7A18">
      <w:pPr>
        <w:spacing w:after="0" w:line="276" w:lineRule="auto"/>
      </w:pPr>
      <w:r w:rsidRPr="00593829">
        <w:t xml:space="preserve">The structural link shall as a general rule be </w:t>
      </w:r>
      <w:proofErr w:type="gramStart"/>
      <w:r w:rsidRPr="00593829">
        <w:t>neither limited to the action or</w:t>
      </w:r>
      <w:proofErr w:type="gramEnd"/>
      <w:r w:rsidRPr="00593829">
        <w:t xml:space="preserve"> established for the sole purpose of its implementation. This means that the link would exist independently of the award of the grant; it should exist before the call for proposals and remain valid after the end of the action.</w:t>
      </w:r>
    </w:p>
    <w:p w14:paraId="6C2BABCC" w14:textId="77777777" w:rsidR="005E7A18" w:rsidRPr="00593829" w:rsidRDefault="005E7A18" w:rsidP="005E7A18">
      <w:pPr>
        <w:spacing w:after="0" w:line="276" w:lineRule="auto"/>
        <w:ind w:left="720"/>
      </w:pPr>
    </w:p>
    <w:p w14:paraId="626AAE17" w14:textId="77777777" w:rsidR="005E7A18" w:rsidRPr="00593829" w:rsidRDefault="005E7A18" w:rsidP="005E7A18">
      <w:pPr>
        <w:spacing w:line="276" w:lineRule="auto"/>
      </w:pPr>
      <w:r w:rsidRPr="00593829">
        <w:t xml:space="preserve">By way of exception, an entity may be considered as affiliated to </w:t>
      </w:r>
      <w:r w:rsidR="000043F8">
        <w:t xml:space="preserve">an applicant </w:t>
      </w:r>
      <w:r w:rsidRPr="00593829">
        <w:t>even if it has a structural link specifically established for the sole purpose of the implementation of the action in the case of so-called “sole applicants” or “sole beneficiaries”.  A sole applicant or a sole beneficiary is a</w:t>
      </w:r>
      <w:r w:rsidR="002A66CB">
        <w:t xml:space="preserve"> legal</w:t>
      </w:r>
      <w:r w:rsidRPr="00593829">
        <w:t xml:space="preserve"> entity formed by several entities (a group of entities) which together comply with the criteria for being awarded the grant</w:t>
      </w:r>
      <w:r w:rsidR="00FF5991" w:rsidRPr="00593829">
        <w:t>. For example, an association is formed by its members.</w:t>
      </w:r>
    </w:p>
    <w:p w14:paraId="31A5814C" w14:textId="77777777" w:rsidR="005E7A18" w:rsidRPr="00593829" w:rsidRDefault="005E7A18" w:rsidP="005E7A18">
      <w:pPr>
        <w:pStyle w:val="Heading5"/>
        <w:spacing w:line="276" w:lineRule="auto"/>
        <w:rPr>
          <w:rFonts w:ascii="Times New Roman" w:hAnsi="Times New Roman"/>
          <w:szCs w:val="22"/>
          <w:u w:val="single"/>
        </w:rPr>
      </w:pPr>
      <w:r w:rsidRPr="00593829">
        <w:rPr>
          <w:rFonts w:ascii="Times New Roman" w:hAnsi="Times New Roman"/>
          <w:szCs w:val="22"/>
          <w:u w:val="single"/>
        </w:rPr>
        <w:t xml:space="preserve">What is not an affiliated entity? </w:t>
      </w:r>
    </w:p>
    <w:p w14:paraId="355E0B64" w14:textId="77777777" w:rsidR="005E7A18" w:rsidRPr="00593829" w:rsidRDefault="005E7A18" w:rsidP="005E7A18">
      <w:pPr>
        <w:spacing w:after="0"/>
      </w:pPr>
    </w:p>
    <w:p w14:paraId="73E7B971" w14:textId="77777777" w:rsidR="005E7A18" w:rsidRPr="00593829" w:rsidRDefault="005E7A18" w:rsidP="005E7A18">
      <w:pPr>
        <w:spacing w:after="0"/>
      </w:pPr>
      <w:r w:rsidRPr="00593829">
        <w:t xml:space="preserve">The following are not </w:t>
      </w:r>
      <w:r w:rsidR="006765B7" w:rsidRPr="00593829">
        <w:t xml:space="preserve">considered </w:t>
      </w:r>
      <w:r w:rsidRPr="00593829">
        <w:t>entities affiliated to a</w:t>
      </w:r>
      <w:r w:rsidR="000043F8">
        <w:t>n applicant</w:t>
      </w:r>
      <w:r w:rsidRPr="00593829">
        <w:t>:</w:t>
      </w:r>
    </w:p>
    <w:p w14:paraId="1BC21425" w14:textId="77777777" w:rsidR="005E7A18" w:rsidRPr="00593829" w:rsidRDefault="005E7A18" w:rsidP="005E7A18">
      <w:pPr>
        <w:spacing w:after="0" w:line="276" w:lineRule="auto"/>
        <w:rPr>
          <w:szCs w:val="22"/>
        </w:rPr>
      </w:pPr>
    </w:p>
    <w:p w14:paraId="7F8B9F16" w14:textId="77777777" w:rsidR="005E7A18" w:rsidRPr="00593829" w:rsidRDefault="005E7A18" w:rsidP="00345D21">
      <w:pPr>
        <w:numPr>
          <w:ilvl w:val="0"/>
          <w:numId w:val="21"/>
        </w:numPr>
        <w:spacing w:after="0" w:line="276" w:lineRule="auto"/>
      </w:pPr>
      <w:r w:rsidRPr="00593829">
        <w:t xml:space="preserve">Entities that have entered into a (procurement) contract or subcontract with </w:t>
      </w:r>
      <w:r w:rsidR="000043F8">
        <w:t>an applicant</w:t>
      </w:r>
      <w:r w:rsidRPr="00593829">
        <w:t xml:space="preserve">, act as concessionaires or </w:t>
      </w:r>
      <w:r w:rsidR="00DD329E" w:rsidRPr="00593829">
        <w:t>delegates</w:t>
      </w:r>
      <w:r w:rsidRPr="00593829">
        <w:t xml:space="preserve"> for public services for a</w:t>
      </w:r>
      <w:r w:rsidR="000043F8">
        <w:t>n applicant</w:t>
      </w:r>
      <w:r w:rsidR="00B85AB5">
        <w:t>;</w:t>
      </w:r>
    </w:p>
    <w:p w14:paraId="2A63126B" w14:textId="77777777" w:rsidR="005E7A18" w:rsidRPr="00593829" w:rsidRDefault="005E7A18" w:rsidP="00345D21">
      <w:pPr>
        <w:numPr>
          <w:ilvl w:val="0"/>
          <w:numId w:val="21"/>
        </w:numPr>
        <w:spacing w:after="0" w:line="276" w:lineRule="auto"/>
      </w:pPr>
      <w:r w:rsidRPr="00593829">
        <w:t xml:space="preserve">Entities that receive financial support from the </w:t>
      </w:r>
      <w:r w:rsidR="000043F8">
        <w:t>applicant</w:t>
      </w:r>
      <w:r w:rsidR="00B85AB5">
        <w:t>;</w:t>
      </w:r>
    </w:p>
    <w:p w14:paraId="35C65D6D" w14:textId="77777777" w:rsidR="005E7A18" w:rsidRPr="00593829" w:rsidRDefault="005E7A18" w:rsidP="00345D21">
      <w:pPr>
        <w:numPr>
          <w:ilvl w:val="0"/>
          <w:numId w:val="21"/>
        </w:numPr>
        <w:spacing w:after="0" w:line="276" w:lineRule="auto"/>
      </w:pPr>
      <w:r w:rsidRPr="00593829">
        <w:t xml:space="preserve">Entities that cooperate on a regular basis with </w:t>
      </w:r>
      <w:r w:rsidR="00F72E51">
        <w:t>an applicant</w:t>
      </w:r>
      <w:r w:rsidRPr="00593829">
        <w:t xml:space="preserve"> on the basis of a memorandum of understanding or share some assets</w:t>
      </w:r>
      <w:r w:rsidR="00B85AB5">
        <w:t>;</w:t>
      </w:r>
    </w:p>
    <w:p w14:paraId="15FAEE2D" w14:textId="77777777" w:rsidR="005E7A18" w:rsidRPr="00593829" w:rsidRDefault="005E7A18" w:rsidP="00345D21">
      <w:pPr>
        <w:numPr>
          <w:ilvl w:val="0"/>
          <w:numId w:val="21"/>
        </w:numPr>
        <w:spacing w:after="0" w:line="276" w:lineRule="auto"/>
      </w:pPr>
      <w:r w:rsidRPr="00593829">
        <w:t>Entities that have signed a consortium agreement under the grant contract</w:t>
      </w:r>
      <w:r w:rsidR="002A66CB">
        <w:t xml:space="preserve"> (unless this consortium agreement leads to the creation of a "sole applicant" as described above)</w:t>
      </w:r>
      <w:r w:rsidRPr="00593829">
        <w:t>.</w:t>
      </w:r>
    </w:p>
    <w:p w14:paraId="568FE413" w14:textId="54168C7F" w:rsidR="00A133E3" w:rsidRDefault="00A133E3">
      <w:pPr>
        <w:spacing w:after="0"/>
        <w:jc w:val="left"/>
      </w:pPr>
      <w:r>
        <w:br w:type="page"/>
      </w:r>
    </w:p>
    <w:p w14:paraId="0018CF83" w14:textId="77777777" w:rsidR="005E7A18" w:rsidRPr="00593829" w:rsidRDefault="005E7A18" w:rsidP="005E7A18">
      <w:pPr>
        <w:spacing w:after="0" w:line="276" w:lineRule="auto"/>
      </w:pPr>
    </w:p>
    <w:p w14:paraId="692DA1CA" w14:textId="77777777" w:rsidR="005E7A18" w:rsidRPr="00593829" w:rsidRDefault="005E7A18" w:rsidP="005E7A18">
      <w:pPr>
        <w:spacing w:after="0" w:line="276" w:lineRule="auto"/>
        <w:rPr>
          <w:u w:val="single"/>
        </w:rPr>
      </w:pPr>
      <w:r w:rsidRPr="00593829">
        <w:rPr>
          <w:u w:val="single"/>
        </w:rPr>
        <w:t xml:space="preserve">How to verify the existence of the required link with </w:t>
      </w:r>
      <w:r w:rsidR="000043F8">
        <w:rPr>
          <w:u w:val="single"/>
        </w:rPr>
        <w:t>an applicant</w:t>
      </w:r>
      <w:r w:rsidRPr="00593829">
        <w:rPr>
          <w:u w:val="single"/>
        </w:rPr>
        <w:t>?</w:t>
      </w:r>
    </w:p>
    <w:p w14:paraId="16A4AA03" w14:textId="77777777" w:rsidR="005E7A18" w:rsidRPr="00593829" w:rsidRDefault="005E7A18" w:rsidP="005E7A18">
      <w:pPr>
        <w:spacing w:after="0"/>
      </w:pPr>
    </w:p>
    <w:p w14:paraId="461AF095" w14:textId="77777777" w:rsidR="005E7A18" w:rsidRPr="00593829" w:rsidRDefault="005E7A18" w:rsidP="005E7A18">
      <w:pPr>
        <w:spacing w:after="0" w:line="276" w:lineRule="auto"/>
        <w:ind w:left="8"/>
      </w:pPr>
      <w:r w:rsidRPr="00593829">
        <w:t xml:space="preserve">The affiliation resulting from control may </w:t>
      </w:r>
      <w:r w:rsidR="00805526" w:rsidRPr="00593829">
        <w:t xml:space="preserve">in particular </w:t>
      </w:r>
      <w:r w:rsidRPr="00593829">
        <w:t xml:space="preserve">be proved on the basis of the consolidated accounts of the group of entities the </w:t>
      </w:r>
      <w:r w:rsidR="000043F8">
        <w:t xml:space="preserve">applicant </w:t>
      </w:r>
      <w:r w:rsidRPr="00593829">
        <w:t>and its proposed affiliates belong to.</w:t>
      </w:r>
    </w:p>
    <w:p w14:paraId="128C6683" w14:textId="77777777" w:rsidR="005E7A18" w:rsidRPr="00593829" w:rsidRDefault="005E7A18" w:rsidP="005E7A18">
      <w:pPr>
        <w:spacing w:after="0" w:line="276" w:lineRule="auto"/>
      </w:pPr>
    </w:p>
    <w:p w14:paraId="2F457606" w14:textId="77777777" w:rsidR="00CA43C9" w:rsidRDefault="005E7A18" w:rsidP="00CA43C9">
      <w:pPr>
        <w:spacing w:after="0" w:line="276" w:lineRule="auto"/>
      </w:pPr>
      <w:r w:rsidRPr="00593829">
        <w:t xml:space="preserve">The affiliation resulting from membership may </w:t>
      </w:r>
      <w:r w:rsidR="00805526" w:rsidRPr="00593829">
        <w:t xml:space="preserve">in particular </w:t>
      </w:r>
      <w:r w:rsidRPr="00593829">
        <w:t xml:space="preserve">be proved on the basis of the statutes or equivalent act establishing the entity (network, federation, association) which the </w:t>
      </w:r>
      <w:r w:rsidR="000043F8">
        <w:t xml:space="preserve">applicant </w:t>
      </w:r>
      <w:r w:rsidRPr="00593829">
        <w:t xml:space="preserve">constitutes or in which the </w:t>
      </w:r>
      <w:r w:rsidR="000043F8">
        <w:t xml:space="preserve">applicant </w:t>
      </w:r>
      <w:r w:rsidRPr="00593829">
        <w:t>participates.</w:t>
      </w:r>
    </w:p>
    <w:p w14:paraId="16CD9422" w14:textId="77777777" w:rsidR="00CA43C9" w:rsidRDefault="00CA43C9" w:rsidP="00CA43C9">
      <w:pPr>
        <w:spacing w:after="0" w:line="276" w:lineRule="auto"/>
      </w:pPr>
    </w:p>
    <w:p w14:paraId="67B8888F" w14:textId="77777777" w:rsidR="00F012FD" w:rsidRDefault="007261B1" w:rsidP="00CA43C9">
      <w:pPr>
        <w:spacing w:after="0" w:line="276" w:lineRule="auto"/>
      </w:pPr>
      <w:r w:rsidRPr="00593829">
        <w:t xml:space="preserve">If the applicants are awarded a </w:t>
      </w:r>
      <w:r w:rsidR="002A66CB">
        <w:t xml:space="preserve">grant </w:t>
      </w:r>
      <w:r w:rsidRPr="00593829">
        <w:t xml:space="preserve">contract, their affiliated </w:t>
      </w:r>
      <w:proofErr w:type="gramStart"/>
      <w:r w:rsidRPr="00593829">
        <w:t>entity(</w:t>
      </w:r>
      <w:proofErr w:type="spellStart"/>
      <w:proofErr w:type="gramEnd"/>
      <w:r w:rsidRPr="00593829">
        <w:t>ies</w:t>
      </w:r>
      <w:proofErr w:type="spellEnd"/>
      <w:r w:rsidRPr="00593829">
        <w:t xml:space="preserve">) will not become </w:t>
      </w:r>
      <w:r w:rsidR="00176B31">
        <w:t>b</w:t>
      </w:r>
      <w:r w:rsidRPr="00593829">
        <w:t>eneficiary(</w:t>
      </w:r>
      <w:proofErr w:type="spellStart"/>
      <w:r w:rsidRPr="00593829">
        <w:t>ies</w:t>
      </w:r>
      <w:proofErr w:type="spellEnd"/>
      <w:r w:rsidRPr="00593829">
        <w:t xml:space="preserve">) of the </w:t>
      </w:r>
      <w:r w:rsidR="00176B31">
        <w:t>a</w:t>
      </w:r>
      <w:r w:rsidRPr="00593829">
        <w:t>ction and signatory(</w:t>
      </w:r>
      <w:proofErr w:type="spellStart"/>
      <w:r w:rsidRPr="00593829">
        <w:t>ies</w:t>
      </w:r>
      <w:proofErr w:type="spellEnd"/>
      <w:r w:rsidRPr="00593829">
        <w:t xml:space="preserve">) of the </w:t>
      </w:r>
      <w:r w:rsidR="00176B31">
        <w:t>g</w:t>
      </w:r>
      <w:r w:rsidR="00A155DA" w:rsidRPr="00593829">
        <w:t xml:space="preserve">rant </w:t>
      </w:r>
      <w:r w:rsidR="00176B31">
        <w:t>c</w:t>
      </w:r>
      <w:r w:rsidRPr="00593829">
        <w:t>ontract. However, they wil</w:t>
      </w:r>
      <w:r w:rsidR="006A52F4">
        <w:t>l participate in the design and</w:t>
      </w:r>
      <w:r w:rsidRPr="00593829">
        <w:t xml:space="preserve"> in the implementation of the </w:t>
      </w:r>
      <w:r w:rsidR="00176B31">
        <w:t>a</w:t>
      </w:r>
      <w:r w:rsidRPr="00593829">
        <w:t xml:space="preserve">ction and the costs they incur (including those incurred for </w:t>
      </w:r>
      <w:r w:rsidR="00176B31">
        <w:t>i</w:t>
      </w:r>
      <w:r w:rsidRPr="00593829">
        <w:t xml:space="preserve">mplementation </w:t>
      </w:r>
      <w:r w:rsidR="00176B31">
        <w:t>c</w:t>
      </w:r>
      <w:r w:rsidRPr="00593829">
        <w:t xml:space="preserve">ontracts and </w:t>
      </w:r>
      <w:r w:rsidR="00176B31">
        <w:t>f</w:t>
      </w:r>
      <w:r w:rsidRPr="00593829">
        <w:t xml:space="preserve">inancial </w:t>
      </w:r>
      <w:r w:rsidR="00176B31">
        <w:t>s</w:t>
      </w:r>
      <w:r w:rsidRPr="00593829">
        <w:t xml:space="preserve">upport to third parties) may be accepted as eligible costs, provided they comply with all the relevant rules already applicable to the </w:t>
      </w:r>
      <w:r w:rsidR="00176B31">
        <w:t>b</w:t>
      </w:r>
      <w:r w:rsidRPr="00593829">
        <w:t>eneficiary(</w:t>
      </w:r>
      <w:proofErr w:type="spellStart"/>
      <w:r w:rsidRPr="00593829">
        <w:t>ies</w:t>
      </w:r>
      <w:proofErr w:type="spellEnd"/>
      <w:r w:rsidRPr="00593829">
        <w:t xml:space="preserve">) under the </w:t>
      </w:r>
      <w:r w:rsidR="00176B31">
        <w:t>g</w:t>
      </w:r>
      <w:r w:rsidRPr="00593829">
        <w:t xml:space="preserve">rant </w:t>
      </w:r>
      <w:r w:rsidR="00176B31">
        <w:t>c</w:t>
      </w:r>
      <w:r w:rsidRPr="00593829">
        <w:t>ontract.</w:t>
      </w:r>
    </w:p>
    <w:p w14:paraId="2D5BB63C" w14:textId="77777777" w:rsidR="00CA43C9" w:rsidRPr="00593829" w:rsidRDefault="00CA43C9" w:rsidP="00CA43C9">
      <w:pPr>
        <w:spacing w:after="0" w:line="276" w:lineRule="auto"/>
      </w:pPr>
    </w:p>
    <w:p w14:paraId="326ADEEF" w14:textId="77777777" w:rsidR="00A33882" w:rsidRPr="00807DAF" w:rsidRDefault="00914462" w:rsidP="007261B1">
      <w:r w:rsidRPr="00593829">
        <w:t xml:space="preserve">Affiliated </w:t>
      </w:r>
      <w:proofErr w:type="gramStart"/>
      <w:r w:rsidRPr="00593829">
        <w:t>entity(</w:t>
      </w:r>
      <w:proofErr w:type="spellStart"/>
      <w:proofErr w:type="gramEnd"/>
      <w:r w:rsidRPr="00593829">
        <w:t>ies</w:t>
      </w:r>
      <w:proofErr w:type="spellEnd"/>
      <w:r w:rsidRPr="00593829">
        <w:t xml:space="preserve">) must satisfy the </w:t>
      </w:r>
      <w:r w:rsidR="00DD5D23" w:rsidRPr="00593829">
        <w:t xml:space="preserve">same </w:t>
      </w:r>
      <w:r w:rsidRPr="00593829">
        <w:t xml:space="preserve">eligibility criteria as the </w:t>
      </w:r>
      <w:r w:rsidR="00BD53D5">
        <w:t>lead a</w:t>
      </w:r>
      <w:r w:rsidRPr="00593829">
        <w:t xml:space="preserve">pplicant and the co-applicant(s). </w:t>
      </w:r>
      <w:r w:rsidR="00DD5D23" w:rsidRPr="00593829">
        <w:t xml:space="preserve"> T</w:t>
      </w:r>
      <w:r w:rsidR="007261B1" w:rsidRPr="00593829">
        <w:t>hey</w:t>
      </w:r>
      <w:r w:rsidR="00A33882" w:rsidRPr="00593829">
        <w:t xml:space="preserve"> must sign the affiliated </w:t>
      </w:r>
      <w:proofErr w:type="gramStart"/>
      <w:r w:rsidR="00A33882" w:rsidRPr="00593829">
        <w:t>entity(</w:t>
      </w:r>
      <w:proofErr w:type="spellStart"/>
      <w:proofErr w:type="gramEnd"/>
      <w:r w:rsidR="00A33882" w:rsidRPr="00593829">
        <w:t>ies</w:t>
      </w:r>
      <w:proofErr w:type="spellEnd"/>
      <w:r w:rsidR="00A33882" w:rsidRPr="00593829">
        <w:t>) statement in Part B section 5 of the grant application form.</w:t>
      </w:r>
    </w:p>
    <w:p w14:paraId="48F74712" w14:textId="77777777" w:rsidR="00F06309" w:rsidRPr="00807DAF" w:rsidRDefault="00F06309" w:rsidP="004B7BC2">
      <w:pPr>
        <w:pStyle w:val="Guidelines3"/>
      </w:pPr>
      <w:bookmarkStart w:id="9" w:name="_Toc380145061"/>
      <w:bookmarkStart w:id="10" w:name="_Toc502218265"/>
      <w:bookmarkEnd w:id="9"/>
      <w:r w:rsidRPr="00807DAF">
        <w:t>Associates and Contractors</w:t>
      </w:r>
      <w:bookmarkEnd w:id="10"/>
    </w:p>
    <w:p w14:paraId="516E6BFC" w14:textId="2253C9EB" w:rsidR="00F06309" w:rsidRPr="00807DAF" w:rsidRDefault="00F06309" w:rsidP="00F06309">
      <w:pPr>
        <w:spacing w:before="240"/>
      </w:pPr>
      <w:r w:rsidRPr="00807DAF">
        <w:t xml:space="preserve">The following entities are </w:t>
      </w:r>
      <w:proofErr w:type="gramStart"/>
      <w:r w:rsidR="00CC694C">
        <w:t>neither</w:t>
      </w:r>
      <w:r w:rsidR="00CC694C" w:rsidRPr="00807DAF">
        <w:t xml:space="preserve"> applicants </w:t>
      </w:r>
      <w:r w:rsidR="00CC694C">
        <w:t>or</w:t>
      </w:r>
      <w:proofErr w:type="gramEnd"/>
      <w:r w:rsidRPr="00807DAF">
        <w:t xml:space="preserve"> affiliated entities and do not have to sign the "</w:t>
      </w:r>
      <w:r w:rsidR="00176B31">
        <w:t>m</w:t>
      </w:r>
      <w:r w:rsidRPr="00807DAF">
        <w:t>andate</w:t>
      </w:r>
      <w:r w:rsidR="001F6434">
        <w:t xml:space="preserve"> for </w:t>
      </w:r>
      <w:r w:rsidR="00176B31">
        <w:t>c</w:t>
      </w:r>
      <w:r w:rsidR="001F6434">
        <w:t>o-applicant(s)</w:t>
      </w:r>
      <w:r w:rsidR="00593829">
        <w:t>"</w:t>
      </w:r>
      <w:r w:rsidRPr="00807DAF">
        <w:t xml:space="preserve"> or "affiliated entities' statement":</w:t>
      </w:r>
    </w:p>
    <w:p w14:paraId="14317259" w14:textId="77777777" w:rsidR="00F06309" w:rsidRPr="00807DAF" w:rsidRDefault="00F06309" w:rsidP="00345D21">
      <w:pPr>
        <w:numPr>
          <w:ilvl w:val="0"/>
          <w:numId w:val="5"/>
        </w:numPr>
      </w:pPr>
      <w:r w:rsidRPr="00807DAF">
        <w:t>Associates</w:t>
      </w:r>
    </w:p>
    <w:p w14:paraId="47FC84F7" w14:textId="77777777" w:rsidR="00F06309" w:rsidRPr="00807DAF" w:rsidRDefault="00F06309" w:rsidP="00F06309">
      <w:r w:rsidRPr="00807DAF">
        <w:t xml:space="preserve">Other organisations </w:t>
      </w:r>
      <w:r w:rsidR="00E61D38">
        <w:t xml:space="preserve">or individuals </w:t>
      </w:r>
      <w:r w:rsidRPr="00807DAF">
        <w:t xml:space="preserve">may be involved in the action. Such associates play a real role in the action but may not receive funding from the grant, with the exception of per diem or travel costs. Associates do not have to meet the eligibility criteria referred to in section 2.1.1. Associates must be mentioned in Part B section 6 — ‘Associates participating in the </w:t>
      </w:r>
      <w:r w:rsidR="00176B31">
        <w:t>a</w:t>
      </w:r>
      <w:r w:rsidRPr="00807DAF">
        <w:t xml:space="preserve">ction’ — of the </w:t>
      </w:r>
      <w:r w:rsidR="00176B31">
        <w:t>g</w:t>
      </w:r>
      <w:r w:rsidRPr="00807DAF">
        <w:t xml:space="preserve">rant </w:t>
      </w:r>
      <w:r w:rsidR="00176B31">
        <w:t>a</w:t>
      </w:r>
      <w:r w:rsidRPr="00807DAF">
        <w:t xml:space="preserve">pplication </w:t>
      </w:r>
      <w:r w:rsidR="00176B31">
        <w:t>f</w:t>
      </w:r>
      <w:r w:rsidRPr="00807DAF">
        <w:t xml:space="preserve">orm. </w:t>
      </w:r>
    </w:p>
    <w:p w14:paraId="3D85E042" w14:textId="77777777" w:rsidR="00F06309" w:rsidRPr="00807DAF" w:rsidRDefault="00F06309" w:rsidP="00345D21">
      <w:pPr>
        <w:numPr>
          <w:ilvl w:val="0"/>
          <w:numId w:val="5"/>
        </w:numPr>
      </w:pPr>
      <w:r w:rsidRPr="00807DAF">
        <w:t>Contractors</w:t>
      </w:r>
    </w:p>
    <w:p w14:paraId="53F9065D" w14:textId="77777777" w:rsidR="00F06309" w:rsidRPr="00807DAF" w:rsidRDefault="00F06309" w:rsidP="00F06309">
      <w:r w:rsidRPr="00807DAF">
        <w:t xml:space="preserve">The beneficiaries and their affiliated entities are permitted to award contracts. Associates or affiliated </w:t>
      </w:r>
      <w:proofErr w:type="gramStart"/>
      <w:r w:rsidRPr="00807DAF">
        <w:t>entity(</w:t>
      </w:r>
      <w:proofErr w:type="spellStart"/>
      <w:proofErr w:type="gramEnd"/>
      <w:r w:rsidRPr="00807DAF">
        <w:t>ies</w:t>
      </w:r>
      <w:proofErr w:type="spellEnd"/>
      <w:r w:rsidRPr="00807DAF">
        <w:t>) cannot be also contractors in the project. Contractors are subject to the procurement rules set out in Annex IV to the standard grant contract.</w:t>
      </w:r>
    </w:p>
    <w:p w14:paraId="1375F514" w14:textId="77777777" w:rsidR="0007408E" w:rsidRPr="00807DAF" w:rsidRDefault="0007408E" w:rsidP="004B7BC2">
      <w:pPr>
        <w:pStyle w:val="Guidelines3"/>
      </w:pPr>
      <w:bookmarkStart w:id="11" w:name="_Toc380145063"/>
      <w:bookmarkStart w:id="12" w:name="_Toc380145064"/>
      <w:bookmarkStart w:id="13" w:name="_Toc502218266"/>
      <w:bookmarkEnd w:id="11"/>
      <w:bookmarkEnd w:id="12"/>
      <w:r w:rsidRPr="00807DAF">
        <w:t>Eligible actions: actions for which an application may be made</w:t>
      </w:r>
      <w:bookmarkEnd w:id="13"/>
    </w:p>
    <w:p w14:paraId="2F47CB32" w14:textId="77777777" w:rsidR="009B41E2" w:rsidRPr="00807DAF" w:rsidRDefault="002265E1" w:rsidP="006B6048">
      <w:pPr>
        <w:spacing w:before="240"/>
      </w:pPr>
      <w:r w:rsidRPr="00807DAF">
        <w:t xml:space="preserve">Definition: </w:t>
      </w:r>
    </w:p>
    <w:p w14:paraId="704B0937" w14:textId="77777777" w:rsidR="002265E1" w:rsidRPr="00807DAF" w:rsidRDefault="002265E1" w:rsidP="006B6048">
      <w:r w:rsidRPr="00807DAF">
        <w:t>A</w:t>
      </w:r>
      <w:r w:rsidR="00B526B1" w:rsidRPr="00807DAF">
        <w:t>n</w:t>
      </w:r>
      <w:r w:rsidRPr="00807DAF">
        <w:t xml:space="preserve"> action is composed </w:t>
      </w:r>
      <w:r w:rsidR="00E16D0E" w:rsidRPr="00807DAF">
        <w:t>of a</w:t>
      </w:r>
      <w:r w:rsidRPr="00807DAF">
        <w:t xml:space="preserve"> set of activities.</w:t>
      </w:r>
    </w:p>
    <w:p w14:paraId="09AD6AD6" w14:textId="77777777" w:rsidR="0007408E" w:rsidRPr="00807DAF" w:rsidRDefault="0007408E" w:rsidP="006B6048">
      <w:pPr>
        <w:rPr>
          <w:u w:val="single"/>
        </w:rPr>
      </w:pPr>
      <w:r w:rsidRPr="00807DAF">
        <w:rPr>
          <w:u w:val="single"/>
        </w:rPr>
        <w:t>Duration</w:t>
      </w:r>
    </w:p>
    <w:p w14:paraId="5CE83DED" w14:textId="52DD933B" w:rsidR="0007408E" w:rsidRPr="00807DAF" w:rsidRDefault="0007408E" w:rsidP="006B6048">
      <w:r w:rsidRPr="00807DAF">
        <w:t xml:space="preserve">The </w:t>
      </w:r>
      <w:r w:rsidR="002265E1" w:rsidRPr="00807DAF">
        <w:t xml:space="preserve">initial </w:t>
      </w:r>
      <w:r w:rsidR="00C17825" w:rsidRPr="00807DAF">
        <w:t xml:space="preserve">planned </w:t>
      </w:r>
      <w:r w:rsidRPr="00807DAF">
        <w:t xml:space="preserve">duration of an action may not </w:t>
      </w:r>
      <w:r w:rsidR="00C17825" w:rsidRPr="00423B50">
        <w:t xml:space="preserve">be lower than </w:t>
      </w:r>
      <w:r w:rsidR="00CC335F">
        <w:t>18</w:t>
      </w:r>
      <w:r w:rsidR="00A133E3">
        <w:rPr>
          <w:lang w:val="sr-Cyrl-RS"/>
        </w:rPr>
        <w:t xml:space="preserve"> </w:t>
      </w:r>
      <w:r w:rsidR="00C17825" w:rsidRPr="00423B50">
        <w:t xml:space="preserve">months nor </w:t>
      </w:r>
      <w:r w:rsidRPr="00423B50">
        <w:t xml:space="preserve">exceed </w:t>
      </w:r>
      <w:r w:rsidR="0071396E">
        <w:t xml:space="preserve">36 </w:t>
      </w:r>
      <w:r w:rsidRPr="00423B50">
        <w:t>months.</w:t>
      </w:r>
    </w:p>
    <w:p w14:paraId="549C910D" w14:textId="77777777" w:rsidR="0007408E" w:rsidRPr="00CA43C9" w:rsidRDefault="0007408E" w:rsidP="006B6048">
      <w:pPr>
        <w:rPr>
          <w:u w:val="single"/>
        </w:rPr>
      </w:pPr>
      <w:r w:rsidRPr="00CA43C9">
        <w:rPr>
          <w:u w:val="single"/>
        </w:rPr>
        <w:t>Sectors or themes</w:t>
      </w:r>
    </w:p>
    <w:p w14:paraId="15758567" w14:textId="77777777" w:rsidR="00423B50" w:rsidRPr="00730AD3" w:rsidRDefault="00423B50" w:rsidP="00345D21">
      <w:pPr>
        <w:numPr>
          <w:ilvl w:val="0"/>
          <w:numId w:val="5"/>
        </w:numPr>
        <w:rPr>
          <w:szCs w:val="22"/>
        </w:rPr>
      </w:pPr>
      <w:r>
        <w:rPr>
          <w:szCs w:val="22"/>
        </w:rPr>
        <w:t xml:space="preserve">Private Sector </w:t>
      </w:r>
      <w:r w:rsidRPr="00730AD3">
        <w:rPr>
          <w:szCs w:val="22"/>
        </w:rPr>
        <w:t>Competitiveness,</w:t>
      </w:r>
    </w:p>
    <w:p w14:paraId="588B868D" w14:textId="77777777" w:rsidR="00423B50" w:rsidRPr="00730AD3" w:rsidRDefault="00423B50" w:rsidP="00345D21">
      <w:pPr>
        <w:numPr>
          <w:ilvl w:val="0"/>
          <w:numId w:val="5"/>
        </w:numPr>
        <w:rPr>
          <w:szCs w:val="22"/>
        </w:rPr>
      </w:pPr>
      <w:r w:rsidRPr="00730AD3">
        <w:rPr>
          <w:szCs w:val="22"/>
        </w:rPr>
        <w:t>Business environment,</w:t>
      </w:r>
    </w:p>
    <w:p w14:paraId="7BB5A9A8" w14:textId="77777777" w:rsidR="00423B50" w:rsidRDefault="00423B50" w:rsidP="00345D21">
      <w:pPr>
        <w:numPr>
          <w:ilvl w:val="0"/>
          <w:numId w:val="5"/>
        </w:numPr>
        <w:rPr>
          <w:szCs w:val="22"/>
        </w:rPr>
      </w:pPr>
      <w:r w:rsidRPr="00730AD3">
        <w:rPr>
          <w:szCs w:val="22"/>
        </w:rPr>
        <w:t>Industrial and SME development,</w:t>
      </w:r>
    </w:p>
    <w:p w14:paraId="033A9B74" w14:textId="77777777" w:rsidR="003576D6" w:rsidRDefault="003576D6" w:rsidP="00345D21">
      <w:pPr>
        <w:numPr>
          <w:ilvl w:val="0"/>
          <w:numId w:val="5"/>
        </w:numPr>
        <w:rPr>
          <w:szCs w:val="22"/>
        </w:rPr>
      </w:pPr>
      <w:r>
        <w:rPr>
          <w:szCs w:val="22"/>
        </w:rPr>
        <w:lastRenderedPageBreak/>
        <w:t>Financial support to SMEs and clusters,</w:t>
      </w:r>
    </w:p>
    <w:p w14:paraId="7A6A69B5" w14:textId="77777777" w:rsidR="00423B50" w:rsidRPr="00370188" w:rsidRDefault="00423B50" w:rsidP="00345D21">
      <w:pPr>
        <w:numPr>
          <w:ilvl w:val="0"/>
          <w:numId w:val="5"/>
        </w:numPr>
        <w:rPr>
          <w:szCs w:val="22"/>
        </w:rPr>
      </w:pPr>
      <w:r w:rsidRPr="00370188">
        <w:rPr>
          <w:szCs w:val="22"/>
        </w:rPr>
        <w:t>Innovation policy,</w:t>
      </w:r>
    </w:p>
    <w:p w14:paraId="5F664A47" w14:textId="6E85A7FB" w:rsidR="00E7336B" w:rsidRPr="005C121D" w:rsidRDefault="00C55E90" w:rsidP="00345D21">
      <w:pPr>
        <w:numPr>
          <w:ilvl w:val="0"/>
          <w:numId w:val="5"/>
        </w:numPr>
        <w:rPr>
          <w:szCs w:val="22"/>
        </w:rPr>
      </w:pPr>
      <w:r>
        <w:rPr>
          <w:szCs w:val="22"/>
        </w:rPr>
        <w:t xml:space="preserve">Enhancement </w:t>
      </w:r>
      <w:r w:rsidR="00F47BE9">
        <w:rPr>
          <w:szCs w:val="22"/>
        </w:rPr>
        <w:t>of c</w:t>
      </w:r>
      <w:r w:rsidR="00423B50" w:rsidRPr="00370188">
        <w:rPr>
          <w:szCs w:val="22"/>
        </w:rPr>
        <w:t>o-operation between Science and Industry</w:t>
      </w:r>
    </w:p>
    <w:p w14:paraId="723C6A92" w14:textId="77777777" w:rsidR="0007408E" w:rsidRPr="00807DAF" w:rsidRDefault="0007408E" w:rsidP="006B6048">
      <w:pPr>
        <w:rPr>
          <w:u w:val="single"/>
        </w:rPr>
      </w:pPr>
      <w:r w:rsidRPr="00807DAF">
        <w:rPr>
          <w:u w:val="single"/>
        </w:rPr>
        <w:t>Location</w:t>
      </w:r>
    </w:p>
    <w:p w14:paraId="12D148A5" w14:textId="188A2C97" w:rsidR="0007408E" w:rsidRDefault="0007408E" w:rsidP="008B5D2A">
      <w:pPr>
        <w:tabs>
          <w:tab w:val="left" w:pos="6885"/>
        </w:tabs>
      </w:pPr>
      <w:r w:rsidRPr="00807DAF">
        <w:t xml:space="preserve">Actions </w:t>
      </w:r>
      <w:r w:rsidR="00423B50">
        <w:t>will</w:t>
      </w:r>
      <w:r w:rsidRPr="00807DAF">
        <w:t xml:space="preserve"> take place in the following </w:t>
      </w:r>
      <w:r w:rsidRPr="00423B50">
        <w:t>countr</w:t>
      </w:r>
      <w:r w:rsidR="00423B50" w:rsidRPr="00423B50">
        <w:t xml:space="preserve">y: </w:t>
      </w:r>
      <w:r w:rsidR="00423B50" w:rsidRPr="00CC335F">
        <w:rPr>
          <w:b/>
        </w:rPr>
        <w:t>Montenegro.</w:t>
      </w:r>
      <w:r w:rsidR="008B5D2A">
        <w:rPr>
          <w:b/>
        </w:rPr>
        <w:tab/>
      </w:r>
    </w:p>
    <w:p w14:paraId="01DCA11C" w14:textId="0B573788" w:rsidR="00423B50" w:rsidRPr="00730AD3" w:rsidRDefault="00423B50" w:rsidP="00423B50">
      <w:pPr>
        <w:rPr>
          <w:szCs w:val="22"/>
        </w:rPr>
      </w:pPr>
      <w:r w:rsidRPr="00730AD3">
        <w:rPr>
          <w:szCs w:val="22"/>
        </w:rPr>
        <w:t xml:space="preserve">When necessary </w:t>
      </w:r>
      <w:r w:rsidR="003576D6">
        <w:rPr>
          <w:szCs w:val="22"/>
        </w:rPr>
        <w:t>for</w:t>
      </w:r>
      <w:r w:rsidRPr="00730AD3">
        <w:rPr>
          <w:szCs w:val="22"/>
        </w:rPr>
        <w:t xml:space="preserve"> the successful implementation of the project</w:t>
      </w:r>
      <w:r w:rsidR="003576D6">
        <w:rPr>
          <w:szCs w:val="22"/>
        </w:rPr>
        <w:t>,</w:t>
      </w:r>
      <w:r w:rsidRPr="00730AD3">
        <w:rPr>
          <w:szCs w:val="22"/>
        </w:rPr>
        <w:t xml:space="preserve"> some of the activities</w:t>
      </w:r>
      <w:r w:rsidR="006D0EC0">
        <w:rPr>
          <w:szCs w:val="22"/>
          <w:lang w:val="sr-Cyrl-RS"/>
        </w:rPr>
        <w:t xml:space="preserve"> </w:t>
      </w:r>
      <w:r w:rsidRPr="00730AD3">
        <w:rPr>
          <w:szCs w:val="22"/>
        </w:rPr>
        <w:t>may take place in EU Member State</w:t>
      </w:r>
      <w:r>
        <w:rPr>
          <w:szCs w:val="22"/>
        </w:rPr>
        <w:t>s</w:t>
      </w:r>
      <w:r w:rsidRPr="00730AD3">
        <w:rPr>
          <w:szCs w:val="22"/>
        </w:rPr>
        <w:t xml:space="preserve"> and/or in any of the IPA eligible countries</w:t>
      </w:r>
      <w:r w:rsidR="003576D6">
        <w:rPr>
          <w:szCs w:val="22"/>
        </w:rPr>
        <w:t xml:space="preserve"> (e.g. study visits or internships)</w:t>
      </w:r>
      <w:r w:rsidRPr="00730AD3">
        <w:rPr>
          <w:szCs w:val="22"/>
        </w:rPr>
        <w:t>.</w:t>
      </w:r>
    </w:p>
    <w:p w14:paraId="73CF3B92" w14:textId="77777777" w:rsidR="00D57D3D" w:rsidRPr="00D57D3D" w:rsidRDefault="00D57D3D" w:rsidP="00D57D3D">
      <w:pPr>
        <w:spacing w:before="120" w:after="120"/>
        <w:rPr>
          <w:snapToGrid/>
          <w:szCs w:val="22"/>
          <w:u w:val="single"/>
        </w:rPr>
      </w:pPr>
      <w:r w:rsidRPr="00D57D3D">
        <w:rPr>
          <w:snapToGrid/>
          <w:szCs w:val="22"/>
          <w:u w:val="single"/>
        </w:rPr>
        <w:t>Types of action</w:t>
      </w:r>
    </w:p>
    <w:p w14:paraId="13468140" w14:textId="77777777" w:rsidR="00CE56AC" w:rsidRPr="00CE56AC" w:rsidRDefault="00CE56AC" w:rsidP="00CE56AC">
      <w:pPr>
        <w:spacing w:before="120" w:after="0"/>
        <w:rPr>
          <w:snapToGrid/>
        </w:rPr>
      </w:pPr>
      <w:r w:rsidRPr="00CE56AC">
        <w:rPr>
          <w:snapToGrid/>
          <w:szCs w:val="22"/>
        </w:rPr>
        <w:t>Non-exhaustive list of types of action, which may be financed under this call</w:t>
      </w:r>
      <w:r w:rsidRPr="00CE56AC">
        <w:rPr>
          <w:snapToGrid/>
        </w:rPr>
        <w:t>:</w:t>
      </w:r>
    </w:p>
    <w:p w14:paraId="12D92734" w14:textId="34747396" w:rsidR="00CE56AC" w:rsidRDefault="00701EA2" w:rsidP="00701EA2">
      <w:pPr>
        <w:numPr>
          <w:ilvl w:val="0"/>
          <w:numId w:val="43"/>
        </w:numPr>
        <w:spacing w:before="120" w:after="0"/>
        <w:rPr>
          <w:snapToGrid/>
          <w:szCs w:val="22"/>
        </w:rPr>
      </w:pPr>
      <w:r>
        <w:rPr>
          <w:snapToGrid/>
          <w:szCs w:val="22"/>
        </w:rPr>
        <w:t>Development of</w:t>
      </w:r>
      <w:r w:rsidRPr="00701EA2">
        <w:rPr>
          <w:snapToGrid/>
          <w:szCs w:val="22"/>
        </w:rPr>
        <w:t xml:space="preserve"> strategic and operational framework </w:t>
      </w:r>
      <w:r w:rsidR="00E040FE">
        <w:rPr>
          <w:snapToGrid/>
          <w:szCs w:val="22"/>
        </w:rPr>
        <w:t xml:space="preserve">for strengthening private sector of Montenegro; </w:t>
      </w:r>
    </w:p>
    <w:p w14:paraId="18F4F7F2" w14:textId="77777777" w:rsidR="00E040FE" w:rsidRDefault="00E040FE" w:rsidP="00E040FE">
      <w:pPr>
        <w:numPr>
          <w:ilvl w:val="0"/>
          <w:numId w:val="43"/>
        </w:numPr>
        <w:spacing w:before="120" w:after="0"/>
        <w:rPr>
          <w:snapToGrid/>
          <w:szCs w:val="22"/>
        </w:rPr>
      </w:pPr>
      <w:r>
        <w:rPr>
          <w:snapToGrid/>
          <w:szCs w:val="22"/>
        </w:rPr>
        <w:t>Capacity building for all actors responsible for</w:t>
      </w:r>
      <w:r w:rsidRPr="00E040FE">
        <w:rPr>
          <w:snapToGrid/>
          <w:szCs w:val="22"/>
        </w:rPr>
        <w:t xml:space="preserve"> implementation of Competitiveness and</w:t>
      </w:r>
      <w:r>
        <w:rPr>
          <w:snapToGrid/>
          <w:szCs w:val="22"/>
        </w:rPr>
        <w:t xml:space="preserve"> Innovation policies;</w:t>
      </w:r>
    </w:p>
    <w:p w14:paraId="42E127AA" w14:textId="7FFE90C8" w:rsidR="00E040FE" w:rsidRPr="00CE56AC" w:rsidRDefault="00E040FE" w:rsidP="00E040FE">
      <w:pPr>
        <w:numPr>
          <w:ilvl w:val="0"/>
          <w:numId w:val="43"/>
        </w:numPr>
        <w:spacing w:before="120" w:after="0"/>
        <w:rPr>
          <w:snapToGrid/>
          <w:szCs w:val="22"/>
        </w:rPr>
      </w:pPr>
      <w:r>
        <w:rPr>
          <w:snapToGrid/>
          <w:szCs w:val="22"/>
        </w:rPr>
        <w:t>A</w:t>
      </w:r>
      <w:r w:rsidRPr="00E040FE">
        <w:rPr>
          <w:snapToGrid/>
          <w:szCs w:val="22"/>
        </w:rPr>
        <w:t xml:space="preserve">ctions targeting the improvement of </w:t>
      </w:r>
      <w:r>
        <w:rPr>
          <w:snapToGrid/>
          <w:szCs w:val="22"/>
        </w:rPr>
        <w:t xml:space="preserve">competitiveness, </w:t>
      </w:r>
      <w:r w:rsidRPr="00E040FE">
        <w:rPr>
          <w:snapToGrid/>
          <w:szCs w:val="22"/>
        </w:rPr>
        <w:t>research an</w:t>
      </w:r>
      <w:r>
        <w:rPr>
          <w:snapToGrid/>
          <w:szCs w:val="22"/>
        </w:rPr>
        <w:t>d innovation capacities of SMEs and clusters;</w:t>
      </w:r>
    </w:p>
    <w:p w14:paraId="7873AFF7" w14:textId="1FEDEE29" w:rsidR="00CE56AC" w:rsidRPr="00CE56AC" w:rsidRDefault="00CE56AC" w:rsidP="00CE56AC">
      <w:pPr>
        <w:numPr>
          <w:ilvl w:val="0"/>
          <w:numId w:val="43"/>
        </w:numPr>
        <w:spacing w:before="120" w:after="0"/>
        <w:rPr>
          <w:snapToGrid/>
          <w:szCs w:val="22"/>
        </w:rPr>
      </w:pPr>
      <w:r w:rsidRPr="00CE56AC">
        <w:rPr>
          <w:snapToGrid/>
          <w:szCs w:val="22"/>
        </w:rPr>
        <w:t>Policy research, gaps and needs</w:t>
      </w:r>
      <w:r w:rsidR="00FF097D">
        <w:rPr>
          <w:snapToGrid/>
          <w:szCs w:val="22"/>
        </w:rPr>
        <w:t xml:space="preserve"> analysis on the quality of strategic</w:t>
      </w:r>
      <w:r w:rsidRPr="00CE56AC">
        <w:rPr>
          <w:snapToGrid/>
          <w:szCs w:val="22"/>
        </w:rPr>
        <w:t xml:space="preserve"> document</w:t>
      </w:r>
      <w:r w:rsidR="00FF097D">
        <w:rPr>
          <w:snapToGrid/>
          <w:szCs w:val="22"/>
        </w:rPr>
        <w:t>s and practices</w:t>
      </w:r>
      <w:r w:rsidRPr="00CE56AC">
        <w:rPr>
          <w:snapToGrid/>
          <w:szCs w:val="22"/>
        </w:rPr>
        <w:t>;</w:t>
      </w:r>
    </w:p>
    <w:p w14:paraId="715FC867" w14:textId="1C3BEF68" w:rsidR="00CE56AC" w:rsidRPr="00CE56AC" w:rsidRDefault="00CE56AC" w:rsidP="00CE56AC">
      <w:pPr>
        <w:numPr>
          <w:ilvl w:val="0"/>
          <w:numId w:val="43"/>
        </w:numPr>
        <w:spacing w:before="120" w:after="0"/>
        <w:rPr>
          <w:snapToGrid/>
          <w:szCs w:val="22"/>
        </w:rPr>
      </w:pPr>
      <w:r w:rsidRPr="00CE56AC">
        <w:rPr>
          <w:snapToGrid/>
          <w:szCs w:val="22"/>
        </w:rPr>
        <w:t xml:space="preserve">Transfer of good policy practices to </w:t>
      </w:r>
      <w:r w:rsidR="00FF097D">
        <w:rPr>
          <w:snapToGrid/>
          <w:szCs w:val="22"/>
        </w:rPr>
        <w:t xml:space="preserve">SMEs </w:t>
      </w:r>
      <w:r w:rsidRPr="00CE56AC">
        <w:rPr>
          <w:snapToGrid/>
          <w:szCs w:val="22"/>
        </w:rPr>
        <w:t xml:space="preserve">to address </w:t>
      </w:r>
      <w:r w:rsidR="00FF097D">
        <w:rPr>
          <w:snapToGrid/>
          <w:szCs w:val="22"/>
        </w:rPr>
        <w:t>competitiveness, entrepreneurship</w:t>
      </w:r>
      <w:r w:rsidRPr="00CE56AC">
        <w:rPr>
          <w:snapToGrid/>
          <w:szCs w:val="22"/>
        </w:rPr>
        <w:t>, environment and sustainable development, education;</w:t>
      </w:r>
    </w:p>
    <w:p w14:paraId="1F179BC6" w14:textId="77777777" w:rsidR="00CE56AC" w:rsidRPr="00CE56AC" w:rsidRDefault="00CE56AC" w:rsidP="00CE56AC">
      <w:pPr>
        <w:spacing w:before="120" w:after="120"/>
        <w:rPr>
          <w:snapToGrid/>
        </w:rPr>
      </w:pPr>
      <w:r w:rsidRPr="00CE56AC">
        <w:rPr>
          <w:snapToGrid/>
        </w:rPr>
        <w:t>The following types of action are ineligible:</w:t>
      </w:r>
    </w:p>
    <w:p w14:paraId="67BFBE83" w14:textId="77777777" w:rsidR="00CE56AC" w:rsidRPr="00CE56AC" w:rsidRDefault="00CE56AC" w:rsidP="00CE56AC">
      <w:pPr>
        <w:numPr>
          <w:ilvl w:val="0"/>
          <w:numId w:val="5"/>
        </w:numPr>
        <w:spacing w:before="120" w:after="0"/>
        <w:ind w:left="714" w:hanging="357"/>
        <w:rPr>
          <w:snapToGrid/>
        </w:rPr>
      </w:pPr>
      <w:r w:rsidRPr="00CE56AC">
        <w:rPr>
          <w:snapToGrid/>
        </w:rPr>
        <w:t>actions concerned only or mainly with individual sponsorships for participation in workshops, seminars, conferences and congresses;</w:t>
      </w:r>
    </w:p>
    <w:p w14:paraId="41FCA1A6" w14:textId="77777777" w:rsidR="00CE56AC" w:rsidRPr="00CE56AC" w:rsidRDefault="00CE56AC" w:rsidP="00CE56AC">
      <w:pPr>
        <w:numPr>
          <w:ilvl w:val="0"/>
          <w:numId w:val="5"/>
        </w:numPr>
        <w:spacing w:before="120" w:after="0"/>
        <w:ind w:left="714" w:hanging="357"/>
        <w:rPr>
          <w:snapToGrid/>
        </w:rPr>
      </w:pPr>
      <w:r w:rsidRPr="00CE56AC">
        <w:rPr>
          <w:snapToGrid/>
        </w:rPr>
        <w:t>actions concerned only or mainly with individual scholarships for studies or training courses;</w:t>
      </w:r>
    </w:p>
    <w:p w14:paraId="13D23307" w14:textId="77777777" w:rsidR="00CE56AC" w:rsidRPr="00CE56AC" w:rsidRDefault="00CE56AC" w:rsidP="00CE56AC">
      <w:pPr>
        <w:numPr>
          <w:ilvl w:val="0"/>
          <w:numId w:val="5"/>
        </w:numPr>
        <w:spacing w:before="120" w:after="0"/>
        <w:ind w:left="714" w:hanging="357"/>
        <w:rPr>
          <w:snapToGrid/>
          <w:szCs w:val="22"/>
        </w:rPr>
      </w:pPr>
      <w:r w:rsidRPr="00CE56AC">
        <w:rPr>
          <w:snapToGrid/>
          <w:szCs w:val="22"/>
        </w:rPr>
        <w:t>actions concerned only or mainly with study visits or participation in international forums;</w:t>
      </w:r>
    </w:p>
    <w:p w14:paraId="01FC3F3B" w14:textId="77777777" w:rsidR="00CE56AC" w:rsidRPr="00CE56AC" w:rsidRDefault="00CE56AC" w:rsidP="00CE56AC">
      <w:pPr>
        <w:numPr>
          <w:ilvl w:val="0"/>
          <w:numId w:val="5"/>
        </w:numPr>
        <w:spacing w:before="120" w:after="0"/>
        <w:ind w:left="714" w:hanging="357"/>
        <w:rPr>
          <w:snapToGrid/>
          <w:szCs w:val="22"/>
        </w:rPr>
      </w:pPr>
      <w:r w:rsidRPr="00CE56AC">
        <w:rPr>
          <w:snapToGrid/>
          <w:szCs w:val="22"/>
        </w:rPr>
        <w:t>infrastructure projects or projects essentially focused on the purchase of equipment;</w:t>
      </w:r>
    </w:p>
    <w:p w14:paraId="451269F0" w14:textId="77777777" w:rsidR="00CE56AC" w:rsidRPr="00CE56AC" w:rsidRDefault="00CE56AC" w:rsidP="00CE56AC">
      <w:pPr>
        <w:numPr>
          <w:ilvl w:val="0"/>
          <w:numId w:val="5"/>
        </w:numPr>
        <w:spacing w:before="120" w:after="0"/>
        <w:ind w:left="714" w:hanging="357"/>
        <w:rPr>
          <w:snapToGrid/>
          <w:szCs w:val="22"/>
        </w:rPr>
      </w:pPr>
      <w:r w:rsidRPr="00CE56AC">
        <w:rPr>
          <w:snapToGrid/>
          <w:szCs w:val="22"/>
        </w:rPr>
        <w:t>purchase and/or renovation of buildings or offices;</w:t>
      </w:r>
    </w:p>
    <w:p w14:paraId="6E76FC2C" w14:textId="77777777" w:rsidR="00CE56AC" w:rsidRPr="00CE56AC" w:rsidRDefault="00CE56AC" w:rsidP="00CE56AC">
      <w:pPr>
        <w:numPr>
          <w:ilvl w:val="0"/>
          <w:numId w:val="5"/>
        </w:numPr>
        <w:spacing w:before="120" w:after="0"/>
        <w:ind w:left="714" w:hanging="357"/>
        <w:rPr>
          <w:snapToGrid/>
          <w:szCs w:val="22"/>
        </w:rPr>
      </w:pPr>
      <w:r w:rsidRPr="00CE56AC">
        <w:rPr>
          <w:snapToGrid/>
          <w:szCs w:val="22"/>
        </w:rPr>
        <w:t>activities undertaken before signature of the contract;</w:t>
      </w:r>
    </w:p>
    <w:p w14:paraId="65B5089C" w14:textId="77777777" w:rsidR="00CE56AC" w:rsidRPr="00CE56AC" w:rsidRDefault="00CE56AC" w:rsidP="00CE56AC">
      <w:pPr>
        <w:numPr>
          <w:ilvl w:val="0"/>
          <w:numId w:val="5"/>
        </w:numPr>
        <w:spacing w:before="120" w:after="0"/>
        <w:ind w:left="714" w:hanging="357"/>
        <w:rPr>
          <w:snapToGrid/>
          <w:szCs w:val="22"/>
        </w:rPr>
      </w:pPr>
      <w:r w:rsidRPr="00CE56AC">
        <w:rPr>
          <w:snapToGrid/>
          <w:szCs w:val="22"/>
        </w:rPr>
        <w:t>actions aimed at profit making activities;</w:t>
      </w:r>
    </w:p>
    <w:p w14:paraId="6D1846C6" w14:textId="77777777" w:rsidR="00CE56AC" w:rsidRPr="00CE56AC" w:rsidRDefault="00CE56AC" w:rsidP="00CE56AC">
      <w:pPr>
        <w:numPr>
          <w:ilvl w:val="0"/>
          <w:numId w:val="5"/>
        </w:numPr>
        <w:spacing w:before="120" w:after="0"/>
        <w:ind w:left="714" w:hanging="357"/>
        <w:rPr>
          <w:snapToGrid/>
          <w:szCs w:val="22"/>
        </w:rPr>
      </w:pPr>
      <w:r w:rsidRPr="00CE56AC">
        <w:rPr>
          <w:snapToGrid/>
          <w:szCs w:val="22"/>
        </w:rPr>
        <w:t>actions related to charitable donations;</w:t>
      </w:r>
    </w:p>
    <w:p w14:paraId="57600EAB" w14:textId="5F6EC24E" w:rsidR="00CE56AC" w:rsidRPr="00CE56AC" w:rsidRDefault="008B5D2A" w:rsidP="00CE56AC">
      <w:pPr>
        <w:numPr>
          <w:ilvl w:val="0"/>
          <w:numId w:val="5"/>
        </w:numPr>
        <w:spacing w:before="120" w:after="0"/>
        <w:ind w:left="714" w:hanging="357"/>
        <w:rPr>
          <w:snapToGrid/>
          <w:szCs w:val="22"/>
        </w:rPr>
      </w:pPr>
      <w:r w:rsidRPr="00CE56AC">
        <w:rPr>
          <w:snapToGrid/>
          <w:szCs w:val="22"/>
        </w:rPr>
        <w:t>Actions</w:t>
      </w:r>
      <w:r w:rsidR="00CE56AC" w:rsidRPr="00CE56AC">
        <w:rPr>
          <w:snapToGrid/>
          <w:szCs w:val="22"/>
        </w:rPr>
        <w:t xml:space="preserve"> already funded by other Community programmes.</w:t>
      </w:r>
    </w:p>
    <w:p w14:paraId="7FD96811" w14:textId="77777777" w:rsidR="00D57D3D" w:rsidRDefault="00D57D3D" w:rsidP="00E7336B">
      <w:pPr>
        <w:rPr>
          <w:szCs w:val="22"/>
          <w:u w:val="single"/>
        </w:rPr>
      </w:pPr>
    </w:p>
    <w:p w14:paraId="081D675F" w14:textId="2D28588A" w:rsidR="00E7336B" w:rsidRPr="00262604" w:rsidRDefault="00D57D3D" w:rsidP="00E7336B">
      <w:pPr>
        <w:rPr>
          <w:szCs w:val="22"/>
          <w:u w:val="single"/>
        </w:rPr>
      </w:pPr>
      <w:r>
        <w:rPr>
          <w:szCs w:val="22"/>
          <w:u w:val="single"/>
        </w:rPr>
        <w:t>Types of activities</w:t>
      </w:r>
    </w:p>
    <w:p w14:paraId="61E9B550" w14:textId="2236BEAD" w:rsidR="008A647B" w:rsidRPr="00262604" w:rsidRDefault="00E7336B" w:rsidP="00E7336B">
      <w:pPr>
        <w:rPr>
          <w:szCs w:val="22"/>
          <w:u w:val="single"/>
        </w:rPr>
      </w:pPr>
      <w:r w:rsidRPr="00262604">
        <w:rPr>
          <w:szCs w:val="22"/>
          <w:u w:val="single"/>
        </w:rPr>
        <w:t>Non-exhaustive list of types of action which may be financed under this call</w:t>
      </w:r>
      <w:r w:rsidR="000826F1" w:rsidRPr="00262604">
        <w:rPr>
          <w:szCs w:val="22"/>
          <w:u w:val="single"/>
        </w:rPr>
        <w:t xml:space="preserve"> as supporting activities</w:t>
      </w:r>
      <w:r w:rsidR="00A64833" w:rsidRPr="00262604">
        <w:rPr>
          <w:szCs w:val="22"/>
          <w:u w:val="single"/>
        </w:rPr>
        <w:t xml:space="preserve"> and are not limited to these types of activit</w:t>
      </w:r>
      <w:r w:rsidR="001862B7">
        <w:rPr>
          <w:szCs w:val="22"/>
          <w:u w:val="single"/>
        </w:rPr>
        <w:t>ies</w:t>
      </w:r>
      <w:r w:rsidR="00130AF8">
        <w:rPr>
          <w:szCs w:val="22"/>
          <w:u w:val="single"/>
        </w:rPr>
        <w:t>:</w:t>
      </w:r>
    </w:p>
    <w:p w14:paraId="5DDDB1FA" w14:textId="19661295" w:rsidR="00080C91" w:rsidRPr="00DF5B20" w:rsidRDefault="00AA7037" w:rsidP="00345D21">
      <w:pPr>
        <w:pStyle w:val="CommentText"/>
        <w:numPr>
          <w:ilvl w:val="0"/>
          <w:numId w:val="23"/>
        </w:numPr>
        <w:rPr>
          <w:sz w:val="22"/>
          <w:szCs w:val="22"/>
        </w:rPr>
      </w:pPr>
      <w:r w:rsidRPr="00DF5B20">
        <w:rPr>
          <w:sz w:val="22"/>
          <w:szCs w:val="22"/>
        </w:rPr>
        <w:t>Research</w:t>
      </w:r>
      <w:r w:rsidR="00A64833" w:rsidRPr="00DF5B20">
        <w:rPr>
          <w:sz w:val="22"/>
          <w:szCs w:val="22"/>
        </w:rPr>
        <w:t xml:space="preserve"> and analysis</w:t>
      </w:r>
      <w:r w:rsidR="00A133E3">
        <w:rPr>
          <w:sz w:val="22"/>
          <w:szCs w:val="22"/>
          <w:lang w:val="sr-Cyrl-RS"/>
        </w:rPr>
        <w:t xml:space="preserve"> </w:t>
      </w:r>
      <w:r w:rsidRPr="00DF5B20">
        <w:rPr>
          <w:sz w:val="22"/>
          <w:szCs w:val="22"/>
        </w:rPr>
        <w:t xml:space="preserve">of the current Industrial and </w:t>
      </w:r>
      <w:r w:rsidRPr="006F2FC1">
        <w:rPr>
          <w:sz w:val="22"/>
          <w:szCs w:val="22"/>
        </w:rPr>
        <w:t>SME policy</w:t>
      </w:r>
      <w:r w:rsidRPr="00DF5B20">
        <w:rPr>
          <w:sz w:val="22"/>
          <w:szCs w:val="22"/>
        </w:rPr>
        <w:t xml:space="preserve"> setup in Montenegro</w:t>
      </w:r>
      <w:r w:rsidR="00D849F9" w:rsidRPr="00DF5B20">
        <w:rPr>
          <w:sz w:val="22"/>
          <w:szCs w:val="22"/>
        </w:rPr>
        <w:t>;</w:t>
      </w:r>
    </w:p>
    <w:p w14:paraId="1D019D96" w14:textId="77777777" w:rsidR="002174F6" w:rsidRDefault="007E26C5" w:rsidP="00345D21">
      <w:pPr>
        <w:pStyle w:val="CommentText"/>
        <w:numPr>
          <w:ilvl w:val="0"/>
          <w:numId w:val="23"/>
        </w:numPr>
        <w:rPr>
          <w:sz w:val="22"/>
          <w:szCs w:val="22"/>
        </w:rPr>
      </w:pPr>
      <w:r w:rsidRPr="00E51A90">
        <w:rPr>
          <w:sz w:val="22"/>
          <w:szCs w:val="22"/>
        </w:rPr>
        <w:t xml:space="preserve">Organisation of seminars, conferences, workshops, round tables in order to increase the awareness, involvement and capacity of the </w:t>
      </w:r>
      <w:r w:rsidR="00DF5B20" w:rsidRPr="00E51A90">
        <w:rPr>
          <w:sz w:val="22"/>
          <w:szCs w:val="22"/>
        </w:rPr>
        <w:t>stakeholders in</w:t>
      </w:r>
      <w:r w:rsidR="00DF5B20">
        <w:rPr>
          <w:sz w:val="22"/>
          <w:szCs w:val="22"/>
        </w:rPr>
        <w:t xml:space="preserve"> the </w:t>
      </w:r>
      <w:r w:rsidRPr="00E51A90">
        <w:rPr>
          <w:sz w:val="22"/>
          <w:szCs w:val="22"/>
        </w:rPr>
        <w:t>Competitiveness and Innova</w:t>
      </w:r>
      <w:r w:rsidR="00C4539C" w:rsidRPr="00E51A90">
        <w:rPr>
          <w:sz w:val="22"/>
          <w:szCs w:val="22"/>
        </w:rPr>
        <w:t xml:space="preserve">tion </w:t>
      </w:r>
      <w:r w:rsidR="00DF5B20">
        <w:rPr>
          <w:sz w:val="22"/>
          <w:szCs w:val="22"/>
        </w:rPr>
        <w:t>Sector</w:t>
      </w:r>
      <w:r w:rsidR="00C4539C" w:rsidRPr="00E51A90">
        <w:rPr>
          <w:sz w:val="22"/>
          <w:szCs w:val="22"/>
        </w:rPr>
        <w:t>;</w:t>
      </w:r>
    </w:p>
    <w:p w14:paraId="62074E32" w14:textId="1D9BB26A" w:rsidR="00D307C7" w:rsidRDefault="00D307C7" w:rsidP="00345D21">
      <w:pPr>
        <w:pStyle w:val="CommentText"/>
        <w:numPr>
          <w:ilvl w:val="0"/>
          <w:numId w:val="23"/>
        </w:numPr>
        <w:rPr>
          <w:sz w:val="22"/>
          <w:szCs w:val="22"/>
        </w:rPr>
      </w:pPr>
      <w:r w:rsidRPr="00D307C7">
        <w:rPr>
          <w:sz w:val="22"/>
          <w:szCs w:val="22"/>
        </w:rPr>
        <w:t>Preparation of policy papers, evi</w:t>
      </w:r>
      <w:r w:rsidR="009A4634">
        <w:rPr>
          <w:sz w:val="22"/>
          <w:szCs w:val="22"/>
        </w:rPr>
        <w:t>dence based research, reports</w:t>
      </w:r>
      <w:r w:rsidRPr="00D307C7">
        <w:rPr>
          <w:sz w:val="22"/>
          <w:szCs w:val="22"/>
        </w:rPr>
        <w:t xml:space="preserve"> and</w:t>
      </w:r>
      <w:r w:rsidR="004A033E">
        <w:rPr>
          <w:sz w:val="22"/>
          <w:szCs w:val="22"/>
        </w:rPr>
        <w:t xml:space="preserve"> </w:t>
      </w:r>
      <w:r w:rsidR="00E15C4B" w:rsidRPr="00E15C4B">
        <w:rPr>
          <w:sz w:val="22"/>
          <w:szCs w:val="22"/>
        </w:rPr>
        <w:t>info</w:t>
      </w:r>
      <w:r w:rsidR="007927E4">
        <w:rPr>
          <w:sz w:val="22"/>
          <w:szCs w:val="22"/>
        </w:rPr>
        <w:t>rmation</w:t>
      </w:r>
      <w:r w:rsidR="00E15C4B" w:rsidRPr="00E15C4B">
        <w:rPr>
          <w:sz w:val="22"/>
          <w:szCs w:val="22"/>
        </w:rPr>
        <w:t xml:space="preserve"> facts, rela</w:t>
      </w:r>
      <w:r w:rsidR="00E15C4B">
        <w:rPr>
          <w:sz w:val="22"/>
          <w:szCs w:val="22"/>
        </w:rPr>
        <w:t>ted to specific strategies and program</w:t>
      </w:r>
      <w:r w:rsidR="008F2167">
        <w:rPr>
          <w:sz w:val="22"/>
          <w:szCs w:val="22"/>
        </w:rPr>
        <w:t>m</w:t>
      </w:r>
      <w:r w:rsidR="00E15C4B">
        <w:rPr>
          <w:sz w:val="22"/>
          <w:szCs w:val="22"/>
        </w:rPr>
        <w:t>es</w:t>
      </w:r>
      <w:r w:rsidR="003950F5">
        <w:rPr>
          <w:sz w:val="22"/>
          <w:szCs w:val="22"/>
        </w:rPr>
        <w:t>;</w:t>
      </w:r>
    </w:p>
    <w:p w14:paraId="4D4FB1AD" w14:textId="45E73F28" w:rsidR="00DF5B20" w:rsidRPr="00FF097D" w:rsidRDefault="00600751" w:rsidP="00345D21">
      <w:pPr>
        <w:pStyle w:val="CommentText"/>
        <w:numPr>
          <w:ilvl w:val="0"/>
          <w:numId w:val="23"/>
        </w:numPr>
        <w:rPr>
          <w:sz w:val="22"/>
          <w:szCs w:val="22"/>
        </w:rPr>
      </w:pPr>
      <w:r>
        <w:rPr>
          <w:bCs/>
          <w:sz w:val="22"/>
          <w:szCs w:val="22"/>
        </w:rPr>
        <w:lastRenderedPageBreak/>
        <w:t>Organis</w:t>
      </w:r>
      <w:r w:rsidR="00DF5B20">
        <w:rPr>
          <w:bCs/>
          <w:sz w:val="22"/>
          <w:szCs w:val="22"/>
        </w:rPr>
        <w:t>ation of public</w:t>
      </w:r>
      <w:r w:rsidR="001D7884" w:rsidRPr="001D7884">
        <w:rPr>
          <w:bCs/>
          <w:sz w:val="22"/>
          <w:szCs w:val="22"/>
        </w:rPr>
        <w:t xml:space="preserve"> event</w:t>
      </w:r>
      <w:r w:rsidR="00DF5B20">
        <w:rPr>
          <w:bCs/>
          <w:sz w:val="22"/>
          <w:szCs w:val="22"/>
        </w:rPr>
        <w:t>s</w:t>
      </w:r>
      <w:r w:rsidR="001D7884" w:rsidRPr="001D7884">
        <w:rPr>
          <w:bCs/>
          <w:sz w:val="22"/>
          <w:szCs w:val="22"/>
        </w:rPr>
        <w:t xml:space="preserve"> to </w:t>
      </w:r>
      <w:r w:rsidR="00DF5B20" w:rsidRPr="001D7884">
        <w:rPr>
          <w:bCs/>
          <w:sz w:val="22"/>
          <w:szCs w:val="22"/>
        </w:rPr>
        <w:t>enhance visibility</w:t>
      </w:r>
      <w:r w:rsidR="00DF5B20">
        <w:rPr>
          <w:bCs/>
          <w:sz w:val="22"/>
          <w:szCs w:val="22"/>
        </w:rPr>
        <w:t xml:space="preserve"> of national policies and strategies</w:t>
      </w:r>
      <w:r w:rsidR="00DF5B20" w:rsidRPr="001D7884">
        <w:rPr>
          <w:bCs/>
          <w:sz w:val="22"/>
          <w:szCs w:val="22"/>
        </w:rPr>
        <w:t xml:space="preserve"> by relevant stakeholders</w:t>
      </w:r>
      <w:r w:rsidR="00DF5B20">
        <w:rPr>
          <w:bCs/>
          <w:sz w:val="22"/>
          <w:szCs w:val="22"/>
        </w:rPr>
        <w:t>;</w:t>
      </w:r>
    </w:p>
    <w:p w14:paraId="024CD1FB" w14:textId="6BD8D7D4" w:rsidR="00FF097D" w:rsidRPr="00DF5B20" w:rsidRDefault="00FF097D" w:rsidP="00345D21">
      <w:pPr>
        <w:pStyle w:val="CommentText"/>
        <w:numPr>
          <w:ilvl w:val="0"/>
          <w:numId w:val="23"/>
        </w:numPr>
        <w:rPr>
          <w:sz w:val="22"/>
          <w:szCs w:val="22"/>
        </w:rPr>
      </w:pPr>
      <w:r>
        <w:rPr>
          <w:bCs/>
          <w:sz w:val="22"/>
          <w:szCs w:val="22"/>
        </w:rPr>
        <w:t>Establishment of pilot grant scheme for support in development of SMEs;</w:t>
      </w:r>
    </w:p>
    <w:p w14:paraId="50142D4D" w14:textId="5ED4FD3E" w:rsidR="00AA7037" w:rsidRPr="00130AF8" w:rsidRDefault="0024468E" w:rsidP="00E7336B">
      <w:pPr>
        <w:pStyle w:val="CommentText"/>
        <w:numPr>
          <w:ilvl w:val="0"/>
          <w:numId w:val="23"/>
        </w:numPr>
        <w:rPr>
          <w:sz w:val="22"/>
          <w:szCs w:val="22"/>
        </w:rPr>
      </w:pPr>
      <w:r w:rsidRPr="0020102F">
        <w:rPr>
          <w:sz w:val="22"/>
          <w:szCs w:val="22"/>
        </w:rPr>
        <w:t>Publication of leaflets, brochures, manuals of best practices</w:t>
      </w:r>
      <w:r w:rsidR="008D7163">
        <w:rPr>
          <w:sz w:val="22"/>
          <w:szCs w:val="22"/>
        </w:rPr>
        <w:t>.</w:t>
      </w:r>
    </w:p>
    <w:p w14:paraId="78DCC085" w14:textId="77777777" w:rsidR="00FF097D" w:rsidRDefault="00FF097D" w:rsidP="006F2FC1">
      <w:pPr>
        <w:rPr>
          <w:b/>
          <w:szCs w:val="22"/>
          <w:u w:val="single"/>
        </w:rPr>
      </w:pPr>
    </w:p>
    <w:p w14:paraId="55299658" w14:textId="77777777" w:rsidR="006F2FC1" w:rsidRDefault="00BE3852" w:rsidP="006F2FC1">
      <w:pPr>
        <w:rPr>
          <w:b/>
          <w:szCs w:val="22"/>
        </w:rPr>
      </w:pPr>
      <w:r w:rsidRPr="00446981">
        <w:rPr>
          <w:b/>
          <w:szCs w:val="22"/>
          <w:u w:val="single"/>
        </w:rPr>
        <w:t xml:space="preserve">Activities under </w:t>
      </w:r>
      <w:r>
        <w:rPr>
          <w:b/>
          <w:szCs w:val="22"/>
          <w:u w:val="single"/>
        </w:rPr>
        <w:t>Result</w:t>
      </w:r>
      <w:r w:rsidRPr="00446981">
        <w:rPr>
          <w:b/>
          <w:szCs w:val="22"/>
          <w:u w:val="single"/>
        </w:rPr>
        <w:t xml:space="preserve"> 1</w:t>
      </w:r>
      <w:r w:rsidRPr="00446981">
        <w:rPr>
          <w:b/>
          <w:szCs w:val="22"/>
        </w:rPr>
        <w:t xml:space="preserve">: </w:t>
      </w:r>
      <w:r w:rsidR="00C6782F">
        <w:rPr>
          <w:b/>
          <w:szCs w:val="22"/>
        </w:rPr>
        <w:t>Developed</w:t>
      </w:r>
      <w:r w:rsidR="00C6782F" w:rsidRPr="00954B75">
        <w:rPr>
          <w:b/>
          <w:szCs w:val="22"/>
        </w:rPr>
        <w:t xml:space="preserve"> strategic</w:t>
      </w:r>
      <w:r w:rsidRPr="00954B75">
        <w:rPr>
          <w:b/>
          <w:szCs w:val="22"/>
        </w:rPr>
        <w:t xml:space="preserve"> and operational framework for implementation of </w:t>
      </w:r>
      <w:r>
        <w:rPr>
          <w:b/>
          <w:szCs w:val="22"/>
        </w:rPr>
        <w:t>polic</w:t>
      </w:r>
      <w:r w:rsidR="001E2CF5">
        <w:rPr>
          <w:b/>
          <w:szCs w:val="22"/>
        </w:rPr>
        <w:t>ies for enhancement of the</w:t>
      </w:r>
      <w:r>
        <w:rPr>
          <w:b/>
          <w:szCs w:val="22"/>
        </w:rPr>
        <w:t xml:space="preserve"> competitiveness </w:t>
      </w:r>
      <w:r w:rsidR="00647897">
        <w:rPr>
          <w:b/>
          <w:szCs w:val="22"/>
        </w:rPr>
        <w:t>and innovation</w:t>
      </w:r>
    </w:p>
    <w:p w14:paraId="466EC313" w14:textId="77777777" w:rsidR="005D58CB" w:rsidRPr="00044A63" w:rsidRDefault="005D58CB" w:rsidP="005D58CB">
      <w:pPr>
        <w:pStyle w:val="ListParagraph"/>
        <w:numPr>
          <w:ilvl w:val="0"/>
          <w:numId w:val="27"/>
        </w:numPr>
        <w:rPr>
          <w:szCs w:val="22"/>
        </w:rPr>
      </w:pPr>
      <w:r w:rsidRPr="00BA1F84">
        <w:rPr>
          <w:b/>
          <w:szCs w:val="22"/>
        </w:rPr>
        <w:t>Supporting activities for implementation of the Industrial policy of Montenegro, monitoring and evaluation mechanisms and strengthening administrative capacities</w:t>
      </w:r>
      <w:r w:rsidRPr="00044A63">
        <w:rPr>
          <w:szCs w:val="22"/>
        </w:rPr>
        <w:t>.</w:t>
      </w:r>
    </w:p>
    <w:p w14:paraId="3F4B0094" w14:textId="11D3C182" w:rsidR="00F0072A" w:rsidRPr="00F0072A" w:rsidRDefault="005D58CB" w:rsidP="00F0072A">
      <w:pPr>
        <w:pStyle w:val="ListParagraph"/>
        <w:numPr>
          <w:ilvl w:val="0"/>
          <w:numId w:val="24"/>
        </w:numPr>
        <w:rPr>
          <w:szCs w:val="22"/>
        </w:rPr>
      </w:pPr>
      <w:r w:rsidRPr="00F0072A">
        <w:rPr>
          <w:szCs w:val="22"/>
        </w:rPr>
        <w:t>Following the Mid-term review (MTR)</w:t>
      </w:r>
      <w:r w:rsidRPr="00044A63">
        <w:rPr>
          <w:szCs w:val="22"/>
        </w:rPr>
        <w:t xml:space="preserve"> of the Industrial Policy of Montenegro 2020 </w:t>
      </w:r>
      <w:r w:rsidR="00F0072A">
        <w:rPr>
          <w:szCs w:val="22"/>
        </w:rPr>
        <w:t>and b</w:t>
      </w:r>
      <w:r w:rsidR="00F0072A" w:rsidRPr="00F0072A">
        <w:rPr>
          <w:szCs w:val="22"/>
        </w:rPr>
        <w:t>ased on the assessment and identified recommend</w:t>
      </w:r>
      <w:r w:rsidR="00F0072A">
        <w:rPr>
          <w:szCs w:val="22"/>
        </w:rPr>
        <w:t>ations for follow-up actions, provide support to stakeholders in the implementation of the revised Industrial policy where it is deemed appropriate to do so.</w:t>
      </w:r>
      <w:r w:rsidR="00F0072A" w:rsidRPr="00F0072A">
        <w:rPr>
          <w:szCs w:val="22"/>
        </w:rPr>
        <w:t xml:space="preserve"> </w:t>
      </w:r>
    </w:p>
    <w:p w14:paraId="43897CEB" w14:textId="4DA34269" w:rsidR="00E40000" w:rsidRPr="00E40000" w:rsidRDefault="00080C91" w:rsidP="00345D21">
      <w:pPr>
        <w:pStyle w:val="ListParagraph"/>
        <w:numPr>
          <w:ilvl w:val="0"/>
          <w:numId w:val="27"/>
        </w:numPr>
        <w:rPr>
          <w:szCs w:val="22"/>
        </w:rPr>
      </w:pPr>
      <w:r w:rsidRPr="00BC0E8B">
        <w:rPr>
          <w:b/>
          <w:szCs w:val="22"/>
        </w:rPr>
        <w:t>Development of the Prog</w:t>
      </w:r>
      <w:r w:rsidR="00CC335F" w:rsidRPr="00BC0E8B">
        <w:rPr>
          <w:b/>
          <w:szCs w:val="22"/>
        </w:rPr>
        <w:t>ra</w:t>
      </w:r>
      <w:r w:rsidRPr="00BC0E8B">
        <w:rPr>
          <w:b/>
          <w:szCs w:val="22"/>
        </w:rPr>
        <w:t>mme for supporting industry moder</w:t>
      </w:r>
      <w:r w:rsidR="00CC335F" w:rsidRPr="00BC0E8B">
        <w:rPr>
          <w:b/>
          <w:szCs w:val="22"/>
        </w:rPr>
        <w:t>n</w:t>
      </w:r>
      <w:r w:rsidRPr="00BC0E8B">
        <w:rPr>
          <w:b/>
          <w:szCs w:val="22"/>
        </w:rPr>
        <w:t>isation</w:t>
      </w:r>
      <w:r w:rsidR="00E40000">
        <w:rPr>
          <w:b/>
          <w:szCs w:val="22"/>
        </w:rPr>
        <w:t xml:space="preserve"> - </w:t>
      </w:r>
      <w:r w:rsidR="00E40000">
        <w:rPr>
          <w:szCs w:val="22"/>
        </w:rPr>
        <w:t>t</w:t>
      </w:r>
      <w:r w:rsidR="009339D2" w:rsidRPr="00E40000">
        <w:rPr>
          <w:szCs w:val="22"/>
        </w:rPr>
        <w:t>he requirement</w:t>
      </w:r>
      <w:r w:rsidR="004A033E">
        <w:rPr>
          <w:szCs w:val="22"/>
        </w:rPr>
        <w:t xml:space="preserve"> </w:t>
      </w:r>
      <w:r w:rsidR="009339D2" w:rsidRPr="00E40000">
        <w:rPr>
          <w:szCs w:val="22"/>
        </w:rPr>
        <w:t>for further support in the area of</w:t>
      </w:r>
      <w:r w:rsidR="00E56A72" w:rsidRPr="00E40000">
        <w:rPr>
          <w:szCs w:val="22"/>
        </w:rPr>
        <w:t xml:space="preserve"> industrial modernisation </w:t>
      </w:r>
      <w:r w:rsidR="008F2167" w:rsidRPr="00E40000">
        <w:rPr>
          <w:szCs w:val="22"/>
        </w:rPr>
        <w:t xml:space="preserve">has been </w:t>
      </w:r>
      <w:r w:rsidR="00E40000" w:rsidRPr="00E40000">
        <w:rPr>
          <w:szCs w:val="22"/>
        </w:rPr>
        <w:t xml:space="preserve">recognised. Based on the </w:t>
      </w:r>
      <w:r w:rsidR="00E56A72" w:rsidRPr="00E40000">
        <w:rPr>
          <w:szCs w:val="22"/>
        </w:rPr>
        <w:t>previously implemented s</w:t>
      </w:r>
      <w:r w:rsidR="00E40000" w:rsidRPr="00E40000">
        <w:rPr>
          <w:szCs w:val="22"/>
        </w:rPr>
        <w:t>upport programmes in this field</w:t>
      </w:r>
      <w:r w:rsidR="009339D2">
        <w:rPr>
          <w:rStyle w:val="FootnoteReference"/>
          <w:szCs w:val="22"/>
        </w:rPr>
        <w:footnoteReference w:id="8"/>
      </w:r>
      <w:r w:rsidR="00E40000" w:rsidRPr="00E40000">
        <w:rPr>
          <w:szCs w:val="22"/>
        </w:rPr>
        <w:t>,</w:t>
      </w:r>
      <w:r w:rsidR="00C43D51">
        <w:rPr>
          <w:szCs w:val="22"/>
        </w:rPr>
        <w:t xml:space="preserve"> </w:t>
      </w:r>
      <w:r w:rsidR="00E40000" w:rsidRPr="00E40000">
        <w:rPr>
          <w:szCs w:val="22"/>
        </w:rPr>
        <w:t>this activity assumes:</w:t>
      </w:r>
    </w:p>
    <w:p w14:paraId="0C8A0FF4" w14:textId="7BE39E90" w:rsidR="00E40000" w:rsidRDefault="00E40000" w:rsidP="00345D21">
      <w:pPr>
        <w:pStyle w:val="ListParagraph"/>
        <w:numPr>
          <w:ilvl w:val="1"/>
          <w:numId w:val="27"/>
        </w:numPr>
        <w:rPr>
          <w:szCs w:val="22"/>
        </w:rPr>
      </w:pPr>
      <w:r>
        <w:rPr>
          <w:szCs w:val="22"/>
        </w:rPr>
        <w:t>Identification of</w:t>
      </w:r>
      <w:r w:rsidR="00E56A72" w:rsidRPr="00BC0E8B">
        <w:rPr>
          <w:szCs w:val="22"/>
        </w:rPr>
        <w:t xml:space="preserve"> the main needs of en</w:t>
      </w:r>
      <w:r w:rsidR="00BC0E8B">
        <w:rPr>
          <w:szCs w:val="22"/>
        </w:rPr>
        <w:t xml:space="preserve">terprises in terms of </w:t>
      </w:r>
      <w:r w:rsidR="00BC0E8B" w:rsidRPr="00BC0E8B">
        <w:rPr>
          <w:szCs w:val="22"/>
        </w:rPr>
        <w:t>procurement</w:t>
      </w:r>
      <w:r w:rsidR="00BC0E8B">
        <w:rPr>
          <w:szCs w:val="22"/>
        </w:rPr>
        <w:t xml:space="preserve"> and planning</w:t>
      </w:r>
      <w:r w:rsidR="00E56A72" w:rsidRPr="00BC0E8B">
        <w:rPr>
          <w:szCs w:val="22"/>
        </w:rPr>
        <w:t xml:space="preserve"> of equipment</w:t>
      </w:r>
      <w:r>
        <w:rPr>
          <w:szCs w:val="22"/>
        </w:rPr>
        <w:t xml:space="preserve"> supply</w:t>
      </w:r>
      <w:r w:rsidR="00A133E3">
        <w:rPr>
          <w:szCs w:val="22"/>
          <w:lang w:val="sr-Cyrl-RS"/>
        </w:rPr>
        <w:t xml:space="preserve"> </w:t>
      </w:r>
      <w:r>
        <w:rPr>
          <w:szCs w:val="22"/>
        </w:rPr>
        <w:t xml:space="preserve">based on the current state of affairs; </w:t>
      </w:r>
    </w:p>
    <w:p w14:paraId="2792A92E" w14:textId="54B20CD6" w:rsidR="00E40000" w:rsidRDefault="00E40000" w:rsidP="00345D21">
      <w:pPr>
        <w:pStyle w:val="ListParagraph"/>
        <w:numPr>
          <w:ilvl w:val="1"/>
          <w:numId w:val="27"/>
        </w:numPr>
        <w:rPr>
          <w:szCs w:val="22"/>
        </w:rPr>
      </w:pPr>
      <w:r>
        <w:rPr>
          <w:szCs w:val="22"/>
        </w:rPr>
        <w:t xml:space="preserve">Description of the methods for implementation of sustainable </w:t>
      </w:r>
      <w:r w:rsidR="00E56A72" w:rsidRPr="00E40000">
        <w:rPr>
          <w:szCs w:val="22"/>
        </w:rPr>
        <w:t>investments</w:t>
      </w:r>
      <w:r w:rsidR="00C43D51">
        <w:rPr>
          <w:szCs w:val="22"/>
        </w:rPr>
        <w:t xml:space="preserve"> in technological modernization;</w:t>
      </w:r>
      <w:r w:rsidR="00E56A72" w:rsidRPr="00E40000">
        <w:rPr>
          <w:szCs w:val="22"/>
        </w:rPr>
        <w:t xml:space="preserve"> </w:t>
      </w:r>
    </w:p>
    <w:p w14:paraId="407123A0" w14:textId="150F6FC0" w:rsidR="00BC0E8B" w:rsidRPr="00E40000" w:rsidRDefault="00E40000" w:rsidP="00345D21">
      <w:pPr>
        <w:pStyle w:val="ListParagraph"/>
        <w:numPr>
          <w:ilvl w:val="1"/>
          <w:numId w:val="27"/>
        </w:numPr>
        <w:rPr>
          <w:szCs w:val="22"/>
        </w:rPr>
      </w:pPr>
      <w:r>
        <w:rPr>
          <w:szCs w:val="22"/>
        </w:rPr>
        <w:t>Assembling at least one promotional event regarding this p</w:t>
      </w:r>
      <w:r w:rsidR="005D58CB">
        <w:rPr>
          <w:szCs w:val="22"/>
        </w:rPr>
        <w:t>rogramme</w:t>
      </w:r>
      <w:r>
        <w:rPr>
          <w:szCs w:val="22"/>
        </w:rPr>
        <w:t xml:space="preserve"> per </w:t>
      </w:r>
      <w:r w:rsidR="00BC0E8B" w:rsidRPr="00E40000">
        <w:rPr>
          <w:szCs w:val="22"/>
        </w:rPr>
        <w:t>each region of the country.</w:t>
      </w:r>
      <w:r w:rsidR="00BC0E8B">
        <w:rPr>
          <w:rStyle w:val="FootnoteReference"/>
          <w:szCs w:val="22"/>
        </w:rPr>
        <w:footnoteReference w:id="9"/>
      </w:r>
    </w:p>
    <w:p w14:paraId="4F7089C4" w14:textId="77777777" w:rsidR="006F3783" w:rsidRPr="006F3783" w:rsidRDefault="0019553F" w:rsidP="00345D21">
      <w:pPr>
        <w:pStyle w:val="ListParagraph"/>
        <w:numPr>
          <w:ilvl w:val="0"/>
          <w:numId w:val="27"/>
        </w:numPr>
        <w:rPr>
          <w:szCs w:val="22"/>
        </w:rPr>
      </w:pPr>
      <w:r>
        <w:rPr>
          <w:b/>
        </w:rPr>
        <w:t xml:space="preserve">Development </w:t>
      </w:r>
      <w:r w:rsidR="006F3783">
        <w:rPr>
          <w:b/>
        </w:rPr>
        <w:t xml:space="preserve">of </w:t>
      </w:r>
      <w:r w:rsidR="007E4821">
        <w:rPr>
          <w:b/>
        </w:rPr>
        <w:t xml:space="preserve">the </w:t>
      </w:r>
      <w:r w:rsidR="007E4821" w:rsidRPr="009339D2">
        <w:rPr>
          <w:b/>
        </w:rPr>
        <w:t>Strategy</w:t>
      </w:r>
      <w:r w:rsidR="00261376" w:rsidRPr="009339D2">
        <w:rPr>
          <w:b/>
        </w:rPr>
        <w:t xml:space="preserve"> for Development of Small and Medium Sized Enterprises </w:t>
      </w:r>
      <w:r w:rsidR="007E4821">
        <w:rPr>
          <w:b/>
        </w:rPr>
        <w:t xml:space="preserve">2018-2022 </w:t>
      </w:r>
      <w:r w:rsidR="007E4821" w:rsidRPr="009339D2">
        <w:rPr>
          <w:b/>
        </w:rPr>
        <w:t>and</w:t>
      </w:r>
      <w:r w:rsidR="00BE3852" w:rsidRPr="009339D2">
        <w:rPr>
          <w:b/>
        </w:rPr>
        <w:t xml:space="preserve"> associated Action plan</w:t>
      </w:r>
      <w:r w:rsidR="00D15AD5" w:rsidRPr="007E4821">
        <w:rPr>
          <w:rStyle w:val="FootnoteReference"/>
        </w:rPr>
        <w:footnoteReference w:id="10"/>
      </w:r>
      <w:r>
        <w:t>based on Strategic guidelines</w:t>
      </w:r>
    </w:p>
    <w:p w14:paraId="2B61F979" w14:textId="77777777" w:rsidR="00BE3852" w:rsidRPr="007E4821" w:rsidRDefault="006F3783" w:rsidP="00345D21">
      <w:pPr>
        <w:pStyle w:val="ListParagraph"/>
        <w:numPr>
          <w:ilvl w:val="0"/>
          <w:numId w:val="27"/>
        </w:numPr>
        <w:rPr>
          <w:b/>
          <w:szCs w:val="22"/>
        </w:rPr>
      </w:pPr>
      <w:r w:rsidRPr="007E4821">
        <w:rPr>
          <w:b/>
          <w:szCs w:val="22"/>
        </w:rPr>
        <w:t xml:space="preserve">Revision of the </w:t>
      </w:r>
      <w:r w:rsidR="007E4821" w:rsidRPr="007E4821">
        <w:rPr>
          <w:b/>
          <w:szCs w:val="22"/>
        </w:rPr>
        <w:t>Smart Specialisation Strategy</w:t>
      </w:r>
      <w:r w:rsidR="00BE3852" w:rsidRPr="007E4821">
        <w:rPr>
          <w:b/>
          <w:szCs w:val="22"/>
        </w:rPr>
        <w:t xml:space="preserve"> and associated</w:t>
      </w:r>
      <w:r w:rsidR="008A55D6" w:rsidRPr="007E4821">
        <w:rPr>
          <w:b/>
          <w:szCs w:val="22"/>
        </w:rPr>
        <w:t xml:space="preserve"> Action plan </w:t>
      </w:r>
      <w:r w:rsidR="003157DE" w:rsidRPr="007E4821">
        <w:rPr>
          <w:rStyle w:val="FootnoteReference"/>
          <w:szCs w:val="22"/>
        </w:rPr>
        <w:footnoteReference w:id="11"/>
      </w:r>
    </w:p>
    <w:p w14:paraId="68AC658E" w14:textId="7E976073" w:rsidR="00BE3852" w:rsidRPr="007254AC" w:rsidRDefault="00BE3852" w:rsidP="007254AC">
      <w:pPr>
        <w:pStyle w:val="ListParagraph"/>
        <w:numPr>
          <w:ilvl w:val="0"/>
          <w:numId w:val="27"/>
        </w:numPr>
        <w:rPr>
          <w:b/>
          <w:szCs w:val="22"/>
        </w:rPr>
      </w:pPr>
      <w:r w:rsidRPr="007254AC">
        <w:rPr>
          <w:b/>
          <w:szCs w:val="22"/>
        </w:rPr>
        <w:t>Development of Guidelines to potential applicants on project preparation for</w:t>
      </w:r>
      <w:r w:rsidR="00CF696B" w:rsidRPr="007254AC">
        <w:rPr>
          <w:b/>
          <w:szCs w:val="22"/>
        </w:rPr>
        <w:t xml:space="preserve"> the</w:t>
      </w:r>
      <w:r w:rsidRPr="007254AC">
        <w:rPr>
          <w:b/>
          <w:szCs w:val="22"/>
        </w:rPr>
        <w:t xml:space="preserve"> COSME</w:t>
      </w:r>
      <w:r w:rsidR="004A033E" w:rsidRPr="007254AC">
        <w:rPr>
          <w:b/>
          <w:szCs w:val="22"/>
        </w:rPr>
        <w:t xml:space="preserve"> </w:t>
      </w:r>
      <w:r w:rsidR="00E56A72" w:rsidRPr="007254AC">
        <w:rPr>
          <w:b/>
          <w:szCs w:val="22"/>
        </w:rPr>
        <w:t>and other EU programmes related to the Competit</w:t>
      </w:r>
      <w:r w:rsidR="007E4821" w:rsidRPr="007254AC">
        <w:rPr>
          <w:b/>
          <w:szCs w:val="22"/>
        </w:rPr>
        <w:t>iveness and Innovation sector</w:t>
      </w:r>
    </w:p>
    <w:p w14:paraId="38C0E72E" w14:textId="77777777" w:rsidR="006F3783" w:rsidRDefault="00334B66" w:rsidP="007254AC">
      <w:pPr>
        <w:pStyle w:val="ListParagraph"/>
        <w:numPr>
          <w:ilvl w:val="0"/>
          <w:numId w:val="27"/>
        </w:numPr>
        <w:rPr>
          <w:szCs w:val="22"/>
        </w:rPr>
      </w:pPr>
      <w:r w:rsidRPr="00632972">
        <w:rPr>
          <w:b/>
          <w:szCs w:val="22"/>
        </w:rPr>
        <w:t>Development</w:t>
      </w:r>
      <w:r w:rsidR="00F94965" w:rsidRPr="00632972">
        <w:rPr>
          <w:b/>
          <w:szCs w:val="22"/>
        </w:rPr>
        <w:t xml:space="preserve"> of Strategy for Clu</w:t>
      </w:r>
      <w:r w:rsidR="00632972" w:rsidRPr="00632972">
        <w:rPr>
          <w:b/>
          <w:szCs w:val="22"/>
        </w:rPr>
        <w:t xml:space="preserve">ster Development in Montenegro </w:t>
      </w:r>
      <w:r w:rsidR="00F94965" w:rsidRPr="00632972">
        <w:rPr>
          <w:b/>
          <w:szCs w:val="22"/>
        </w:rPr>
        <w:t>2020-2022</w:t>
      </w:r>
      <w:r w:rsidR="00632972" w:rsidRPr="00632972">
        <w:rPr>
          <w:b/>
          <w:szCs w:val="22"/>
        </w:rPr>
        <w:t xml:space="preserve"> and associated Action Plan</w:t>
      </w:r>
      <w:r w:rsidR="00F94965" w:rsidRPr="00632972">
        <w:rPr>
          <w:b/>
          <w:szCs w:val="22"/>
        </w:rPr>
        <w:t>.</w:t>
      </w:r>
      <w:r w:rsidR="00632972">
        <w:rPr>
          <w:szCs w:val="22"/>
        </w:rPr>
        <w:t xml:space="preserve"> The strategy </w:t>
      </w:r>
      <w:r w:rsidR="006F3783">
        <w:rPr>
          <w:szCs w:val="22"/>
        </w:rPr>
        <w:t xml:space="preserve">should summarise: </w:t>
      </w:r>
    </w:p>
    <w:p w14:paraId="5B71AD72" w14:textId="77777777" w:rsidR="006F3783" w:rsidRDefault="006F3783" w:rsidP="007254AC">
      <w:pPr>
        <w:pStyle w:val="ListParagraph"/>
        <w:numPr>
          <w:ilvl w:val="1"/>
          <w:numId w:val="27"/>
        </w:numPr>
        <w:rPr>
          <w:szCs w:val="22"/>
        </w:rPr>
      </w:pPr>
      <w:r>
        <w:rPr>
          <w:szCs w:val="22"/>
        </w:rPr>
        <w:t>T</w:t>
      </w:r>
      <w:r w:rsidR="00632972">
        <w:rPr>
          <w:szCs w:val="22"/>
        </w:rPr>
        <w:t xml:space="preserve">he current status of </w:t>
      </w:r>
      <w:r>
        <w:rPr>
          <w:szCs w:val="22"/>
        </w:rPr>
        <w:t>clusters in Montenegro;</w:t>
      </w:r>
    </w:p>
    <w:p w14:paraId="3317D12C" w14:textId="77777777" w:rsidR="007E4821" w:rsidRDefault="006F3783" w:rsidP="007254AC">
      <w:pPr>
        <w:pStyle w:val="ListParagraph"/>
        <w:numPr>
          <w:ilvl w:val="1"/>
          <w:numId w:val="27"/>
        </w:numPr>
        <w:rPr>
          <w:szCs w:val="22"/>
        </w:rPr>
      </w:pPr>
      <w:r>
        <w:rPr>
          <w:szCs w:val="22"/>
        </w:rPr>
        <w:lastRenderedPageBreak/>
        <w:t xml:space="preserve">Briefly </w:t>
      </w:r>
      <w:r w:rsidR="00F94965" w:rsidRPr="00F94965">
        <w:rPr>
          <w:szCs w:val="22"/>
        </w:rPr>
        <w:t xml:space="preserve">outline a </w:t>
      </w:r>
      <w:r>
        <w:rPr>
          <w:szCs w:val="22"/>
        </w:rPr>
        <w:t xml:space="preserve">comprehensive </w:t>
      </w:r>
      <w:r w:rsidR="00F94965" w:rsidRPr="00F94965">
        <w:rPr>
          <w:szCs w:val="22"/>
        </w:rPr>
        <w:t xml:space="preserve">set of suitable measures to </w:t>
      </w:r>
      <w:r w:rsidRPr="00F94965">
        <w:rPr>
          <w:szCs w:val="22"/>
        </w:rPr>
        <w:t>carry out</w:t>
      </w:r>
      <w:r w:rsidR="00F94965" w:rsidRPr="00F94965">
        <w:rPr>
          <w:szCs w:val="22"/>
        </w:rPr>
        <w:t xml:space="preserve"> joint </w:t>
      </w:r>
      <w:r w:rsidR="007E4821">
        <w:rPr>
          <w:szCs w:val="22"/>
        </w:rPr>
        <w:t>actions for cluster development;</w:t>
      </w:r>
    </w:p>
    <w:p w14:paraId="33C047E5" w14:textId="77777777" w:rsidR="007E4821" w:rsidRDefault="007E4821" w:rsidP="007254AC">
      <w:pPr>
        <w:pStyle w:val="ListParagraph"/>
        <w:numPr>
          <w:ilvl w:val="1"/>
          <w:numId w:val="27"/>
        </w:numPr>
        <w:rPr>
          <w:szCs w:val="22"/>
        </w:rPr>
      </w:pPr>
      <w:r>
        <w:rPr>
          <w:szCs w:val="22"/>
        </w:rPr>
        <w:t>E</w:t>
      </w:r>
      <w:r w:rsidR="00F94965" w:rsidRPr="00F94965">
        <w:rPr>
          <w:szCs w:val="22"/>
        </w:rPr>
        <w:t>stablish and/or consolidate cluster governance struc</w:t>
      </w:r>
      <w:r>
        <w:rPr>
          <w:szCs w:val="22"/>
        </w:rPr>
        <w:t>tures and make them operational;</w:t>
      </w:r>
    </w:p>
    <w:p w14:paraId="0C233501" w14:textId="6E9C36C0" w:rsidR="00930F12" w:rsidRPr="00D57D3D" w:rsidRDefault="007E4821" w:rsidP="00D57D3D">
      <w:pPr>
        <w:pStyle w:val="ListParagraph"/>
        <w:numPr>
          <w:ilvl w:val="1"/>
          <w:numId w:val="27"/>
        </w:numPr>
        <w:rPr>
          <w:szCs w:val="22"/>
        </w:rPr>
      </w:pPr>
      <w:r>
        <w:rPr>
          <w:szCs w:val="22"/>
        </w:rPr>
        <w:t xml:space="preserve">Comprise inter alia </w:t>
      </w:r>
      <w:r w:rsidR="00A4563D">
        <w:rPr>
          <w:szCs w:val="22"/>
        </w:rPr>
        <w:t xml:space="preserve">yet without being limited to: </w:t>
      </w:r>
      <w:r w:rsidR="00F94965" w:rsidRPr="00F94965">
        <w:rPr>
          <w:szCs w:val="22"/>
        </w:rPr>
        <w:t xml:space="preserve">measures for strengthening vertical networking and clustering of companies that are part of various levels of the product/service value chain, especially focusing on integration between existing clusters in </w:t>
      </w:r>
      <w:r w:rsidRPr="00F94965">
        <w:rPr>
          <w:szCs w:val="22"/>
        </w:rPr>
        <w:t>agro</w:t>
      </w:r>
      <w:r w:rsidR="00F94965" w:rsidRPr="00F94965">
        <w:rPr>
          <w:szCs w:val="22"/>
        </w:rPr>
        <w:t>-f</w:t>
      </w:r>
      <w:r>
        <w:rPr>
          <w:szCs w:val="22"/>
        </w:rPr>
        <w:t>ood sector and tourism industry.</w:t>
      </w:r>
    </w:p>
    <w:p w14:paraId="3DB50FC0" w14:textId="77777777" w:rsidR="00BE3852" w:rsidRPr="002C3B80" w:rsidRDefault="00BE3852" w:rsidP="00CC335F">
      <w:pPr>
        <w:ind w:left="720"/>
        <w:contextualSpacing/>
        <w:rPr>
          <w:szCs w:val="22"/>
        </w:rPr>
      </w:pPr>
    </w:p>
    <w:p w14:paraId="662A0EEA" w14:textId="765791A9" w:rsidR="00CF696B" w:rsidRPr="007E4821" w:rsidRDefault="00BE3852" w:rsidP="00BE3852">
      <w:pPr>
        <w:rPr>
          <w:b/>
          <w:szCs w:val="22"/>
        </w:rPr>
      </w:pPr>
      <w:r w:rsidRPr="000B7352">
        <w:rPr>
          <w:b/>
          <w:szCs w:val="22"/>
          <w:u w:val="single"/>
        </w:rPr>
        <w:t>Activities under Result 2</w:t>
      </w:r>
      <w:r w:rsidRPr="000B7352">
        <w:rPr>
          <w:b/>
          <w:szCs w:val="22"/>
        </w:rPr>
        <w:t xml:space="preserve">: </w:t>
      </w:r>
      <w:r w:rsidRPr="007E4821">
        <w:rPr>
          <w:b/>
          <w:szCs w:val="22"/>
        </w:rPr>
        <w:t>Strengthened institutional, technical and administrative capacities for the implementation of Competitiveness and Innovation policies, including actions targeting the improvement of research and innovation capacities of SMEs</w:t>
      </w:r>
      <w:r w:rsidR="00D57D3D">
        <w:rPr>
          <w:b/>
          <w:szCs w:val="22"/>
        </w:rPr>
        <w:t>.</w:t>
      </w:r>
    </w:p>
    <w:p w14:paraId="768B22DC" w14:textId="313D464E" w:rsidR="00D74256" w:rsidRDefault="005B1479" w:rsidP="00345D21">
      <w:pPr>
        <w:pStyle w:val="ListParagraph"/>
        <w:numPr>
          <w:ilvl w:val="0"/>
          <w:numId w:val="28"/>
        </w:numPr>
        <w:rPr>
          <w:szCs w:val="22"/>
        </w:rPr>
      </w:pPr>
      <w:r w:rsidRPr="00A64833">
        <w:rPr>
          <w:szCs w:val="22"/>
        </w:rPr>
        <w:t xml:space="preserve">Delivery of trainings </w:t>
      </w:r>
      <w:r w:rsidR="00A97A60">
        <w:rPr>
          <w:szCs w:val="22"/>
        </w:rPr>
        <w:t xml:space="preserve">and exchange of good practices </w:t>
      </w:r>
      <w:r w:rsidRPr="00A64833">
        <w:rPr>
          <w:szCs w:val="22"/>
        </w:rPr>
        <w:t>for</w:t>
      </w:r>
      <w:r w:rsidR="00102B57">
        <w:rPr>
          <w:szCs w:val="22"/>
        </w:rPr>
        <w:t xml:space="preserve"> policy makers and </w:t>
      </w:r>
      <w:r w:rsidRPr="00A64833">
        <w:rPr>
          <w:szCs w:val="22"/>
        </w:rPr>
        <w:t>business support institutions at the national and local level in order to enhance efficient planning, coordination and implementation of policies</w:t>
      </w:r>
      <w:r w:rsidR="00E56A72" w:rsidRPr="00E56A72">
        <w:rPr>
          <w:szCs w:val="22"/>
        </w:rPr>
        <w:t xml:space="preserve"> and programmes</w:t>
      </w:r>
      <w:r w:rsidR="00102B57">
        <w:rPr>
          <w:rStyle w:val="FootnoteReference"/>
          <w:szCs w:val="22"/>
        </w:rPr>
        <w:footnoteReference w:id="12"/>
      </w:r>
      <w:r w:rsidR="004A033E">
        <w:rPr>
          <w:szCs w:val="22"/>
        </w:rPr>
        <w:t xml:space="preserve"> </w:t>
      </w:r>
      <w:r w:rsidRPr="00A64833">
        <w:rPr>
          <w:szCs w:val="22"/>
        </w:rPr>
        <w:t>within  the competitiveness and innovation sector</w:t>
      </w:r>
      <w:r w:rsidR="001862B7">
        <w:rPr>
          <w:szCs w:val="22"/>
          <w:lang w:val="en-US"/>
        </w:rPr>
        <w:t>;</w:t>
      </w:r>
    </w:p>
    <w:p w14:paraId="52C55BCA" w14:textId="77777777" w:rsidR="00D74256" w:rsidRDefault="00102B57" w:rsidP="00345D21">
      <w:pPr>
        <w:pStyle w:val="ListParagraph"/>
        <w:numPr>
          <w:ilvl w:val="0"/>
          <w:numId w:val="28"/>
        </w:numPr>
        <w:rPr>
          <w:szCs w:val="22"/>
        </w:rPr>
      </w:pPr>
      <w:r w:rsidRPr="00D74256">
        <w:rPr>
          <w:szCs w:val="22"/>
        </w:rPr>
        <w:t>Conducting public promotion and awareness raising</w:t>
      </w:r>
      <w:r w:rsidR="00BE3852" w:rsidRPr="00D74256">
        <w:rPr>
          <w:szCs w:val="22"/>
        </w:rPr>
        <w:t xml:space="preserve"> ca</w:t>
      </w:r>
      <w:r w:rsidRPr="00D74256">
        <w:rPr>
          <w:szCs w:val="22"/>
        </w:rPr>
        <w:t>mpaigns at national level about all deliverables of the Grant</w:t>
      </w:r>
      <w:r w:rsidR="00BE3852" w:rsidRPr="00D74256">
        <w:rPr>
          <w:szCs w:val="22"/>
        </w:rPr>
        <w:t>;</w:t>
      </w:r>
    </w:p>
    <w:p w14:paraId="785F369C" w14:textId="0A59C73E" w:rsidR="00D74256" w:rsidRDefault="00BE3852" w:rsidP="00345D21">
      <w:pPr>
        <w:pStyle w:val="ListParagraph"/>
        <w:numPr>
          <w:ilvl w:val="0"/>
          <w:numId w:val="28"/>
        </w:numPr>
        <w:rPr>
          <w:szCs w:val="22"/>
        </w:rPr>
      </w:pPr>
      <w:r w:rsidRPr="00D74256">
        <w:rPr>
          <w:szCs w:val="22"/>
        </w:rPr>
        <w:t xml:space="preserve">Technical assistance for </w:t>
      </w:r>
      <w:r w:rsidR="00D7735B" w:rsidRPr="00D74256">
        <w:rPr>
          <w:szCs w:val="22"/>
        </w:rPr>
        <w:t xml:space="preserve">drafting </w:t>
      </w:r>
      <w:r w:rsidRPr="00D74256">
        <w:rPr>
          <w:szCs w:val="22"/>
        </w:rPr>
        <w:t>tender dossier</w:t>
      </w:r>
      <w:r w:rsidR="00D7735B" w:rsidRPr="00D74256">
        <w:rPr>
          <w:szCs w:val="22"/>
        </w:rPr>
        <w:t xml:space="preserve"> for supply of the equipment for </w:t>
      </w:r>
      <w:proofErr w:type="spellStart"/>
      <w:r w:rsidR="00D7735B" w:rsidRPr="00D74256">
        <w:rPr>
          <w:szCs w:val="22"/>
        </w:rPr>
        <w:t>Tehnopolis</w:t>
      </w:r>
      <w:proofErr w:type="spellEnd"/>
      <w:r w:rsidR="00D7735B" w:rsidRPr="00D74256">
        <w:rPr>
          <w:szCs w:val="22"/>
        </w:rPr>
        <w:t xml:space="preserve"> </w:t>
      </w:r>
      <w:r w:rsidRPr="00D74256">
        <w:rPr>
          <w:szCs w:val="22"/>
        </w:rPr>
        <w:t>laboratories (bio-chemical laboratory, laboratory for industrial design and data centre)</w:t>
      </w:r>
      <w:r w:rsidR="004A033E">
        <w:rPr>
          <w:szCs w:val="22"/>
        </w:rPr>
        <w:t xml:space="preserve"> </w:t>
      </w:r>
      <w:r w:rsidR="00D7735B" w:rsidRPr="00D74256">
        <w:rPr>
          <w:szCs w:val="22"/>
        </w:rPr>
        <w:t xml:space="preserve">for </w:t>
      </w:r>
      <w:r w:rsidR="00CF696B" w:rsidRPr="00D74256">
        <w:rPr>
          <w:szCs w:val="22"/>
        </w:rPr>
        <w:t>IPA 2016 programme</w:t>
      </w:r>
      <w:r w:rsidR="00D7735B" w:rsidRPr="00D74256">
        <w:rPr>
          <w:szCs w:val="22"/>
        </w:rPr>
        <w:t xml:space="preserve"> and</w:t>
      </w:r>
      <w:r w:rsidR="006D0EC0">
        <w:rPr>
          <w:szCs w:val="22"/>
          <w:lang w:val="sr-Cyrl-RS"/>
        </w:rPr>
        <w:t xml:space="preserve"> </w:t>
      </w:r>
      <w:r w:rsidR="00D74256" w:rsidRPr="00D74256">
        <w:rPr>
          <w:szCs w:val="22"/>
        </w:rPr>
        <w:t xml:space="preserve">on-site training </w:t>
      </w:r>
      <w:r w:rsidR="00CA4848" w:rsidRPr="00D74256">
        <w:rPr>
          <w:szCs w:val="22"/>
        </w:rPr>
        <w:t xml:space="preserve">for </w:t>
      </w:r>
      <w:proofErr w:type="spellStart"/>
      <w:r w:rsidR="00D74256" w:rsidRPr="00D74256">
        <w:rPr>
          <w:szCs w:val="22"/>
        </w:rPr>
        <w:t>Tehnopolis</w:t>
      </w:r>
      <w:proofErr w:type="spellEnd"/>
      <w:r w:rsidR="00D74256" w:rsidRPr="00D74256">
        <w:rPr>
          <w:szCs w:val="22"/>
        </w:rPr>
        <w:t xml:space="preserve"> </w:t>
      </w:r>
      <w:r w:rsidR="00D7735B" w:rsidRPr="00D74256">
        <w:rPr>
          <w:szCs w:val="22"/>
        </w:rPr>
        <w:t xml:space="preserve">staff and </w:t>
      </w:r>
      <w:r w:rsidR="00D74256" w:rsidRPr="00D74256">
        <w:rPr>
          <w:szCs w:val="22"/>
        </w:rPr>
        <w:t>stakeholders</w:t>
      </w:r>
      <w:r w:rsidR="00CA4848" w:rsidRPr="00D74256">
        <w:rPr>
          <w:szCs w:val="22"/>
        </w:rPr>
        <w:t>;</w:t>
      </w:r>
    </w:p>
    <w:p w14:paraId="77BF03E4" w14:textId="5C135D3B" w:rsidR="00D74256" w:rsidRDefault="00930F12" w:rsidP="00345D21">
      <w:pPr>
        <w:pStyle w:val="ListParagraph"/>
        <w:numPr>
          <w:ilvl w:val="0"/>
          <w:numId w:val="28"/>
        </w:numPr>
        <w:rPr>
          <w:szCs w:val="22"/>
        </w:rPr>
      </w:pPr>
      <w:r w:rsidRPr="00D74256">
        <w:rPr>
          <w:szCs w:val="22"/>
        </w:rPr>
        <w:t xml:space="preserve">Technical assistance for </w:t>
      </w:r>
      <w:r w:rsidR="00D74256">
        <w:rPr>
          <w:szCs w:val="22"/>
        </w:rPr>
        <w:t xml:space="preserve">programming, </w:t>
      </w:r>
      <w:r w:rsidRPr="00D74256">
        <w:rPr>
          <w:szCs w:val="22"/>
        </w:rPr>
        <w:t>contracting</w:t>
      </w:r>
      <w:r w:rsidR="00D74256">
        <w:rPr>
          <w:szCs w:val="22"/>
        </w:rPr>
        <w:t xml:space="preserve"> and implementation of</w:t>
      </w:r>
      <w:r w:rsidRPr="00D74256">
        <w:rPr>
          <w:szCs w:val="22"/>
        </w:rPr>
        <w:t xml:space="preserve"> activities </w:t>
      </w:r>
      <w:r w:rsidR="00D74256">
        <w:rPr>
          <w:szCs w:val="22"/>
        </w:rPr>
        <w:t xml:space="preserve">under IPA </w:t>
      </w:r>
      <w:r w:rsidRPr="00D74256">
        <w:rPr>
          <w:szCs w:val="22"/>
        </w:rPr>
        <w:t>2016-2020</w:t>
      </w:r>
      <w:r w:rsidR="00D74256">
        <w:rPr>
          <w:szCs w:val="22"/>
        </w:rPr>
        <w:t xml:space="preserve"> perspective in the </w:t>
      </w:r>
      <w:r w:rsidRPr="00D74256">
        <w:rPr>
          <w:szCs w:val="22"/>
        </w:rPr>
        <w:t>Competitiveness and Innovation</w:t>
      </w:r>
      <w:r w:rsidR="001862B7">
        <w:rPr>
          <w:szCs w:val="22"/>
        </w:rPr>
        <w:t xml:space="preserve"> sector</w:t>
      </w:r>
      <w:r w:rsidRPr="00D74256">
        <w:rPr>
          <w:szCs w:val="22"/>
        </w:rPr>
        <w:t xml:space="preserve"> (i.e. </w:t>
      </w:r>
      <w:r w:rsidR="00D74256">
        <w:rPr>
          <w:szCs w:val="22"/>
        </w:rPr>
        <w:t xml:space="preserve">assistance in </w:t>
      </w:r>
      <w:r w:rsidRPr="00D74256">
        <w:rPr>
          <w:szCs w:val="22"/>
        </w:rPr>
        <w:t>preparation of</w:t>
      </w:r>
      <w:r w:rsidR="00D74256">
        <w:rPr>
          <w:szCs w:val="22"/>
        </w:rPr>
        <w:t xml:space="preserve"> an</w:t>
      </w:r>
      <w:r w:rsidRPr="00D74256">
        <w:rPr>
          <w:szCs w:val="22"/>
        </w:rPr>
        <w:t xml:space="preserve"> appropriate tender dossiers and planning documents)</w:t>
      </w:r>
      <w:r w:rsidR="001862B7">
        <w:rPr>
          <w:szCs w:val="22"/>
        </w:rPr>
        <w:t>;</w:t>
      </w:r>
    </w:p>
    <w:p w14:paraId="76054087" w14:textId="6DEC952B" w:rsidR="00A316E1" w:rsidRDefault="00D74256" w:rsidP="00345D21">
      <w:pPr>
        <w:pStyle w:val="ListParagraph"/>
        <w:numPr>
          <w:ilvl w:val="0"/>
          <w:numId w:val="28"/>
        </w:numPr>
        <w:rPr>
          <w:szCs w:val="22"/>
        </w:rPr>
      </w:pPr>
      <w:r>
        <w:rPr>
          <w:szCs w:val="22"/>
        </w:rPr>
        <w:t xml:space="preserve">Advanced trainings and workshops for </w:t>
      </w:r>
      <w:r w:rsidR="008D7163">
        <w:rPr>
          <w:szCs w:val="22"/>
        </w:rPr>
        <w:t xml:space="preserve">skills </w:t>
      </w:r>
      <w:r>
        <w:rPr>
          <w:szCs w:val="22"/>
        </w:rPr>
        <w:t xml:space="preserve">development </w:t>
      </w:r>
      <w:r w:rsidR="008D7163">
        <w:rPr>
          <w:szCs w:val="22"/>
        </w:rPr>
        <w:t xml:space="preserve">within </w:t>
      </w:r>
      <w:r w:rsidR="00A64833" w:rsidRPr="00D74256">
        <w:rPr>
          <w:szCs w:val="22"/>
        </w:rPr>
        <w:t>P</w:t>
      </w:r>
      <w:r w:rsidR="008D7163">
        <w:rPr>
          <w:szCs w:val="22"/>
        </w:rPr>
        <w:t xml:space="preserve">roject </w:t>
      </w:r>
      <w:r w:rsidR="00A64833" w:rsidRPr="00D74256">
        <w:rPr>
          <w:szCs w:val="22"/>
        </w:rPr>
        <w:t>I</w:t>
      </w:r>
      <w:r w:rsidR="008D7163">
        <w:rPr>
          <w:szCs w:val="22"/>
        </w:rPr>
        <w:t xml:space="preserve">mplementation </w:t>
      </w:r>
      <w:r w:rsidR="00A64833" w:rsidRPr="00D74256">
        <w:rPr>
          <w:szCs w:val="22"/>
        </w:rPr>
        <w:t>U</w:t>
      </w:r>
      <w:r w:rsidR="008D7163">
        <w:rPr>
          <w:szCs w:val="22"/>
        </w:rPr>
        <w:t>nit</w:t>
      </w:r>
      <w:r w:rsidR="00A96820">
        <w:rPr>
          <w:szCs w:val="22"/>
        </w:rPr>
        <w:t xml:space="preserve"> (PIU)</w:t>
      </w:r>
      <w:r w:rsidR="008D7163">
        <w:rPr>
          <w:szCs w:val="22"/>
        </w:rPr>
        <w:t xml:space="preserve"> of the </w:t>
      </w:r>
      <w:r w:rsidR="00A316E1">
        <w:rPr>
          <w:szCs w:val="22"/>
        </w:rPr>
        <w:t>Ministry of Economy (leading institution for Competitiveness and Innovation</w:t>
      </w:r>
      <w:r w:rsidR="001862B7">
        <w:rPr>
          <w:szCs w:val="22"/>
        </w:rPr>
        <w:t xml:space="preserve"> sector</w:t>
      </w:r>
      <w:r w:rsidR="00A316E1">
        <w:rPr>
          <w:szCs w:val="22"/>
        </w:rPr>
        <w:t>)</w:t>
      </w:r>
      <w:r w:rsidR="001862B7">
        <w:rPr>
          <w:szCs w:val="22"/>
        </w:rPr>
        <w:t>;</w:t>
      </w:r>
    </w:p>
    <w:p w14:paraId="4289813D" w14:textId="6B0BA7A1" w:rsidR="00A316E1" w:rsidRPr="00A316E1" w:rsidRDefault="00A316E1" w:rsidP="00345D21">
      <w:pPr>
        <w:pStyle w:val="ListParagraph"/>
        <w:numPr>
          <w:ilvl w:val="0"/>
          <w:numId w:val="28"/>
        </w:numPr>
        <w:rPr>
          <w:szCs w:val="22"/>
        </w:rPr>
      </w:pPr>
      <w:r w:rsidRPr="00A316E1">
        <w:rPr>
          <w:szCs w:val="22"/>
        </w:rPr>
        <w:t xml:space="preserve">Arranging at least one study visit to </w:t>
      </w:r>
      <w:r w:rsidR="008D7163">
        <w:rPr>
          <w:szCs w:val="22"/>
        </w:rPr>
        <w:t xml:space="preserve">relevant </w:t>
      </w:r>
      <w:r w:rsidRPr="00A316E1">
        <w:rPr>
          <w:szCs w:val="22"/>
        </w:rPr>
        <w:t xml:space="preserve">EU Member States with a strong </w:t>
      </w:r>
      <w:r w:rsidR="00A133E3" w:rsidRPr="00A316E1">
        <w:rPr>
          <w:szCs w:val="22"/>
        </w:rPr>
        <w:t>in</w:t>
      </w:r>
      <w:r w:rsidR="00A133E3">
        <w:rPr>
          <w:szCs w:val="22"/>
          <w:lang w:val="sr-Cyrl-RS"/>
        </w:rPr>
        <w:t>s</w:t>
      </w:r>
      <w:r w:rsidR="00A133E3" w:rsidRPr="00A316E1">
        <w:rPr>
          <w:szCs w:val="22"/>
        </w:rPr>
        <w:t>t</w:t>
      </w:r>
      <w:r w:rsidR="00A133E3">
        <w:rPr>
          <w:szCs w:val="22"/>
          <w:lang w:val="sr-Cyrl-RS"/>
        </w:rPr>
        <w:t>i</w:t>
      </w:r>
      <w:r w:rsidR="00A133E3" w:rsidRPr="00A316E1">
        <w:rPr>
          <w:szCs w:val="22"/>
        </w:rPr>
        <w:t>t</w:t>
      </w:r>
      <w:proofErr w:type="spellStart"/>
      <w:r w:rsidR="00A133E3">
        <w:rPr>
          <w:szCs w:val="22"/>
          <w:lang w:val="sr-Cyrl-RS"/>
        </w:rPr>
        <w:t>uti</w:t>
      </w:r>
      <w:r w:rsidR="00A133E3" w:rsidRPr="00A316E1">
        <w:rPr>
          <w:szCs w:val="22"/>
        </w:rPr>
        <w:t>onal</w:t>
      </w:r>
      <w:proofErr w:type="spellEnd"/>
      <w:r w:rsidR="00A133E3" w:rsidRPr="00A316E1">
        <w:rPr>
          <w:szCs w:val="22"/>
        </w:rPr>
        <w:t xml:space="preserve"> </w:t>
      </w:r>
      <w:r w:rsidRPr="00A316E1">
        <w:rPr>
          <w:szCs w:val="22"/>
        </w:rPr>
        <w:t>capacity and mechanisms for implementation of Competitiveness and Innovation policies</w:t>
      </w:r>
      <w:r w:rsidR="001862B7">
        <w:rPr>
          <w:szCs w:val="22"/>
        </w:rPr>
        <w:t>;</w:t>
      </w:r>
    </w:p>
    <w:p w14:paraId="302FE74A" w14:textId="77777777" w:rsidR="00BE3852" w:rsidRDefault="00A316E1" w:rsidP="00345D21">
      <w:pPr>
        <w:pStyle w:val="ListParagraph"/>
        <w:numPr>
          <w:ilvl w:val="0"/>
          <w:numId w:val="28"/>
        </w:numPr>
        <w:rPr>
          <w:szCs w:val="22"/>
        </w:rPr>
      </w:pPr>
      <w:r w:rsidRPr="00A316E1">
        <w:rPr>
          <w:szCs w:val="22"/>
        </w:rPr>
        <w:t>Capacity building of the Ministry of Economy.</w:t>
      </w:r>
    </w:p>
    <w:p w14:paraId="38C8CB77" w14:textId="77777777" w:rsidR="00A316E1" w:rsidRPr="00A316E1" w:rsidRDefault="00A316E1" w:rsidP="00A316E1">
      <w:pPr>
        <w:pStyle w:val="ListParagraph"/>
        <w:ind w:left="780"/>
        <w:rPr>
          <w:szCs w:val="22"/>
        </w:rPr>
      </w:pPr>
    </w:p>
    <w:p w14:paraId="6453215F" w14:textId="77777777" w:rsidR="004A033E" w:rsidRDefault="00E7336B" w:rsidP="004A033E">
      <w:pPr>
        <w:rPr>
          <w:bCs/>
          <w:szCs w:val="22"/>
        </w:rPr>
      </w:pPr>
      <w:r w:rsidRPr="00446981">
        <w:rPr>
          <w:b/>
          <w:szCs w:val="22"/>
          <w:u w:val="single"/>
        </w:rPr>
        <w:t xml:space="preserve">Activities under </w:t>
      </w:r>
      <w:r>
        <w:rPr>
          <w:b/>
          <w:szCs w:val="22"/>
          <w:u w:val="single"/>
        </w:rPr>
        <w:t>Result</w:t>
      </w:r>
      <w:r w:rsidRPr="00446981">
        <w:rPr>
          <w:b/>
          <w:szCs w:val="22"/>
          <w:u w:val="single"/>
        </w:rPr>
        <w:t xml:space="preserve"> 3</w:t>
      </w:r>
      <w:r w:rsidRPr="00446981">
        <w:rPr>
          <w:b/>
          <w:szCs w:val="22"/>
        </w:rPr>
        <w:t xml:space="preserve">: </w:t>
      </w:r>
      <w:r w:rsidR="00526D54" w:rsidRPr="00526D54">
        <w:rPr>
          <w:b/>
          <w:szCs w:val="22"/>
        </w:rPr>
        <w:t>Strengthened competitiveness</w:t>
      </w:r>
      <w:r w:rsidR="00B0605F">
        <w:rPr>
          <w:b/>
          <w:szCs w:val="22"/>
        </w:rPr>
        <w:t xml:space="preserve"> and innovation</w:t>
      </w:r>
      <w:r w:rsidR="00526D54" w:rsidRPr="00526D54">
        <w:rPr>
          <w:b/>
          <w:szCs w:val="22"/>
        </w:rPr>
        <w:t xml:space="preserve"> of </w:t>
      </w:r>
      <w:r w:rsidR="00B0605F">
        <w:rPr>
          <w:b/>
          <w:szCs w:val="22"/>
        </w:rPr>
        <w:t xml:space="preserve">clusters and </w:t>
      </w:r>
      <w:r w:rsidR="00526D54" w:rsidRPr="00526D54">
        <w:rPr>
          <w:b/>
          <w:szCs w:val="22"/>
        </w:rPr>
        <w:t>business entities, improved business</w:t>
      </w:r>
      <w:r w:rsidR="00A316E1">
        <w:rPr>
          <w:b/>
          <w:szCs w:val="22"/>
        </w:rPr>
        <w:t xml:space="preserve"> performance, </w:t>
      </w:r>
      <w:r w:rsidR="00526D54" w:rsidRPr="00526D54">
        <w:rPr>
          <w:b/>
          <w:szCs w:val="22"/>
        </w:rPr>
        <w:t>productivity and profitability</w:t>
      </w:r>
      <w:r w:rsidR="00A316E1" w:rsidRPr="004A033E">
        <w:rPr>
          <w:rStyle w:val="FootnoteReference"/>
          <w:b/>
          <w:szCs w:val="22"/>
        </w:rPr>
        <w:footnoteReference w:id="13"/>
      </w:r>
      <w:r w:rsidR="00EC744B" w:rsidRPr="004A033E">
        <w:rPr>
          <w:b/>
          <w:bCs/>
          <w:szCs w:val="22"/>
          <w:lang w:val="en-US"/>
        </w:rPr>
        <w:t xml:space="preserve">, </w:t>
      </w:r>
      <w:r w:rsidR="00EC744B" w:rsidRPr="004A033E">
        <w:rPr>
          <w:b/>
          <w:bCs/>
          <w:szCs w:val="22"/>
        </w:rPr>
        <w:t>positioning towards higher value-added products,</w:t>
      </w:r>
      <w:r w:rsidR="004A033E">
        <w:rPr>
          <w:b/>
          <w:bCs/>
          <w:szCs w:val="22"/>
        </w:rPr>
        <w:t xml:space="preserve"> </w:t>
      </w:r>
      <w:r w:rsidR="00EC744B" w:rsidRPr="004A033E">
        <w:rPr>
          <w:b/>
          <w:bCs/>
          <w:szCs w:val="22"/>
          <w:lang w:val="en-US"/>
        </w:rPr>
        <w:t>etc</w:t>
      </w:r>
      <w:r w:rsidR="004A033E">
        <w:rPr>
          <w:b/>
          <w:bCs/>
          <w:szCs w:val="22"/>
          <w:lang w:val="en-US"/>
        </w:rPr>
        <w:t>.</w:t>
      </w:r>
    </w:p>
    <w:p w14:paraId="1F58B992" w14:textId="2A0081FE" w:rsidR="000C0BAB" w:rsidRPr="00D57D3D" w:rsidRDefault="00B0605F" w:rsidP="00D57D3D">
      <w:pPr>
        <w:pStyle w:val="ListParagraph"/>
        <w:numPr>
          <w:ilvl w:val="0"/>
          <w:numId w:val="40"/>
        </w:numPr>
        <w:rPr>
          <w:bCs/>
          <w:szCs w:val="22"/>
        </w:rPr>
      </w:pPr>
      <w:r w:rsidRPr="00D57D3D">
        <w:rPr>
          <w:szCs w:val="22"/>
        </w:rPr>
        <w:t>Preparation</w:t>
      </w:r>
      <w:r w:rsidR="009E2A53" w:rsidRPr="00D57D3D">
        <w:rPr>
          <w:szCs w:val="22"/>
        </w:rPr>
        <w:t xml:space="preserve"> and implementation</w:t>
      </w:r>
      <w:r w:rsidRPr="00D57D3D">
        <w:rPr>
          <w:szCs w:val="22"/>
        </w:rPr>
        <w:t xml:space="preserve"> of a</w:t>
      </w:r>
      <w:r w:rsidR="000C0BAB" w:rsidRPr="00D57D3D">
        <w:rPr>
          <w:szCs w:val="22"/>
          <w:lang w:val="sr-Cyrl-RS"/>
        </w:rPr>
        <w:t xml:space="preserve"> </w:t>
      </w:r>
      <w:r w:rsidRPr="00D57D3D">
        <w:rPr>
          <w:szCs w:val="22"/>
        </w:rPr>
        <w:t>pilot</w:t>
      </w:r>
      <w:r w:rsidR="009E2A53" w:rsidRPr="00D57D3D">
        <w:rPr>
          <w:szCs w:val="22"/>
        </w:rPr>
        <w:t xml:space="preserve"> Support Grant Scheme for </w:t>
      </w:r>
      <w:r w:rsidRPr="00D57D3D">
        <w:rPr>
          <w:szCs w:val="22"/>
        </w:rPr>
        <w:t xml:space="preserve">SMEs and clusters </w:t>
      </w:r>
      <w:r w:rsidR="007D42F7" w:rsidRPr="00D57D3D">
        <w:rPr>
          <w:bCs/>
          <w:szCs w:val="22"/>
        </w:rPr>
        <w:t>b</w:t>
      </w:r>
      <w:r w:rsidR="005544C4" w:rsidRPr="00D57D3D">
        <w:rPr>
          <w:bCs/>
          <w:szCs w:val="22"/>
        </w:rPr>
        <w:t>ased</w:t>
      </w:r>
      <w:r w:rsidRPr="00D57D3D">
        <w:rPr>
          <w:bCs/>
          <w:szCs w:val="22"/>
        </w:rPr>
        <w:t xml:space="preserve"> upon the</w:t>
      </w:r>
      <w:r w:rsidR="000C0BAB" w:rsidRPr="00D57D3D">
        <w:rPr>
          <w:bCs/>
          <w:szCs w:val="22"/>
          <w:lang w:val="sr-Cyrl-RS"/>
        </w:rPr>
        <w:t xml:space="preserve"> </w:t>
      </w:r>
      <w:r w:rsidR="001B3226" w:rsidRPr="00D57D3D">
        <w:rPr>
          <w:szCs w:val="22"/>
        </w:rPr>
        <w:t xml:space="preserve">previously </w:t>
      </w:r>
      <w:r w:rsidR="007D42F7" w:rsidRPr="00D57D3D">
        <w:rPr>
          <w:bCs/>
          <w:szCs w:val="22"/>
        </w:rPr>
        <w:t>developed</w:t>
      </w:r>
      <w:r w:rsidR="000C0BAB" w:rsidRPr="00D57D3D">
        <w:rPr>
          <w:bCs/>
          <w:szCs w:val="22"/>
          <w:lang w:val="sr-Cyrl-RS"/>
        </w:rPr>
        <w:t xml:space="preserve"> </w:t>
      </w:r>
      <w:r w:rsidRPr="00D57D3D">
        <w:rPr>
          <w:bCs/>
          <w:szCs w:val="22"/>
        </w:rPr>
        <w:t>and</w:t>
      </w:r>
      <w:r w:rsidR="00BD5190" w:rsidRPr="00D57D3D">
        <w:rPr>
          <w:bCs/>
          <w:szCs w:val="22"/>
        </w:rPr>
        <w:t xml:space="preserve"> revised </w:t>
      </w:r>
      <w:r w:rsidRPr="00D57D3D">
        <w:rPr>
          <w:bCs/>
          <w:szCs w:val="22"/>
        </w:rPr>
        <w:t>national policies and strategies under re</w:t>
      </w:r>
      <w:r w:rsidR="006771E1">
        <w:rPr>
          <w:bCs/>
          <w:szCs w:val="22"/>
        </w:rPr>
        <w:t xml:space="preserve">sult 1 (see chapter </w:t>
      </w:r>
      <w:r w:rsidR="006771E1" w:rsidRPr="006771E1">
        <w:rPr>
          <w:bCs/>
          <w:i/>
          <w:szCs w:val="22"/>
        </w:rPr>
        <w:lastRenderedPageBreak/>
        <w:t>2.1.4. Eligible actions: actions for which an application may be made</w:t>
      </w:r>
      <w:r w:rsidR="006771E1">
        <w:rPr>
          <w:bCs/>
          <w:szCs w:val="22"/>
        </w:rPr>
        <w:t xml:space="preserve">, section: </w:t>
      </w:r>
      <w:r w:rsidR="006771E1" w:rsidRPr="006771E1">
        <w:rPr>
          <w:bCs/>
          <w:szCs w:val="22"/>
        </w:rPr>
        <w:t xml:space="preserve"> </w:t>
      </w:r>
      <w:r w:rsidR="006771E1" w:rsidRPr="006771E1">
        <w:rPr>
          <w:bCs/>
          <w:i/>
          <w:szCs w:val="22"/>
        </w:rPr>
        <w:t>Financial</w:t>
      </w:r>
      <w:r w:rsidR="00D57D3D" w:rsidRPr="006771E1">
        <w:rPr>
          <w:bCs/>
          <w:i/>
          <w:szCs w:val="22"/>
        </w:rPr>
        <w:t xml:space="preserve"> support to third parties under</w:t>
      </w:r>
      <w:r w:rsidR="006771E1">
        <w:rPr>
          <w:bCs/>
          <w:szCs w:val="22"/>
        </w:rPr>
        <w:t>)</w:t>
      </w:r>
    </w:p>
    <w:p w14:paraId="49E79262" w14:textId="7EDE5252" w:rsidR="009E2A53" w:rsidRPr="00D57D3D" w:rsidRDefault="009E2A53" w:rsidP="00D57D3D">
      <w:pPr>
        <w:pStyle w:val="ListParagraph"/>
        <w:numPr>
          <w:ilvl w:val="0"/>
          <w:numId w:val="40"/>
        </w:numPr>
        <w:rPr>
          <w:bCs/>
          <w:szCs w:val="22"/>
        </w:rPr>
      </w:pPr>
      <w:r w:rsidRPr="00D57D3D">
        <w:rPr>
          <w:bCs/>
          <w:szCs w:val="22"/>
        </w:rPr>
        <w:t>Pro</w:t>
      </w:r>
      <w:r w:rsidR="00130AF8" w:rsidRPr="00D57D3D">
        <w:rPr>
          <w:bCs/>
          <w:szCs w:val="22"/>
        </w:rPr>
        <w:t>viding all necessary conditions</w:t>
      </w:r>
      <w:r w:rsidR="008B606C" w:rsidRPr="00D57D3D">
        <w:rPr>
          <w:bCs/>
          <w:szCs w:val="22"/>
        </w:rPr>
        <w:t xml:space="preserve"> securing</w:t>
      </w:r>
      <w:r w:rsidRPr="00D57D3D">
        <w:rPr>
          <w:bCs/>
          <w:szCs w:val="22"/>
        </w:rPr>
        <w:t xml:space="preserve"> successful application</w:t>
      </w:r>
      <w:r w:rsidR="00313B4A" w:rsidRPr="00D57D3D">
        <w:rPr>
          <w:bCs/>
          <w:szCs w:val="22"/>
        </w:rPr>
        <w:t xml:space="preserve"> by</w:t>
      </w:r>
      <w:r w:rsidR="006D0EC0" w:rsidRPr="00D57D3D">
        <w:rPr>
          <w:bCs/>
          <w:szCs w:val="22"/>
          <w:lang w:val="sr-Cyrl-RS"/>
        </w:rPr>
        <w:t xml:space="preserve"> </w:t>
      </w:r>
      <w:r w:rsidRPr="00D57D3D">
        <w:rPr>
          <w:bCs/>
          <w:szCs w:val="22"/>
        </w:rPr>
        <w:t>SMEs and clusters</w:t>
      </w:r>
      <w:r w:rsidR="00EC744B">
        <w:rPr>
          <w:rStyle w:val="FootnoteReference"/>
          <w:bCs/>
          <w:szCs w:val="22"/>
        </w:rPr>
        <w:footnoteReference w:id="14"/>
      </w:r>
      <w:r w:rsidR="006D0EC0" w:rsidRPr="00D57D3D">
        <w:rPr>
          <w:bCs/>
          <w:szCs w:val="22"/>
          <w:lang w:val="sr-Cyrl-RS"/>
        </w:rPr>
        <w:t xml:space="preserve"> </w:t>
      </w:r>
      <w:r w:rsidR="008B606C" w:rsidRPr="00D57D3D">
        <w:rPr>
          <w:bCs/>
          <w:szCs w:val="22"/>
        </w:rPr>
        <w:t>within pilot Support Grant Scheme for SMEs and clusters</w:t>
      </w:r>
      <w:r w:rsidR="001862B7" w:rsidRPr="00D57D3D">
        <w:rPr>
          <w:bCs/>
          <w:szCs w:val="22"/>
          <w:lang w:val="en-US"/>
        </w:rPr>
        <w:t>:</w:t>
      </w:r>
    </w:p>
    <w:p w14:paraId="53E7923E" w14:textId="6DB6F733" w:rsidR="009E2A53" w:rsidRPr="001E1E01" w:rsidRDefault="009E2A53" w:rsidP="001E1E01">
      <w:pPr>
        <w:pStyle w:val="ListParagraph"/>
        <w:numPr>
          <w:ilvl w:val="0"/>
          <w:numId w:val="32"/>
        </w:numPr>
        <w:rPr>
          <w:bCs/>
          <w:szCs w:val="22"/>
        </w:rPr>
      </w:pPr>
      <w:r w:rsidRPr="001E1E01">
        <w:rPr>
          <w:bCs/>
          <w:szCs w:val="22"/>
        </w:rPr>
        <w:t>Workshops</w:t>
      </w:r>
      <w:r w:rsidR="00DD01BB" w:rsidRPr="001E1E01">
        <w:rPr>
          <w:bCs/>
          <w:szCs w:val="22"/>
        </w:rPr>
        <w:t xml:space="preserve"> for potential </w:t>
      </w:r>
      <w:r w:rsidR="009112A4" w:rsidRPr="001E1E01">
        <w:rPr>
          <w:bCs/>
          <w:szCs w:val="22"/>
        </w:rPr>
        <w:t>applicants</w:t>
      </w:r>
      <w:r w:rsidR="006D0EC0">
        <w:rPr>
          <w:bCs/>
          <w:szCs w:val="22"/>
          <w:lang w:val="sr-Cyrl-RS"/>
        </w:rPr>
        <w:t xml:space="preserve"> </w:t>
      </w:r>
      <w:r w:rsidRPr="001E1E01">
        <w:rPr>
          <w:bCs/>
          <w:szCs w:val="22"/>
        </w:rPr>
        <w:t>in order to</w:t>
      </w:r>
      <w:r w:rsidR="006D0EC0">
        <w:rPr>
          <w:bCs/>
          <w:szCs w:val="22"/>
          <w:lang w:val="sr-Cyrl-RS"/>
        </w:rPr>
        <w:t xml:space="preserve"> </w:t>
      </w:r>
      <w:r w:rsidRPr="001E1E01">
        <w:rPr>
          <w:bCs/>
          <w:szCs w:val="22"/>
        </w:rPr>
        <w:t xml:space="preserve">submit </w:t>
      </w:r>
      <w:r w:rsidR="00E552F4" w:rsidRPr="001E1E01">
        <w:rPr>
          <w:bCs/>
          <w:szCs w:val="22"/>
        </w:rPr>
        <w:t>project proposals in terms</w:t>
      </w:r>
      <w:r w:rsidR="006D0EC0">
        <w:rPr>
          <w:bCs/>
          <w:szCs w:val="22"/>
          <w:lang w:val="sr-Cyrl-RS"/>
        </w:rPr>
        <w:t xml:space="preserve"> </w:t>
      </w:r>
      <w:r w:rsidR="00E552F4" w:rsidRPr="001E1E01">
        <w:rPr>
          <w:bCs/>
          <w:szCs w:val="22"/>
        </w:rPr>
        <w:t xml:space="preserve">of </w:t>
      </w:r>
      <w:r w:rsidRPr="001E1E01">
        <w:rPr>
          <w:bCs/>
          <w:szCs w:val="22"/>
        </w:rPr>
        <w:t>quality</w:t>
      </w:r>
      <w:r w:rsidR="00E552F4" w:rsidRPr="001E1E01">
        <w:rPr>
          <w:bCs/>
          <w:szCs w:val="22"/>
        </w:rPr>
        <w:t xml:space="preserve"> required;</w:t>
      </w:r>
    </w:p>
    <w:p w14:paraId="75E229CA" w14:textId="7F2F5249" w:rsidR="00E552F4" w:rsidRPr="00E552F4" w:rsidRDefault="009E2A53" w:rsidP="00345D21">
      <w:pPr>
        <w:pStyle w:val="ListParagraph"/>
        <w:numPr>
          <w:ilvl w:val="1"/>
          <w:numId w:val="29"/>
        </w:numPr>
        <w:rPr>
          <w:bCs/>
          <w:szCs w:val="22"/>
        </w:rPr>
      </w:pPr>
      <w:r>
        <w:rPr>
          <w:bCs/>
          <w:szCs w:val="22"/>
        </w:rPr>
        <w:t>I</w:t>
      </w:r>
      <w:r w:rsidR="00B61E6E">
        <w:rPr>
          <w:bCs/>
          <w:szCs w:val="22"/>
        </w:rPr>
        <w:t xml:space="preserve">nformation sessions </w:t>
      </w:r>
      <w:r>
        <w:rPr>
          <w:bCs/>
          <w:szCs w:val="22"/>
        </w:rPr>
        <w:t xml:space="preserve">following the </w:t>
      </w:r>
      <w:r w:rsidR="003C7FC7">
        <w:rPr>
          <w:bCs/>
          <w:szCs w:val="22"/>
        </w:rPr>
        <w:t xml:space="preserve">publication of the call for proposals </w:t>
      </w:r>
      <w:r w:rsidR="00E552F4">
        <w:rPr>
          <w:bCs/>
          <w:szCs w:val="22"/>
        </w:rPr>
        <w:t xml:space="preserve">which will be held in </w:t>
      </w:r>
      <w:r w:rsidR="001862B7">
        <w:rPr>
          <w:bCs/>
          <w:szCs w:val="22"/>
        </w:rPr>
        <w:t>at least</w:t>
      </w:r>
      <w:r w:rsidR="00DD01BB">
        <w:rPr>
          <w:bCs/>
          <w:szCs w:val="22"/>
        </w:rPr>
        <w:t xml:space="preserve"> six</w:t>
      </w:r>
      <w:r w:rsidR="00E552F4">
        <w:rPr>
          <w:bCs/>
          <w:szCs w:val="22"/>
        </w:rPr>
        <w:t xml:space="preserve"> largest</w:t>
      </w:r>
      <w:r w:rsidR="006D0EC0">
        <w:rPr>
          <w:bCs/>
          <w:szCs w:val="22"/>
          <w:lang w:val="sr-Cyrl-RS"/>
        </w:rPr>
        <w:t xml:space="preserve"> </w:t>
      </w:r>
      <w:r w:rsidR="00E552F4">
        <w:rPr>
          <w:bCs/>
          <w:szCs w:val="22"/>
        </w:rPr>
        <w:t>municip</w:t>
      </w:r>
      <w:r w:rsidR="009112A4">
        <w:rPr>
          <w:bCs/>
          <w:szCs w:val="22"/>
        </w:rPr>
        <w:t>alities</w:t>
      </w:r>
      <w:r w:rsidR="00E552F4">
        <w:rPr>
          <w:bCs/>
          <w:szCs w:val="22"/>
        </w:rPr>
        <w:t>;</w:t>
      </w:r>
    </w:p>
    <w:p w14:paraId="006A1F5A" w14:textId="7C3FE4F3" w:rsidR="00E552F4" w:rsidRPr="00E552F4" w:rsidRDefault="00E552F4" w:rsidP="00345D21">
      <w:pPr>
        <w:pStyle w:val="ListParagraph"/>
        <w:numPr>
          <w:ilvl w:val="1"/>
          <w:numId w:val="29"/>
        </w:numPr>
        <w:rPr>
          <w:bCs/>
          <w:szCs w:val="22"/>
        </w:rPr>
      </w:pPr>
      <w:r>
        <w:t>Defining clear and precise selection criteria</w:t>
      </w:r>
      <w:r w:rsidR="008B606C">
        <w:t xml:space="preserve"> based on the</w:t>
      </w:r>
      <w:r w:rsidR="001862B7">
        <w:t xml:space="preserve"> </w:t>
      </w:r>
      <w:r w:rsidR="008B606C">
        <w:t>degree of improvement of business performance, productivity and profitability</w:t>
      </w:r>
      <w:r>
        <w:t>;</w:t>
      </w:r>
    </w:p>
    <w:p w14:paraId="024161A4" w14:textId="3A3F42E7" w:rsidR="009112A4" w:rsidRDefault="00E552F4" w:rsidP="00345D21">
      <w:pPr>
        <w:pStyle w:val="ListParagraph"/>
        <w:numPr>
          <w:ilvl w:val="1"/>
          <w:numId w:val="29"/>
        </w:numPr>
        <w:rPr>
          <w:bCs/>
          <w:szCs w:val="22"/>
        </w:rPr>
      </w:pPr>
      <w:r>
        <w:rPr>
          <w:bCs/>
          <w:szCs w:val="22"/>
        </w:rPr>
        <w:t>Providing assistance</w:t>
      </w:r>
      <w:r w:rsidR="009112A4" w:rsidRPr="00E552F4">
        <w:rPr>
          <w:bCs/>
          <w:szCs w:val="22"/>
        </w:rPr>
        <w:t xml:space="preserve"> in</w:t>
      </w:r>
      <w:r>
        <w:rPr>
          <w:bCs/>
          <w:szCs w:val="22"/>
        </w:rPr>
        <w:t xml:space="preserve"> the</w:t>
      </w:r>
      <w:r w:rsidR="006D0EC0">
        <w:rPr>
          <w:bCs/>
          <w:szCs w:val="22"/>
          <w:lang w:val="sr-Cyrl-RS"/>
        </w:rPr>
        <w:t xml:space="preserve"> </w:t>
      </w:r>
      <w:r>
        <w:rPr>
          <w:bCs/>
          <w:szCs w:val="22"/>
        </w:rPr>
        <w:t>evaluation of grant applications;</w:t>
      </w:r>
    </w:p>
    <w:p w14:paraId="214B8EEC" w14:textId="77777777" w:rsidR="00E552F4" w:rsidRPr="00E552F4" w:rsidRDefault="00E552F4" w:rsidP="00345D21">
      <w:pPr>
        <w:pStyle w:val="ListParagraph"/>
        <w:numPr>
          <w:ilvl w:val="1"/>
          <w:numId w:val="29"/>
        </w:numPr>
        <w:rPr>
          <w:bCs/>
          <w:szCs w:val="22"/>
        </w:rPr>
      </w:pPr>
      <w:r>
        <w:rPr>
          <w:bCs/>
          <w:szCs w:val="22"/>
        </w:rPr>
        <w:t>Monitoring the implementation of the grants</w:t>
      </w:r>
      <w:r w:rsidR="00313B4A">
        <w:rPr>
          <w:bCs/>
          <w:szCs w:val="22"/>
        </w:rPr>
        <w:t xml:space="preserve"> based on developed indicators</w:t>
      </w:r>
      <w:r>
        <w:rPr>
          <w:bCs/>
          <w:szCs w:val="22"/>
        </w:rPr>
        <w:t>;</w:t>
      </w:r>
    </w:p>
    <w:p w14:paraId="6AB6B781" w14:textId="747A388F" w:rsidR="00421818" w:rsidRPr="006771E1" w:rsidRDefault="004A033E" w:rsidP="00D57D3D">
      <w:pPr>
        <w:pStyle w:val="ListParagraph"/>
        <w:numPr>
          <w:ilvl w:val="0"/>
          <w:numId w:val="40"/>
        </w:numPr>
        <w:rPr>
          <w:bCs/>
          <w:szCs w:val="22"/>
        </w:rPr>
      </w:pPr>
      <w:r w:rsidRPr="006771E1">
        <w:rPr>
          <w:bCs/>
          <w:szCs w:val="22"/>
        </w:rPr>
        <w:t xml:space="preserve">Assistance </w:t>
      </w:r>
      <w:r w:rsidR="00421818" w:rsidRPr="006771E1">
        <w:rPr>
          <w:bCs/>
          <w:szCs w:val="22"/>
        </w:rPr>
        <w:t>in preparation of IPA projects</w:t>
      </w:r>
      <w:r w:rsidR="001D7884" w:rsidRPr="006771E1">
        <w:rPr>
          <w:bCs/>
          <w:szCs w:val="22"/>
        </w:rPr>
        <w:t xml:space="preserve"> for cluster development</w:t>
      </w:r>
      <w:r w:rsidR="00A133E3" w:rsidRPr="006771E1">
        <w:rPr>
          <w:bCs/>
          <w:szCs w:val="22"/>
          <w:lang w:val="sr-Cyrl-RS"/>
        </w:rPr>
        <w:t xml:space="preserve"> </w:t>
      </w:r>
      <w:r w:rsidR="00421818" w:rsidRPr="006771E1">
        <w:rPr>
          <w:bCs/>
          <w:szCs w:val="22"/>
        </w:rPr>
        <w:t>including</w:t>
      </w:r>
      <w:r w:rsidR="001D7884" w:rsidRPr="006771E1">
        <w:rPr>
          <w:bCs/>
          <w:szCs w:val="22"/>
        </w:rPr>
        <w:t>:</w:t>
      </w:r>
    </w:p>
    <w:p w14:paraId="7EAAB127" w14:textId="70D9449E" w:rsidR="00421818" w:rsidRPr="00421818" w:rsidRDefault="00421818" w:rsidP="00345D21">
      <w:pPr>
        <w:pStyle w:val="ListParagraph"/>
        <w:numPr>
          <w:ilvl w:val="1"/>
          <w:numId w:val="30"/>
        </w:numPr>
        <w:rPr>
          <w:b/>
          <w:bCs/>
          <w:szCs w:val="22"/>
        </w:rPr>
      </w:pPr>
      <w:r>
        <w:rPr>
          <w:bCs/>
          <w:szCs w:val="22"/>
        </w:rPr>
        <w:t>Workshops for</w:t>
      </w:r>
      <w:r w:rsidR="00A133E3">
        <w:rPr>
          <w:bCs/>
          <w:szCs w:val="22"/>
          <w:lang w:val="sr-Cyrl-RS"/>
        </w:rPr>
        <w:t xml:space="preserve"> </w:t>
      </w:r>
      <w:r>
        <w:rPr>
          <w:bCs/>
          <w:szCs w:val="22"/>
        </w:rPr>
        <w:t xml:space="preserve">project proposals </w:t>
      </w:r>
      <w:r w:rsidR="008B606C">
        <w:rPr>
          <w:bCs/>
          <w:szCs w:val="22"/>
        </w:rPr>
        <w:t xml:space="preserve">preparation </w:t>
      </w:r>
      <w:r>
        <w:rPr>
          <w:bCs/>
          <w:szCs w:val="22"/>
        </w:rPr>
        <w:t>and drafting application forms;</w:t>
      </w:r>
    </w:p>
    <w:p w14:paraId="755B333B" w14:textId="0C3EE0E9" w:rsidR="00421818" w:rsidRPr="00421818" w:rsidRDefault="00421818" w:rsidP="00345D21">
      <w:pPr>
        <w:pStyle w:val="ListParagraph"/>
        <w:numPr>
          <w:ilvl w:val="1"/>
          <w:numId w:val="30"/>
        </w:numPr>
        <w:rPr>
          <w:b/>
          <w:bCs/>
          <w:szCs w:val="22"/>
        </w:rPr>
      </w:pPr>
      <w:r>
        <w:rPr>
          <w:bCs/>
          <w:szCs w:val="22"/>
        </w:rPr>
        <w:t>Assistance for implementation of the projects</w:t>
      </w:r>
      <w:r w:rsidR="00A133E3">
        <w:rPr>
          <w:bCs/>
          <w:szCs w:val="22"/>
          <w:lang w:val="sr-Cyrl-RS"/>
        </w:rPr>
        <w:t xml:space="preserve"> </w:t>
      </w:r>
      <w:r>
        <w:rPr>
          <w:bCs/>
          <w:szCs w:val="22"/>
        </w:rPr>
        <w:t xml:space="preserve">targeting </w:t>
      </w:r>
      <w:r w:rsidR="008B606C">
        <w:rPr>
          <w:bCs/>
          <w:szCs w:val="22"/>
        </w:rPr>
        <w:t>potential and existing project assist</w:t>
      </w:r>
      <w:r w:rsidR="0086092D">
        <w:rPr>
          <w:bCs/>
          <w:szCs w:val="22"/>
        </w:rPr>
        <w:t>a</w:t>
      </w:r>
      <w:r w:rsidR="008B606C">
        <w:rPr>
          <w:bCs/>
          <w:szCs w:val="22"/>
        </w:rPr>
        <w:t>nts, coordinators and managers</w:t>
      </w:r>
      <w:r w:rsidR="001D7884" w:rsidRPr="00552611">
        <w:rPr>
          <w:bCs/>
          <w:szCs w:val="22"/>
        </w:rPr>
        <w:t>;</w:t>
      </w:r>
    </w:p>
    <w:p w14:paraId="46C94742" w14:textId="77777777" w:rsidR="001D7884" w:rsidRPr="001E2CF5" w:rsidRDefault="00421818" w:rsidP="00345D21">
      <w:pPr>
        <w:pStyle w:val="ListParagraph"/>
        <w:numPr>
          <w:ilvl w:val="1"/>
          <w:numId w:val="30"/>
        </w:numPr>
        <w:rPr>
          <w:b/>
          <w:bCs/>
          <w:szCs w:val="22"/>
        </w:rPr>
      </w:pPr>
      <w:r>
        <w:rPr>
          <w:bCs/>
          <w:szCs w:val="22"/>
        </w:rPr>
        <w:t>Provision</w:t>
      </w:r>
      <w:r w:rsidR="001D7884" w:rsidRPr="00552611">
        <w:rPr>
          <w:bCs/>
          <w:szCs w:val="22"/>
        </w:rPr>
        <w:t xml:space="preserve"> of one-by-one tailored support to project preparation.</w:t>
      </w:r>
    </w:p>
    <w:p w14:paraId="32BF8D50" w14:textId="77777777" w:rsidR="00313B4A" w:rsidRPr="00A93B2C" w:rsidRDefault="001D7884" w:rsidP="00D57D3D">
      <w:pPr>
        <w:pStyle w:val="ListParagraph"/>
        <w:numPr>
          <w:ilvl w:val="0"/>
          <w:numId w:val="40"/>
        </w:numPr>
        <w:rPr>
          <w:bCs/>
          <w:szCs w:val="22"/>
        </w:rPr>
      </w:pPr>
      <w:r w:rsidRPr="00A93B2C">
        <w:rPr>
          <w:bCs/>
          <w:szCs w:val="22"/>
        </w:rPr>
        <w:t>Training Programme for Clusters</w:t>
      </w:r>
    </w:p>
    <w:p w14:paraId="799D03D6" w14:textId="28D8D614" w:rsidR="00313B4A" w:rsidRPr="007E4989" w:rsidRDefault="00C43D51" w:rsidP="007E4989">
      <w:pPr>
        <w:pStyle w:val="ListParagraph"/>
        <w:numPr>
          <w:ilvl w:val="1"/>
          <w:numId w:val="30"/>
        </w:numPr>
        <w:rPr>
          <w:b/>
          <w:bCs/>
          <w:szCs w:val="22"/>
        </w:rPr>
      </w:pPr>
      <w:r>
        <w:rPr>
          <w:bCs/>
          <w:szCs w:val="22"/>
        </w:rPr>
        <w:t>T</w:t>
      </w:r>
      <w:r w:rsidR="001D7884" w:rsidRPr="00DF6915">
        <w:rPr>
          <w:bCs/>
          <w:szCs w:val="22"/>
        </w:rPr>
        <w:t>raining sessions for cluster managers/potential cluster managers and operational staff of cluster governance structures</w:t>
      </w:r>
    </w:p>
    <w:p w14:paraId="76C830C1" w14:textId="7FDE9608" w:rsidR="000C0BAB" w:rsidRPr="002B3CFB" w:rsidRDefault="00C43D51" w:rsidP="002B3CFB">
      <w:pPr>
        <w:pStyle w:val="ListParagraph"/>
        <w:numPr>
          <w:ilvl w:val="1"/>
          <w:numId w:val="30"/>
        </w:numPr>
        <w:rPr>
          <w:b/>
          <w:bCs/>
          <w:szCs w:val="22"/>
        </w:rPr>
      </w:pPr>
      <w:r>
        <w:rPr>
          <w:bCs/>
          <w:szCs w:val="22"/>
        </w:rPr>
        <w:t>A</w:t>
      </w:r>
      <w:r w:rsidR="001D7884" w:rsidRPr="00DF6915">
        <w:rPr>
          <w:bCs/>
          <w:szCs w:val="22"/>
        </w:rPr>
        <w:t>ny other training on topics identified as relevant by TNA.</w:t>
      </w:r>
      <w:r w:rsidR="000C0BAB" w:rsidRPr="002B3CFB">
        <w:rPr>
          <w:szCs w:val="22"/>
          <w:u w:val="single"/>
        </w:rPr>
        <w:br w:type="page"/>
      </w:r>
    </w:p>
    <w:p w14:paraId="621D2EC8" w14:textId="77777777" w:rsidR="0023018A" w:rsidRPr="00807DAF" w:rsidRDefault="00266BD4" w:rsidP="006B6048">
      <w:pPr>
        <w:rPr>
          <w:szCs w:val="22"/>
          <w:u w:val="single"/>
        </w:rPr>
      </w:pPr>
      <w:r w:rsidRPr="00807DAF">
        <w:rPr>
          <w:szCs w:val="22"/>
          <w:u w:val="single"/>
        </w:rPr>
        <w:lastRenderedPageBreak/>
        <w:t>Financial support to third parties</w:t>
      </w:r>
      <w:r w:rsidR="00DB06F5" w:rsidRPr="00807DAF">
        <w:rPr>
          <w:rStyle w:val="FootnoteReference"/>
          <w:szCs w:val="22"/>
          <w:u w:val="single"/>
        </w:rPr>
        <w:footnoteReference w:id="15"/>
      </w:r>
    </w:p>
    <w:p w14:paraId="1498AC17" w14:textId="6CCCB300" w:rsidR="001D2DF3" w:rsidRPr="00807DAF" w:rsidRDefault="003F04E9" w:rsidP="00C90F08">
      <w:r w:rsidRPr="00AE7044">
        <w:t>A</w:t>
      </w:r>
      <w:r w:rsidR="001D0C7B" w:rsidRPr="00AE7044">
        <w:t>pplicant</w:t>
      </w:r>
      <w:r w:rsidRPr="00AE7044">
        <w:t>s</w:t>
      </w:r>
      <w:r w:rsidR="00A133E3">
        <w:rPr>
          <w:lang w:val="sr-Cyrl-RS"/>
        </w:rPr>
        <w:t xml:space="preserve"> </w:t>
      </w:r>
      <w:r w:rsidR="007E1BE2" w:rsidRPr="00AE7044">
        <w:t>may</w:t>
      </w:r>
      <w:r w:rsidR="00A133E3">
        <w:rPr>
          <w:lang w:val="sr-Cyrl-RS"/>
        </w:rPr>
        <w:t xml:space="preserve"> </w:t>
      </w:r>
      <w:r w:rsidR="0023018A" w:rsidRPr="008503BC">
        <w:t xml:space="preserve">propose </w:t>
      </w:r>
      <w:r w:rsidR="007E1BE2" w:rsidRPr="008503BC">
        <w:t xml:space="preserve">financial support to third </w:t>
      </w:r>
      <w:r w:rsidR="00107C6D" w:rsidRPr="008503BC">
        <w:t>parties</w:t>
      </w:r>
      <w:r w:rsidR="002E283D">
        <w:t xml:space="preserve"> in order to help achieving the objectives of the action.</w:t>
      </w:r>
    </w:p>
    <w:p w14:paraId="363DBB49" w14:textId="7946A4FA" w:rsidR="00D57D3D" w:rsidRPr="00D57D3D" w:rsidRDefault="007E1BE2" w:rsidP="009B6884">
      <w:r w:rsidRPr="00AE7044">
        <w:t xml:space="preserve">The maximum amount of </w:t>
      </w:r>
      <w:r w:rsidR="003477DE" w:rsidRPr="00AE7044">
        <w:t>financial support</w:t>
      </w:r>
      <w:r w:rsidR="00A133E3">
        <w:rPr>
          <w:lang w:val="sr-Cyrl-RS"/>
        </w:rPr>
        <w:t xml:space="preserve"> </w:t>
      </w:r>
      <w:r w:rsidR="00A07623" w:rsidRPr="00AE7044">
        <w:t xml:space="preserve">per third party </w:t>
      </w:r>
      <w:r w:rsidRPr="00AE7044">
        <w:t>is</w:t>
      </w:r>
      <w:r w:rsidR="004A033E">
        <w:t xml:space="preserve"> </w:t>
      </w:r>
      <w:r w:rsidR="00A96820" w:rsidRPr="00A96820">
        <w:t>€</w:t>
      </w:r>
      <w:r w:rsidR="00A801C6">
        <w:t xml:space="preserve"> </w:t>
      </w:r>
      <w:r w:rsidRPr="00AE7044">
        <w:t>60</w:t>
      </w:r>
      <w:r w:rsidR="00A96820">
        <w:t>,</w:t>
      </w:r>
      <w:r w:rsidRPr="00AE7044">
        <w:t>000</w:t>
      </w:r>
      <w:r w:rsidR="00AE7044" w:rsidRPr="00AE7044">
        <w:t>.</w:t>
      </w:r>
    </w:p>
    <w:p w14:paraId="0CC4F5A8" w14:textId="746E4180" w:rsidR="00700AF2" w:rsidRPr="00807DAF" w:rsidRDefault="005D15E9" w:rsidP="00517ECD">
      <w:r w:rsidRPr="00AE7044">
        <w:t xml:space="preserve">Under this </w:t>
      </w:r>
      <w:r w:rsidR="003B254C" w:rsidRPr="00AE7044">
        <w:t>c</w:t>
      </w:r>
      <w:r w:rsidRPr="00AE7044">
        <w:t>all, f</w:t>
      </w:r>
      <w:r w:rsidR="00266BD4" w:rsidRPr="00AE7044">
        <w:t>inancial support to third parties</w:t>
      </w:r>
      <w:r w:rsidR="00A133E3">
        <w:rPr>
          <w:lang w:val="sr-Cyrl-RS"/>
        </w:rPr>
        <w:t xml:space="preserve"> </w:t>
      </w:r>
      <w:r w:rsidR="007E1BE2" w:rsidRPr="00AE7044">
        <w:t>may not be the main purpose of the action.</w:t>
      </w:r>
    </w:p>
    <w:p w14:paraId="7B10EE64" w14:textId="5F38BE23" w:rsidR="00700AF2" w:rsidRPr="00AE7044" w:rsidRDefault="00700AF2" w:rsidP="00700AF2">
      <w:pPr>
        <w:rPr>
          <w:szCs w:val="22"/>
        </w:rPr>
      </w:pPr>
      <w:r w:rsidRPr="00AE7044">
        <w:rPr>
          <w:szCs w:val="22"/>
        </w:rPr>
        <w:t xml:space="preserve">In compliance with the present guidelines and notably of any conditions or restrictions </w:t>
      </w:r>
      <w:r w:rsidR="00F72D70" w:rsidRPr="00AE7044">
        <w:rPr>
          <w:szCs w:val="22"/>
        </w:rPr>
        <w:t>in this section</w:t>
      </w:r>
      <w:r w:rsidRPr="00AE7044">
        <w:rPr>
          <w:szCs w:val="22"/>
        </w:rPr>
        <w:t>,</w:t>
      </w:r>
      <w:r w:rsidR="00F72E51" w:rsidRPr="00AE7044">
        <w:rPr>
          <w:szCs w:val="22"/>
        </w:rPr>
        <w:t xml:space="preserve"> the</w:t>
      </w:r>
      <w:r w:rsidR="004A1F53">
        <w:rPr>
          <w:szCs w:val="22"/>
        </w:rPr>
        <w:t xml:space="preserve"> </w:t>
      </w:r>
      <w:r w:rsidR="00B114D9" w:rsidRPr="00AE7044">
        <w:rPr>
          <w:szCs w:val="22"/>
        </w:rPr>
        <w:t xml:space="preserve">lead </w:t>
      </w:r>
      <w:r w:rsidRPr="00AE7044">
        <w:rPr>
          <w:szCs w:val="22"/>
        </w:rPr>
        <w:t>applicant sh</w:t>
      </w:r>
      <w:r w:rsidR="0002374A" w:rsidRPr="00AE7044">
        <w:rPr>
          <w:szCs w:val="22"/>
        </w:rPr>
        <w:t>ould</w:t>
      </w:r>
      <w:r w:rsidRPr="00AE7044">
        <w:rPr>
          <w:szCs w:val="22"/>
        </w:rPr>
        <w:t xml:space="preserve"> define mandatorily in section 2.1.1 of the grant application form: </w:t>
      </w:r>
    </w:p>
    <w:p w14:paraId="539673A7" w14:textId="77777777" w:rsidR="00700AF2" w:rsidRPr="00AE7044" w:rsidRDefault="00700AF2" w:rsidP="00345D21">
      <w:pPr>
        <w:numPr>
          <w:ilvl w:val="0"/>
          <w:numId w:val="18"/>
        </w:numPr>
        <w:tabs>
          <w:tab w:val="left" w:pos="851"/>
        </w:tabs>
        <w:ind w:left="851" w:hanging="425"/>
        <w:rPr>
          <w:szCs w:val="22"/>
        </w:rPr>
      </w:pPr>
      <w:r w:rsidRPr="00AE7044">
        <w:rPr>
          <w:szCs w:val="22"/>
        </w:rPr>
        <w:t xml:space="preserve">the objectives and results to be obtained with the financial support </w:t>
      </w:r>
    </w:p>
    <w:p w14:paraId="4DDFBB4A" w14:textId="77777777" w:rsidR="00700AF2" w:rsidRPr="00AE7044" w:rsidRDefault="00700AF2" w:rsidP="00345D21">
      <w:pPr>
        <w:numPr>
          <w:ilvl w:val="0"/>
          <w:numId w:val="18"/>
        </w:numPr>
        <w:tabs>
          <w:tab w:val="left" w:pos="851"/>
        </w:tabs>
        <w:ind w:left="851" w:hanging="425"/>
        <w:rPr>
          <w:szCs w:val="22"/>
        </w:rPr>
      </w:pPr>
      <w:r w:rsidRPr="00AE7044">
        <w:rPr>
          <w:szCs w:val="22"/>
        </w:rPr>
        <w:t xml:space="preserve">the different types of activities eligible for financial support, on the basis of a fixed list </w:t>
      </w:r>
    </w:p>
    <w:p w14:paraId="1B20D5C2" w14:textId="77777777" w:rsidR="00700AF2" w:rsidRPr="00AE7044" w:rsidRDefault="00700AF2" w:rsidP="00345D21">
      <w:pPr>
        <w:numPr>
          <w:ilvl w:val="0"/>
          <w:numId w:val="18"/>
        </w:numPr>
        <w:tabs>
          <w:tab w:val="left" w:pos="851"/>
        </w:tabs>
        <w:ind w:left="851" w:hanging="425"/>
        <w:rPr>
          <w:szCs w:val="22"/>
        </w:rPr>
      </w:pPr>
      <w:r w:rsidRPr="00AE7044">
        <w:rPr>
          <w:szCs w:val="22"/>
        </w:rPr>
        <w:t>t</w:t>
      </w:r>
      <w:r w:rsidR="00EC744B">
        <w:rPr>
          <w:szCs w:val="22"/>
        </w:rPr>
        <w:t xml:space="preserve">he types of  entities (SMEs and Clusters) </w:t>
      </w:r>
      <w:r w:rsidRPr="00AE7044">
        <w:rPr>
          <w:szCs w:val="22"/>
        </w:rPr>
        <w:t xml:space="preserve">which may receive financial support  </w:t>
      </w:r>
    </w:p>
    <w:p w14:paraId="55B53F14" w14:textId="77777777" w:rsidR="00700AF2" w:rsidRPr="00AE7044" w:rsidRDefault="00700AF2" w:rsidP="004741A1">
      <w:pPr>
        <w:tabs>
          <w:tab w:val="left" w:pos="851"/>
        </w:tabs>
        <w:ind w:left="851" w:hanging="425"/>
        <w:rPr>
          <w:szCs w:val="22"/>
        </w:rPr>
      </w:pPr>
      <w:r w:rsidRPr="00AE7044">
        <w:rPr>
          <w:szCs w:val="22"/>
        </w:rPr>
        <w:t>(iv)</w:t>
      </w:r>
      <w:r w:rsidR="00D97BE7" w:rsidRPr="00AE7044">
        <w:rPr>
          <w:szCs w:val="22"/>
        </w:rPr>
        <w:tab/>
      </w:r>
      <w:proofErr w:type="gramStart"/>
      <w:r w:rsidRPr="00AE7044">
        <w:rPr>
          <w:szCs w:val="22"/>
        </w:rPr>
        <w:t>the</w:t>
      </w:r>
      <w:proofErr w:type="gramEnd"/>
      <w:r w:rsidRPr="00AE7044">
        <w:rPr>
          <w:szCs w:val="22"/>
        </w:rPr>
        <w:t xml:space="preserve"> criteria for selecting these entities and giving the financial support  </w:t>
      </w:r>
    </w:p>
    <w:p w14:paraId="2541C6AC" w14:textId="77777777" w:rsidR="00700AF2" w:rsidRPr="00AE7044" w:rsidRDefault="00700AF2" w:rsidP="00345D21">
      <w:pPr>
        <w:numPr>
          <w:ilvl w:val="0"/>
          <w:numId w:val="19"/>
        </w:numPr>
        <w:tabs>
          <w:tab w:val="left" w:pos="851"/>
        </w:tabs>
        <w:ind w:left="851" w:hanging="425"/>
        <w:rPr>
          <w:szCs w:val="22"/>
        </w:rPr>
      </w:pPr>
      <w:r w:rsidRPr="00AE7044">
        <w:rPr>
          <w:szCs w:val="22"/>
        </w:rPr>
        <w:t xml:space="preserve">the criteria for determining the exact amount of financial support for each third entity, and </w:t>
      </w:r>
    </w:p>
    <w:p w14:paraId="676F773E" w14:textId="77777777" w:rsidR="00700AF2" w:rsidRPr="00AE7044" w:rsidRDefault="00700AF2" w:rsidP="00345D21">
      <w:pPr>
        <w:numPr>
          <w:ilvl w:val="0"/>
          <w:numId w:val="19"/>
        </w:numPr>
        <w:tabs>
          <w:tab w:val="left" w:pos="851"/>
        </w:tabs>
        <w:ind w:left="851" w:hanging="425"/>
        <w:rPr>
          <w:szCs w:val="22"/>
        </w:rPr>
      </w:pPr>
      <w:proofErr w:type="gramStart"/>
      <w:r w:rsidRPr="00AE7044">
        <w:rPr>
          <w:szCs w:val="22"/>
        </w:rPr>
        <w:t>the</w:t>
      </w:r>
      <w:proofErr w:type="gramEnd"/>
      <w:r w:rsidRPr="00AE7044">
        <w:rPr>
          <w:szCs w:val="22"/>
        </w:rPr>
        <w:t xml:space="preserve"> maximum amount which may be given.</w:t>
      </w:r>
    </w:p>
    <w:p w14:paraId="3A3E7FA8" w14:textId="1EE3253A" w:rsidR="00517ECD" w:rsidRDefault="00700AF2" w:rsidP="00517ECD">
      <w:pPr>
        <w:rPr>
          <w:szCs w:val="22"/>
          <w:u w:val="single"/>
        </w:rPr>
      </w:pPr>
      <w:r w:rsidRPr="00AE7044">
        <w:rPr>
          <w:szCs w:val="22"/>
          <w:u w:val="single"/>
        </w:rPr>
        <w:t>In all events, the mandatory conditions set above for giving financial support (points (</w:t>
      </w:r>
      <w:proofErr w:type="spellStart"/>
      <w:r w:rsidRPr="00AE7044">
        <w:rPr>
          <w:szCs w:val="22"/>
          <w:u w:val="single"/>
        </w:rPr>
        <w:t>i</w:t>
      </w:r>
      <w:proofErr w:type="spellEnd"/>
      <w:r w:rsidRPr="00AE7044">
        <w:rPr>
          <w:szCs w:val="22"/>
          <w:u w:val="single"/>
        </w:rPr>
        <w:t>) to (vi)) have to be strictly defined in the</w:t>
      </w:r>
      <w:r w:rsidR="004A1F53">
        <w:rPr>
          <w:szCs w:val="22"/>
          <w:u w:val="single"/>
        </w:rPr>
        <w:t xml:space="preserve"> </w:t>
      </w:r>
      <w:r w:rsidR="003B254C" w:rsidRPr="00AE7044">
        <w:rPr>
          <w:szCs w:val="22"/>
          <w:u w:val="single"/>
        </w:rPr>
        <w:t>g</w:t>
      </w:r>
      <w:r w:rsidR="00A155DA" w:rsidRPr="00AE7044">
        <w:rPr>
          <w:szCs w:val="22"/>
          <w:u w:val="single"/>
        </w:rPr>
        <w:t xml:space="preserve">rant </w:t>
      </w:r>
      <w:r w:rsidR="003B254C" w:rsidRPr="00AE7044">
        <w:rPr>
          <w:szCs w:val="22"/>
          <w:u w:val="single"/>
        </w:rPr>
        <w:t>c</w:t>
      </w:r>
      <w:r w:rsidRPr="00AE7044">
        <w:rPr>
          <w:szCs w:val="22"/>
          <w:u w:val="single"/>
        </w:rPr>
        <w:t>ontract as to avoid any exercise of discretion.</w:t>
      </w:r>
    </w:p>
    <w:p w14:paraId="6E0C54B6" w14:textId="77777777" w:rsidR="00D57D3D" w:rsidRPr="000C0BAB" w:rsidRDefault="00D57D3D" w:rsidP="00D57D3D">
      <w:pPr>
        <w:ind w:left="360"/>
        <w:rPr>
          <w:bCs/>
          <w:szCs w:val="22"/>
          <w:lang w:val="sr-Cyrl-RS"/>
        </w:rPr>
      </w:pPr>
      <w:r w:rsidRPr="000C0BAB">
        <w:rPr>
          <w:bCs/>
          <w:szCs w:val="22"/>
          <w:lang w:val="en-US"/>
        </w:rPr>
        <w:t>Types of activities eligible for financial support</w:t>
      </w:r>
      <w:r w:rsidRPr="000C0BAB">
        <w:rPr>
          <w:bCs/>
          <w:szCs w:val="22"/>
          <w:lang w:val="sr-Cyrl-RS"/>
        </w:rPr>
        <w:t xml:space="preserve"> </w:t>
      </w:r>
      <w:r w:rsidRPr="000C0BAB">
        <w:rPr>
          <w:bCs/>
          <w:szCs w:val="22"/>
          <w:lang w:val="en-US"/>
        </w:rPr>
        <w:t>are</w:t>
      </w:r>
      <w:r>
        <w:rPr>
          <w:bCs/>
          <w:szCs w:val="22"/>
          <w:lang w:val="sr-Cyrl-RS"/>
        </w:rPr>
        <w:t>:</w:t>
      </w:r>
    </w:p>
    <w:p w14:paraId="6A1ABCFB" w14:textId="77777777" w:rsidR="00D57D3D" w:rsidRDefault="00D57D3D" w:rsidP="00D57D3D">
      <w:pPr>
        <w:ind w:left="360" w:firstLine="360"/>
        <w:rPr>
          <w:bCs/>
          <w:szCs w:val="22"/>
          <w:u w:val="single"/>
        </w:rPr>
      </w:pPr>
      <w:r>
        <w:rPr>
          <w:bCs/>
          <w:szCs w:val="22"/>
          <w:lang w:val="en-US"/>
        </w:rPr>
        <w:t>- I</w:t>
      </w:r>
      <w:r w:rsidRPr="008B606C">
        <w:rPr>
          <w:bCs/>
          <w:szCs w:val="22"/>
          <w:lang w:val="en-US"/>
        </w:rPr>
        <w:t xml:space="preserve">ntroduction of </w:t>
      </w:r>
      <w:r w:rsidRPr="008B606C">
        <w:rPr>
          <w:bCs/>
          <w:szCs w:val="22"/>
        </w:rPr>
        <w:t>internationally recognised</w:t>
      </w:r>
      <w:r>
        <w:rPr>
          <w:bCs/>
          <w:szCs w:val="22"/>
        </w:rPr>
        <w:t xml:space="preserve"> </w:t>
      </w:r>
      <w:r w:rsidRPr="008B606C">
        <w:rPr>
          <w:bCs/>
          <w:szCs w:val="22"/>
          <w:lang w:val="en-US"/>
        </w:rPr>
        <w:t>standards,</w:t>
      </w:r>
    </w:p>
    <w:p w14:paraId="1ED0D48F" w14:textId="77777777" w:rsidR="00D57D3D" w:rsidRDefault="00D57D3D" w:rsidP="00D57D3D">
      <w:pPr>
        <w:ind w:left="360" w:firstLine="360"/>
        <w:rPr>
          <w:bCs/>
          <w:szCs w:val="22"/>
          <w:lang w:val="en-US"/>
        </w:rPr>
      </w:pPr>
      <w:r w:rsidRPr="00F02ACE">
        <w:rPr>
          <w:bCs/>
          <w:szCs w:val="22"/>
        </w:rPr>
        <w:t>-</w:t>
      </w:r>
      <w:r>
        <w:rPr>
          <w:bCs/>
          <w:szCs w:val="22"/>
          <w:lang w:val="sr-Cyrl-RS"/>
        </w:rPr>
        <w:t xml:space="preserve"> </w:t>
      </w:r>
      <w:r>
        <w:rPr>
          <w:bCs/>
          <w:szCs w:val="22"/>
        </w:rPr>
        <w:t>Q</w:t>
      </w:r>
      <w:r w:rsidRPr="008B606C">
        <w:rPr>
          <w:bCs/>
          <w:szCs w:val="22"/>
        </w:rPr>
        <w:t>uality management,</w:t>
      </w:r>
    </w:p>
    <w:p w14:paraId="4C773097" w14:textId="77777777" w:rsidR="00D57D3D" w:rsidRDefault="00D57D3D" w:rsidP="00D57D3D">
      <w:pPr>
        <w:ind w:left="360" w:firstLine="360"/>
        <w:rPr>
          <w:bCs/>
          <w:szCs w:val="22"/>
          <w:lang w:val="en-US"/>
        </w:rPr>
      </w:pPr>
      <w:r>
        <w:rPr>
          <w:bCs/>
          <w:szCs w:val="22"/>
          <w:lang w:val="en-US"/>
        </w:rPr>
        <w:t xml:space="preserve">- </w:t>
      </w:r>
      <w:r>
        <w:rPr>
          <w:bCs/>
          <w:szCs w:val="22"/>
        </w:rPr>
        <w:t>E</w:t>
      </w:r>
      <w:r w:rsidRPr="008B606C">
        <w:rPr>
          <w:bCs/>
          <w:szCs w:val="22"/>
        </w:rPr>
        <w:t>nergy saving technologies</w:t>
      </w:r>
      <w:r w:rsidRPr="008B606C">
        <w:rPr>
          <w:bCs/>
          <w:szCs w:val="22"/>
          <w:lang w:val="en-US"/>
        </w:rPr>
        <w:t>,</w:t>
      </w:r>
    </w:p>
    <w:p w14:paraId="138FE501" w14:textId="77777777" w:rsidR="00D57D3D" w:rsidRDefault="00D57D3D" w:rsidP="00D57D3D">
      <w:pPr>
        <w:ind w:left="360" w:firstLine="360"/>
        <w:rPr>
          <w:bCs/>
          <w:szCs w:val="22"/>
          <w:lang w:val="en-US"/>
        </w:rPr>
      </w:pPr>
      <w:r>
        <w:rPr>
          <w:bCs/>
          <w:szCs w:val="22"/>
          <w:lang w:val="en-US"/>
        </w:rPr>
        <w:t>- S</w:t>
      </w:r>
      <w:r w:rsidRPr="008B606C">
        <w:rPr>
          <w:bCs/>
          <w:szCs w:val="22"/>
          <w:lang w:val="en-US"/>
        </w:rPr>
        <w:t>trengthening of innovative potential in SMEs,</w:t>
      </w:r>
    </w:p>
    <w:p w14:paraId="12510A2B" w14:textId="77777777" w:rsidR="00D57D3D" w:rsidRPr="000C0BAB" w:rsidRDefault="00D57D3D" w:rsidP="00D57D3D">
      <w:pPr>
        <w:ind w:left="360" w:firstLine="360"/>
        <w:rPr>
          <w:bCs/>
          <w:szCs w:val="22"/>
          <w:lang w:val="sr-Cyrl-RS"/>
        </w:rPr>
      </w:pPr>
      <w:r>
        <w:rPr>
          <w:bCs/>
          <w:szCs w:val="22"/>
          <w:lang w:val="en-US"/>
        </w:rPr>
        <w:t>- I</w:t>
      </w:r>
      <w:r w:rsidRPr="008B606C">
        <w:rPr>
          <w:bCs/>
          <w:szCs w:val="22"/>
          <w:lang w:val="en-US"/>
        </w:rPr>
        <w:t>ndustry modernization</w:t>
      </w:r>
      <w:r>
        <w:rPr>
          <w:bCs/>
          <w:szCs w:val="22"/>
          <w:lang w:val="sr-Cyrl-RS"/>
        </w:rPr>
        <w:t>,</w:t>
      </w:r>
    </w:p>
    <w:p w14:paraId="49FFCCF1" w14:textId="77777777" w:rsidR="00D57D3D" w:rsidRPr="007E4989" w:rsidRDefault="00D57D3D" w:rsidP="00D57D3D">
      <w:pPr>
        <w:ind w:left="360" w:firstLine="360"/>
        <w:rPr>
          <w:bCs/>
          <w:szCs w:val="22"/>
          <w:lang w:val="en-US"/>
        </w:rPr>
      </w:pPr>
      <w:r>
        <w:rPr>
          <w:bCs/>
          <w:szCs w:val="22"/>
          <w:lang w:val="en-US"/>
        </w:rPr>
        <w:t>- O</w:t>
      </w:r>
      <w:r w:rsidRPr="008B606C">
        <w:rPr>
          <w:bCs/>
          <w:szCs w:val="22"/>
          <w:lang w:val="en-US"/>
        </w:rPr>
        <w:t xml:space="preserve">ther activities that can be categorized as productively efficient and competitively effective. </w:t>
      </w:r>
    </w:p>
    <w:p w14:paraId="0AB42CB9" w14:textId="5A128D93" w:rsidR="00EC744B" w:rsidRDefault="00EC744B" w:rsidP="00517ECD">
      <w:pPr>
        <w:rPr>
          <w:b/>
          <w:szCs w:val="22"/>
        </w:rPr>
      </w:pPr>
      <w:r w:rsidRPr="00EC744B">
        <w:rPr>
          <w:b/>
          <w:szCs w:val="22"/>
        </w:rPr>
        <w:t>Only for activities under Result 3:</w:t>
      </w:r>
      <w:r w:rsidR="004A033E">
        <w:rPr>
          <w:b/>
          <w:szCs w:val="22"/>
        </w:rPr>
        <w:t xml:space="preserve"> </w:t>
      </w:r>
      <w:r w:rsidR="00D76F58" w:rsidRPr="00D76F58">
        <w:rPr>
          <w:b/>
          <w:szCs w:val="22"/>
        </w:rPr>
        <w:t>Strengthened competitiveness and innovation of clusters and business entities, improved business performance, productivity and profitability</w:t>
      </w:r>
      <w:r w:rsidRPr="00EC744B">
        <w:rPr>
          <w:b/>
          <w:szCs w:val="22"/>
        </w:rPr>
        <w:t>, applicants may propose financial support to third parties.</w:t>
      </w:r>
    </w:p>
    <w:p w14:paraId="2633F346" w14:textId="77777777" w:rsidR="00D57D3D" w:rsidRDefault="00D57D3D" w:rsidP="00517ECD">
      <w:pPr>
        <w:rPr>
          <w:szCs w:val="22"/>
          <w:u w:val="single"/>
        </w:rPr>
      </w:pPr>
    </w:p>
    <w:p w14:paraId="3D245CC5" w14:textId="77777777" w:rsidR="00107C6D" w:rsidRPr="00807DAF" w:rsidRDefault="00107C6D" w:rsidP="004B7BC2">
      <w:pPr>
        <w:keepNext/>
        <w:rPr>
          <w:szCs w:val="22"/>
          <w:u w:val="single"/>
        </w:rPr>
      </w:pPr>
      <w:r w:rsidRPr="00807DAF">
        <w:rPr>
          <w:szCs w:val="22"/>
          <w:u w:val="single"/>
        </w:rPr>
        <w:t>Visibility</w:t>
      </w:r>
    </w:p>
    <w:p w14:paraId="3707C7CF" w14:textId="77777777" w:rsidR="00622160" w:rsidRPr="00807DAF" w:rsidRDefault="00622160" w:rsidP="00622160">
      <w:r w:rsidRPr="00807DAF">
        <w:t xml:space="preserve">The </w:t>
      </w:r>
      <w:r w:rsidR="003B254C">
        <w:t>a</w:t>
      </w:r>
      <w:r w:rsidRPr="00807DAF">
        <w:t xml:space="preserve">pplicants must take all necessary steps to publicise the fact that the European Union has financed or co-financed the </w:t>
      </w:r>
      <w:r w:rsidR="00466C25">
        <w:t>a</w:t>
      </w:r>
      <w:r w:rsidRPr="00807DAF">
        <w:t>ction. As far as possible, actions that are wholly or partially funded by the European Union must incorporate information and communication activities designed to raise the awareness of specific or general audiences of the reasons for the action and the EU support for the action in the country or region concerned, as well as the results and the impact of this support.</w:t>
      </w:r>
    </w:p>
    <w:p w14:paraId="40892CA9" w14:textId="45D0E028" w:rsidR="00572B45" w:rsidRPr="0060510D" w:rsidRDefault="00EE729B" w:rsidP="006B6048">
      <w:r w:rsidRPr="00807DAF">
        <w:lastRenderedPageBreak/>
        <w:t>A</w:t>
      </w:r>
      <w:r w:rsidR="002A4866" w:rsidRPr="00807DAF">
        <w:t>pplicant</w:t>
      </w:r>
      <w:r w:rsidRPr="00807DAF">
        <w:t>s</w:t>
      </w:r>
      <w:r w:rsidR="002A4866" w:rsidRPr="00807DAF">
        <w:t xml:space="preserve"> must comply with the objectives and priorities and guarantee the visibility of the EU</w:t>
      </w:r>
      <w:r w:rsidR="004A033E">
        <w:t xml:space="preserve"> </w:t>
      </w:r>
      <w:r w:rsidR="002A4866" w:rsidRPr="00807DAF">
        <w:t xml:space="preserve">financing (see the Communication and Visibility Manual for EU external actions </w:t>
      </w:r>
      <w:r w:rsidR="009F1A11" w:rsidRPr="00807DAF">
        <w:t>specified</w:t>
      </w:r>
      <w:r w:rsidR="002A4866" w:rsidRPr="00807DAF">
        <w:t xml:space="preserve"> and published by the European Commission at </w:t>
      </w:r>
      <w:hyperlink r:id="rId15" w:history="1">
        <w:r w:rsidR="009C7178" w:rsidRPr="00FE3AC1">
          <w:rPr>
            <w:rStyle w:val="Hyperlink"/>
          </w:rPr>
          <w:t>http://ec.europa.eu/europeaid/funding/communication-and-visibility-manual-eu-external-actions_en</w:t>
        </w:r>
      </w:hyperlink>
      <w:r w:rsidR="002A4866" w:rsidRPr="00807DAF">
        <w:t>).</w:t>
      </w:r>
    </w:p>
    <w:p w14:paraId="69832EC7" w14:textId="77777777" w:rsidR="0007408E" w:rsidRPr="00807DAF" w:rsidRDefault="0007408E" w:rsidP="006B6048">
      <w:pPr>
        <w:rPr>
          <w:u w:val="single"/>
        </w:rPr>
      </w:pPr>
      <w:r w:rsidRPr="00807DAF">
        <w:rPr>
          <w:u w:val="single"/>
        </w:rPr>
        <w:t xml:space="preserve">Number of </w:t>
      </w:r>
      <w:r w:rsidR="006459C5" w:rsidRPr="00807DAF">
        <w:rPr>
          <w:u w:val="single"/>
        </w:rPr>
        <w:t>application</w:t>
      </w:r>
      <w:r w:rsidRPr="00807DAF">
        <w:rPr>
          <w:u w:val="single"/>
        </w:rPr>
        <w:t>s and grants per applicant</w:t>
      </w:r>
      <w:r w:rsidR="00FA2479" w:rsidRPr="00807DAF">
        <w:rPr>
          <w:u w:val="single"/>
        </w:rPr>
        <w:t>s</w:t>
      </w:r>
      <w:r w:rsidR="00646638">
        <w:rPr>
          <w:u w:val="single"/>
        </w:rPr>
        <w:t xml:space="preserve"> / affiliated entities</w:t>
      </w:r>
    </w:p>
    <w:p w14:paraId="68A66AE5" w14:textId="0A3DC11B" w:rsidR="0007408E" w:rsidRPr="00807DAF" w:rsidRDefault="006A36F9" w:rsidP="006B6048">
      <w:r w:rsidRPr="00807DAF">
        <w:t xml:space="preserve">The </w:t>
      </w:r>
      <w:r w:rsidR="00B114D9">
        <w:t>lead a</w:t>
      </w:r>
      <w:r w:rsidR="0007408E" w:rsidRPr="00807DAF">
        <w:t xml:space="preserve">pplicant </w:t>
      </w:r>
      <w:r w:rsidR="0007408E" w:rsidRPr="00622927">
        <w:rPr>
          <w:b/>
        </w:rPr>
        <w:t>may not</w:t>
      </w:r>
      <w:r w:rsidR="00A133E3">
        <w:rPr>
          <w:b/>
          <w:lang w:val="sr-Cyrl-RS"/>
        </w:rPr>
        <w:t xml:space="preserve"> </w:t>
      </w:r>
      <w:r w:rsidR="00C175CE" w:rsidRPr="00807DAF">
        <w:t xml:space="preserve">submit more than </w:t>
      </w:r>
      <w:r w:rsidR="00AE7044">
        <w:t>one</w:t>
      </w:r>
      <w:r w:rsidR="00A133E3">
        <w:rPr>
          <w:lang w:val="sr-Cyrl-RS"/>
        </w:rPr>
        <w:t xml:space="preserve"> </w:t>
      </w:r>
      <w:r w:rsidR="006459C5" w:rsidRPr="00807DAF">
        <w:t>application</w:t>
      </w:r>
      <w:r w:rsidR="00E359F9" w:rsidRPr="00807DAF">
        <w:t xml:space="preserve"> under this </w:t>
      </w:r>
      <w:r w:rsidR="00466C25">
        <w:t>c</w:t>
      </w:r>
      <w:r w:rsidR="001D0C7B" w:rsidRPr="00807DAF">
        <w:t xml:space="preserve">all for </w:t>
      </w:r>
      <w:r w:rsidR="00466C25">
        <w:t>p</w:t>
      </w:r>
      <w:r w:rsidR="001D0C7B" w:rsidRPr="00807DAF">
        <w:t>roposals</w:t>
      </w:r>
      <w:r w:rsidR="00E359F9" w:rsidRPr="00807DAF">
        <w:t>.</w:t>
      </w:r>
    </w:p>
    <w:p w14:paraId="535FD4E4" w14:textId="77777777" w:rsidR="00622927" w:rsidRPr="00807DAF" w:rsidRDefault="00622927" w:rsidP="00622927">
      <w:r w:rsidRPr="00807DAF">
        <w:t xml:space="preserve">The </w:t>
      </w:r>
      <w:r>
        <w:t>lead a</w:t>
      </w:r>
      <w:r w:rsidRPr="00807DAF">
        <w:t xml:space="preserve">pplicant </w:t>
      </w:r>
      <w:r w:rsidRPr="00244C27">
        <w:rPr>
          <w:b/>
        </w:rPr>
        <w:t>may not</w:t>
      </w:r>
      <w:r w:rsidRPr="00807DAF">
        <w:t xml:space="preserve"> be awarded more than </w:t>
      </w:r>
      <w:r>
        <w:t>one</w:t>
      </w:r>
      <w:r w:rsidRPr="00807DAF">
        <w:t xml:space="preserve"> grant under this </w:t>
      </w:r>
      <w:r>
        <w:t>c</w:t>
      </w:r>
      <w:r w:rsidRPr="00807DAF">
        <w:t xml:space="preserve">all for </w:t>
      </w:r>
      <w:r>
        <w:t>p</w:t>
      </w:r>
      <w:r w:rsidRPr="00807DAF">
        <w:t>roposals.</w:t>
      </w:r>
    </w:p>
    <w:p w14:paraId="1E7718C7" w14:textId="7E25EA4B" w:rsidR="00622927" w:rsidRPr="00807DAF" w:rsidRDefault="00622927" w:rsidP="00622927">
      <w:r w:rsidRPr="00807DAF">
        <w:t xml:space="preserve">The </w:t>
      </w:r>
      <w:r>
        <w:t>lead a</w:t>
      </w:r>
      <w:r w:rsidRPr="00807DAF">
        <w:t xml:space="preserve">pplicant </w:t>
      </w:r>
      <w:r w:rsidRPr="00244C27">
        <w:rPr>
          <w:b/>
        </w:rPr>
        <w:t>may not</w:t>
      </w:r>
      <w:r w:rsidR="00A133E3">
        <w:rPr>
          <w:b/>
          <w:lang w:val="sr-Cyrl-RS"/>
        </w:rPr>
        <w:t xml:space="preserve"> </w:t>
      </w:r>
      <w:r w:rsidRPr="00807DAF">
        <w:t xml:space="preserve">be </w:t>
      </w:r>
      <w:r w:rsidRPr="008503BC">
        <w:t>a co-applicant or an affiliated entity</w:t>
      </w:r>
      <w:r w:rsidRPr="00807DAF">
        <w:t xml:space="preserve"> in another application at the same time.</w:t>
      </w:r>
    </w:p>
    <w:p w14:paraId="59FE5DFD" w14:textId="77777777" w:rsidR="00622927" w:rsidRPr="00807DAF" w:rsidRDefault="00622927" w:rsidP="00622927">
      <w:r w:rsidRPr="00807DAF">
        <w:t xml:space="preserve">A co-applicant/affiliated entity </w:t>
      </w:r>
      <w:r w:rsidRPr="00244C27">
        <w:rPr>
          <w:b/>
        </w:rPr>
        <w:t>may not</w:t>
      </w:r>
      <w:r>
        <w:t xml:space="preserve"> be the co-applicant or an affiliated entity in </w:t>
      </w:r>
      <w:r w:rsidRPr="00807DAF">
        <w:t xml:space="preserve">more than </w:t>
      </w:r>
      <w:r>
        <w:t>one</w:t>
      </w:r>
      <w:r w:rsidRPr="00807DAF">
        <w:t xml:space="preserve"> application under this </w:t>
      </w:r>
      <w:r>
        <w:t>c</w:t>
      </w:r>
      <w:r w:rsidRPr="00807DAF">
        <w:t xml:space="preserve">all for </w:t>
      </w:r>
      <w:r>
        <w:t>p</w:t>
      </w:r>
      <w:r w:rsidRPr="00807DAF">
        <w:t>roposals.</w:t>
      </w:r>
    </w:p>
    <w:p w14:paraId="0E6888A2" w14:textId="77777777" w:rsidR="00622927" w:rsidRPr="00807DAF" w:rsidRDefault="00622927" w:rsidP="00622927">
      <w:r w:rsidRPr="00807DAF">
        <w:t xml:space="preserve">A co-applicant/affiliated entity </w:t>
      </w:r>
      <w:r w:rsidRPr="00244C27">
        <w:rPr>
          <w:b/>
        </w:rPr>
        <w:t>may not</w:t>
      </w:r>
      <w:r w:rsidRPr="00807DAF">
        <w:t xml:space="preserve"> be awarded more than </w:t>
      </w:r>
      <w:r>
        <w:t>one grant</w:t>
      </w:r>
      <w:r w:rsidRPr="00807DAF">
        <w:t xml:space="preserve"> under this </w:t>
      </w:r>
      <w:r>
        <w:t>c</w:t>
      </w:r>
      <w:r w:rsidRPr="00807DAF">
        <w:t xml:space="preserve">all for </w:t>
      </w:r>
      <w:r>
        <w:t>p</w:t>
      </w:r>
      <w:r w:rsidRPr="00807DAF">
        <w:t>roposals.</w:t>
      </w:r>
    </w:p>
    <w:p w14:paraId="5B4E5A89" w14:textId="79342EA0" w:rsidR="0007408E" w:rsidRPr="00807DAF" w:rsidRDefault="0007408E" w:rsidP="004B7BC2">
      <w:pPr>
        <w:pStyle w:val="Guidelines3"/>
      </w:pPr>
      <w:bookmarkStart w:id="14" w:name="_Toc502218267"/>
      <w:r w:rsidRPr="00807DAF">
        <w:t xml:space="preserve">Eligibility of costs: costs </w:t>
      </w:r>
      <w:r w:rsidR="00302E84" w:rsidRPr="00807DAF">
        <w:t>that can</w:t>
      </w:r>
      <w:r w:rsidR="003137E2" w:rsidRPr="00807DAF">
        <w:t xml:space="preserve"> be</w:t>
      </w:r>
      <w:r w:rsidR="004A033E">
        <w:t xml:space="preserve"> </w:t>
      </w:r>
      <w:r w:rsidR="00A575A2" w:rsidRPr="00807DAF">
        <w:t>included</w:t>
      </w:r>
      <w:bookmarkEnd w:id="14"/>
    </w:p>
    <w:p w14:paraId="67F40FA3" w14:textId="3DC8D319" w:rsidR="009F4DBB" w:rsidRPr="00807DAF" w:rsidRDefault="0007408E" w:rsidP="006B6048">
      <w:pPr>
        <w:spacing w:before="240"/>
      </w:pPr>
      <w:proofErr w:type="gramStart"/>
      <w:r w:rsidRPr="00807DAF">
        <w:t xml:space="preserve">Only </w:t>
      </w:r>
      <w:r w:rsidR="00A016F9" w:rsidRPr="00807DAF">
        <w:t>‘</w:t>
      </w:r>
      <w:r w:rsidR="00356DFC" w:rsidRPr="00807DAF">
        <w:t>eligible costs</w:t>
      </w:r>
      <w:r w:rsidR="00A016F9" w:rsidRPr="00807DAF">
        <w:t>’</w:t>
      </w:r>
      <w:r w:rsidR="004A033E">
        <w:t xml:space="preserve"> </w:t>
      </w:r>
      <w:r w:rsidRPr="00807DAF">
        <w:t xml:space="preserve">can be </w:t>
      </w:r>
      <w:r w:rsidR="000B1032" w:rsidRPr="00807DAF">
        <w:t>covered by</w:t>
      </w:r>
      <w:r w:rsidRPr="00807DAF">
        <w:t xml:space="preserve"> a grant.</w:t>
      </w:r>
      <w:proofErr w:type="gramEnd"/>
      <w:r w:rsidRPr="00807DAF">
        <w:t xml:space="preserve"> The</w:t>
      </w:r>
      <w:r w:rsidR="000735EC" w:rsidRPr="00807DAF">
        <w:t xml:space="preserve"> categories of costs </w:t>
      </w:r>
      <w:r w:rsidR="00A575A2" w:rsidRPr="00807DAF">
        <w:t>that are</w:t>
      </w:r>
      <w:r w:rsidR="000735EC" w:rsidRPr="00807DAF">
        <w:t xml:space="preserve"> eligible and non-eligible are indicated below.</w:t>
      </w:r>
      <w:r w:rsidR="004A033E">
        <w:t xml:space="preserve"> </w:t>
      </w:r>
      <w:r w:rsidRPr="00807DAF">
        <w:t>The budget is both a cost estimate and a</w:t>
      </w:r>
      <w:r w:rsidR="009444A8" w:rsidRPr="00807DAF">
        <w:t>n</w:t>
      </w:r>
      <w:r w:rsidR="004A033E">
        <w:t xml:space="preserve"> </w:t>
      </w:r>
      <w:r w:rsidR="009444A8" w:rsidRPr="00807DAF">
        <w:t xml:space="preserve">overall </w:t>
      </w:r>
      <w:r w:rsidRPr="00807DAF">
        <w:t xml:space="preserve">ceiling for </w:t>
      </w:r>
      <w:r w:rsidR="00A016F9" w:rsidRPr="00807DAF">
        <w:t>‘</w:t>
      </w:r>
      <w:r w:rsidRPr="00807DAF">
        <w:t>eligible costs</w:t>
      </w:r>
      <w:r w:rsidR="00A016F9" w:rsidRPr="00807DAF">
        <w:t>’</w:t>
      </w:r>
      <w:r w:rsidRPr="00807DAF">
        <w:t xml:space="preserve">. </w:t>
      </w:r>
    </w:p>
    <w:p w14:paraId="1908C033" w14:textId="77777777" w:rsidR="00B17D2F" w:rsidRPr="00807DAF" w:rsidRDefault="00B17D2F" w:rsidP="006B6048">
      <w:r w:rsidRPr="00807DAF">
        <w:t>The reimbursement of eligible costs may be based on any or a combination of the following forms:</w:t>
      </w:r>
    </w:p>
    <w:p w14:paraId="7FC23226" w14:textId="77777777" w:rsidR="00463413" w:rsidRPr="00807DAF" w:rsidRDefault="00463413" w:rsidP="00345D21">
      <w:pPr>
        <w:numPr>
          <w:ilvl w:val="0"/>
          <w:numId w:val="6"/>
        </w:numPr>
      </w:pPr>
      <w:r w:rsidRPr="00807DAF">
        <w:t>actual costs incurred</w:t>
      </w:r>
      <w:r w:rsidR="001C71F8" w:rsidRPr="00807DAF">
        <w:t xml:space="preserve"> by the </w:t>
      </w:r>
      <w:r w:rsidR="00466C25">
        <w:t>b</w:t>
      </w:r>
      <w:r w:rsidR="001C71F8" w:rsidRPr="00807DAF">
        <w:t>eneficiary(</w:t>
      </w:r>
      <w:proofErr w:type="spellStart"/>
      <w:r w:rsidR="001C71F8" w:rsidRPr="00807DAF">
        <w:t>ies</w:t>
      </w:r>
      <w:proofErr w:type="spellEnd"/>
      <w:r w:rsidR="001C71F8" w:rsidRPr="00807DAF">
        <w:t>) and affiliated entity(</w:t>
      </w:r>
      <w:proofErr w:type="spellStart"/>
      <w:r w:rsidR="001C71F8" w:rsidRPr="00807DAF">
        <w:t>ies</w:t>
      </w:r>
      <w:proofErr w:type="spellEnd"/>
      <w:r w:rsidR="001C71F8" w:rsidRPr="00807DAF">
        <w:t>)</w:t>
      </w:r>
    </w:p>
    <w:p w14:paraId="580AE2E6" w14:textId="77777777" w:rsidR="00B17D2F" w:rsidRPr="00807DAF" w:rsidRDefault="00463413" w:rsidP="00345D21">
      <w:pPr>
        <w:numPr>
          <w:ilvl w:val="0"/>
          <w:numId w:val="6"/>
        </w:numPr>
      </w:pPr>
      <w:proofErr w:type="gramStart"/>
      <w:r w:rsidRPr="00807DAF">
        <w:t>one</w:t>
      </w:r>
      <w:proofErr w:type="gramEnd"/>
      <w:r w:rsidRPr="00807DAF">
        <w:t xml:space="preserve"> or more simplified cost options</w:t>
      </w:r>
      <w:r w:rsidR="00B17D2F" w:rsidRPr="00807DAF">
        <w:t>.</w:t>
      </w:r>
    </w:p>
    <w:p w14:paraId="34AF7E94" w14:textId="77777777" w:rsidR="008109C1" w:rsidRPr="00807DAF" w:rsidRDefault="008109C1" w:rsidP="006B6048">
      <w:pPr>
        <w:rPr>
          <w:b/>
        </w:rPr>
      </w:pPr>
      <w:r w:rsidRPr="00807DAF">
        <w:t>Simplified cost options may take the form of:</w:t>
      </w:r>
    </w:p>
    <w:p w14:paraId="4B97B241" w14:textId="77777777" w:rsidR="008109C1" w:rsidRPr="00807DAF" w:rsidRDefault="008109C1" w:rsidP="00345D21">
      <w:pPr>
        <w:numPr>
          <w:ilvl w:val="0"/>
          <w:numId w:val="7"/>
        </w:numPr>
      </w:pPr>
      <w:proofErr w:type="gramStart"/>
      <w:r w:rsidRPr="00807DAF">
        <w:rPr>
          <w:b/>
        </w:rPr>
        <w:t>unit</w:t>
      </w:r>
      <w:proofErr w:type="gramEnd"/>
      <w:r w:rsidRPr="00807DAF">
        <w:rPr>
          <w:b/>
        </w:rPr>
        <w:t xml:space="preserve"> costs:</w:t>
      </w:r>
      <w:r w:rsidRPr="00807DAF">
        <w:t xml:space="preserve"> covering all or certain specific categories of eligible costs which are clearly identified in advance by reference to an </w:t>
      </w:r>
      <w:r w:rsidRPr="00807DAF">
        <w:rPr>
          <w:u w:val="single"/>
        </w:rPr>
        <w:t>amount per unit</w:t>
      </w:r>
      <w:r w:rsidRPr="00807DAF">
        <w:t>.</w:t>
      </w:r>
    </w:p>
    <w:p w14:paraId="159E5430" w14:textId="77777777" w:rsidR="008109C1" w:rsidRPr="00807DAF" w:rsidRDefault="008109C1" w:rsidP="00345D21">
      <w:pPr>
        <w:numPr>
          <w:ilvl w:val="0"/>
          <w:numId w:val="7"/>
        </w:numPr>
      </w:pPr>
      <w:proofErr w:type="gramStart"/>
      <w:r w:rsidRPr="00807DAF">
        <w:rPr>
          <w:b/>
        </w:rPr>
        <w:t>lump</w:t>
      </w:r>
      <w:proofErr w:type="gramEnd"/>
      <w:r w:rsidRPr="00807DAF">
        <w:rPr>
          <w:b/>
        </w:rPr>
        <w:t xml:space="preserve"> sums: </w:t>
      </w:r>
      <w:r w:rsidRPr="00807DAF">
        <w:t xml:space="preserve">covering in </w:t>
      </w:r>
      <w:r w:rsidRPr="00807DAF">
        <w:rPr>
          <w:u w:val="single"/>
        </w:rPr>
        <w:t>global terms</w:t>
      </w:r>
      <w:r w:rsidRPr="00807DAF">
        <w:t xml:space="preserve"> all or certain specific categories of eligible costs which are clearly identified in advance.</w:t>
      </w:r>
    </w:p>
    <w:p w14:paraId="7610707A" w14:textId="77777777" w:rsidR="00633C06" w:rsidRPr="00807DAF" w:rsidRDefault="008109C1" w:rsidP="00345D21">
      <w:pPr>
        <w:numPr>
          <w:ilvl w:val="0"/>
          <w:numId w:val="7"/>
        </w:numPr>
      </w:pPr>
      <w:proofErr w:type="gramStart"/>
      <w:r w:rsidRPr="00807DAF">
        <w:rPr>
          <w:b/>
        </w:rPr>
        <w:t>flat-rate</w:t>
      </w:r>
      <w:proofErr w:type="gramEnd"/>
      <w:r w:rsidRPr="00807DAF">
        <w:rPr>
          <w:b/>
        </w:rPr>
        <w:t xml:space="preserve"> financing: </w:t>
      </w:r>
      <w:r w:rsidRPr="00807DAF">
        <w:t xml:space="preserve">covering specific categories of eligible costs which are clearly identified in advance by </w:t>
      </w:r>
      <w:r w:rsidRPr="00807DAF">
        <w:rPr>
          <w:u w:val="single"/>
        </w:rPr>
        <w:t>applying a percentage</w:t>
      </w:r>
      <w:r w:rsidRPr="00807DAF">
        <w:t xml:space="preserve"> fixed ex ante.</w:t>
      </w:r>
    </w:p>
    <w:p w14:paraId="6FB7FD9D" w14:textId="0F9A3603" w:rsidR="00633C06" w:rsidRPr="00807DAF" w:rsidRDefault="007E5576" w:rsidP="0068216F">
      <w:r w:rsidRPr="00807DAF">
        <w:t>The amounts</w:t>
      </w:r>
      <w:r w:rsidR="006A7D36" w:rsidRPr="00807DAF">
        <w:t xml:space="preserve"> or rates</w:t>
      </w:r>
      <w:r w:rsidRPr="00807DAF">
        <w:t xml:space="preserve"> have to be based on estimates using objective data such as statistical data or any other objective means or with reference to certified or auditable historical data of the </w:t>
      </w:r>
      <w:r w:rsidR="001C71F8" w:rsidRPr="00807DAF">
        <w:t>a</w:t>
      </w:r>
      <w:r w:rsidRPr="00807DAF">
        <w:t>pplicant</w:t>
      </w:r>
      <w:r w:rsidR="001C71F8" w:rsidRPr="00807DAF">
        <w:t xml:space="preserve">s or the affiliated </w:t>
      </w:r>
      <w:proofErr w:type="gramStart"/>
      <w:r w:rsidR="001C71F8" w:rsidRPr="00807DAF">
        <w:t>entity(</w:t>
      </w:r>
      <w:proofErr w:type="spellStart"/>
      <w:proofErr w:type="gramEnd"/>
      <w:r w:rsidR="001C71F8" w:rsidRPr="00807DAF">
        <w:t>ies</w:t>
      </w:r>
      <w:proofErr w:type="spellEnd"/>
      <w:r w:rsidR="001C71F8" w:rsidRPr="00807DAF">
        <w:t>)</w:t>
      </w:r>
      <w:r w:rsidRPr="00807DAF">
        <w:t>. The methods used to determine the amounts</w:t>
      </w:r>
      <w:r w:rsidR="001C71F8" w:rsidRPr="00807DAF">
        <w:t xml:space="preserve"> or rates</w:t>
      </w:r>
      <w:r w:rsidRPr="00807DAF">
        <w:t xml:space="preserve"> of unit costs, lump sums or flat-rates must comply with the criteria established in Annex </w:t>
      </w:r>
      <w:r w:rsidR="0019373F" w:rsidRPr="00807DAF">
        <w:t>K</w:t>
      </w:r>
      <w:r w:rsidRPr="00807DAF">
        <w:t xml:space="preserve">, and especially ensure that the costs correspond fairly to the actual costs incurred by the </w:t>
      </w:r>
      <w:proofErr w:type="gramStart"/>
      <w:r w:rsidR="00466C25">
        <w:t>b</w:t>
      </w:r>
      <w:r w:rsidR="001C71F8" w:rsidRPr="00807DAF">
        <w:t>eneficiary(</w:t>
      </w:r>
      <w:proofErr w:type="spellStart"/>
      <w:proofErr w:type="gramEnd"/>
      <w:r w:rsidR="001C71F8" w:rsidRPr="00807DAF">
        <w:t>ies</w:t>
      </w:r>
      <w:proofErr w:type="spellEnd"/>
      <w:r w:rsidR="001C71F8" w:rsidRPr="00807DAF">
        <w:t>) and affiliated entity(</w:t>
      </w:r>
      <w:proofErr w:type="spellStart"/>
      <w:r w:rsidR="001C71F8" w:rsidRPr="00807DAF">
        <w:t>ies</w:t>
      </w:r>
      <w:proofErr w:type="spellEnd"/>
      <w:r w:rsidR="001C71F8" w:rsidRPr="00807DAF">
        <w:t>),</w:t>
      </w:r>
      <w:r w:rsidR="0019373F" w:rsidRPr="00807DAF">
        <w:t xml:space="preserve"> are in line with their</w:t>
      </w:r>
      <w:r w:rsidRPr="00807DAF">
        <w:t xml:space="preserve"> accounting practices, no profit is made and the costs are not already covered by other sources of funding (no double funding). </w:t>
      </w:r>
      <w:r w:rsidR="00A02946" w:rsidRPr="00807DAF">
        <w:t xml:space="preserve">Refer to </w:t>
      </w:r>
      <w:r w:rsidRPr="00807DAF">
        <w:t xml:space="preserve">Annex </w:t>
      </w:r>
      <w:r w:rsidR="0019373F" w:rsidRPr="00807DAF">
        <w:t>K</w:t>
      </w:r>
      <w:r w:rsidR="00A133E3">
        <w:rPr>
          <w:lang w:val="sr-Cyrl-RS"/>
        </w:rPr>
        <w:t xml:space="preserve"> </w:t>
      </w:r>
      <w:r w:rsidR="00A02946" w:rsidRPr="00807DAF">
        <w:t>for</w:t>
      </w:r>
      <w:r w:rsidRPr="00807DAF">
        <w:t xml:space="preserve"> directions and a checklist of controls to assess the minimum necessary conditions that provide reasonable assurance for the acceptance of the proposed amounts.</w:t>
      </w:r>
    </w:p>
    <w:p w14:paraId="008975A3" w14:textId="02F6B7BE" w:rsidR="0080592F" w:rsidRPr="00807DAF" w:rsidRDefault="00466C25" w:rsidP="0068216F">
      <w:r>
        <w:t>A</w:t>
      </w:r>
      <w:r w:rsidR="0080592F" w:rsidRPr="00807DAF">
        <w:t>pplicant</w:t>
      </w:r>
      <w:r>
        <w:t>s</w:t>
      </w:r>
      <w:r w:rsidR="0080592F" w:rsidRPr="00807DAF">
        <w:t xml:space="preserve"> proposing this form of reimbursement, must clearly indicate in worksheet no.1 of Annex B, each heading/</w:t>
      </w:r>
      <w:r w:rsidR="00622927" w:rsidRPr="00807DAF">
        <w:t>item of</w:t>
      </w:r>
      <w:r w:rsidR="0080592F" w:rsidRPr="00807DAF">
        <w:t xml:space="preserve"> eligible costs concerned by this type of financing, i.e. add the reference in capital letters to "UNIT </w:t>
      </w:r>
      <w:r w:rsidR="007D1451" w:rsidRPr="00807DAF">
        <w:t>COST</w:t>
      </w:r>
      <w:r w:rsidR="0080592F" w:rsidRPr="00807DAF">
        <w:t xml:space="preserve">" (per month/flight </w:t>
      </w:r>
      <w:r w:rsidR="006A52F4" w:rsidRPr="00807DAF">
        <w:t>etc.</w:t>
      </w:r>
      <w:r w:rsidR="0080592F" w:rsidRPr="00807DAF">
        <w:t>), "LUMP</w:t>
      </w:r>
      <w:r w:rsidR="0086092D">
        <w:t xml:space="preserve"> </w:t>
      </w:r>
      <w:r w:rsidR="0080592F" w:rsidRPr="00807DAF">
        <w:t>SUM"</w:t>
      </w:r>
      <w:r w:rsidR="00633C06">
        <w:t xml:space="preserve">, </w:t>
      </w:r>
      <w:r w:rsidR="0080592F" w:rsidRPr="00807DAF">
        <w:t>"FLAT RATE" in the Unit column (see example in Annex K)</w:t>
      </w:r>
      <w:r w:rsidR="00CC335F">
        <w:t>.</w:t>
      </w:r>
    </w:p>
    <w:p w14:paraId="34729C99" w14:textId="77777777" w:rsidR="00E47803" w:rsidRPr="00807DAF" w:rsidRDefault="006A52F4" w:rsidP="0068216F">
      <w:r w:rsidRPr="00807DAF">
        <w:t>Additionally,</w:t>
      </w:r>
      <w:r w:rsidR="00E47803" w:rsidRPr="00807DAF">
        <w:t xml:space="preserve"> in Annex </w:t>
      </w:r>
      <w:r w:rsidR="001C71F8" w:rsidRPr="00807DAF">
        <w:t>B</w:t>
      </w:r>
      <w:r w:rsidR="00E47803" w:rsidRPr="00807DAF">
        <w:t>, in the second column of worksheet no.2, "Justification of the estimated costs" per each of the corresponding budget item or heading applicant</w:t>
      </w:r>
      <w:r w:rsidR="00466C25">
        <w:t>s</w:t>
      </w:r>
      <w:r w:rsidR="00E47803" w:rsidRPr="00807DAF">
        <w:t xml:space="preserve"> must:</w:t>
      </w:r>
    </w:p>
    <w:p w14:paraId="2BEE5DC5" w14:textId="77777777" w:rsidR="00E47803" w:rsidRPr="00807DAF" w:rsidRDefault="00E47803" w:rsidP="00345D21">
      <w:pPr>
        <w:numPr>
          <w:ilvl w:val="0"/>
          <w:numId w:val="8"/>
        </w:numPr>
      </w:pPr>
      <w:proofErr w:type="gramStart"/>
      <w:r w:rsidRPr="00807DAF">
        <w:lastRenderedPageBreak/>
        <w:t>describe</w:t>
      </w:r>
      <w:proofErr w:type="gramEnd"/>
      <w:r w:rsidRPr="00807DAF">
        <w:t xml:space="preserve"> the information and methods used to establish the amounts of unit costs, lump sums and/or flat-rates, to which costs they refer</w:t>
      </w:r>
      <w:r w:rsidR="0090351E" w:rsidRPr="00807DAF">
        <w:t>, etc.</w:t>
      </w:r>
    </w:p>
    <w:p w14:paraId="729018C8" w14:textId="77777777" w:rsidR="00E47803" w:rsidRPr="00807DAF" w:rsidRDefault="00E47803" w:rsidP="00345D21">
      <w:pPr>
        <w:numPr>
          <w:ilvl w:val="0"/>
          <w:numId w:val="8"/>
        </w:numPr>
        <w:rPr>
          <w:bCs/>
        </w:rPr>
      </w:pPr>
      <w:r w:rsidRPr="00807DAF">
        <w:t>clearly explain the formulas for calculation of the final eligible amount</w:t>
      </w:r>
      <w:r w:rsidRPr="00807DAF">
        <w:rPr>
          <w:rStyle w:val="FootnoteReference"/>
        </w:rPr>
        <w:footnoteReference w:id="16"/>
      </w:r>
    </w:p>
    <w:p w14:paraId="1D139A6C" w14:textId="77777777" w:rsidR="00E47803" w:rsidRPr="00807DAF" w:rsidRDefault="00A02946" w:rsidP="00345D21">
      <w:pPr>
        <w:numPr>
          <w:ilvl w:val="0"/>
          <w:numId w:val="8"/>
        </w:numPr>
      </w:pPr>
      <w:r w:rsidRPr="00807DAF">
        <w:t xml:space="preserve">identify the beneficiary who will use the simplified cost option (in case of affiliated entity, specify first the beneficiary), in order to verify the maximum amount </w:t>
      </w:r>
      <w:r w:rsidR="00E47803" w:rsidRPr="00807DAF">
        <w:t xml:space="preserve">per </w:t>
      </w:r>
      <w:r w:rsidR="001C71F8" w:rsidRPr="00807DAF">
        <w:t xml:space="preserve">each </w:t>
      </w:r>
      <w:r w:rsidR="00E47803" w:rsidRPr="00807DAF">
        <w:t>beneficiary</w:t>
      </w:r>
      <w:r w:rsidR="001C71F8" w:rsidRPr="00807DAF">
        <w:t xml:space="preserve"> (which includ</w:t>
      </w:r>
      <w:r w:rsidR="00625380" w:rsidRPr="00807DAF">
        <w:t xml:space="preserve">es if applicable simplified cost options of </w:t>
      </w:r>
      <w:r w:rsidR="001C71F8" w:rsidRPr="00807DAF">
        <w:t>its affiliated entity(</w:t>
      </w:r>
      <w:proofErr w:type="spellStart"/>
      <w:r w:rsidR="001C71F8" w:rsidRPr="00807DAF">
        <w:t>ies</w:t>
      </w:r>
      <w:proofErr w:type="spellEnd"/>
      <w:r w:rsidR="001C71F8" w:rsidRPr="00807DAF">
        <w:t>))</w:t>
      </w:r>
    </w:p>
    <w:p w14:paraId="1417D05E" w14:textId="77777777" w:rsidR="006A7D36" w:rsidRPr="00807DAF" w:rsidRDefault="006A7D36" w:rsidP="0068216F">
      <w:r w:rsidRPr="00807DAF">
        <w:t>At contracting phase, the Contracting Authority decides whether to accept the proposed amounts or rates on the basis of the provisional budget submitted by the applicant</w:t>
      </w:r>
      <w:r w:rsidR="002C706C">
        <w:t>s</w:t>
      </w:r>
      <w:r w:rsidRPr="00807DAF">
        <w:t>, by analysing factual data of grants carried out by the applicant</w:t>
      </w:r>
      <w:r w:rsidR="002C706C">
        <w:t>s</w:t>
      </w:r>
      <w:r w:rsidRPr="00807DAF">
        <w:t xml:space="preserve"> or of similar actions and by performing checks established by</w:t>
      </w:r>
      <w:r w:rsidR="0019373F" w:rsidRPr="00807DAF">
        <w:t xml:space="preserve"> Annex K</w:t>
      </w:r>
      <w:r w:rsidRPr="00807DAF">
        <w:t xml:space="preserve">. </w:t>
      </w:r>
    </w:p>
    <w:p w14:paraId="70A1634A" w14:textId="77777777" w:rsidR="0069482E" w:rsidRDefault="006A7D36" w:rsidP="0068216F">
      <w:r w:rsidRPr="00807DAF">
        <w:t xml:space="preserve">The total amount of financing on the basis of simplified cost options that can be authorised by the Contracting Authority for any of the applicants individually </w:t>
      </w:r>
      <w:r w:rsidR="00C776EE" w:rsidRPr="00807DAF">
        <w:t xml:space="preserve">(including simplified cost options proposed by their own affiliated entities) </w:t>
      </w:r>
      <w:r w:rsidRPr="00807DAF">
        <w:t xml:space="preserve">cannot exceed </w:t>
      </w:r>
      <w:r w:rsidR="00B51452" w:rsidRPr="00B51452">
        <w:t>€</w:t>
      </w:r>
      <w:r w:rsidRPr="00807DAF">
        <w:t xml:space="preserve">60 000 (the indirect costs </w:t>
      </w:r>
      <w:r w:rsidR="00181D7A" w:rsidRPr="00807DAF">
        <w:t>are not</w:t>
      </w:r>
      <w:r w:rsidRPr="00807DAF">
        <w:t xml:space="preserve"> taken into account).</w:t>
      </w:r>
    </w:p>
    <w:p w14:paraId="7A6AF01C" w14:textId="5C572F6F" w:rsidR="0007408E" w:rsidRPr="00807DAF" w:rsidRDefault="0007408E" w:rsidP="0068216F">
      <w:r w:rsidRPr="00807DAF">
        <w:t>Recommendations to award a grant are always subject to the condition that the check</w:t>
      </w:r>
      <w:r w:rsidR="002E38E4" w:rsidRPr="00807DAF">
        <w:t>s</w:t>
      </w:r>
      <w:r w:rsidRPr="00807DAF">
        <w:t xml:space="preserve"> preced</w:t>
      </w:r>
      <w:r w:rsidR="002E38E4" w:rsidRPr="00807DAF">
        <w:t>ing</w:t>
      </w:r>
      <w:r w:rsidRPr="00807DAF">
        <w:t xml:space="preserve"> the signing of the </w:t>
      </w:r>
      <w:r w:rsidR="00466C25">
        <w:t>g</w:t>
      </w:r>
      <w:r w:rsidR="004F6678">
        <w:t xml:space="preserve">rant </w:t>
      </w:r>
      <w:r w:rsidR="00466C25">
        <w:t>c</w:t>
      </w:r>
      <w:r w:rsidRPr="00807DAF">
        <w:t>ontract do not reveal problems requiring changes to the budget</w:t>
      </w:r>
      <w:r w:rsidR="00A52D95" w:rsidRPr="00807DAF">
        <w:t xml:space="preserve"> (</w:t>
      </w:r>
      <w:r w:rsidR="002E38E4" w:rsidRPr="00807DAF">
        <w:t>such as</w:t>
      </w:r>
      <w:r w:rsidR="00A52D95" w:rsidRPr="00807DAF">
        <w:t xml:space="preserve"> arithmetical errors, inaccuracies</w:t>
      </w:r>
      <w:r w:rsidR="000B1032" w:rsidRPr="00807DAF">
        <w:t>,</w:t>
      </w:r>
      <w:r w:rsidR="00A52D95" w:rsidRPr="00807DAF">
        <w:t xml:space="preserve"> unrealistic c</w:t>
      </w:r>
      <w:r w:rsidR="00D7610D" w:rsidRPr="00807DAF">
        <w:t>osts and ineligible costs</w:t>
      </w:r>
      <w:r w:rsidR="00A52D95" w:rsidRPr="00807DAF">
        <w:t>)</w:t>
      </w:r>
      <w:r w:rsidRPr="00807DAF">
        <w:t xml:space="preserve">. The checks may give rise to requests for clarification and may lead the </w:t>
      </w:r>
      <w:r w:rsidR="002E4196" w:rsidRPr="00807DAF">
        <w:t>C</w:t>
      </w:r>
      <w:r w:rsidRPr="00807DAF">
        <w:t xml:space="preserve">ontracting </w:t>
      </w:r>
      <w:r w:rsidR="002E4196" w:rsidRPr="00807DAF">
        <w:t>A</w:t>
      </w:r>
      <w:r w:rsidRPr="00807DAF">
        <w:t xml:space="preserve">uthority to impose </w:t>
      </w:r>
      <w:r w:rsidR="00CE18C9" w:rsidRPr="00807DAF">
        <w:t xml:space="preserve">modifications or </w:t>
      </w:r>
      <w:r w:rsidRPr="00807DAF">
        <w:t>reductions</w:t>
      </w:r>
      <w:r w:rsidR="00A52D95" w:rsidRPr="00807DAF">
        <w:t xml:space="preserve"> to address such mistakes or inaccuracies</w:t>
      </w:r>
      <w:r w:rsidRPr="00807DAF">
        <w:t>.</w:t>
      </w:r>
      <w:r w:rsidR="004A033E">
        <w:t xml:space="preserve"> </w:t>
      </w:r>
      <w:r w:rsidR="000B1032" w:rsidRPr="00807DAF">
        <w:t xml:space="preserve">It is not possible to increase </w:t>
      </w:r>
      <w:r w:rsidR="00CE18C9" w:rsidRPr="00807DAF">
        <w:t xml:space="preserve">the </w:t>
      </w:r>
      <w:r w:rsidR="001870D3" w:rsidRPr="00807DAF">
        <w:t xml:space="preserve">grant </w:t>
      </w:r>
      <w:r w:rsidR="000B1032" w:rsidRPr="00807DAF">
        <w:t xml:space="preserve">or </w:t>
      </w:r>
      <w:r w:rsidR="00F278A6" w:rsidRPr="00807DAF">
        <w:t xml:space="preserve">the percentage of </w:t>
      </w:r>
      <w:r w:rsidR="006B5799" w:rsidRPr="00807DAF">
        <w:t xml:space="preserve">EU </w:t>
      </w:r>
      <w:r w:rsidR="00F278A6" w:rsidRPr="00807DAF">
        <w:t>co-financing as a result of these corrections</w:t>
      </w:r>
      <w:r w:rsidR="00FB2666" w:rsidRPr="00807DAF">
        <w:t>.</w:t>
      </w:r>
    </w:p>
    <w:p w14:paraId="738A6777" w14:textId="77777777" w:rsidR="0007408E" w:rsidRDefault="0007408E" w:rsidP="0068216F">
      <w:r w:rsidRPr="00807DAF">
        <w:t>It is therefore in the applicants</w:t>
      </w:r>
      <w:r w:rsidR="00466C25">
        <w:t>'</w:t>
      </w:r>
      <w:r w:rsidRPr="00807DAF">
        <w:t xml:space="preserve"> interest to provide a </w:t>
      </w:r>
      <w:r w:rsidRPr="00807DAF">
        <w:rPr>
          <w:b/>
        </w:rPr>
        <w:t>realistic and cost-effective budget</w:t>
      </w:r>
      <w:r w:rsidRPr="00807DAF">
        <w:t>.</w:t>
      </w:r>
    </w:p>
    <w:p w14:paraId="1FB045D4" w14:textId="77777777" w:rsidR="007E4F56" w:rsidRPr="00470700" w:rsidRDefault="007E4F56" w:rsidP="00951BF6">
      <w:pPr>
        <w:pBdr>
          <w:top w:val="single" w:sz="4" w:space="1" w:color="auto"/>
          <w:left w:val="single" w:sz="4" w:space="4" w:color="auto"/>
          <w:bottom w:val="single" w:sz="4" w:space="1" w:color="auto"/>
          <w:right w:val="single" w:sz="4" w:space="4" w:color="auto"/>
        </w:pBdr>
      </w:pPr>
      <w:r w:rsidRPr="00470700">
        <w:t>The simplified cost option may also take the form of an apportionment of Field Office's costs.</w:t>
      </w:r>
    </w:p>
    <w:p w14:paraId="4873AAC2" w14:textId="77777777" w:rsidR="007E4F56" w:rsidRPr="00470700" w:rsidRDefault="007E4F56" w:rsidP="00951BF6">
      <w:pPr>
        <w:pBdr>
          <w:top w:val="single" w:sz="4" w:space="1" w:color="auto"/>
          <w:left w:val="single" w:sz="4" w:space="4" w:color="auto"/>
          <w:bottom w:val="single" w:sz="4" w:space="1" w:color="auto"/>
          <w:right w:val="single" w:sz="4" w:space="4" w:color="auto"/>
        </w:pBdr>
      </w:pPr>
      <w:r w:rsidRPr="00470700">
        <w:t xml:space="preserve">Field Office </w:t>
      </w:r>
      <w:r>
        <w:t xml:space="preserve">means </w:t>
      </w:r>
      <w:r w:rsidRPr="00470700">
        <w:t xml:space="preserve">a local infrastructure set up in one of the countries where the action is implemented or a nearby country. (Where the action is implemented in several third countries there can be more than one Field Office). </w:t>
      </w:r>
      <w:r w:rsidRPr="00667AAA">
        <w:t>That may consist of costs for local office as well as human resources.</w:t>
      </w:r>
    </w:p>
    <w:p w14:paraId="186ABF07" w14:textId="17C3AEDC" w:rsidR="007E4F56" w:rsidRPr="00470700" w:rsidRDefault="007E4F56" w:rsidP="00951BF6">
      <w:pPr>
        <w:pBdr>
          <w:top w:val="single" w:sz="4" w:space="1" w:color="auto"/>
          <w:left w:val="single" w:sz="4" w:space="4" w:color="auto"/>
          <w:bottom w:val="single" w:sz="4" w:space="1" w:color="auto"/>
          <w:right w:val="single" w:sz="4" w:space="4" w:color="auto"/>
        </w:pBdr>
      </w:pPr>
      <w:r w:rsidRPr="00470700">
        <w:t xml:space="preserve">A Field Office may be exclusively dedicated to the action financed (or co-financed) by the </w:t>
      </w:r>
      <w:r>
        <w:t>EU</w:t>
      </w:r>
      <w:r w:rsidRPr="00470700">
        <w:t xml:space="preserve"> or may be used for other projects implemented in the partner country. When the Field Office is used for other projects, only the portion of capitalised and operating costs which corresponds to the duration of the action </w:t>
      </w:r>
      <w:r w:rsidRPr="00C81896">
        <w:t>and the rate of actual use of the field office for the purpose of the action</w:t>
      </w:r>
      <w:r w:rsidR="004A033E">
        <w:t xml:space="preserve"> </w:t>
      </w:r>
      <w:r w:rsidRPr="00470700">
        <w:t>may be declared as eligible direct costs.</w:t>
      </w:r>
    </w:p>
    <w:p w14:paraId="522F2E42" w14:textId="77777777" w:rsidR="007E4F56" w:rsidRPr="00470700" w:rsidRDefault="007E4F56" w:rsidP="00951BF6">
      <w:pPr>
        <w:pBdr>
          <w:top w:val="single" w:sz="4" w:space="1" w:color="auto"/>
          <w:left w:val="single" w:sz="4" w:space="4" w:color="auto"/>
          <w:bottom w:val="single" w:sz="4" w:space="1" w:color="auto"/>
          <w:right w:val="single" w:sz="4" w:space="4" w:color="auto"/>
        </w:pBdr>
      </w:pPr>
      <w:r w:rsidRPr="00470700">
        <w:t xml:space="preserve">The portion of costs attributable to the action can be declared as actual costs or determined by </w:t>
      </w:r>
      <w:r>
        <w:t xml:space="preserve">the </w:t>
      </w:r>
      <w:proofErr w:type="gramStart"/>
      <w:r>
        <w:t>b</w:t>
      </w:r>
      <w:r w:rsidRPr="00470700">
        <w:t>eneficiary</w:t>
      </w:r>
      <w:r>
        <w:t>(</w:t>
      </w:r>
      <w:proofErr w:type="spellStart"/>
      <w:proofErr w:type="gramEnd"/>
      <w:r>
        <w:t>ies</w:t>
      </w:r>
      <w:proofErr w:type="spellEnd"/>
      <w:r>
        <w:t>)</w:t>
      </w:r>
      <w:r w:rsidRPr="00470700">
        <w:t xml:space="preserve"> on the basis of a simplified allocation method (apportionment)</w:t>
      </w:r>
      <w:r>
        <w:t>.</w:t>
      </w:r>
    </w:p>
    <w:p w14:paraId="770E7516" w14:textId="77777777" w:rsidR="007E4F56" w:rsidRPr="00470700" w:rsidRDefault="007E4F56" w:rsidP="00951BF6">
      <w:pPr>
        <w:pBdr>
          <w:top w:val="single" w:sz="4" w:space="1" w:color="auto"/>
          <w:left w:val="single" w:sz="4" w:space="4" w:color="auto"/>
          <w:bottom w:val="single" w:sz="4" w:space="1" w:color="auto"/>
          <w:right w:val="single" w:sz="4" w:space="4" w:color="auto"/>
        </w:pBdr>
      </w:pPr>
      <w:r w:rsidRPr="00470700">
        <w:t>Th</w:t>
      </w:r>
      <w:r>
        <w:t>e</w:t>
      </w:r>
      <w:r w:rsidRPr="00470700">
        <w:t xml:space="preserve"> method of allocation has to be:</w:t>
      </w:r>
    </w:p>
    <w:p w14:paraId="00AEC867" w14:textId="77777777" w:rsidR="007E4F56" w:rsidRPr="00470700" w:rsidRDefault="007E4F56" w:rsidP="00951BF6">
      <w:pPr>
        <w:pBdr>
          <w:top w:val="single" w:sz="4" w:space="1" w:color="auto"/>
          <w:left w:val="single" w:sz="4" w:space="4" w:color="auto"/>
          <w:bottom w:val="single" w:sz="4" w:space="1" w:color="auto"/>
          <w:right w:val="single" w:sz="4" w:space="4" w:color="auto"/>
        </w:pBdr>
      </w:pPr>
      <w:r w:rsidRPr="00470700">
        <w:t xml:space="preserve">1. Compliant with the beneficiary's usual accounting and management practices and applied in a consistent manner regardless of the source of funding and </w:t>
      </w:r>
    </w:p>
    <w:p w14:paraId="4C4AD130" w14:textId="77777777" w:rsidR="007E4F56" w:rsidRPr="00470700" w:rsidRDefault="007E4F56" w:rsidP="00951BF6">
      <w:pPr>
        <w:pBdr>
          <w:top w:val="single" w:sz="4" w:space="1" w:color="auto"/>
          <w:left w:val="single" w:sz="4" w:space="4" w:color="auto"/>
          <w:bottom w:val="single" w:sz="4" w:space="1" w:color="auto"/>
          <w:right w:val="single" w:sz="4" w:space="4" w:color="auto"/>
        </w:pBdr>
      </w:pPr>
      <w:r w:rsidRPr="00470700">
        <w:t>2. Based on an objective, fair and reliable allocation keys. (Please refer to Annex K to have examples of acceptable allocation keys).</w:t>
      </w:r>
    </w:p>
    <w:p w14:paraId="6D47FA00" w14:textId="77777777" w:rsidR="007E4F56" w:rsidRPr="00470700" w:rsidRDefault="007E4F56" w:rsidP="00951BF6">
      <w:pPr>
        <w:pBdr>
          <w:top w:val="single" w:sz="4" w:space="1" w:color="auto"/>
          <w:left w:val="single" w:sz="4" w:space="4" w:color="auto"/>
          <w:bottom w:val="single" w:sz="4" w:space="1" w:color="auto"/>
          <w:right w:val="single" w:sz="4" w:space="4" w:color="auto"/>
        </w:pBdr>
      </w:pPr>
      <w:r w:rsidRPr="00470700">
        <w:lastRenderedPageBreak/>
        <w:t>A description prepared by the entity of the allocation method used to determine Field Office's costs in accordance with the entity's usual cost accounting and management practices and explaining how the method satisfy condition 1 and 2 indicated above, has to be presented in a separate sheet and annexed to the Budget.</w:t>
      </w:r>
    </w:p>
    <w:p w14:paraId="7D4EB5F3" w14:textId="4917F939" w:rsidR="007E4F56" w:rsidRDefault="007E4F56" w:rsidP="00951BF6">
      <w:pPr>
        <w:pBdr>
          <w:top w:val="single" w:sz="4" w:space="1" w:color="auto"/>
          <w:left w:val="single" w:sz="4" w:space="4" w:color="auto"/>
          <w:bottom w:val="single" w:sz="4" w:space="1" w:color="auto"/>
          <w:right w:val="single" w:sz="4" w:space="4" w:color="auto"/>
        </w:pBdr>
      </w:pPr>
      <w:r w:rsidRPr="00470700">
        <w:t xml:space="preserve">The method will be assessed and accepted by the </w:t>
      </w:r>
      <w:r>
        <w:t>e</w:t>
      </w:r>
      <w:r w:rsidRPr="00470700">
        <w:t xml:space="preserve">valuation </w:t>
      </w:r>
      <w:r>
        <w:t>c</w:t>
      </w:r>
      <w:r w:rsidRPr="00470700">
        <w:t xml:space="preserve">ommittee and the Contracting Authority </w:t>
      </w:r>
      <w:r w:rsidR="00B51452">
        <w:t>during</w:t>
      </w:r>
      <w:r w:rsidR="004A033E">
        <w:t xml:space="preserve"> </w:t>
      </w:r>
      <w:r w:rsidR="00B51452">
        <w:t xml:space="preserve">the </w:t>
      </w:r>
      <w:r w:rsidRPr="00470700">
        <w:t>contracting phase.</w:t>
      </w:r>
      <w:r>
        <w:t xml:space="preserve"> The applicant is invited to submit (where relevant) the list of contracts to which the methodology proposed had been already applied and for which proper application was confirmed by an expenditure verification.</w:t>
      </w:r>
    </w:p>
    <w:p w14:paraId="4FA73778" w14:textId="77777777" w:rsidR="007E4F56" w:rsidRDefault="007E4F56" w:rsidP="00951BF6">
      <w:pPr>
        <w:pBdr>
          <w:top w:val="single" w:sz="4" w:space="1" w:color="auto"/>
          <w:left w:val="single" w:sz="4" w:space="4" w:color="auto"/>
          <w:bottom w:val="single" w:sz="4" w:space="1" w:color="auto"/>
          <w:right w:val="single" w:sz="4" w:space="4" w:color="auto"/>
        </w:pBdr>
      </w:pPr>
      <w:r w:rsidRPr="00470700">
        <w:t>A</w:t>
      </w:r>
      <w:r>
        <w:t>t the time of carrying out</w:t>
      </w:r>
      <w:r w:rsidRPr="00470700">
        <w:t xml:space="preserve"> the expenditure verifications, the auditors will check if the costs reported are compliant with the method described by the </w:t>
      </w:r>
      <w:proofErr w:type="gramStart"/>
      <w:r>
        <w:t>beneficiary(</w:t>
      </w:r>
      <w:proofErr w:type="spellStart"/>
      <w:proofErr w:type="gramEnd"/>
      <w:r>
        <w:t>ies</w:t>
      </w:r>
      <w:proofErr w:type="spellEnd"/>
      <w:r>
        <w:t xml:space="preserve">) </w:t>
      </w:r>
      <w:r w:rsidRPr="00470700">
        <w:t>and accepted by the Contracting Authority.</w:t>
      </w:r>
    </w:p>
    <w:p w14:paraId="5D07CABD" w14:textId="37C0EE9A" w:rsidR="007E4F56" w:rsidRPr="00470700" w:rsidRDefault="007E4F56" w:rsidP="00951BF6">
      <w:pPr>
        <w:pBdr>
          <w:top w:val="single" w:sz="4" w:space="1" w:color="auto"/>
          <w:left w:val="single" w:sz="4" w:space="4" w:color="auto"/>
          <w:bottom w:val="single" w:sz="4" w:space="1" w:color="auto"/>
          <w:right w:val="single" w:sz="4" w:space="4" w:color="auto"/>
        </w:pBdr>
      </w:pPr>
      <w:r w:rsidRPr="000076B8">
        <w:t xml:space="preserve">Adequate record and documentation must be kept by the </w:t>
      </w:r>
      <w:proofErr w:type="gramStart"/>
      <w:r>
        <w:t>beneficiary(</w:t>
      </w:r>
      <w:proofErr w:type="spellStart"/>
      <w:proofErr w:type="gramEnd"/>
      <w:r>
        <w:t>ies</w:t>
      </w:r>
      <w:proofErr w:type="spellEnd"/>
      <w:r>
        <w:t xml:space="preserve">) </w:t>
      </w:r>
      <w:r w:rsidRPr="000076B8">
        <w:t>to prove the compliance of the simplified allocation method used with the conditions set out</w:t>
      </w:r>
      <w:r>
        <w:t xml:space="preserve"> above</w:t>
      </w:r>
      <w:r w:rsidRPr="000076B8">
        <w:t>. Upon request of the</w:t>
      </w:r>
      <w:r w:rsidR="004A033E">
        <w:t xml:space="preserve"> </w:t>
      </w:r>
      <w:proofErr w:type="gramStart"/>
      <w:r>
        <w:t>beneficiary(</w:t>
      </w:r>
      <w:proofErr w:type="spellStart"/>
      <w:proofErr w:type="gramEnd"/>
      <w:r>
        <w:t>ies</w:t>
      </w:r>
      <w:proofErr w:type="spellEnd"/>
      <w:r>
        <w:t>)</w:t>
      </w:r>
      <w:r w:rsidRPr="000076B8">
        <w:t xml:space="preserve">, this compliance can be assessed and approved ex-ante by </w:t>
      </w:r>
      <w:r>
        <w:t>an independent external auditor</w:t>
      </w:r>
      <w:r w:rsidRPr="000076B8">
        <w:t xml:space="preserve">. In such a case, the simplified allocation method </w:t>
      </w:r>
      <w:r>
        <w:t>will be automatically accepted by the evaluation committee and it will not be</w:t>
      </w:r>
      <w:r w:rsidRPr="000076B8">
        <w:t xml:space="preserve"> challenged ex post.</w:t>
      </w:r>
    </w:p>
    <w:p w14:paraId="0EF98DD4" w14:textId="77777777" w:rsidR="007E4F56" w:rsidRPr="00470700" w:rsidRDefault="007E4F56" w:rsidP="00951BF6">
      <w:pPr>
        <w:pBdr>
          <w:top w:val="single" w:sz="4" w:space="1" w:color="auto"/>
          <w:left w:val="single" w:sz="4" w:space="4" w:color="auto"/>
          <w:bottom w:val="single" w:sz="4" w:space="1" w:color="auto"/>
          <w:right w:val="single" w:sz="4" w:space="4" w:color="auto"/>
        </w:pBdr>
      </w:pPr>
      <w:r w:rsidRPr="00470700">
        <w:t>When costs are declared on the basis of such allocation method t</w:t>
      </w:r>
      <w:r>
        <w:t>he amount charged to the action</w:t>
      </w:r>
      <w:r w:rsidRPr="00470700">
        <w:t xml:space="preserve"> is to be indicated in the column "TOTAL COSTS" and the mention "APPORTIONMENT" is to be indicated in the column "units" (under budget heading 1 (Human resources) and 4 (Local Office) of the Budget).</w:t>
      </w:r>
    </w:p>
    <w:p w14:paraId="16C2B757" w14:textId="77777777" w:rsidR="0007408E" w:rsidRPr="00807DAF" w:rsidRDefault="0007408E" w:rsidP="0068216F">
      <w:pPr>
        <w:rPr>
          <w:u w:val="single"/>
        </w:rPr>
      </w:pPr>
      <w:r w:rsidRPr="00807DAF">
        <w:rPr>
          <w:u w:val="single"/>
        </w:rPr>
        <w:t>Eligible direct costs</w:t>
      </w:r>
    </w:p>
    <w:p w14:paraId="4700365C" w14:textId="45F006D0" w:rsidR="0007408E" w:rsidRDefault="0007408E" w:rsidP="0068216F">
      <w:r w:rsidRPr="00807DAF">
        <w:t>To be eligible under th</w:t>
      </w:r>
      <w:r w:rsidR="002C706C">
        <w:t>is</w:t>
      </w:r>
      <w:r w:rsidR="00A133E3">
        <w:rPr>
          <w:lang w:val="sr-Cyrl-RS"/>
        </w:rPr>
        <w:t xml:space="preserve"> </w:t>
      </w:r>
      <w:r w:rsidR="00466C25">
        <w:t>c</w:t>
      </w:r>
      <w:r w:rsidRPr="00807DAF">
        <w:t xml:space="preserve">all for </w:t>
      </w:r>
      <w:r w:rsidR="00466C25">
        <w:t>p</w:t>
      </w:r>
      <w:r w:rsidRPr="00807DAF">
        <w:t>roposals, costs must</w:t>
      </w:r>
      <w:r w:rsidR="00A133E3">
        <w:rPr>
          <w:lang w:val="sr-Cyrl-RS"/>
        </w:rPr>
        <w:t xml:space="preserve"> </w:t>
      </w:r>
      <w:r w:rsidR="00FB2666" w:rsidRPr="00807DAF">
        <w:t xml:space="preserve">comply with </w:t>
      </w:r>
      <w:r w:rsidR="001870D3" w:rsidRPr="00807DAF">
        <w:t xml:space="preserve">the provisions of </w:t>
      </w:r>
      <w:r w:rsidR="001D0C7B" w:rsidRPr="00807DAF">
        <w:t xml:space="preserve">Article </w:t>
      </w:r>
      <w:r w:rsidR="001870D3" w:rsidRPr="00807DAF">
        <w:t xml:space="preserve">14 of the General Conditions to the </w:t>
      </w:r>
      <w:r w:rsidR="00466C25">
        <w:t>standard g</w:t>
      </w:r>
      <w:r w:rsidR="001870D3" w:rsidRPr="00807DAF">
        <w:t xml:space="preserve">rant </w:t>
      </w:r>
      <w:r w:rsidR="00466C25">
        <w:t>c</w:t>
      </w:r>
      <w:r w:rsidR="001870D3" w:rsidRPr="00807DAF">
        <w:t xml:space="preserve">ontract </w:t>
      </w:r>
      <w:r w:rsidR="00F06CB4" w:rsidRPr="00807DAF">
        <w:t>(see Annex G</w:t>
      </w:r>
      <w:r w:rsidR="004A51E9" w:rsidRPr="00807DAF">
        <w:t xml:space="preserve"> of the </w:t>
      </w:r>
      <w:r w:rsidR="00466C25">
        <w:t>g</w:t>
      </w:r>
      <w:r w:rsidR="004A51E9" w:rsidRPr="00807DAF">
        <w:t>uidelines</w:t>
      </w:r>
      <w:r w:rsidR="00CE18C9" w:rsidRPr="00807DAF">
        <w:t>).</w:t>
      </w:r>
    </w:p>
    <w:p w14:paraId="6E323246" w14:textId="77777777" w:rsidR="00A8465A" w:rsidRPr="00807DAF" w:rsidRDefault="00A8465A" w:rsidP="0068216F">
      <w:r w:rsidRPr="00627635">
        <w:t>Salary costs of the personnel of national administrations may be eligible to the extent that they relate to the cost of activities which the relevant public authority would not carry out if the action were not undertaken.</w:t>
      </w:r>
    </w:p>
    <w:p w14:paraId="16BF92E1" w14:textId="77777777" w:rsidR="007034C6" w:rsidRPr="00807DAF" w:rsidRDefault="007034C6" w:rsidP="0068216F">
      <w:pPr>
        <w:rPr>
          <w:u w:val="single"/>
        </w:rPr>
      </w:pPr>
      <w:r w:rsidRPr="00807DAF">
        <w:rPr>
          <w:u w:val="single"/>
        </w:rPr>
        <w:t>Contingency reserve</w:t>
      </w:r>
    </w:p>
    <w:p w14:paraId="4E72877F" w14:textId="24424131" w:rsidR="007034C6" w:rsidRPr="00807DAF" w:rsidRDefault="000B1032" w:rsidP="0068216F">
      <w:r w:rsidRPr="00807DAF">
        <w:t xml:space="preserve">The </w:t>
      </w:r>
      <w:r w:rsidR="00CF5740" w:rsidRPr="00807DAF">
        <w:t>b</w:t>
      </w:r>
      <w:r w:rsidRPr="00807DAF">
        <w:t>udget may include a</w:t>
      </w:r>
      <w:r w:rsidR="007034C6" w:rsidRPr="00807DAF">
        <w:t xml:space="preserve"> contingency reserve not exceeding 5</w:t>
      </w:r>
      <w:r w:rsidR="00A016F9" w:rsidRPr="00807DAF">
        <w:rPr>
          <w:w w:val="50"/>
        </w:rPr>
        <w:t> </w:t>
      </w:r>
      <w:r w:rsidR="007034C6" w:rsidRPr="00807DAF">
        <w:t>% of the</w:t>
      </w:r>
      <w:r w:rsidR="00584247" w:rsidRPr="00807DAF">
        <w:t xml:space="preserve"> estimated</w:t>
      </w:r>
      <w:r w:rsidR="007034C6" w:rsidRPr="00807DAF">
        <w:t xml:space="preserve"> direct eligible costs. It can only be used with the </w:t>
      </w:r>
      <w:r w:rsidR="007034C6" w:rsidRPr="00807DAF">
        <w:rPr>
          <w:b/>
        </w:rPr>
        <w:t>prior written</w:t>
      </w:r>
      <w:r w:rsidR="00A133E3">
        <w:rPr>
          <w:b/>
          <w:lang w:val="sr-Cyrl-RS"/>
        </w:rPr>
        <w:t xml:space="preserve"> </w:t>
      </w:r>
      <w:r w:rsidR="007034C6" w:rsidRPr="00807DAF">
        <w:rPr>
          <w:b/>
        </w:rPr>
        <w:t>authorisation</w:t>
      </w:r>
      <w:r w:rsidR="007034C6" w:rsidRPr="00807DAF">
        <w:t xml:space="preserve"> of the Contracting Authority.</w:t>
      </w:r>
    </w:p>
    <w:p w14:paraId="1AC4F119" w14:textId="77777777" w:rsidR="0007408E" w:rsidRPr="00807DAF" w:rsidRDefault="0007408E" w:rsidP="0068216F">
      <w:pPr>
        <w:rPr>
          <w:u w:val="single"/>
        </w:rPr>
      </w:pPr>
      <w:r w:rsidRPr="00807DAF">
        <w:rPr>
          <w:u w:val="single"/>
        </w:rPr>
        <w:t>Eligible indirect costs</w:t>
      </w:r>
    </w:p>
    <w:p w14:paraId="10621D62" w14:textId="79ED4754" w:rsidR="00460729" w:rsidRPr="00807DAF" w:rsidRDefault="00460729" w:rsidP="0068216F">
      <w:pPr>
        <w:rPr>
          <w:snapToGrid/>
          <w:lang w:eastAsia="en-GB" w:bidi="kn-IN"/>
        </w:rPr>
      </w:pPr>
      <w:r w:rsidRPr="00807DAF">
        <w:rPr>
          <w:snapToGrid/>
          <w:lang w:eastAsia="en-GB" w:bidi="kn-IN"/>
        </w:rPr>
        <w:t>The indirect costs incurred in carrying out the action may be eligible for flat-rate funding</w:t>
      </w:r>
      <w:r w:rsidR="00466510" w:rsidRPr="00807DAF">
        <w:rPr>
          <w:snapToGrid/>
          <w:lang w:eastAsia="en-GB" w:bidi="kn-IN"/>
        </w:rPr>
        <w:t>,</w:t>
      </w:r>
      <w:r w:rsidR="00A133E3">
        <w:rPr>
          <w:snapToGrid/>
          <w:lang w:val="sr-Cyrl-RS" w:eastAsia="en-GB" w:bidi="kn-IN"/>
        </w:rPr>
        <w:t xml:space="preserve"> </w:t>
      </w:r>
      <w:r w:rsidR="00B1674B" w:rsidRPr="00807DAF">
        <w:rPr>
          <w:snapToGrid/>
          <w:lang w:eastAsia="en-GB" w:bidi="kn-IN"/>
        </w:rPr>
        <w:t>but the total must not exceed</w:t>
      </w:r>
      <w:r w:rsidRPr="00807DAF">
        <w:rPr>
          <w:snapToGrid/>
          <w:lang w:eastAsia="en-GB" w:bidi="kn-IN"/>
        </w:rPr>
        <w:t xml:space="preserve"> 7</w:t>
      </w:r>
      <w:r w:rsidR="00A016F9" w:rsidRPr="00807DAF">
        <w:rPr>
          <w:snapToGrid/>
          <w:w w:val="50"/>
          <w:lang w:eastAsia="en-GB" w:bidi="kn-IN"/>
        </w:rPr>
        <w:t> </w:t>
      </w:r>
      <w:r w:rsidRPr="00807DAF">
        <w:rPr>
          <w:snapToGrid/>
          <w:lang w:eastAsia="en-GB" w:bidi="kn-IN"/>
        </w:rPr>
        <w:t>%</w:t>
      </w:r>
      <w:r w:rsidR="00A4563D">
        <w:rPr>
          <w:snapToGrid/>
          <w:lang w:eastAsia="en-GB" w:bidi="kn-IN"/>
        </w:rPr>
        <w:t xml:space="preserve"> </w:t>
      </w:r>
      <w:r w:rsidRPr="00807DAF">
        <w:rPr>
          <w:snapToGrid/>
          <w:lang w:eastAsia="en-GB" w:bidi="kn-IN"/>
        </w:rPr>
        <w:t xml:space="preserve">of the </w:t>
      </w:r>
      <w:r w:rsidR="00584247" w:rsidRPr="00807DAF">
        <w:rPr>
          <w:snapToGrid/>
          <w:lang w:eastAsia="en-GB" w:bidi="kn-IN"/>
        </w:rPr>
        <w:t xml:space="preserve">estimated </w:t>
      </w:r>
      <w:r w:rsidRPr="00807DAF">
        <w:rPr>
          <w:snapToGrid/>
          <w:lang w:eastAsia="en-GB" w:bidi="kn-IN"/>
        </w:rPr>
        <w:t>total eligible direct costs</w:t>
      </w:r>
      <w:r w:rsidRPr="00807DAF">
        <w:rPr>
          <w:snapToGrid/>
          <w:sz w:val="20"/>
          <w:lang w:eastAsia="en-GB" w:bidi="kn-IN"/>
        </w:rPr>
        <w:t>.</w:t>
      </w:r>
      <w:r w:rsidR="00A133E3">
        <w:rPr>
          <w:snapToGrid/>
          <w:sz w:val="20"/>
          <w:lang w:val="sr-Cyrl-RS" w:eastAsia="en-GB" w:bidi="kn-IN"/>
        </w:rPr>
        <w:t xml:space="preserve"> </w:t>
      </w:r>
      <w:r w:rsidR="00E2380E" w:rsidRPr="00807DAF">
        <w:rPr>
          <w:snapToGrid/>
          <w:lang w:eastAsia="en-GB" w:bidi="kn-IN"/>
        </w:rPr>
        <w:t>Indirect costs are eligible provided that they do not include costs assigned to another</w:t>
      </w:r>
      <w:r w:rsidR="00B1674B" w:rsidRPr="00807DAF">
        <w:rPr>
          <w:snapToGrid/>
          <w:lang w:eastAsia="en-GB" w:bidi="kn-IN"/>
        </w:rPr>
        <w:t xml:space="preserve"> budget</w:t>
      </w:r>
      <w:r w:rsidR="00E2380E" w:rsidRPr="00807DAF">
        <w:rPr>
          <w:snapToGrid/>
          <w:lang w:eastAsia="en-GB" w:bidi="kn-IN"/>
        </w:rPr>
        <w:t xml:space="preserve"> heading </w:t>
      </w:r>
      <w:r w:rsidR="00B1674B" w:rsidRPr="00807DAF">
        <w:rPr>
          <w:snapToGrid/>
          <w:lang w:eastAsia="en-GB" w:bidi="kn-IN"/>
        </w:rPr>
        <w:t>in</w:t>
      </w:r>
      <w:r w:rsidR="00450369" w:rsidRPr="00807DAF">
        <w:rPr>
          <w:snapToGrid/>
          <w:lang w:eastAsia="en-GB" w:bidi="kn-IN"/>
        </w:rPr>
        <w:t xml:space="preserve"> the standard grant c</w:t>
      </w:r>
      <w:r w:rsidR="00E2380E" w:rsidRPr="00807DAF">
        <w:rPr>
          <w:snapToGrid/>
          <w:lang w:eastAsia="en-GB" w:bidi="kn-IN"/>
        </w:rPr>
        <w:t xml:space="preserve">ontract. The </w:t>
      </w:r>
      <w:r w:rsidR="00B114D9">
        <w:rPr>
          <w:snapToGrid/>
          <w:lang w:eastAsia="en-GB" w:bidi="kn-IN"/>
        </w:rPr>
        <w:t>lead a</w:t>
      </w:r>
      <w:r w:rsidR="00E2380E" w:rsidRPr="00807DAF">
        <w:rPr>
          <w:snapToGrid/>
          <w:lang w:eastAsia="en-GB" w:bidi="kn-IN"/>
        </w:rPr>
        <w:t xml:space="preserve">pplicant may be asked to justify the percentage </w:t>
      </w:r>
      <w:r w:rsidR="00B1674B" w:rsidRPr="00807DAF">
        <w:rPr>
          <w:snapToGrid/>
          <w:lang w:eastAsia="en-GB" w:bidi="kn-IN"/>
        </w:rPr>
        <w:t xml:space="preserve">requested </w:t>
      </w:r>
      <w:r w:rsidR="00E2380E" w:rsidRPr="00807DAF">
        <w:rPr>
          <w:snapToGrid/>
          <w:lang w:eastAsia="en-GB" w:bidi="kn-IN"/>
        </w:rPr>
        <w:t xml:space="preserve">before </w:t>
      </w:r>
      <w:r w:rsidR="00B1674B" w:rsidRPr="00807DAF">
        <w:rPr>
          <w:snapToGrid/>
          <w:lang w:eastAsia="en-GB" w:bidi="kn-IN"/>
        </w:rPr>
        <w:t xml:space="preserve">the </w:t>
      </w:r>
      <w:r w:rsidR="00466C25">
        <w:rPr>
          <w:snapToGrid/>
          <w:lang w:eastAsia="en-GB" w:bidi="kn-IN"/>
        </w:rPr>
        <w:t>g</w:t>
      </w:r>
      <w:r w:rsidR="004F6678">
        <w:rPr>
          <w:snapToGrid/>
          <w:lang w:eastAsia="en-GB" w:bidi="kn-IN"/>
        </w:rPr>
        <w:t xml:space="preserve">rant </w:t>
      </w:r>
      <w:r w:rsidR="00466C25">
        <w:rPr>
          <w:snapToGrid/>
          <w:lang w:eastAsia="en-GB" w:bidi="kn-IN"/>
        </w:rPr>
        <w:t>c</w:t>
      </w:r>
      <w:r w:rsidR="00E2380E" w:rsidRPr="00807DAF">
        <w:rPr>
          <w:snapToGrid/>
          <w:lang w:eastAsia="en-GB" w:bidi="kn-IN"/>
        </w:rPr>
        <w:t>ontract</w:t>
      </w:r>
      <w:r w:rsidR="00B1674B" w:rsidRPr="00807DAF">
        <w:rPr>
          <w:snapToGrid/>
          <w:lang w:eastAsia="en-GB" w:bidi="kn-IN"/>
        </w:rPr>
        <w:t xml:space="preserve"> is signed</w:t>
      </w:r>
      <w:r w:rsidR="00E2380E" w:rsidRPr="00807DAF">
        <w:rPr>
          <w:snapToGrid/>
          <w:lang w:eastAsia="en-GB" w:bidi="kn-IN"/>
        </w:rPr>
        <w:t>. However, once the flat</w:t>
      </w:r>
      <w:r w:rsidR="00A133E3">
        <w:rPr>
          <w:snapToGrid/>
          <w:lang w:val="sr-Cyrl-RS" w:eastAsia="en-GB" w:bidi="kn-IN"/>
        </w:rPr>
        <w:t xml:space="preserve"> </w:t>
      </w:r>
      <w:r w:rsidR="00E2380E" w:rsidRPr="00807DAF">
        <w:rPr>
          <w:snapToGrid/>
          <w:lang w:eastAsia="en-GB" w:bidi="kn-IN"/>
        </w:rPr>
        <w:t>rate has been fixed in the</w:t>
      </w:r>
      <w:r w:rsidR="00F01923">
        <w:rPr>
          <w:snapToGrid/>
          <w:lang w:val="sr-Cyrl-RS" w:eastAsia="en-GB" w:bidi="kn-IN"/>
        </w:rPr>
        <w:t xml:space="preserve"> </w:t>
      </w:r>
      <w:r w:rsidR="00466C25">
        <w:rPr>
          <w:snapToGrid/>
          <w:lang w:eastAsia="en-GB" w:bidi="kn-IN"/>
        </w:rPr>
        <w:t>S</w:t>
      </w:r>
      <w:r w:rsidR="00450369" w:rsidRPr="00807DAF">
        <w:rPr>
          <w:snapToGrid/>
          <w:lang w:eastAsia="en-GB" w:bidi="kn-IN"/>
        </w:rPr>
        <w:t xml:space="preserve">pecial </w:t>
      </w:r>
      <w:r w:rsidR="00466C25">
        <w:rPr>
          <w:snapToGrid/>
          <w:lang w:eastAsia="en-GB" w:bidi="kn-IN"/>
        </w:rPr>
        <w:t>C</w:t>
      </w:r>
      <w:r w:rsidR="00450369" w:rsidRPr="00807DAF">
        <w:rPr>
          <w:snapToGrid/>
          <w:lang w:eastAsia="en-GB" w:bidi="kn-IN"/>
        </w:rPr>
        <w:t xml:space="preserve">onditions of the </w:t>
      </w:r>
      <w:r w:rsidR="00466C25">
        <w:rPr>
          <w:snapToGrid/>
          <w:lang w:eastAsia="en-GB" w:bidi="kn-IN"/>
        </w:rPr>
        <w:t>g</w:t>
      </w:r>
      <w:r w:rsidR="00450369" w:rsidRPr="00807DAF">
        <w:rPr>
          <w:snapToGrid/>
          <w:lang w:eastAsia="en-GB" w:bidi="kn-IN"/>
        </w:rPr>
        <w:t>rant</w:t>
      </w:r>
      <w:r w:rsidR="00F01923">
        <w:rPr>
          <w:snapToGrid/>
          <w:lang w:val="sr-Cyrl-RS" w:eastAsia="en-GB" w:bidi="kn-IN"/>
        </w:rPr>
        <w:t xml:space="preserve"> </w:t>
      </w:r>
      <w:r w:rsidR="00466C25">
        <w:rPr>
          <w:snapToGrid/>
          <w:lang w:eastAsia="en-GB" w:bidi="kn-IN"/>
        </w:rPr>
        <w:t>c</w:t>
      </w:r>
      <w:r w:rsidR="00E2380E" w:rsidRPr="00807DAF">
        <w:rPr>
          <w:snapToGrid/>
          <w:lang w:eastAsia="en-GB" w:bidi="kn-IN"/>
        </w:rPr>
        <w:t>ontract, no supporting documents need to be provided.</w:t>
      </w:r>
    </w:p>
    <w:p w14:paraId="1F0DEF27" w14:textId="6F5EAF03" w:rsidR="00460729" w:rsidRPr="00807DAF" w:rsidRDefault="00460729" w:rsidP="0068216F">
      <w:pPr>
        <w:rPr>
          <w:snapToGrid/>
          <w:lang w:eastAsia="en-GB" w:bidi="kn-IN"/>
        </w:rPr>
      </w:pPr>
      <w:r w:rsidRPr="00807DAF">
        <w:rPr>
          <w:snapToGrid/>
          <w:lang w:eastAsia="en-GB" w:bidi="kn-IN"/>
        </w:rPr>
        <w:t xml:space="preserve">If </w:t>
      </w:r>
      <w:r w:rsidR="00A703F1" w:rsidRPr="00807DAF">
        <w:rPr>
          <w:snapToGrid/>
          <w:lang w:eastAsia="en-GB" w:bidi="kn-IN"/>
        </w:rPr>
        <w:t>any of the</w:t>
      </w:r>
      <w:r w:rsidR="00F01923">
        <w:rPr>
          <w:snapToGrid/>
          <w:lang w:val="sr-Cyrl-RS" w:eastAsia="en-GB" w:bidi="kn-IN"/>
        </w:rPr>
        <w:t xml:space="preserve"> </w:t>
      </w:r>
      <w:r w:rsidRPr="00807DAF">
        <w:rPr>
          <w:snapToGrid/>
          <w:lang w:eastAsia="en-GB" w:bidi="kn-IN"/>
        </w:rPr>
        <w:t>applicant</w:t>
      </w:r>
      <w:r w:rsidR="00A703F1" w:rsidRPr="00807DAF">
        <w:rPr>
          <w:snapToGrid/>
          <w:lang w:eastAsia="en-GB" w:bidi="kn-IN"/>
        </w:rPr>
        <w:t>s</w:t>
      </w:r>
      <w:r w:rsidR="00F01923">
        <w:rPr>
          <w:snapToGrid/>
          <w:lang w:val="sr-Cyrl-RS" w:eastAsia="en-GB" w:bidi="kn-IN"/>
        </w:rPr>
        <w:t xml:space="preserve"> </w:t>
      </w:r>
      <w:r w:rsidR="00A703F1" w:rsidRPr="00807DAF">
        <w:rPr>
          <w:snapToGrid/>
          <w:lang w:eastAsia="en-GB" w:bidi="kn-IN"/>
        </w:rPr>
        <w:t xml:space="preserve">or affiliated </w:t>
      </w:r>
      <w:proofErr w:type="gramStart"/>
      <w:r w:rsidR="00A703F1" w:rsidRPr="00807DAF">
        <w:rPr>
          <w:snapToGrid/>
          <w:lang w:eastAsia="en-GB" w:bidi="kn-IN"/>
        </w:rPr>
        <w:t>entity(</w:t>
      </w:r>
      <w:proofErr w:type="spellStart"/>
      <w:proofErr w:type="gramEnd"/>
      <w:r w:rsidR="00A703F1" w:rsidRPr="00807DAF">
        <w:rPr>
          <w:snapToGrid/>
          <w:lang w:eastAsia="en-GB" w:bidi="kn-IN"/>
        </w:rPr>
        <w:t>ies</w:t>
      </w:r>
      <w:proofErr w:type="spellEnd"/>
      <w:r w:rsidR="00A703F1" w:rsidRPr="00807DAF">
        <w:rPr>
          <w:snapToGrid/>
          <w:lang w:eastAsia="en-GB" w:bidi="kn-IN"/>
        </w:rPr>
        <w:t xml:space="preserve">) </w:t>
      </w:r>
      <w:r w:rsidRPr="00807DAF">
        <w:rPr>
          <w:snapToGrid/>
          <w:lang w:eastAsia="en-GB" w:bidi="kn-IN"/>
        </w:rPr>
        <w:t xml:space="preserve">is in receipt of an operating grant financed </w:t>
      </w:r>
      <w:r w:rsidR="00705C17" w:rsidRPr="00807DAF">
        <w:rPr>
          <w:snapToGrid/>
          <w:lang w:eastAsia="en-GB" w:bidi="kn-IN"/>
        </w:rPr>
        <w:t xml:space="preserve">by </w:t>
      </w:r>
      <w:r w:rsidRPr="00807DAF">
        <w:rPr>
          <w:snapToGrid/>
          <w:lang w:eastAsia="en-GB" w:bidi="kn-IN"/>
        </w:rPr>
        <w:t xml:space="preserve">the </w:t>
      </w:r>
      <w:r w:rsidR="00D65E10" w:rsidRPr="00807DAF">
        <w:rPr>
          <w:snapToGrid/>
          <w:lang w:eastAsia="en-GB" w:bidi="kn-IN"/>
        </w:rPr>
        <w:t>EU</w:t>
      </w:r>
      <w:r w:rsidR="00601848" w:rsidRPr="00807DAF">
        <w:rPr>
          <w:snapToGrid/>
          <w:lang w:eastAsia="en-GB" w:bidi="kn-IN"/>
        </w:rPr>
        <w:t xml:space="preserve">, </w:t>
      </w:r>
      <w:r w:rsidR="00705C17" w:rsidRPr="00807DAF">
        <w:rPr>
          <w:snapToGrid/>
          <w:lang w:eastAsia="en-GB" w:bidi="kn-IN"/>
        </w:rPr>
        <w:t>it may not claim</w:t>
      </w:r>
      <w:r w:rsidRPr="00807DAF">
        <w:rPr>
          <w:snapToGrid/>
          <w:lang w:eastAsia="en-GB" w:bidi="kn-IN"/>
        </w:rPr>
        <w:t xml:space="preserve"> indirect costs</w:t>
      </w:r>
      <w:r w:rsidR="00705C17" w:rsidRPr="00807DAF">
        <w:rPr>
          <w:snapToGrid/>
          <w:lang w:eastAsia="en-GB" w:bidi="kn-IN"/>
        </w:rPr>
        <w:t xml:space="preserve"> on its incurred costs</w:t>
      </w:r>
      <w:r w:rsidR="00F01923">
        <w:rPr>
          <w:snapToGrid/>
          <w:lang w:val="sr-Cyrl-RS" w:eastAsia="en-GB" w:bidi="kn-IN"/>
        </w:rPr>
        <w:t xml:space="preserve"> </w:t>
      </w:r>
      <w:r w:rsidRPr="00807DAF">
        <w:rPr>
          <w:snapToGrid/>
          <w:lang w:eastAsia="en-GB" w:bidi="kn-IN"/>
        </w:rPr>
        <w:t>within the proposed budget for the action.</w:t>
      </w:r>
    </w:p>
    <w:p w14:paraId="749C67A2" w14:textId="77777777" w:rsidR="0007408E" w:rsidRPr="00807DAF" w:rsidRDefault="0007408E" w:rsidP="0068216F">
      <w:pPr>
        <w:rPr>
          <w:u w:val="single"/>
        </w:rPr>
      </w:pPr>
      <w:r w:rsidRPr="00807DAF">
        <w:rPr>
          <w:u w:val="single"/>
        </w:rPr>
        <w:t>Contributions in kind</w:t>
      </w:r>
    </w:p>
    <w:p w14:paraId="2F40A218" w14:textId="77777777" w:rsidR="008A62F6" w:rsidRPr="00807DAF" w:rsidRDefault="008A62F6" w:rsidP="0068216F">
      <w:r w:rsidRPr="00807DAF">
        <w:t xml:space="preserve">Contributions in kind mean the provision of goods or services to </w:t>
      </w:r>
      <w:r w:rsidR="000D61C6">
        <w:t>b</w:t>
      </w:r>
      <w:r w:rsidRPr="00807DAF">
        <w:t>eneficiar</w:t>
      </w:r>
      <w:r w:rsidR="00101AEE" w:rsidRPr="00807DAF">
        <w:t>ies</w:t>
      </w:r>
      <w:r w:rsidR="00A703F1" w:rsidRPr="00807DAF">
        <w:t xml:space="preserve"> or </w:t>
      </w:r>
      <w:r w:rsidR="00A703F1" w:rsidRPr="00807DAF">
        <w:rPr>
          <w:snapToGrid/>
          <w:lang w:eastAsia="en-GB" w:bidi="kn-IN"/>
        </w:rPr>
        <w:t xml:space="preserve">affiliated entities </w:t>
      </w:r>
      <w:r w:rsidRPr="00807DAF">
        <w:t xml:space="preserve">free of charge by a third party. As contributions in kind do not involve any expenditure for </w:t>
      </w:r>
      <w:r w:rsidR="00D24F0D">
        <w:t xml:space="preserve">beneficiaries </w:t>
      </w:r>
      <w:r w:rsidR="00A703F1" w:rsidRPr="00807DAF">
        <w:rPr>
          <w:snapToGrid/>
          <w:lang w:eastAsia="en-GB" w:bidi="kn-IN"/>
        </w:rPr>
        <w:t>or affiliated entities</w:t>
      </w:r>
      <w:r w:rsidRPr="00807DAF">
        <w:t>, they are not eligible costs.</w:t>
      </w:r>
    </w:p>
    <w:p w14:paraId="5D975074" w14:textId="77777777" w:rsidR="00F52B38" w:rsidRPr="00622927" w:rsidRDefault="00BC7EE3" w:rsidP="0068216F">
      <w:r w:rsidRPr="00622927">
        <w:t>C</w:t>
      </w:r>
      <w:r w:rsidR="00F52B38" w:rsidRPr="00622927">
        <w:t>ontributions in kind may not be treated as co-financing</w:t>
      </w:r>
      <w:r w:rsidR="00622927">
        <w:t>.</w:t>
      </w:r>
    </w:p>
    <w:p w14:paraId="10F654E6" w14:textId="1E6CF25D" w:rsidR="00F52B38" w:rsidRPr="00807DAF" w:rsidRDefault="00BC7EE3" w:rsidP="0068216F">
      <w:r w:rsidRPr="00622927">
        <w:t>However</w:t>
      </w:r>
      <w:r w:rsidR="00F52B38" w:rsidRPr="00622927">
        <w:t xml:space="preserve">, if the description of the action as proposed </w:t>
      </w:r>
      <w:r w:rsidRPr="00622927">
        <w:t>includes</w:t>
      </w:r>
      <w:r w:rsidR="00F52B38" w:rsidRPr="00622927">
        <w:t xml:space="preserve"> contributions in kind, </w:t>
      </w:r>
      <w:r w:rsidRPr="00622927">
        <w:t xml:space="preserve">the </w:t>
      </w:r>
      <w:r w:rsidR="00F52B38" w:rsidRPr="00622927">
        <w:t>contributions have to be</w:t>
      </w:r>
      <w:r w:rsidR="00F01923">
        <w:rPr>
          <w:lang w:val="sr-Cyrl-RS"/>
        </w:rPr>
        <w:t xml:space="preserve"> </w:t>
      </w:r>
      <w:r w:rsidRPr="00622927">
        <w:t>made</w:t>
      </w:r>
      <w:r w:rsidR="00F52B38" w:rsidRPr="00622927">
        <w:t>.</w:t>
      </w:r>
    </w:p>
    <w:p w14:paraId="5523BE77" w14:textId="77777777" w:rsidR="00511112" w:rsidRPr="00807DAF" w:rsidRDefault="00511112" w:rsidP="0068216F">
      <w:pPr>
        <w:rPr>
          <w:u w:val="single"/>
        </w:rPr>
      </w:pPr>
      <w:r w:rsidRPr="00807DAF">
        <w:rPr>
          <w:u w:val="single"/>
        </w:rPr>
        <w:lastRenderedPageBreak/>
        <w:t>Ineligible costs</w:t>
      </w:r>
    </w:p>
    <w:p w14:paraId="574EBCF0" w14:textId="77777777" w:rsidR="00511112" w:rsidRPr="00807DAF" w:rsidRDefault="00511112" w:rsidP="0068216F">
      <w:r w:rsidRPr="00807DAF">
        <w:t>The following costs are not eligible:</w:t>
      </w:r>
    </w:p>
    <w:p w14:paraId="02B317A3" w14:textId="323372F0" w:rsidR="00AC1803" w:rsidRPr="00807DAF" w:rsidRDefault="006B6F21" w:rsidP="00345D21">
      <w:pPr>
        <w:numPr>
          <w:ilvl w:val="0"/>
          <w:numId w:val="9"/>
        </w:numPr>
      </w:pPr>
      <w:r>
        <w:t>D</w:t>
      </w:r>
      <w:r w:rsidR="00511112" w:rsidRPr="00807DAF">
        <w:t>ebts and debt</w:t>
      </w:r>
      <w:r w:rsidR="00AC1803" w:rsidRPr="00807DAF">
        <w:t xml:space="preserve"> service charges</w:t>
      </w:r>
      <w:r w:rsidR="00516FC2" w:rsidRPr="00807DAF">
        <w:t xml:space="preserve"> (interest);</w:t>
      </w:r>
    </w:p>
    <w:p w14:paraId="2B9E7087" w14:textId="2B507065" w:rsidR="00511112" w:rsidRPr="00807DAF" w:rsidRDefault="006B6F21" w:rsidP="00345D21">
      <w:pPr>
        <w:numPr>
          <w:ilvl w:val="0"/>
          <w:numId w:val="9"/>
        </w:numPr>
      </w:pPr>
      <w:r>
        <w:t>P</w:t>
      </w:r>
      <w:r w:rsidR="00AC1803" w:rsidRPr="00807DAF">
        <w:t>rovisions for losses or potential future liabilities</w:t>
      </w:r>
      <w:r w:rsidR="00511112" w:rsidRPr="00807DAF">
        <w:t>;</w:t>
      </w:r>
    </w:p>
    <w:p w14:paraId="784FBA3E" w14:textId="0C026354" w:rsidR="00511112" w:rsidRPr="00807DAF" w:rsidRDefault="006B6F21" w:rsidP="00345D21">
      <w:pPr>
        <w:numPr>
          <w:ilvl w:val="0"/>
          <w:numId w:val="9"/>
        </w:numPr>
      </w:pPr>
      <w:r>
        <w:t>C</w:t>
      </w:r>
      <w:r w:rsidR="00AC1803" w:rsidRPr="00807DAF">
        <w:t xml:space="preserve">osts declared by the </w:t>
      </w:r>
      <w:r w:rsidR="000D61C6">
        <w:t>b</w:t>
      </w:r>
      <w:r w:rsidR="00516FC2" w:rsidRPr="00807DAF">
        <w:t>eneficiary(</w:t>
      </w:r>
      <w:proofErr w:type="spellStart"/>
      <w:r w:rsidR="00516FC2" w:rsidRPr="00807DAF">
        <w:t>ies</w:t>
      </w:r>
      <w:proofErr w:type="spellEnd"/>
      <w:r w:rsidR="00516FC2" w:rsidRPr="00807DAF">
        <w:t xml:space="preserve">) and financed by another action or work programme receiving a </w:t>
      </w:r>
      <w:r w:rsidR="004F6678">
        <w:t xml:space="preserve">European </w:t>
      </w:r>
      <w:r w:rsidR="00516FC2" w:rsidRPr="00807DAF">
        <w:t>Union (including through EDF) grant</w:t>
      </w:r>
      <w:r w:rsidR="00511112" w:rsidRPr="00807DAF">
        <w:t>;</w:t>
      </w:r>
    </w:p>
    <w:p w14:paraId="25A8CD25" w14:textId="44684857" w:rsidR="00511112" w:rsidRPr="00807DAF" w:rsidRDefault="006B6F21" w:rsidP="00345D21">
      <w:pPr>
        <w:numPr>
          <w:ilvl w:val="0"/>
          <w:numId w:val="9"/>
        </w:numPr>
      </w:pPr>
      <w:r>
        <w:t>P</w:t>
      </w:r>
      <w:r w:rsidR="00511112" w:rsidRPr="00807DAF">
        <w:t xml:space="preserve">urchases of land or buildings, except where necessary for the direct implementation of the action, in which case ownership must be transferred </w:t>
      </w:r>
      <w:r w:rsidR="0029143C">
        <w:t>in accordance with Article 7.5 of the General Conditions of the standard grant contract</w:t>
      </w:r>
      <w:r w:rsidR="002265E1" w:rsidRPr="00807DAF">
        <w:t xml:space="preserve">, at the latest </w:t>
      </w:r>
      <w:r w:rsidR="00516FC2" w:rsidRPr="00807DAF">
        <w:t>at</w:t>
      </w:r>
      <w:r w:rsidR="00511112" w:rsidRPr="00807DAF">
        <w:t xml:space="preserve"> the end of the action;</w:t>
      </w:r>
    </w:p>
    <w:p w14:paraId="57D2B837" w14:textId="34A1F8B6" w:rsidR="00511112" w:rsidRPr="00807DAF" w:rsidRDefault="006B6F21" w:rsidP="00345D21">
      <w:pPr>
        <w:numPr>
          <w:ilvl w:val="0"/>
          <w:numId w:val="9"/>
        </w:numPr>
      </w:pPr>
      <w:r>
        <w:t>C</w:t>
      </w:r>
      <w:r w:rsidR="00511112" w:rsidRPr="00807DAF">
        <w:t>urrency exchange losses;</w:t>
      </w:r>
    </w:p>
    <w:p w14:paraId="49F20386" w14:textId="5989275E" w:rsidR="0061511C" w:rsidRDefault="006B6F21" w:rsidP="00345D21">
      <w:pPr>
        <w:numPr>
          <w:ilvl w:val="0"/>
          <w:numId w:val="9"/>
        </w:numPr>
      </w:pPr>
      <w:r>
        <w:t>C</w:t>
      </w:r>
      <w:r w:rsidR="00622927">
        <w:t>redit to third parties;</w:t>
      </w:r>
    </w:p>
    <w:p w14:paraId="647E1AF2" w14:textId="1E99436D" w:rsidR="00622927" w:rsidRPr="00360C5E" w:rsidRDefault="006B6F21" w:rsidP="00345D21">
      <w:pPr>
        <w:numPr>
          <w:ilvl w:val="0"/>
          <w:numId w:val="9"/>
        </w:numPr>
        <w:rPr>
          <w:szCs w:val="22"/>
        </w:rPr>
      </w:pPr>
      <w:r>
        <w:rPr>
          <w:szCs w:val="22"/>
        </w:rPr>
        <w:t>T</w:t>
      </w:r>
      <w:r w:rsidR="00622927" w:rsidRPr="00360C5E">
        <w:rPr>
          <w:szCs w:val="22"/>
        </w:rPr>
        <w:t>axes, including value added taxes</w:t>
      </w:r>
      <w:r w:rsidR="00622927">
        <w:rPr>
          <w:szCs w:val="22"/>
        </w:rPr>
        <w:t>, when they are recoverable under national VAT legislation</w:t>
      </w:r>
      <w:r w:rsidR="00622927" w:rsidRPr="00360C5E">
        <w:rPr>
          <w:szCs w:val="22"/>
        </w:rPr>
        <w:t>;</w:t>
      </w:r>
    </w:p>
    <w:p w14:paraId="54DCAC00" w14:textId="6D908CA4" w:rsidR="00622927" w:rsidRPr="00360C5E" w:rsidRDefault="006B6F21" w:rsidP="00345D21">
      <w:pPr>
        <w:numPr>
          <w:ilvl w:val="0"/>
          <w:numId w:val="9"/>
        </w:numPr>
        <w:rPr>
          <w:szCs w:val="22"/>
        </w:rPr>
      </w:pPr>
      <w:r>
        <w:rPr>
          <w:szCs w:val="22"/>
        </w:rPr>
        <w:t>F</w:t>
      </w:r>
      <w:r w:rsidR="00622927" w:rsidRPr="00360C5E">
        <w:rPr>
          <w:szCs w:val="22"/>
        </w:rPr>
        <w:t>ines, financial penalties and expenses of litigation;</w:t>
      </w:r>
    </w:p>
    <w:p w14:paraId="38D3D931" w14:textId="3BD3B08B" w:rsidR="00622927" w:rsidRPr="00360C5E" w:rsidRDefault="006B6F21" w:rsidP="00D8109D">
      <w:pPr>
        <w:numPr>
          <w:ilvl w:val="0"/>
          <w:numId w:val="9"/>
        </w:numPr>
        <w:rPr>
          <w:szCs w:val="22"/>
        </w:rPr>
      </w:pPr>
      <w:r>
        <w:rPr>
          <w:szCs w:val="22"/>
        </w:rPr>
        <w:t>S</w:t>
      </w:r>
      <w:r w:rsidR="00622927" w:rsidRPr="00360C5E">
        <w:rPr>
          <w:szCs w:val="22"/>
        </w:rPr>
        <w:t>econd hand equipment;</w:t>
      </w:r>
      <w:r w:rsidR="00D8109D" w:rsidRPr="00360C5E" w:rsidDel="00D8109D">
        <w:rPr>
          <w:szCs w:val="22"/>
        </w:rPr>
        <w:t xml:space="preserve"> </w:t>
      </w:r>
    </w:p>
    <w:p w14:paraId="323FEED0" w14:textId="08B3B664" w:rsidR="00622927" w:rsidRPr="00360C5E" w:rsidRDefault="006B6F21" w:rsidP="00345D21">
      <w:pPr>
        <w:numPr>
          <w:ilvl w:val="0"/>
          <w:numId w:val="9"/>
        </w:numPr>
        <w:rPr>
          <w:szCs w:val="22"/>
        </w:rPr>
      </w:pPr>
      <w:r>
        <w:rPr>
          <w:szCs w:val="22"/>
        </w:rPr>
        <w:t>C</w:t>
      </w:r>
      <w:r w:rsidR="00622927" w:rsidRPr="00360C5E">
        <w:rPr>
          <w:szCs w:val="22"/>
        </w:rPr>
        <w:t>ontribution in kind;</w:t>
      </w:r>
    </w:p>
    <w:p w14:paraId="59B97C60" w14:textId="5DFC7A60" w:rsidR="00622927" w:rsidRPr="000C0BAB" w:rsidRDefault="006B6F21" w:rsidP="00345D21">
      <w:pPr>
        <w:numPr>
          <w:ilvl w:val="0"/>
          <w:numId w:val="9"/>
        </w:numPr>
        <w:rPr>
          <w:szCs w:val="22"/>
        </w:rPr>
      </w:pPr>
      <w:r>
        <w:rPr>
          <w:szCs w:val="22"/>
        </w:rPr>
        <w:t>D</w:t>
      </w:r>
      <w:r w:rsidR="00622927" w:rsidRPr="00360C5E">
        <w:rPr>
          <w:szCs w:val="22"/>
        </w:rPr>
        <w:t>epreciation costs.</w:t>
      </w:r>
    </w:p>
    <w:p w14:paraId="3BE54E69" w14:textId="77777777" w:rsidR="00357CC0" w:rsidRPr="00F02ACE" w:rsidRDefault="0009588C" w:rsidP="00F02ACE">
      <w:pPr>
        <w:pStyle w:val="Guidelines2"/>
      </w:pPr>
      <w:bookmarkStart w:id="15" w:name="_Toc502218268"/>
      <w:r w:rsidRPr="00F02ACE">
        <w:t>H</w:t>
      </w:r>
      <w:r w:rsidR="00357CC0" w:rsidRPr="00F02ACE">
        <w:t>ow to apply and the procedures to follow</w:t>
      </w:r>
      <w:bookmarkEnd w:id="15"/>
    </w:p>
    <w:p w14:paraId="66FDDC52" w14:textId="77777777" w:rsidR="00357CC0" w:rsidRPr="00807DAF" w:rsidRDefault="003927A2" w:rsidP="0068216F">
      <w:r w:rsidRPr="008503BC">
        <w:t xml:space="preserve">Information in PADOR will not be drawn upon in the present </w:t>
      </w:r>
      <w:r w:rsidR="000D61C6" w:rsidRPr="008503BC">
        <w:t>c</w:t>
      </w:r>
      <w:r w:rsidR="00BC363D" w:rsidRPr="008503BC">
        <w:t>all</w:t>
      </w:r>
      <w:r w:rsidR="00357CC0" w:rsidRPr="008503BC">
        <w:t>.</w:t>
      </w:r>
    </w:p>
    <w:p w14:paraId="33FA2F40" w14:textId="77777777" w:rsidR="0007408E" w:rsidRPr="008D5924" w:rsidRDefault="0007408E" w:rsidP="00345D21">
      <w:pPr>
        <w:pStyle w:val="Guidelines3"/>
        <w:numPr>
          <w:ilvl w:val="2"/>
          <w:numId w:val="10"/>
        </w:numPr>
      </w:pPr>
      <w:bookmarkStart w:id="16" w:name="_Toc502218269"/>
      <w:r w:rsidRPr="008D5924">
        <w:t>Application for</w:t>
      </w:r>
      <w:r w:rsidR="005D7AF3" w:rsidRPr="008D5924">
        <w:t>ms</w:t>
      </w:r>
      <w:bookmarkEnd w:id="16"/>
    </w:p>
    <w:p w14:paraId="1FF36E96" w14:textId="77777777" w:rsidR="00DA4A12" w:rsidRPr="00DA4A12" w:rsidRDefault="00DA4A12" w:rsidP="00DA4A12">
      <w:pPr>
        <w:spacing w:before="240"/>
        <w:rPr>
          <w:color w:val="000000"/>
        </w:rPr>
      </w:pPr>
      <w:r w:rsidRPr="00DA4A12">
        <w:t xml:space="preserve">Applications must be submitted in accordance with the instructions on the concept note and the full applications in the grant application form annexed to these guidelines (Annex A). </w:t>
      </w:r>
    </w:p>
    <w:p w14:paraId="58E63D25" w14:textId="77777777" w:rsidR="00DA4A12" w:rsidRPr="00DA4A12" w:rsidRDefault="00DA4A12" w:rsidP="00DA4A12">
      <w:pPr>
        <w:rPr>
          <w:color w:val="000000"/>
        </w:rPr>
      </w:pPr>
      <w:r w:rsidRPr="00DA4A12">
        <w:rPr>
          <w:color w:val="000000"/>
        </w:rPr>
        <w:t>Applica</w:t>
      </w:r>
      <w:r w:rsidR="00F323ED">
        <w:rPr>
          <w:color w:val="000000"/>
        </w:rPr>
        <w:t>tions</w:t>
      </w:r>
      <w:r w:rsidRPr="00DA4A12">
        <w:rPr>
          <w:color w:val="000000"/>
        </w:rPr>
        <w:t xml:space="preserve"> must </w:t>
      </w:r>
      <w:r w:rsidR="00F323ED">
        <w:rPr>
          <w:color w:val="000000"/>
        </w:rPr>
        <w:t>be submitted</w:t>
      </w:r>
      <w:r w:rsidRPr="00DA4A12">
        <w:rPr>
          <w:color w:val="000000"/>
        </w:rPr>
        <w:t xml:space="preserve"> in </w:t>
      </w:r>
      <w:r w:rsidR="00F323ED">
        <w:rPr>
          <w:color w:val="000000"/>
        </w:rPr>
        <w:t xml:space="preserve">the </w:t>
      </w:r>
      <w:r w:rsidRPr="00DA4A12">
        <w:rPr>
          <w:color w:val="000000"/>
        </w:rPr>
        <w:t>English</w:t>
      </w:r>
      <w:r w:rsidR="00F323ED">
        <w:rPr>
          <w:color w:val="000000"/>
        </w:rPr>
        <w:t xml:space="preserve"> language</w:t>
      </w:r>
      <w:r w:rsidRPr="00DA4A12">
        <w:rPr>
          <w:color w:val="000000"/>
        </w:rPr>
        <w:t xml:space="preserve">. </w:t>
      </w:r>
    </w:p>
    <w:p w14:paraId="13C48751" w14:textId="77777777" w:rsidR="00DA4A12" w:rsidRPr="00DA4A12" w:rsidRDefault="00DA4A12" w:rsidP="00DA4A12">
      <w:pPr>
        <w:rPr>
          <w:color w:val="000000"/>
        </w:rPr>
      </w:pPr>
      <w:r w:rsidRPr="00DA4A12">
        <w:rPr>
          <w:color w:val="000000"/>
        </w:rPr>
        <w:t>Any error or major discrepancy related to the points listed in the instructions on the concept note or any major inconsistency in the application e.g. if the amounts in the bud</w:t>
      </w:r>
      <w:r w:rsidR="002C484F">
        <w:rPr>
          <w:color w:val="000000"/>
        </w:rPr>
        <w:t>get worksheets are inconsistent,</w:t>
      </w:r>
      <w:r w:rsidRPr="00DA4A12">
        <w:rPr>
          <w:color w:val="000000"/>
        </w:rPr>
        <w:t xml:space="preserve"> may lead to the rejection of the application.</w:t>
      </w:r>
    </w:p>
    <w:p w14:paraId="7587DDDA" w14:textId="77777777" w:rsidR="00DA4A12" w:rsidRPr="00DA4A12" w:rsidRDefault="00DA4A12" w:rsidP="00DA4A12">
      <w:r w:rsidRPr="00DA4A12">
        <w:rPr>
          <w:color w:val="000000"/>
        </w:rPr>
        <w:t>Clarifications will only be requested when the information provided is unclear and thus prevents the Contracting Authority from conducting an objective assessment.</w:t>
      </w:r>
    </w:p>
    <w:p w14:paraId="7856F392" w14:textId="77777777" w:rsidR="00DA4A12" w:rsidRPr="00DA4A12" w:rsidRDefault="00DA4A12" w:rsidP="00DA4A12">
      <w:r w:rsidRPr="00DA4A12">
        <w:t>Hand-written applications will not be accepted.</w:t>
      </w:r>
    </w:p>
    <w:p w14:paraId="3ACB2026" w14:textId="7F8E5D30" w:rsidR="00DA4A12" w:rsidRPr="00DA4A12" w:rsidRDefault="00DA4A12" w:rsidP="00203ABF">
      <w:pPr>
        <w:rPr>
          <w:bCs/>
          <w:snapToGrid/>
          <w:color w:val="000000"/>
          <w:lang w:eastAsia="en-GB"/>
        </w:rPr>
      </w:pPr>
      <w:r w:rsidRPr="00DA4A12">
        <w:rPr>
          <w:snapToGrid/>
          <w:color w:val="000000"/>
          <w:lang w:eastAsia="en-GB"/>
        </w:rPr>
        <w:t>Please note that only the grant application form and the published annexes which have to be filled in (budget, logical framework) will be evaluated. It is therefore of utmost importance that these documents contain ALL the relevant information concerning the action.</w:t>
      </w:r>
      <w:r w:rsidR="004A033E">
        <w:rPr>
          <w:snapToGrid/>
          <w:color w:val="000000"/>
          <w:lang w:eastAsia="en-GB"/>
        </w:rPr>
        <w:t xml:space="preserve"> </w:t>
      </w:r>
      <w:r w:rsidRPr="00DA4A12">
        <w:rPr>
          <w:bCs/>
          <w:snapToGrid/>
          <w:color w:val="000000"/>
          <w:lang w:eastAsia="en-GB"/>
        </w:rPr>
        <w:t>No additional annexes should be sent.</w:t>
      </w:r>
    </w:p>
    <w:p w14:paraId="1D9D323D" w14:textId="77777777" w:rsidR="00DA4A12" w:rsidRPr="00DA4A12" w:rsidRDefault="0007408E" w:rsidP="00DA4A12">
      <w:pPr>
        <w:pStyle w:val="Guidelines3"/>
      </w:pPr>
      <w:bookmarkStart w:id="17" w:name="_Toc502218270"/>
      <w:r w:rsidRPr="00107DF6">
        <w:t xml:space="preserve">Where and how to send </w:t>
      </w:r>
      <w:r w:rsidR="00661830" w:rsidRPr="00107DF6">
        <w:t>a</w:t>
      </w:r>
      <w:r w:rsidRPr="00107DF6">
        <w:t>pplications</w:t>
      </w:r>
      <w:bookmarkEnd w:id="17"/>
    </w:p>
    <w:p w14:paraId="329D1F3C" w14:textId="77777777" w:rsidR="00C5520A" w:rsidRPr="00065681" w:rsidRDefault="00C5520A" w:rsidP="00203ABF">
      <w:pPr>
        <w:spacing w:before="240"/>
        <w:rPr>
          <w:snapToGrid/>
          <w:lang w:eastAsia="en-GB"/>
        </w:rPr>
      </w:pPr>
      <w:r w:rsidRPr="00065681">
        <w:rPr>
          <w:snapToGrid/>
          <w:lang w:eastAsia="en-GB"/>
        </w:rPr>
        <w:t xml:space="preserve">Applications must be submitted in one original and </w:t>
      </w:r>
      <w:r w:rsidR="002C484F">
        <w:rPr>
          <w:snapToGrid/>
          <w:lang w:eastAsia="en-GB"/>
        </w:rPr>
        <w:t xml:space="preserve">3 (three) </w:t>
      </w:r>
      <w:r w:rsidR="00065681" w:rsidRPr="00065681">
        <w:rPr>
          <w:snapToGrid/>
          <w:lang w:eastAsia="en-GB"/>
        </w:rPr>
        <w:t xml:space="preserve">copies </w:t>
      </w:r>
      <w:r w:rsidRPr="00065681">
        <w:rPr>
          <w:snapToGrid/>
          <w:lang w:eastAsia="en-GB"/>
        </w:rPr>
        <w:t xml:space="preserve">in A4 </w:t>
      </w:r>
      <w:r w:rsidR="00A016F9" w:rsidRPr="00065681">
        <w:rPr>
          <w:snapToGrid/>
          <w:lang w:eastAsia="en-GB"/>
        </w:rPr>
        <w:t>size</w:t>
      </w:r>
      <w:r w:rsidRPr="00065681">
        <w:rPr>
          <w:snapToGrid/>
          <w:lang w:eastAsia="en-GB"/>
        </w:rPr>
        <w:t>, each bound. The complete application form (</w:t>
      </w:r>
      <w:r w:rsidR="00896ECA" w:rsidRPr="00065681">
        <w:rPr>
          <w:snapToGrid/>
          <w:lang w:eastAsia="en-GB"/>
        </w:rPr>
        <w:t>Part</w:t>
      </w:r>
      <w:r w:rsidRPr="00065681">
        <w:rPr>
          <w:snapToGrid/>
          <w:lang w:eastAsia="en-GB"/>
        </w:rPr>
        <w:t xml:space="preserve"> A: concept note and </w:t>
      </w:r>
      <w:r w:rsidR="00896ECA" w:rsidRPr="00065681">
        <w:rPr>
          <w:snapToGrid/>
          <w:lang w:eastAsia="en-GB"/>
        </w:rPr>
        <w:t>Part</w:t>
      </w:r>
      <w:r w:rsidRPr="00065681">
        <w:rPr>
          <w:snapToGrid/>
          <w:lang w:eastAsia="en-GB"/>
        </w:rPr>
        <w:t xml:space="preserve"> B: full application form), budget and logical framework must </w:t>
      </w:r>
      <w:r w:rsidRPr="00065681">
        <w:rPr>
          <w:snapToGrid/>
          <w:lang w:eastAsia="en-GB"/>
        </w:rPr>
        <w:lastRenderedPageBreak/>
        <w:t>also be supplied in electronic format (</w:t>
      </w:r>
      <w:r w:rsidR="004741A1" w:rsidRPr="00065681">
        <w:rPr>
          <w:snapToGrid/>
          <w:lang w:eastAsia="en-GB"/>
        </w:rPr>
        <w:t>CD-ROM</w:t>
      </w:r>
      <w:r w:rsidR="00DA4A12">
        <w:rPr>
          <w:snapToGrid/>
          <w:lang w:eastAsia="en-GB"/>
        </w:rPr>
        <w:t xml:space="preserve">) </w:t>
      </w:r>
      <w:r w:rsidRPr="00065681">
        <w:rPr>
          <w:snapToGrid/>
          <w:lang w:eastAsia="en-GB"/>
        </w:rPr>
        <w:t xml:space="preserve">in a separate and </w:t>
      </w:r>
      <w:r w:rsidR="00A030A6" w:rsidRPr="00065681">
        <w:rPr>
          <w:snapToGrid/>
          <w:lang w:eastAsia="en-GB"/>
        </w:rPr>
        <w:t xml:space="preserve">single </w:t>
      </w:r>
      <w:r w:rsidRPr="00065681">
        <w:rPr>
          <w:snapToGrid/>
          <w:lang w:eastAsia="en-GB"/>
        </w:rPr>
        <w:t>file (</w:t>
      </w:r>
      <w:r w:rsidR="00A030A6" w:rsidRPr="00065681">
        <w:rPr>
          <w:snapToGrid/>
          <w:lang w:eastAsia="en-GB"/>
        </w:rPr>
        <w:t>i.</w:t>
      </w:r>
      <w:r w:rsidRPr="00065681">
        <w:rPr>
          <w:snapToGrid/>
          <w:lang w:eastAsia="en-GB"/>
        </w:rPr>
        <w:t xml:space="preserve">e. the application must not be split into several different files). </w:t>
      </w:r>
      <w:r w:rsidRPr="00065681">
        <w:t>The electronic f</w:t>
      </w:r>
      <w:r w:rsidR="00A030A6" w:rsidRPr="00065681">
        <w:t>ile</w:t>
      </w:r>
      <w:r w:rsidRPr="00065681">
        <w:t xml:space="preserve"> must contain </w:t>
      </w:r>
      <w:r w:rsidRPr="00065681">
        <w:rPr>
          <w:b/>
        </w:rPr>
        <w:t>exactly the same</w:t>
      </w:r>
      <w:r w:rsidRPr="00065681">
        <w:t xml:space="preserve"> application as the paper version enclosed.</w:t>
      </w:r>
    </w:p>
    <w:p w14:paraId="50C408CD" w14:textId="1C92A8F9" w:rsidR="00C5520A" w:rsidRPr="00DA4A12" w:rsidRDefault="00C5520A" w:rsidP="00203ABF">
      <w:r w:rsidRPr="00065681">
        <w:t xml:space="preserve">The </w:t>
      </w:r>
      <w:r w:rsidR="00661830" w:rsidRPr="00065681">
        <w:t>c</w:t>
      </w:r>
      <w:r w:rsidRPr="00065681">
        <w:t>hecklist (</w:t>
      </w:r>
      <w:r w:rsidR="00661830" w:rsidRPr="00DA4A12">
        <w:t>s</w:t>
      </w:r>
      <w:r w:rsidR="006B6F21">
        <w:t xml:space="preserve">ection </w:t>
      </w:r>
      <w:r w:rsidR="00B971F7" w:rsidRPr="00DA4A12">
        <w:t xml:space="preserve">7 </w:t>
      </w:r>
      <w:r w:rsidRPr="00DA4A12">
        <w:t xml:space="preserve">of </w:t>
      </w:r>
      <w:r w:rsidR="00896ECA" w:rsidRPr="00DA4A12">
        <w:t>Part</w:t>
      </w:r>
      <w:r w:rsidRPr="00DA4A12">
        <w:t xml:space="preserve"> B </w:t>
      </w:r>
      <w:r w:rsidR="002D7F4A" w:rsidRPr="00DA4A12">
        <w:t xml:space="preserve">of </w:t>
      </w:r>
      <w:r w:rsidRPr="00DA4A12">
        <w:t xml:space="preserve">the grant application form) and the </w:t>
      </w:r>
      <w:r w:rsidR="00661830" w:rsidRPr="00DA4A12">
        <w:t>d</w:t>
      </w:r>
      <w:r w:rsidRPr="00DA4A12">
        <w:t>eclar</w:t>
      </w:r>
      <w:r w:rsidR="004741A1" w:rsidRPr="00DA4A12">
        <w:t xml:space="preserve">ation by the </w:t>
      </w:r>
      <w:r w:rsidR="00B114D9" w:rsidRPr="00DA4A12">
        <w:t>lead a</w:t>
      </w:r>
      <w:r w:rsidR="004741A1" w:rsidRPr="00DA4A12">
        <w:t>pplicant (</w:t>
      </w:r>
      <w:r w:rsidR="00661830" w:rsidRPr="00DA4A12">
        <w:t>s</w:t>
      </w:r>
      <w:r w:rsidR="004741A1" w:rsidRPr="00DA4A12">
        <w:t>ection </w:t>
      </w:r>
      <w:r w:rsidR="00B971F7" w:rsidRPr="00DA4A12">
        <w:t xml:space="preserve">8 </w:t>
      </w:r>
      <w:r w:rsidRPr="00DA4A12">
        <w:t xml:space="preserve">of </w:t>
      </w:r>
      <w:r w:rsidR="00896ECA" w:rsidRPr="00DA4A12">
        <w:t>Part</w:t>
      </w:r>
      <w:r w:rsidRPr="00DA4A12">
        <w:t xml:space="preserve"> B of the grant application form) must be stapled separately and enclosed in the envelope</w:t>
      </w:r>
      <w:r w:rsidR="00A030A6" w:rsidRPr="00DA4A12">
        <w:t>.</w:t>
      </w:r>
    </w:p>
    <w:p w14:paraId="0B928FAB" w14:textId="77777777" w:rsidR="00DA4A12" w:rsidRPr="00DA4A12" w:rsidRDefault="00DA4A12" w:rsidP="00203ABF">
      <w:r w:rsidRPr="00DA4A12">
        <w:t>Where a lead applicant sends several different applications (if allowed to do so by the guidelines of the call), each one has to be sent separately.</w:t>
      </w:r>
    </w:p>
    <w:p w14:paraId="109E5BE1" w14:textId="41F2F382" w:rsidR="00065681" w:rsidRDefault="00C5520A" w:rsidP="00203ABF">
      <w:pPr>
        <w:rPr>
          <w:szCs w:val="22"/>
        </w:rPr>
      </w:pPr>
      <w:r w:rsidRPr="00065681">
        <w:t xml:space="preserve">The outer envelope must bear the </w:t>
      </w:r>
      <w:r w:rsidRPr="00065681">
        <w:rPr>
          <w:b/>
          <w:u w:val="single"/>
        </w:rPr>
        <w:t xml:space="preserve">reference number and the title of the </w:t>
      </w:r>
      <w:r w:rsidR="00661830" w:rsidRPr="00065681">
        <w:rPr>
          <w:b/>
          <w:u w:val="single"/>
        </w:rPr>
        <w:t>c</w:t>
      </w:r>
      <w:r w:rsidR="001D0C7B" w:rsidRPr="00065681">
        <w:rPr>
          <w:b/>
          <w:u w:val="single"/>
        </w:rPr>
        <w:t xml:space="preserve">all for </w:t>
      </w:r>
      <w:r w:rsidR="00661830" w:rsidRPr="00065681">
        <w:rPr>
          <w:b/>
          <w:u w:val="single"/>
        </w:rPr>
        <w:t>p</w:t>
      </w:r>
      <w:r w:rsidR="001D0C7B" w:rsidRPr="00065681">
        <w:rPr>
          <w:b/>
          <w:u w:val="single"/>
        </w:rPr>
        <w:t>roposals</w:t>
      </w:r>
      <w:r w:rsidRPr="00065681">
        <w:t xml:space="preserve">, together with the full name and address of the </w:t>
      </w:r>
      <w:r w:rsidR="00B114D9" w:rsidRPr="00065681">
        <w:t>lead a</w:t>
      </w:r>
      <w:r w:rsidRPr="00065681">
        <w:t xml:space="preserve">pplicant, and the words </w:t>
      </w:r>
      <w:r w:rsidR="00A016F9" w:rsidRPr="00065681">
        <w:t>‘</w:t>
      </w:r>
      <w:r w:rsidRPr="00065681">
        <w:t>Not to be opened before the opening session</w:t>
      </w:r>
      <w:r w:rsidR="00A016F9" w:rsidRPr="00065681">
        <w:t>’</w:t>
      </w:r>
      <w:r w:rsidRPr="00065681">
        <w:t xml:space="preserve"> and </w:t>
      </w:r>
      <w:r w:rsidR="00065681" w:rsidRPr="00FF7FC8">
        <w:rPr>
          <w:szCs w:val="22"/>
        </w:rPr>
        <w:t>“</w:t>
      </w:r>
      <w:r w:rsidR="00065681" w:rsidRPr="002215BA">
        <w:rPr>
          <w:i/>
          <w:szCs w:val="22"/>
        </w:rPr>
        <w:t xml:space="preserve">Ne </w:t>
      </w:r>
      <w:proofErr w:type="spellStart"/>
      <w:r w:rsidR="00065681" w:rsidRPr="002215BA">
        <w:rPr>
          <w:i/>
          <w:szCs w:val="22"/>
        </w:rPr>
        <w:t>otvarati</w:t>
      </w:r>
      <w:proofErr w:type="spellEnd"/>
      <w:r w:rsidR="002215BA" w:rsidRPr="002215BA">
        <w:rPr>
          <w:i/>
          <w:szCs w:val="22"/>
          <w:lang w:val="sr-Cyrl-RS"/>
        </w:rPr>
        <w:t xml:space="preserve"> </w:t>
      </w:r>
      <w:proofErr w:type="spellStart"/>
      <w:r w:rsidR="00065681" w:rsidRPr="002215BA">
        <w:rPr>
          <w:i/>
          <w:szCs w:val="22"/>
        </w:rPr>
        <w:t>prije</w:t>
      </w:r>
      <w:proofErr w:type="spellEnd"/>
      <w:r w:rsidR="002215BA" w:rsidRPr="002215BA">
        <w:rPr>
          <w:i/>
          <w:szCs w:val="22"/>
          <w:lang w:val="sr-Cyrl-RS"/>
        </w:rPr>
        <w:t xml:space="preserve"> </w:t>
      </w:r>
      <w:proofErr w:type="spellStart"/>
      <w:r w:rsidR="00065681" w:rsidRPr="002215BA">
        <w:rPr>
          <w:i/>
          <w:szCs w:val="22"/>
        </w:rPr>
        <w:t>sastanka</w:t>
      </w:r>
      <w:proofErr w:type="spellEnd"/>
      <w:r w:rsidR="002215BA" w:rsidRPr="002215BA">
        <w:rPr>
          <w:i/>
          <w:szCs w:val="22"/>
          <w:lang w:val="sr-Cyrl-RS"/>
        </w:rPr>
        <w:t xml:space="preserve"> </w:t>
      </w:r>
      <w:proofErr w:type="spellStart"/>
      <w:r w:rsidR="00065681" w:rsidRPr="002215BA">
        <w:rPr>
          <w:i/>
          <w:szCs w:val="22"/>
        </w:rPr>
        <w:t>za</w:t>
      </w:r>
      <w:proofErr w:type="spellEnd"/>
      <w:r w:rsidR="002215BA" w:rsidRPr="002215BA">
        <w:rPr>
          <w:i/>
          <w:szCs w:val="22"/>
          <w:lang w:val="sr-Cyrl-RS"/>
        </w:rPr>
        <w:t xml:space="preserve"> </w:t>
      </w:r>
      <w:proofErr w:type="spellStart"/>
      <w:r w:rsidR="00065681" w:rsidRPr="002215BA">
        <w:rPr>
          <w:i/>
          <w:szCs w:val="22"/>
        </w:rPr>
        <w:t>otvaranje</w:t>
      </w:r>
      <w:proofErr w:type="spellEnd"/>
      <w:r w:rsidR="002215BA" w:rsidRPr="002215BA">
        <w:rPr>
          <w:i/>
          <w:szCs w:val="22"/>
          <w:lang w:val="sr-Cyrl-RS"/>
        </w:rPr>
        <w:t xml:space="preserve"> </w:t>
      </w:r>
      <w:proofErr w:type="spellStart"/>
      <w:r w:rsidR="00065681" w:rsidRPr="002215BA">
        <w:rPr>
          <w:i/>
          <w:szCs w:val="22"/>
        </w:rPr>
        <w:t>prijedloga</w:t>
      </w:r>
      <w:proofErr w:type="spellEnd"/>
      <w:r w:rsidR="002215BA" w:rsidRPr="002215BA">
        <w:rPr>
          <w:i/>
          <w:szCs w:val="22"/>
          <w:lang w:val="sr-Cyrl-RS"/>
        </w:rPr>
        <w:t xml:space="preserve"> </w:t>
      </w:r>
      <w:proofErr w:type="spellStart"/>
      <w:r w:rsidR="00065681" w:rsidRPr="002215BA">
        <w:rPr>
          <w:i/>
          <w:szCs w:val="22"/>
        </w:rPr>
        <w:t>projekata</w:t>
      </w:r>
      <w:proofErr w:type="spellEnd"/>
      <w:r w:rsidR="00065681">
        <w:rPr>
          <w:szCs w:val="22"/>
        </w:rPr>
        <w:t>”.</w:t>
      </w:r>
    </w:p>
    <w:p w14:paraId="26378887" w14:textId="77777777" w:rsidR="0007408E" w:rsidRPr="00065681" w:rsidRDefault="0007408E" w:rsidP="00203ABF">
      <w:r w:rsidRPr="00065681">
        <w:t xml:space="preserve">Applications must be </w:t>
      </w:r>
      <w:r w:rsidR="00745D47" w:rsidRPr="00065681">
        <w:t>submitted</w:t>
      </w:r>
      <w:r w:rsidRPr="00065681">
        <w:t xml:space="preserve"> in a sealed envelope by registered mail, </w:t>
      </w:r>
      <w:r w:rsidR="00B761FC" w:rsidRPr="00065681">
        <w:t xml:space="preserve">private </w:t>
      </w:r>
      <w:r w:rsidRPr="00065681">
        <w:t xml:space="preserve">courier </w:t>
      </w:r>
      <w:r w:rsidR="00B761FC" w:rsidRPr="00065681">
        <w:t xml:space="preserve">service </w:t>
      </w:r>
      <w:r w:rsidRPr="00065681">
        <w:t>or by hand-delivery (a signed and dated certificate of receipt will be given to the deliverer) at the address below:</w:t>
      </w:r>
    </w:p>
    <w:p w14:paraId="3B7D68F4" w14:textId="77777777" w:rsidR="0007408E" w:rsidRPr="00065681" w:rsidRDefault="0007408E" w:rsidP="00203ABF">
      <w:pPr>
        <w:ind w:left="709"/>
        <w:rPr>
          <w:u w:val="single"/>
        </w:rPr>
      </w:pPr>
      <w:r w:rsidRPr="00065681">
        <w:rPr>
          <w:u w:val="single"/>
        </w:rPr>
        <w:t>Postal address</w:t>
      </w:r>
      <w:r w:rsidR="00065681">
        <w:rPr>
          <w:u w:val="single"/>
        </w:rPr>
        <w:t>:</w:t>
      </w:r>
    </w:p>
    <w:p w14:paraId="55301E2C" w14:textId="77777777" w:rsidR="00065681" w:rsidRPr="00360C5E" w:rsidRDefault="00065681" w:rsidP="00065681">
      <w:pPr>
        <w:spacing w:after="0"/>
        <w:ind w:left="567"/>
        <w:rPr>
          <w:szCs w:val="22"/>
        </w:rPr>
      </w:pPr>
      <w:r w:rsidRPr="00360C5E">
        <w:rPr>
          <w:szCs w:val="22"/>
        </w:rPr>
        <w:t>Ministry of Finance</w:t>
      </w:r>
    </w:p>
    <w:p w14:paraId="32026D67" w14:textId="77777777" w:rsidR="00D8109D" w:rsidRDefault="00065681" w:rsidP="00065681">
      <w:pPr>
        <w:spacing w:after="0"/>
        <w:ind w:left="567"/>
        <w:rPr>
          <w:szCs w:val="22"/>
        </w:rPr>
      </w:pPr>
      <w:r w:rsidRPr="00360C5E">
        <w:rPr>
          <w:szCs w:val="22"/>
        </w:rPr>
        <w:t xml:space="preserve">Directorate for Finance and Contracting of the EU Assistance Funds </w:t>
      </w:r>
    </w:p>
    <w:p w14:paraId="0926690E" w14:textId="20748ECE" w:rsidR="00065681" w:rsidRPr="00360C5E" w:rsidRDefault="00065681" w:rsidP="00065681">
      <w:pPr>
        <w:spacing w:after="0"/>
        <w:ind w:left="567"/>
        <w:rPr>
          <w:szCs w:val="22"/>
        </w:rPr>
      </w:pPr>
      <w:proofErr w:type="spellStart"/>
      <w:r w:rsidRPr="00360C5E">
        <w:rPr>
          <w:szCs w:val="22"/>
        </w:rPr>
        <w:t>Stanka</w:t>
      </w:r>
      <w:proofErr w:type="spellEnd"/>
      <w:r w:rsidR="002215BA">
        <w:rPr>
          <w:szCs w:val="22"/>
          <w:lang w:val="sr-Cyrl-RS"/>
        </w:rPr>
        <w:t xml:space="preserve"> </w:t>
      </w:r>
      <w:proofErr w:type="spellStart"/>
      <w:r w:rsidRPr="00360C5E">
        <w:rPr>
          <w:szCs w:val="22"/>
        </w:rPr>
        <w:t>Dragojevića</w:t>
      </w:r>
      <w:proofErr w:type="spellEnd"/>
      <w:r w:rsidRPr="00360C5E">
        <w:rPr>
          <w:szCs w:val="22"/>
        </w:rPr>
        <w:t xml:space="preserve"> 2,</w:t>
      </w:r>
    </w:p>
    <w:p w14:paraId="2199051F" w14:textId="77777777" w:rsidR="00065681" w:rsidRDefault="00065681" w:rsidP="00065681">
      <w:pPr>
        <w:spacing w:after="0"/>
        <w:ind w:left="567"/>
        <w:rPr>
          <w:szCs w:val="22"/>
        </w:rPr>
      </w:pPr>
      <w:r w:rsidRPr="00360C5E">
        <w:rPr>
          <w:szCs w:val="22"/>
        </w:rPr>
        <w:t>81000 Podgorica</w:t>
      </w:r>
    </w:p>
    <w:p w14:paraId="0666313C" w14:textId="77777777" w:rsidR="00065681" w:rsidRPr="00360C5E" w:rsidRDefault="00065681" w:rsidP="00065681">
      <w:pPr>
        <w:spacing w:after="0"/>
        <w:ind w:left="567"/>
        <w:rPr>
          <w:szCs w:val="22"/>
        </w:rPr>
      </w:pPr>
    </w:p>
    <w:p w14:paraId="197B7C67" w14:textId="77777777" w:rsidR="0007408E" w:rsidRPr="00065681" w:rsidRDefault="0007408E" w:rsidP="00203ABF">
      <w:pPr>
        <w:ind w:left="709"/>
        <w:rPr>
          <w:u w:val="single"/>
        </w:rPr>
      </w:pPr>
      <w:r w:rsidRPr="00065681">
        <w:rPr>
          <w:u w:val="single"/>
        </w:rPr>
        <w:t>Address for hand delivery</w:t>
      </w:r>
      <w:r w:rsidR="00C17499" w:rsidRPr="00065681">
        <w:rPr>
          <w:u w:val="single"/>
        </w:rPr>
        <w:t xml:space="preserve"> or by private courier service</w:t>
      </w:r>
      <w:r w:rsidR="00065681" w:rsidRPr="00065681">
        <w:rPr>
          <w:u w:val="single"/>
        </w:rPr>
        <w:t>:</w:t>
      </w:r>
    </w:p>
    <w:p w14:paraId="31603856" w14:textId="77777777" w:rsidR="003A5ED5" w:rsidRPr="00360C5E" w:rsidRDefault="003A5ED5" w:rsidP="003A5ED5">
      <w:pPr>
        <w:spacing w:after="0"/>
        <w:ind w:left="567"/>
        <w:rPr>
          <w:szCs w:val="22"/>
        </w:rPr>
      </w:pPr>
      <w:r w:rsidRPr="00360C5E">
        <w:rPr>
          <w:szCs w:val="22"/>
        </w:rPr>
        <w:t>Ministry of Finance</w:t>
      </w:r>
    </w:p>
    <w:p w14:paraId="535E0891" w14:textId="329740BD" w:rsidR="003A5ED5" w:rsidRPr="00360C5E" w:rsidRDefault="003A5ED5" w:rsidP="003A5ED5">
      <w:pPr>
        <w:spacing w:after="0"/>
        <w:ind w:left="567"/>
        <w:rPr>
          <w:szCs w:val="22"/>
        </w:rPr>
      </w:pPr>
      <w:r w:rsidRPr="00360C5E">
        <w:rPr>
          <w:szCs w:val="22"/>
        </w:rPr>
        <w:t xml:space="preserve">Directorate for Finance and Contracting of the EU Assistance Funds </w:t>
      </w:r>
    </w:p>
    <w:p w14:paraId="597B8DE6" w14:textId="44D73D76" w:rsidR="003A5ED5" w:rsidRPr="00360C5E" w:rsidRDefault="003A5ED5" w:rsidP="003A5ED5">
      <w:pPr>
        <w:spacing w:after="0"/>
        <w:ind w:left="567"/>
        <w:rPr>
          <w:szCs w:val="22"/>
        </w:rPr>
      </w:pPr>
      <w:proofErr w:type="spellStart"/>
      <w:r w:rsidRPr="00360C5E">
        <w:rPr>
          <w:szCs w:val="22"/>
        </w:rPr>
        <w:t>Stanka</w:t>
      </w:r>
      <w:proofErr w:type="spellEnd"/>
      <w:r w:rsidR="004A033E">
        <w:rPr>
          <w:szCs w:val="22"/>
        </w:rPr>
        <w:t xml:space="preserve"> </w:t>
      </w:r>
      <w:proofErr w:type="spellStart"/>
      <w:r w:rsidR="00FC4A66">
        <w:rPr>
          <w:szCs w:val="22"/>
        </w:rPr>
        <w:t>Dragojevića</w:t>
      </w:r>
      <w:proofErr w:type="spellEnd"/>
      <w:r w:rsidR="00FC4A66">
        <w:rPr>
          <w:szCs w:val="22"/>
        </w:rPr>
        <w:t xml:space="preserve"> 2</w:t>
      </w:r>
    </w:p>
    <w:p w14:paraId="73FF879E" w14:textId="77777777" w:rsidR="003A5ED5" w:rsidRDefault="003A5ED5" w:rsidP="003A5ED5">
      <w:pPr>
        <w:spacing w:after="0"/>
        <w:ind w:left="567"/>
        <w:rPr>
          <w:szCs w:val="22"/>
        </w:rPr>
      </w:pPr>
      <w:r w:rsidRPr="00360C5E">
        <w:rPr>
          <w:szCs w:val="22"/>
        </w:rPr>
        <w:t>81000 Podgorica</w:t>
      </w:r>
    </w:p>
    <w:p w14:paraId="2D02BB26" w14:textId="77777777" w:rsidR="00065681" w:rsidRDefault="00065681" w:rsidP="00203ABF">
      <w:pPr>
        <w:ind w:left="709"/>
      </w:pPr>
    </w:p>
    <w:p w14:paraId="5CD2794B" w14:textId="1F7C3FDD" w:rsidR="00DA4A12" w:rsidRPr="00DA4A12" w:rsidRDefault="00DA4A12" w:rsidP="00DA4A12">
      <w:pPr>
        <w:autoSpaceDE w:val="0"/>
        <w:autoSpaceDN w:val="0"/>
        <w:adjustRightInd w:val="0"/>
        <w:spacing w:before="100" w:after="100"/>
        <w:rPr>
          <w:b/>
          <w:i/>
          <w:snapToGrid/>
          <w:color w:val="000000"/>
          <w:szCs w:val="22"/>
          <w:lang w:eastAsia="lt-LT"/>
        </w:rPr>
      </w:pPr>
      <w:r w:rsidRPr="00360C5E">
        <w:rPr>
          <w:b/>
          <w:i/>
          <w:snapToGrid/>
          <w:color w:val="000000"/>
          <w:szCs w:val="22"/>
          <w:lang w:eastAsia="lt-LT"/>
        </w:rPr>
        <w:t xml:space="preserve">Please note that </w:t>
      </w:r>
      <w:r w:rsidR="00F323ED">
        <w:rPr>
          <w:b/>
          <w:i/>
          <w:snapToGrid/>
          <w:color w:val="000000"/>
          <w:szCs w:val="22"/>
          <w:lang w:eastAsia="lt-LT"/>
        </w:rPr>
        <w:t xml:space="preserve">the </w:t>
      </w:r>
      <w:r w:rsidRPr="00360C5E">
        <w:rPr>
          <w:b/>
          <w:i/>
          <w:snapToGrid/>
          <w:color w:val="000000"/>
          <w:szCs w:val="22"/>
          <w:lang w:eastAsia="lt-LT"/>
        </w:rPr>
        <w:t>opening hours of the Ministry of Finance – The Directorate for Finance and Contracting of the EU Assistance Funds</w:t>
      </w:r>
      <w:r w:rsidR="003462E7">
        <w:rPr>
          <w:b/>
          <w:i/>
          <w:snapToGrid/>
          <w:color w:val="000000"/>
          <w:szCs w:val="22"/>
          <w:lang w:eastAsia="lt-LT"/>
        </w:rPr>
        <w:t xml:space="preserve"> are</w:t>
      </w:r>
      <w:r w:rsidRPr="00360C5E">
        <w:rPr>
          <w:b/>
          <w:i/>
          <w:snapToGrid/>
          <w:color w:val="000000"/>
          <w:szCs w:val="22"/>
          <w:lang w:eastAsia="lt-LT"/>
        </w:rPr>
        <w:t xml:space="preserve"> </w:t>
      </w:r>
      <w:r w:rsidR="00881EE9">
        <w:rPr>
          <w:b/>
          <w:i/>
          <w:snapToGrid/>
          <w:color w:val="000000"/>
          <w:szCs w:val="22"/>
          <w:lang w:eastAsia="lt-LT"/>
        </w:rPr>
        <w:t>7</w:t>
      </w:r>
      <w:r w:rsidRPr="00360C5E">
        <w:rPr>
          <w:b/>
          <w:i/>
          <w:snapToGrid/>
          <w:color w:val="000000"/>
          <w:szCs w:val="22"/>
          <w:lang w:eastAsia="lt-LT"/>
        </w:rPr>
        <w:t>:00–1</w:t>
      </w:r>
      <w:r w:rsidR="00881EE9">
        <w:rPr>
          <w:b/>
          <w:i/>
          <w:snapToGrid/>
          <w:color w:val="000000"/>
          <w:szCs w:val="22"/>
          <w:lang w:eastAsia="lt-LT"/>
        </w:rPr>
        <w:t>5</w:t>
      </w:r>
      <w:r w:rsidRPr="00360C5E">
        <w:rPr>
          <w:b/>
          <w:i/>
          <w:snapToGrid/>
          <w:color w:val="000000"/>
          <w:szCs w:val="22"/>
          <w:lang w:eastAsia="lt-LT"/>
        </w:rPr>
        <w:t>:00</w:t>
      </w:r>
      <w:r w:rsidR="003462E7">
        <w:rPr>
          <w:b/>
          <w:i/>
          <w:snapToGrid/>
          <w:color w:val="000000"/>
          <w:szCs w:val="22"/>
          <w:lang w:eastAsia="lt-LT"/>
        </w:rPr>
        <w:t>h</w:t>
      </w:r>
      <w:r w:rsidRPr="00360C5E">
        <w:rPr>
          <w:b/>
          <w:i/>
          <w:snapToGrid/>
          <w:color w:val="000000"/>
          <w:szCs w:val="22"/>
          <w:lang w:eastAsia="lt-LT"/>
        </w:rPr>
        <w:t xml:space="preserve">. </w:t>
      </w:r>
    </w:p>
    <w:p w14:paraId="11841FF2" w14:textId="77777777" w:rsidR="0007408E" w:rsidRPr="003A5ED5" w:rsidRDefault="0007408E" w:rsidP="00203ABF">
      <w:r w:rsidRPr="003A5ED5">
        <w:t>Applications sent by any other means (e.g. by fax or by e-mail) or delivered to other addresses will be rejected.</w:t>
      </w:r>
    </w:p>
    <w:p w14:paraId="14CA3765" w14:textId="39EF9EE6" w:rsidR="00BE3852" w:rsidRPr="003A5ED5" w:rsidRDefault="00BE3852" w:rsidP="00BE3852">
      <w:pPr>
        <w:rPr>
          <w:b/>
          <w:u w:val="single"/>
        </w:rPr>
      </w:pPr>
      <w:r w:rsidRPr="003A5ED5">
        <w:rPr>
          <w:b/>
        </w:rPr>
        <w:t>Lead applicants must verify that their application is complete using the checklist (section</w:t>
      </w:r>
      <w:r w:rsidR="006B6F21">
        <w:rPr>
          <w:b/>
        </w:rPr>
        <w:t xml:space="preserve"> </w:t>
      </w:r>
      <w:r w:rsidRPr="003A5ED5">
        <w:rPr>
          <w:b/>
        </w:rPr>
        <w:t>7 of Part B of the grant application form)</w:t>
      </w:r>
      <w:r w:rsidR="00B51452">
        <w:rPr>
          <w:b/>
        </w:rPr>
        <w:t xml:space="preserve">. </w:t>
      </w:r>
      <w:r w:rsidRPr="003A5ED5">
        <w:rPr>
          <w:b/>
          <w:u w:val="single"/>
        </w:rPr>
        <w:t>Incomplete applications may be rejected.</w:t>
      </w:r>
    </w:p>
    <w:p w14:paraId="2CBBE52D" w14:textId="77777777" w:rsidR="00BE3852" w:rsidRPr="003A5ED5" w:rsidRDefault="00BE3852" w:rsidP="00BE3852">
      <w:pPr>
        <w:pStyle w:val="Guidelines3"/>
      </w:pPr>
      <w:bookmarkStart w:id="18" w:name="_Toc502218271"/>
      <w:r w:rsidRPr="003A5ED5">
        <w:t>Deadline for submission of applications</w:t>
      </w:r>
      <w:bookmarkEnd w:id="18"/>
    </w:p>
    <w:p w14:paraId="3F53ADC3" w14:textId="290907FA" w:rsidR="00BE3852" w:rsidRPr="00807DAF" w:rsidRDefault="00BE3852" w:rsidP="00BE3852">
      <w:pPr>
        <w:spacing w:before="240"/>
      </w:pPr>
      <w:r w:rsidRPr="003A5ED5">
        <w:t xml:space="preserve">The deadline for the submission of applications </w:t>
      </w:r>
      <w:r w:rsidRPr="00C00FF7">
        <w:t xml:space="preserve">is </w:t>
      </w:r>
      <w:r w:rsidR="006E0FB2">
        <w:rPr>
          <w:szCs w:val="22"/>
        </w:rPr>
        <w:t>8</w:t>
      </w:r>
      <w:r w:rsidR="006E0FB2" w:rsidRPr="006E0FB2">
        <w:rPr>
          <w:szCs w:val="22"/>
          <w:vertAlign w:val="superscript"/>
        </w:rPr>
        <w:t>th</w:t>
      </w:r>
      <w:r w:rsidR="006E0FB2">
        <w:rPr>
          <w:szCs w:val="22"/>
        </w:rPr>
        <w:t xml:space="preserve"> May</w:t>
      </w:r>
      <w:r w:rsidRPr="00C00FF7">
        <w:rPr>
          <w:szCs w:val="22"/>
        </w:rPr>
        <w:t xml:space="preserve"> 201</w:t>
      </w:r>
      <w:r w:rsidR="00D76F58" w:rsidRPr="00C00FF7">
        <w:rPr>
          <w:szCs w:val="22"/>
        </w:rPr>
        <w:t>8</w:t>
      </w:r>
      <w:r w:rsidR="00D8170B" w:rsidRPr="00C00FF7">
        <w:rPr>
          <w:szCs w:val="22"/>
        </w:rPr>
        <w:t xml:space="preserve">, </w:t>
      </w:r>
      <w:r w:rsidRPr="00C00FF7">
        <w:t>as evidenced by the date of dispatch, the postmark or the date of the deposit slip. In the case of hand-deliveries, the deadline for receipt is at 1</w:t>
      </w:r>
      <w:r w:rsidR="00D8170B" w:rsidRPr="00C00FF7">
        <w:t>4</w:t>
      </w:r>
      <w:r w:rsidRPr="00C00FF7">
        <w:t>:00</w:t>
      </w:r>
      <w:r w:rsidR="00D602A2">
        <w:t>h</w:t>
      </w:r>
      <w:r w:rsidRPr="003A5ED5">
        <w:t xml:space="preserve"> local time</w:t>
      </w:r>
      <w:r w:rsidR="00D602A2">
        <w:t>,</w:t>
      </w:r>
      <w:r w:rsidRPr="003A5ED5">
        <w:t xml:space="preserve"> as evidenced by the signed and dated receipt.</w:t>
      </w:r>
      <w:r w:rsidR="002215BA">
        <w:rPr>
          <w:lang w:val="sr-Cyrl-RS"/>
        </w:rPr>
        <w:t xml:space="preserve"> </w:t>
      </w:r>
      <w:r w:rsidRPr="003A5ED5">
        <w:t>Any application submitted after the deadline will automatically be rejected.</w:t>
      </w:r>
    </w:p>
    <w:p w14:paraId="083DF772" w14:textId="7494EB1C" w:rsidR="002215BA" w:rsidRDefault="00BE3852" w:rsidP="00BE3852">
      <w:pPr>
        <w:rPr>
          <w:lang w:bidi="kn-IN"/>
        </w:rPr>
      </w:pPr>
      <w:r w:rsidRPr="003A5ED5">
        <w:rPr>
          <w:rStyle w:val="Style11pt"/>
          <w:szCs w:val="22"/>
        </w:rPr>
        <w:t>However, for reasons of administrative efficiency, t</w:t>
      </w:r>
      <w:r w:rsidRPr="003A5ED5">
        <w:rPr>
          <w:lang w:eastAsia="en-GB" w:bidi="kn-IN"/>
        </w:rPr>
        <w:t xml:space="preserve">he Contracting Authority </w:t>
      </w:r>
      <w:r w:rsidRPr="003A5ED5">
        <w:rPr>
          <w:lang w:bidi="kn-IN"/>
        </w:rPr>
        <w:t>may</w:t>
      </w:r>
      <w:r w:rsidRPr="003A5ED5">
        <w:rPr>
          <w:lang w:eastAsia="en-GB" w:bidi="kn-IN"/>
        </w:rPr>
        <w:t xml:space="preserve"> reject any </w:t>
      </w:r>
      <w:r w:rsidRPr="003A5ED5">
        <w:rPr>
          <w:lang w:bidi="kn-IN"/>
        </w:rPr>
        <w:t>application</w:t>
      </w:r>
      <w:r w:rsidR="002215BA">
        <w:rPr>
          <w:lang w:val="sr-Cyrl-RS" w:bidi="kn-IN"/>
        </w:rPr>
        <w:t xml:space="preserve"> </w:t>
      </w:r>
      <w:r w:rsidRPr="003A5ED5">
        <w:rPr>
          <w:lang w:eastAsia="en-GB" w:bidi="kn-IN"/>
        </w:rPr>
        <w:t xml:space="preserve">sent in due time but received after the effective date of </w:t>
      </w:r>
      <w:r w:rsidRPr="003A5ED5">
        <w:rPr>
          <w:lang w:bidi="kn-IN"/>
        </w:rPr>
        <w:t>approval</w:t>
      </w:r>
      <w:r w:rsidRPr="003A5ED5">
        <w:rPr>
          <w:lang w:eastAsia="en-GB" w:bidi="kn-IN"/>
        </w:rPr>
        <w:t xml:space="preserve"> of the</w:t>
      </w:r>
      <w:r w:rsidRPr="003A5ED5">
        <w:rPr>
          <w:lang w:bidi="kn-IN"/>
        </w:rPr>
        <w:t xml:space="preserve"> first </w:t>
      </w:r>
      <w:r w:rsidRPr="003A5ED5">
        <w:rPr>
          <w:lang w:eastAsia="en-GB" w:bidi="kn-IN"/>
        </w:rPr>
        <w:t>evaluation</w:t>
      </w:r>
      <w:r w:rsidRPr="003A5ED5">
        <w:rPr>
          <w:lang w:bidi="kn-IN"/>
        </w:rPr>
        <w:t xml:space="preserve"> step (i.e.</w:t>
      </w:r>
      <w:r w:rsidR="002215BA">
        <w:rPr>
          <w:lang w:val="sr-Cyrl-RS" w:bidi="kn-IN"/>
        </w:rPr>
        <w:t xml:space="preserve"> </w:t>
      </w:r>
      <w:r w:rsidRPr="003A5ED5">
        <w:rPr>
          <w:lang w:bidi="kn-IN"/>
        </w:rPr>
        <w:t>concept note) (see indicative calendar under section 2.5.2).</w:t>
      </w:r>
    </w:p>
    <w:p w14:paraId="100C8623" w14:textId="77777777" w:rsidR="002215BA" w:rsidRDefault="002215BA">
      <w:pPr>
        <w:spacing w:after="0"/>
        <w:jc w:val="left"/>
        <w:rPr>
          <w:lang w:bidi="kn-IN"/>
        </w:rPr>
      </w:pPr>
      <w:r>
        <w:rPr>
          <w:lang w:bidi="kn-IN"/>
        </w:rPr>
        <w:br w:type="page"/>
      </w:r>
    </w:p>
    <w:p w14:paraId="64F05FB7" w14:textId="77777777" w:rsidR="00BE3852" w:rsidRPr="00807DAF" w:rsidRDefault="00BE3852" w:rsidP="00BE3852">
      <w:pPr>
        <w:rPr>
          <w:lang w:bidi="kn-IN"/>
        </w:rPr>
      </w:pPr>
    </w:p>
    <w:p w14:paraId="4C4A8F94" w14:textId="61C98A2C" w:rsidR="0007408E" w:rsidRPr="003A5ED5" w:rsidRDefault="008E4FA0" w:rsidP="004B7BC2">
      <w:pPr>
        <w:pStyle w:val="Guidelines3"/>
        <w:rPr>
          <w:szCs w:val="22"/>
        </w:rPr>
      </w:pPr>
      <w:bookmarkStart w:id="19" w:name="_Toc502218272"/>
      <w:r w:rsidRPr="003A5ED5">
        <w:t xml:space="preserve">Further information </w:t>
      </w:r>
      <w:r w:rsidR="0009588C" w:rsidRPr="003A5ED5">
        <w:t>about</w:t>
      </w:r>
      <w:r w:rsidR="002215BA">
        <w:rPr>
          <w:lang w:val="sr-Cyrl-RS"/>
        </w:rPr>
        <w:t xml:space="preserve"> </w:t>
      </w:r>
      <w:r w:rsidR="00693805" w:rsidRPr="003A5ED5">
        <w:t>a</w:t>
      </w:r>
      <w:r w:rsidRPr="003A5ED5">
        <w:t>pplication</w:t>
      </w:r>
      <w:r w:rsidR="0009588C" w:rsidRPr="003A5ED5">
        <w:t>s</w:t>
      </w:r>
      <w:bookmarkEnd w:id="19"/>
    </w:p>
    <w:p w14:paraId="5468179F" w14:textId="77777777" w:rsidR="0037734E" w:rsidRDefault="0037734E" w:rsidP="0037734E">
      <w:pPr>
        <w:spacing w:after="0"/>
        <w:contextualSpacing/>
      </w:pPr>
    </w:p>
    <w:p w14:paraId="75824AD9" w14:textId="2E282033" w:rsidR="0037734E" w:rsidRPr="002F4215" w:rsidRDefault="0037734E" w:rsidP="0037734E">
      <w:pPr>
        <w:spacing w:after="0"/>
        <w:contextualSpacing/>
      </w:pPr>
      <w:r w:rsidRPr="002F4215">
        <w:t xml:space="preserve">Notice on information session on this Call for Proposals will be published after publishing call for proposals on: </w:t>
      </w:r>
    </w:p>
    <w:p w14:paraId="227E5CFF" w14:textId="77777777" w:rsidR="0037734E" w:rsidRPr="002F4215" w:rsidRDefault="0037734E" w:rsidP="0037734E">
      <w:pPr>
        <w:spacing w:after="0"/>
        <w:contextualSpacing/>
      </w:pPr>
    </w:p>
    <w:p w14:paraId="64C26758" w14:textId="77777777" w:rsidR="0037734E" w:rsidRPr="002F4215" w:rsidRDefault="0037734E" w:rsidP="0037734E">
      <w:pPr>
        <w:numPr>
          <w:ilvl w:val="0"/>
          <w:numId w:val="37"/>
        </w:numPr>
        <w:spacing w:after="0"/>
        <w:contextualSpacing/>
        <w:rPr>
          <w:szCs w:val="22"/>
        </w:rPr>
      </w:pPr>
      <w:r w:rsidRPr="002F4215">
        <w:t xml:space="preserve">the </w:t>
      </w:r>
      <w:proofErr w:type="spellStart"/>
      <w:r w:rsidRPr="002F4215">
        <w:t>EuropeAid</w:t>
      </w:r>
      <w:proofErr w:type="spellEnd"/>
      <w:r w:rsidRPr="002F4215">
        <w:t xml:space="preserve"> website:</w:t>
      </w:r>
    </w:p>
    <w:p w14:paraId="11038A77" w14:textId="77777777" w:rsidR="0037734E" w:rsidRPr="002F4215" w:rsidRDefault="0037734E" w:rsidP="0037734E">
      <w:pPr>
        <w:spacing w:after="0"/>
        <w:ind w:left="720"/>
        <w:contextualSpacing/>
        <w:rPr>
          <w:szCs w:val="22"/>
        </w:rPr>
      </w:pPr>
    </w:p>
    <w:p w14:paraId="4FE3B57F" w14:textId="77777777" w:rsidR="0037734E" w:rsidRPr="002F4215" w:rsidRDefault="00516696" w:rsidP="0037734E">
      <w:pPr>
        <w:spacing w:after="0"/>
        <w:ind w:left="720"/>
        <w:contextualSpacing/>
      </w:pPr>
      <w:hyperlink r:id="rId16" w:history="1">
        <w:r w:rsidR="0037734E" w:rsidRPr="002F4215">
          <w:rPr>
            <w:rStyle w:val="Hyperlink"/>
          </w:rPr>
          <w:t>https://webgate.ec.europa.eu/europeaid/online-services/index.cfm?do=publi.welcome</w:t>
        </w:r>
      </w:hyperlink>
    </w:p>
    <w:p w14:paraId="6DB6A0CD" w14:textId="77777777" w:rsidR="0037734E" w:rsidRPr="002F4215" w:rsidRDefault="0037734E" w:rsidP="0037734E">
      <w:pPr>
        <w:spacing w:after="0"/>
        <w:ind w:left="720"/>
        <w:contextualSpacing/>
        <w:rPr>
          <w:sz w:val="20"/>
        </w:rPr>
      </w:pPr>
    </w:p>
    <w:p w14:paraId="1243C63F" w14:textId="77777777" w:rsidR="0037734E" w:rsidRPr="002F4215" w:rsidRDefault="0037734E" w:rsidP="0037734E">
      <w:pPr>
        <w:numPr>
          <w:ilvl w:val="0"/>
          <w:numId w:val="37"/>
        </w:numPr>
        <w:spacing w:after="0"/>
        <w:contextualSpacing/>
        <w:rPr>
          <w:szCs w:val="22"/>
        </w:rPr>
      </w:pPr>
      <w:r w:rsidRPr="002F4215">
        <w:t>the website of the Contracting Authority:</w:t>
      </w:r>
    </w:p>
    <w:p w14:paraId="4D191668" w14:textId="77777777" w:rsidR="0037734E" w:rsidRPr="002F4215" w:rsidRDefault="0037734E" w:rsidP="0037734E">
      <w:pPr>
        <w:spacing w:after="0"/>
        <w:ind w:left="720"/>
        <w:contextualSpacing/>
        <w:rPr>
          <w:szCs w:val="22"/>
        </w:rPr>
      </w:pPr>
    </w:p>
    <w:p w14:paraId="602D6238" w14:textId="1432D869" w:rsidR="0037734E" w:rsidRDefault="0037734E" w:rsidP="0037734E">
      <w:pPr>
        <w:spacing w:after="0"/>
        <w:ind w:left="720"/>
        <w:contextualSpacing/>
        <w:rPr>
          <w:szCs w:val="22"/>
        </w:rPr>
      </w:pPr>
      <w:proofErr w:type="gramStart"/>
      <w:r w:rsidRPr="002F4215">
        <w:t>the</w:t>
      </w:r>
      <w:proofErr w:type="gramEnd"/>
      <w:r w:rsidRPr="002F4215">
        <w:t xml:space="preserve"> Ministry of Finance of Montenegro - Directorate for Finance and Contracting of the EU Assistance Funds (</w:t>
      </w:r>
      <w:hyperlink r:id="rId17" w:history="1">
        <w:r w:rsidRPr="002F4215">
          <w:rPr>
            <w:rStyle w:val="Hyperlink"/>
            <w:szCs w:val="22"/>
          </w:rPr>
          <w:t>http://www.mif.gov.me/en/sections/CFCU_Tenders</w:t>
        </w:r>
      </w:hyperlink>
      <w:r w:rsidRPr="002F4215">
        <w:t>).</w:t>
      </w:r>
    </w:p>
    <w:p w14:paraId="7E7E0348" w14:textId="77777777" w:rsidR="0037734E" w:rsidRPr="0037734E" w:rsidRDefault="0037734E" w:rsidP="0037734E">
      <w:pPr>
        <w:spacing w:after="0"/>
        <w:ind w:left="720"/>
        <w:contextualSpacing/>
        <w:rPr>
          <w:szCs w:val="22"/>
        </w:rPr>
      </w:pPr>
    </w:p>
    <w:p w14:paraId="4DB9F5D5" w14:textId="22D1A82C" w:rsidR="0007408E" w:rsidRPr="00807DAF" w:rsidRDefault="0007408E" w:rsidP="00203ABF">
      <w:r w:rsidRPr="00DA4A12">
        <w:t>Questions may be sent by e-mail</w:t>
      </w:r>
      <w:r w:rsidR="00F01923">
        <w:rPr>
          <w:lang w:val="sr-Cyrl-RS"/>
        </w:rPr>
        <w:t xml:space="preserve"> </w:t>
      </w:r>
      <w:r w:rsidRPr="00DA4A12">
        <w:t xml:space="preserve">no later than 21 days before the deadline for the </w:t>
      </w:r>
      <w:r w:rsidR="006548FC" w:rsidRPr="00DA4A12">
        <w:t xml:space="preserve">submission </w:t>
      </w:r>
      <w:r w:rsidRPr="00DA4A12">
        <w:t xml:space="preserve">of </w:t>
      </w:r>
      <w:r w:rsidR="006459C5" w:rsidRPr="00DA4A12">
        <w:t>application</w:t>
      </w:r>
      <w:r w:rsidRPr="00DA4A12">
        <w:t>s</w:t>
      </w:r>
      <w:r w:rsidRPr="003A5ED5">
        <w:t xml:space="preserve"> to the </w:t>
      </w:r>
      <w:r w:rsidR="00C5520A" w:rsidRPr="003A5ED5">
        <w:t xml:space="preserve">below </w:t>
      </w:r>
      <w:proofErr w:type="gramStart"/>
      <w:r w:rsidR="00CA5801" w:rsidRPr="003A5ED5">
        <w:t>address</w:t>
      </w:r>
      <w:r w:rsidR="00ED1EE1" w:rsidRPr="003A5ED5">
        <w:t>(</w:t>
      </w:r>
      <w:proofErr w:type="spellStart"/>
      <w:proofErr w:type="gramEnd"/>
      <w:r w:rsidR="00F91FAA" w:rsidRPr="003A5ED5">
        <w:t>e</w:t>
      </w:r>
      <w:r w:rsidRPr="003A5ED5">
        <w:t>s</w:t>
      </w:r>
      <w:proofErr w:type="spellEnd"/>
      <w:r w:rsidR="00ED1EE1" w:rsidRPr="003A5ED5">
        <w:t>)</w:t>
      </w:r>
      <w:r w:rsidRPr="003A5ED5">
        <w:t xml:space="preserve">, indicating clearly the reference of the </w:t>
      </w:r>
      <w:r w:rsidR="00693805" w:rsidRPr="003A5ED5">
        <w:t>c</w:t>
      </w:r>
      <w:r w:rsidR="001D0C7B" w:rsidRPr="003A5ED5">
        <w:t xml:space="preserve">all for </w:t>
      </w:r>
      <w:r w:rsidR="00693805" w:rsidRPr="003A5ED5">
        <w:t>p</w:t>
      </w:r>
      <w:r w:rsidR="001D0C7B" w:rsidRPr="003A5ED5">
        <w:t>roposals</w:t>
      </w:r>
      <w:r w:rsidRPr="003A5ED5">
        <w:t>:</w:t>
      </w:r>
    </w:p>
    <w:p w14:paraId="7218CEAF" w14:textId="549A9F65" w:rsidR="0007408E" w:rsidRPr="00807DAF" w:rsidRDefault="0007408E" w:rsidP="00203ABF">
      <w:pPr>
        <w:ind w:left="567"/>
      </w:pPr>
      <w:r w:rsidRPr="003A5ED5">
        <w:t>E-mail address:</w:t>
      </w:r>
      <w:r w:rsidR="00F01923">
        <w:rPr>
          <w:lang w:val="sr-Cyrl-RS"/>
        </w:rPr>
        <w:t xml:space="preserve"> </w:t>
      </w:r>
      <w:hyperlink r:id="rId18" w:history="1">
        <w:r w:rsidR="003A5ED5" w:rsidRPr="004537E4">
          <w:rPr>
            <w:rStyle w:val="Hyperlink"/>
          </w:rPr>
          <w:t>cfcu@mif.gov.me</w:t>
        </w:r>
      </w:hyperlink>
    </w:p>
    <w:p w14:paraId="3CBDF567" w14:textId="77777777" w:rsidR="007C4720" w:rsidRPr="003A5ED5" w:rsidRDefault="007C4720" w:rsidP="00203ABF">
      <w:r w:rsidRPr="003A5ED5">
        <w:t>The Contracting Authority has no obligation to provide clarifications to questions received after this date.</w:t>
      </w:r>
    </w:p>
    <w:p w14:paraId="5E7C4490" w14:textId="77777777" w:rsidR="0022115B" w:rsidRPr="003C687B" w:rsidRDefault="00E447D8" w:rsidP="00203ABF">
      <w:r w:rsidRPr="003C687B">
        <w:t>R</w:t>
      </w:r>
      <w:r w:rsidR="0007408E" w:rsidRPr="003C687B">
        <w:t>epl</w:t>
      </w:r>
      <w:r w:rsidRPr="003C687B">
        <w:t>ies will be given</w:t>
      </w:r>
      <w:r w:rsidR="0007408E" w:rsidRPr="003C687B">
        <w:t xml:space="preserve"> no later than 11 days before the deadline for the </w:t>
      </w:r>
      <w:r w:rsidR="000603C3" w:rsidRPr="003C687B">
        <w:t xml:space="preserve">submission </w:t>
      </w:r>
      <w:r w:rsidR="0007408E" w:rsidRPr="003C687B">
        <w:t xml:space="preserve">of </w:t>
      </w:r>
      <w:r w:rsidR="006459C5" w:rsidRPr="003C687B">
        <w:t>application</w:t>
      </w:r>
      <w:r w:rsidR="0007408E" w:rsidRPr="003C687B">
        <w:t>s.</w:t>
      </w:r>
    </w:p>
    <w:p w14:paraId="605F217A" w14:textId="50050705" w:rsidR="0007408E" w:rsidRPr="003C687B" w:rsidRDefault="00A030A6" w:rsidP="00203ABF">
      <w:pPr>
        <w:rPr>
          <w:szCs w:val="22"/>
        </w:rPr>
      </w:pPr>
      <w:r w:rsidRPr="003C687B">
        <w:rPr>
          <w:szCs w:val="22"/>
        </w:rPr>
        <w:t>To ensure</w:t>
      </w:r>
      <w:r w:rsidR="00F01923">
        <w:rPr>
          <w:szCs w:val="22"/>
          <w:lang w:val="sr-Cyrl-RS"/>
        </w:rPr>
        <w:t xml:space="preserve"> </w:t>
      </w:r>
      <w:r w:rsidR="00322D1B" w:rsidRPr="003C687B">
        <w:rPr>
          <w:szCs w:val="22"/>
        </w:rPr>
        <w:t>equal</w:t>
      </w:r>
      <w:r w:rsidR="008A3903" w:rsidRPr="003C687B">
        <w:rPr>
          <w:szCs w:val="22"/>
        </w:rPr>
        <w:t xml:space="preserve"> treatment of applicants, the Contracting Authority </w:t>
      </w:r>
      <w:r w:rsidR="0049630B" w:rsidRPr="003C687B">
        <w:rPr>
          <w:szCs w:val="22"/>
        </w:rPr>
        <w:t>cannot</w:t>
      </w:r>
      <w:r w:rsidR="008A3903" w:rsidRPr="003C687B">
        <w:rPr>
          <w:szCs w:val="22"/>
        </w:rPr>
        <w:t xml:space="preserve"> give a prior opinion on the eligibility of </w:t>
      </w:r>
      <w:r w:rsidR="00B114D9" w:rsidRPr="003C687B">
        <w:rPr>
          <w:szCs w:val="22"/>
        </w:rPr>
        <w:t>lead a</w:t>
      </w:r>
      <w:r w:rsidR="008A3903" w:rsidRPr="003C687B">
        <w:rPr>
          <w:szCs w:val="22"/>
        </w:rPr>
        <w:t>pplicant</w:t>
      </w:r>
      <w:r w:rsidR="00FA2479" w:rsidRPr="003C687B">
        <w:rPr>
          <w:szCs w:val="22"/>
        </w:rPr>
        <w:t>s</w:t>
      </w:r>
      <w:r w:rsidR="008A3903" w:rsidRPr="003C687B">
        <w:rPr>
          <w:szCs w:val="22"/>
        </w:rPr>
        <w:t xml:space="preserve">, </w:t>
      </w:r>
      <w:r w:rsidR="00FB3E12" w:rsidRPr="003C687B">
        <w:rPr>
          <w:szCs w:val="22"/>
        </w:rPr>
        <w:t xml:space="preserve">co-applicants, </w:t>
      </w:r>
      <w:r w:rsidR="000D40CC" w:rsidRPr="003C687B">
        <w:rPr>
          <w:szCs w:val="22"/>
        </w:rPr>
        <w:t xml:space="preserve">affiliated </w:t>
      </w:r>
      <w:proofErr w:type="gramStart"/>
      <w:r w:rsidR="000D40CC" w:rsidRPr="003C687B">
        <w:rPr>
          <w:szCs w:val="22"/>
        </w:rPr>
        <w:t>entity(</w:t>
      </w:r>
      <w:proofErr w:type="spellStart"/>
      <w:proofErr w:type="gramEnd"/>
      <w:r w:rsidR="000D40CC" w:rsidRPr="003C687B">
        <w:rPr>
          <w:szCs w:val="22"/>
        </w:rPr>
        <w:t>ies</w:t>
      </w:r>
      <w:proofErr w:type="spellEnd"/>
      <w:r w:rsidR="000D40CC" w:rsidRPr="003C687B">
        <w:rPr>
          <w:szCs w:val="22"/>
        </w:rPr>
        <w:t>)</w:t>
      </w:r>
      <w:r w:rsidR="00C5520A" w:rsidRPr="003C687B">
        <w:rPr>
          <w:szCs w:val="22"/>
        </w:rPr>
        <w:t>,</w:t>
      </w:r>
      <w:r w:rsidR="008A3903" w:rsidRPr="003C687B">
        <w:rPr>
          <w:szCs w:val="22"/>
        </w:rPr>
        <w:t xml:space="preserve"> an action</w:t>
      </w:r>
      <w:r w:rsidR="00C5520A" w:rsidRPr="003C687B">
        <w:rPr>
          <w:szCs w:val="22"/>
        </w:rPr>
        <w:t xml:space="preserve"> or specific activities</w:t>
      </w:r>
      <w:r w:rsidR="008A3903" w:rsidRPr="003C687B">
        <w:rPr>
          <w:szCs w:val="22"/>
        </w:rPr>
        <w:t>.</w:t>
      </w:r>
    </w:p>
    <w:p w14:paraId="3C942501" w14:textId="77777777" w:rsidR="003C687B" w:rsidRDefault="0007408E" w:rsidP="00203ABF">
      <w:pPr>
        <w:rPr>
          <w:szCs w:val="22"/>
        </w:rPr>
      </w:pPr>
      <w:r w:rsidRPr="003C687B">
        <w:rPr>
          <w:szCs w:val="22"/>
        </w:rPr>
        <w:t xml:space="preserve">Questions that may be relevant to other applicants, together with the answers, will </w:t>
      </w:r>
      <w:r w:rsidR="00C175CE" w:rsidRPr="003C687B">
        <w:rPr>
          <w:szCs w:val="22"/>
        </w:rPr>
        <w:t>be published on the</w:t>
      </w:r>
      <w:r w:rsidR="003C687B">
        <w:rPr>
          <w:szCs w:val="22"/>
        </w:rPr>
        <w:t>:</w:t>
      </w:r>
    </w:p>
    <w:p w14:paraId="1A5C6F7B" w14:textId="77777777" w:rsidR="003C687B" w:rsidRPr="003C687B" w:rsidRDefault="00400B42" w:rsidP="00345D21">
      <w:pPr>
        <w:numPr>
          <w:ilvl w:val="0"/>
          <w:numId w:val="21"/>
        </w:numPr>
        <w:rPr>
          <w:szCs w:val="22"/>
        </w:rPr>
      </w:pPr>
      <w:proofErr w:type="spellStart"/>
      <w:r w:rsidRPr="003C687B">
        <w:rPr>
          <w:szCs w:val="22"/>
        </w:rPr>
        <w:t>EuropeAid</w:t>
      </w:r>
      <w:proofErr w:type="spellEnd"/>
      <w:r w:rsidRPr="003C687B">
        <w:rPr>
          <w:szCs w:val="22"/>
        </w:rPr>
        <w:t xml:space="preserve"> website:</w:t>
      </w:r>
    </w:p>
    <w:p w14:paraId="672D8C89" w14:textId="77777777" w:rsidR="00353306" w:rsidRPr="00353306" w:rsidRDefault="00516696" w:rsidP="00353306">
      <w:pPr>
        <w:ind w:left="360"/>
        <w:rPr>
          <w:szCs w:val="22"/>
          <w:highlight w:val="lightGray"/>
        </w:rPr>
      </w:pPr>
      <w:hyperlink r:id="rId19" w:history="1">
        <w:r w:rsidR="009C7178" w:rsidRPr="00353306">
          <w:rPr>
            <w:rStyle w:val="Hyperlink"/>
            <w:szCs w:val="22"/>
          </w:rPr>
          <w:t>https://webgate.ec.europa.eu/europeaid/online-services/index.cfm?do=publi.welcome</w:t>
        </w:r>
      </w:hyperlink>
      <w:r w:rsidR="00D8170B">
        <w:t xml:space="preserve"> </w:t>
      </w:r>
      <w:r w:rsidR="00DB111A" w:rsidRPr="00353306">
        <w:rPr>
          <w:szCs w:val="22"/>
        </w:rPr>
        <w:t xml:space="preserve">and </w:t>
      </w:r>
    </w:p>
    <w:p w14:paraId="59754F37" w14:textId="77777777" w:rsidR="007E0B84" w:rsidRDefault="007E0B84" w:rsidP="00345D21">
      <w:pPr>
        <w:numPr>
          <w:ilvl w:val="0"/>
          <w:numId w:val="21"/>
        </w:numPr>
        <w:rPr>
          <w:szCs w:val="22"/>
        </w:rPr>
      </w:pPr>
      <w:r w:rsidRPr="007E0B84">
        <w:rPr>
          <w:szCs w:val="22"/>
        </w:rPr>
        <w:t>Website of the Contracting Authority:</w:t>
      </w:r>
    </w:p>
    <w:p w14:paraId="046CDCF5" w14:textId="77777777" w:rsidR="007E0B84" w:rsidRPr="007E0B84" w:rsidRDefault="00516696" w:rsidP="007E0B84">
      <w:pPr>
        <w:ind w:left="360"/>
        <w:rPr>
          <w:szCs w:val="22"/>
        </w:rPr>
      </w:pPr>
      <w:hyperlink r:id="rId20" w:history="1">
        <w:r w:rsidR="007E0B84" w:rsidRPr="00071BAD">
          <w:rPr>
            <w:rStyle w:val="Hyperlink"/>
            <w:szCs w:val="22"/>
          </w:rPr>
          <w:t>http://www.mif.gov.me/en/sections/CFCU_Tenders</w:t>
        </w:r>
      </w:hyperlink>
      <w:r w:rsidR="007E0B84">
        <w:rPr>
          <w:szCs w:val="22"/>
        </w:rPr>
        <w:t>,</w:t>
      </w:r>
    </w:p>
    <w:p w14:paraId="5F654CAA" w14:textId="77777777" w:rsidR="007A3169" w:rsidRPr="007E0B84" w:rsidRDefault="00DB111A" w:rsidP="007E0B84">
      <w:pPr>
        <w:rPr>
          <w:szCs w:val="22"/>
        </w:rPr>
      </w:pPr>
      <w:proofErr w:type="gramStart"/>
      <w:r w:rsidRPr="007E0B84">
        <w:rPr>
          <w:szCs w:val="22"/>
        </w:rPr>
        <w:t>as</w:t>
      </w:r>
      <w:proofErr w:type="gramEnd"/>
      <w:r w:rsidRPr="007E0B84">
        <w:rPr>
          <w:szCs w:val="22"/>
        </w:rPr>
        <w:t xml:space="preserve"> the need arises.</w:t>
      </w:r>
      <w:r w:rsidR="002128D0" w:rsidRPr="007E0B84">
        <w:rPr>
          <w:szCs w:val="22"/>
        </w:rPr>
        <w:t xml:space="preserve"> It is therefore </w:t>
      </w:r>
      <w:r w:rsidR="001151FE" w:rsidRPr="007E0B84">
        <w:rPr>
          <w:szCs w:val="22"/>
        </w:rPr>
        <w:t>advisable</w:t>
      </w:r>
      <w:r w:rsidR="002128D0" w:rsidRPr="007E0B84">
        <w:rPr>
          <w:szCs w:val="22"/>
        </w:rPr>
        <w:t xml:space="preserve"> to consult the abovementioned website </w:t>
      </w:r>
      <w:r w:rsidR="001151FE" w:rsidRPr="007E0B84">
        <w:rPr>
          <w:szCs w:val="22"/>
        </w:rPr>
        <w:t xml:space="preserve">regularly </w:t>
      </w:r>
      <w:r w:rsidR="002128D0" w:rsidRPr="007E0B84">
        <w:rPr>
          <w:szCs w:val="22"/>
        </w:rPr>
        <w:t>in order to be informed of the questions and answers published.</w:t>
      </w:r>
    </w:p>
    <w:p w14:paraId="4C3AEF4C" w14:textId="77777777" w:rsidR="0007408E" w:rsidRPr="00F02ACE" w:rsidRDefault="0007408E" w:rsidP="00F02ACE">
      <w:pPr>
        <w:pStyle w:val="Guidelines2"/>
      </w:pPr>
      <w:bookmarkStart w:id="20" w:name="_Toc40507653"/>
      <w:bookmarkStart w:id="21" w:name="_Toc502218273"/>
      <w:r w:rsidRPr="00F02ACE">
        <w:t>Evaluation and selection of applications</w:t>
      </w:r>
      <w:bookmarkEnd w:id="20"/>
      <w:bookmarkEnd w:id="21"/>
    </w:p>
    <w:p w14:paraId="0BFB12C6" w14:textId="77777777" w:rsidR="0007408E" w:rsidRPr="00807DAF" w:rsidRDefault="0007408E" w:rsidP="00203ABF">
      <w:r w:rsidRPr="00807DAF">
        <w:t xml:space="preserve">Applications will be examined and evaluated by the </w:t>
      </w:r>
      <w:r w:rsidR="009D3054" w:rsidRPr="00807DAF">
        <w:t>C</w:t>
      </w:r>
      <w:r w:rsidRPr="00807DAF">
        <w:t xml:space="preserve">ontracting </w:t>
      </w:r>
      <w:r w:rsidR="009D3054" w:rsidRPr="00807DAF">
        <w:t>A</w:t>
      </w:r>
      <w:r w:rsidRPr="00807DAF">
        <w:t xml:space="preserve">uthority with the possible assistance of external assessors. </w:t>
      </w:r>
      <w:r w:rsidR="007C4578">
        <w:t xml:space="preserve">All applications </w:t>
      </w:r>
      <w:r w:rsidRPr="00807DAF">
        <w:t xml:space="preserve">will be assessed according to the following </w:t>
      </w:r>
      <w:r w:rsidR="00C67E04" w:rsidRPr="00807DAF">
        <w:t>steps</w:t>
      </w:r>
      <w:r w:rsidR="00671019" w:rsidRPr="00807DAF">
        <w:t xml:space="preserve"> and criteria</w:t>
      </w:r>
      <w:r w:rsidR="00E17C2A" w:rsidRPr="00807DAF">
        <w:t>.</w:t>
      </w:r>
    </w:p>
    <w:p w14:paraId="3A0BF971" w14:textId="41692ACE" w:rsidR="00050E48" w:rsidRPr="00807DAF" w:rsidRDefault="00050E48" w:rsidP="00203ABF">
      <w:r w:rsidRPr="00807DAF">
        <w:t xml:space="preserve">If the examination of the application reveals that the proposed action does not meet the </w:t>
      </w:r>
      <w:r w:rsidRPr="00807DAF">
        <w:rPr>
          <w:u w:val="single"/>
        </w:rPr>
        <w:t>eligibility criteria</w:t>
      </w:r>
      <w:r w:rsidRPr="00807DAF">
        <w:t xml:space="preserve"> stated in </w:t>
      </w:r>
      <w:r w:rsidR="007C4578">
        <w:t>section</w:t>
      </w:r>
      <w:r w:rsidR="006B6F21">
        <w:t xml:space="preserve"> </w:t>
      </w:r>
      <w:r w:rsidRPr="00807DAF">
        <w:t xml:space="preserve">2.1, the application </w:t>
      </w:r>
      <w:r w:rsidR="001151FE" w:rsidRPr="00807DAF">
        <w:t xml:space="preserve">will </w:t>
      </w:r>
      <w:r w:rsidRPr="00807DAF">
        <w:t>be rejected on this sole basis.</w:t>
      </w:r>
    </w:p>
    <w:p w14:paraId="786D30C6" w14:textId="34722CB7" w:rsidR="0007408E" w:rsidRPr="00807DAF" w:rsidRDefault="00267E4F" w:rsidP="00345D21">
      <w:pPr>
        <w:numPr>
          <w:ilvl w:val="0"/>
          <w:numId w:val="11"/>
        </w:numPr>
        <w:tabs>
          <w:tab w:val="left" w:pos="426"/>
          <w:tab w:val="left" w:pos="1418"/>
        </w:tabs>
        <w:ind w:left="1418" w:hanging="1418"/>
        <w:jc w:val="left"/>
        <w:rPr>
          <w:b/>
          <w:sz w:val="24"/>
          <w:szCs w:val="24"/>
        </w:rPr>
      </w:pPr>
      <w:r w:rsidRPr="00807DAF">
        <w:rPr>
          <w:b/>
          <w:sz w:val="24"/>
          <w:szCs w:val="24"/>
        </w:rPr>
        <w:br w:type="page"/>
      </w:r>
      <w:r w:rsidR="0059080E" w:rsidRPr="00807DAF">
        <w:rPr>
          <w:b/>
          <w:sz w:val="24"/>
          <w:szCs w:val="24"/>
        </w:rPr>
        <w:lastRenderedPageBreak/>
        <w:t>STEP</w:t>
      </w:r>
      <w:r w:rsidR="009A51CA" w:rsidRPr="00807DAF">
        <w:rPr>
          <w:b/>
          <w:sz w:val="24"/>
          <w:szCs w:val="24"/>
        </w:rPr>
        <w:t xml:space="preserve"> 1</w:t>
      </w:r>
      <w:r w:rsidR="0059080E" w:rsidRPr="00807DAF">
        <w:rPr>
          <w:b/>
          <w:sz w:val="24"/>
          <w:szCs w:val="24"/>
        </w:rPr>
        <w:t>:</w:t>
      </w:r>
      <w:r w:rsidR="005D7AF3" w:rsidRPr="00807DAF">
        <w:rPr>
          <w:b/>
          <w:sz w:val="24"/>
          <w:szCs w:val="24"/>
        </w:rPr>
        <w:tab/>
      </w:r>
      <w:r w:rsidR="00C67E04" w:rsidRPr="00807DAF">
        <w:rPr>
          <w:b/>
          <w:sz w:val="24"/>
          <w:szCs w:val="24"/>
        </w:rPr>
        <w:t>O</w:t>
      </w:r>
      <w:r w:rsidR="007A3169" w:rsidRPr="00807DAF">
        <w:rPr>
          <w:b/>
          <w:sz w:val="24"/>
          <w:szCs w:val="24"/>
        </w:rPr>
        <w:t>PENING</w:t>
      </w:r>
      <w:r w:rsidR="000C0BAB">
        <w:rPr>
          <w:b/>
          <w:sz w:val="24"/>
          <w:szCs w:val="24"/>
          <w:lang w:val="sr-Cyrl-RS"/>
        </w:rPr>
        <w:t xml:space="preserve"> </w:t>
      </w:r>
      <w:r w:rsidR="00B66332" w:rsidRPr="00807DAF">
        <w:rPr>
          <w:b/>
          <w:sz w:val="24"/>
          <w:szCs w:val="24"/>
        </w:rPr>
        <w:t>&amp;</w:t>
      </w:r>
      <w:r w:rsidR="000C0BAB">
        <w:rPr>
          <w:b/>
          <w:sz w:val="24"/>
          <w:szCs w:val="24"/>
          <w:lang w:val="sr-Cyrl-RS"/>
        </w:rPr>
        <w:t xml:space="preserve"> </w:t>
      </w:r>
      <w:r w:rsidR="001F4014" w:rsidRPr="00807DAF">
        <w:rPr>
          <w:b/>
          <w:sz w:val="24"/>
          <w:szCs w:val="24"/>
        </w:rPr>
        <w:t>ADMINISTRATIVE CHECK</w:t>
      </w:r>
      <w:r w:rsidR="008A5CD8" w:rsidRPr="00807DAF">
        <w:rPr>
          <w:b/>
          <w:sz w:val="24"/>
          <w:szCs w:val="24"/>
        </w:rPr>
        <w:t>S</w:t>
      </w:r>
      <w:r w:rsidR="00B66332" w:rsidRPr="00807DAF">
        <w:rPr>
          <w:b/>
          <w:sz w:val="24"/>
          <w:szCs w:val="24"/>
        </w:rPr>
        <w:t xml:space="preserve"> AND </w:t>
      </w:r>
      <w:r w:rsidR="008A5CD8" w:rsidRPr="00807DAF">
        <w:rPr>
          <w:b/>
          <w:sz w:val="24"/>
          <w:szCs w:val="24"/>
        </w:rPr>
        <w:t>CONCEPT NOTE EVALUATION</w:t>
      </w:r>
    </w:p>
    <w:p w14:paraId="0FF51C23" w14:textId="77777777" w:rsidR="00402677" w:rsidRPr="00807DAF" w:rsidRDefault="007C4578" w:rsidP="006F280A">
      <w:r>
        <w:t>During the opening and administrative check t</w:t>
      </w:r>
      <w:r w:rsidR="0059080E" w:rsidRPr="00807DAF">
        <w:t>he following will be assessed:</w:t>
      </w:r>
    </w:p>
    <w:p w14:paraId="49451619" w14:textId="77777777" w:rsidR="00A762B5" w:rsidRPr="00807DAF" w:rsidRDefault="00A762B5" w:rsidP="00345D21">
      <w:pPr>
        <w:numPr>
          <w:ilvl w:val="2"/>
          <w:numId w:val="12"/>
        </w:numPr>
        <w:spacing w:before="120" w:after="120"/>
        <w:ind w:left="709"/>
      </w:pPr>
      <w:r>
        <w:t>If the deadline has been met. Otherwise</w:t>
      </w:r>
      <w:r w:rsidRPr="00807DAF">
        <w:t>, the application will be automatically rejected.</w:t>
      </w:r>
    </w:p>
    <w:p w14:paraId="7A6D9D70" w14:textId="3BCD522F" w:rsidR="0059080E" w:rsidRPr="00807DAF" w:rsidRDefault="00825A19" w:rsidP="00345D21">
      <w:pPr>
        <w:numPr>
          <w:ilvl w:val="0"/>
          <w:numId w:val="12"/>
        </w:numPr>
      </w:pPr>
      <w:r>
        <w:t>If t</w:t>
      </w:r>
      <w:r w:rsidR="007A3169" w:rsidRPr="00807DAF">
        <w:t xml:space="preserve">he </w:t>
      </w:r>
      <w:r w:rsidR="00D9365C">
        <w:t>application</w:t>
      </w:r>
      <w:r w:rsidR="00F01923">
        <w:rPr>
          <w:lang w:val="sr-Cyrl-RS"/>
        </w:rPr>
        <w:t xml:space="preserve"> </w:t>
      </w:r>
      <w:r w:rsidR="006B6FC1" w:rsidRPr="00807DAF">
        <w:t xml:space="preserve">satisfies all the criteria </w:t>
      </w:r>
      <w:r w:rsidR="00BD4B21" w:rsidRPr="00807DAF">
        <w:t xml:space="preserve">specified in </w:t>
      </w:r>
      <w:r w:rsidR="00C40B9B">
        <w:t xml:space="preserve">the checklist </w:t>
      </w:r>
      <w:r w:rsidR="00B114E3">
        <w:t xml:space="preserve">in </w:t>
      </w:r>
      <w:r w:rsidR="00D9365C">
        <w:t>Section 7 of Part B of the grant application form.</w:t>
      </w:r>
      <w:r w:rsidR="00F01923">
        <w:rPr>
          <w:lang w:val="sr-Cyrl-RS"/>
        </w:rPr>
        <w:t xml:space="preserve"> </w:t>
      </w:r>
      <w:r w:rsidR="00D9365C">
        <w:t>This</w:t>
      </w:r>
      <w:r w:rsidR="00F01923">
        <w:rPr>
          <w:lang w:val="sr-Cyrl-RS"/>
        </w:rPr>
        <w:t xml:space="preserve"> </w:t>
      </w:r>
      <w:r w:rsidR="00803E07">
        <w:t>includes also an assessment of the eligibility of the action</w:t>
      </w:r>
      <w:r w:rsidR="00C40B9B">
        <w:t>.</w:t>
      </w:r>
      <w:r w:rsidR="00F01923">
        <w:rPr>
          <w:lang w:val="sr-Cyrl-RS"/>
        </w:rPr>
        <w:t xml:space="preserve"> </w:t>
      </w:r>
      <w:r w:rsidR="0059080E" w:rsidRPr="00807DAF">
        <w:t xml:space="preserve">If any of the </w:t>
      </w:r>
      <w:r w:rsidR="00B85A17" w:rsidRPr="00807DAF">
        <w:t xml:space="preserve">requested </w:t>
      </w:r>
      <w:r w:rsidR="0059080E" w:rsidRPr="00807DAF">
        <w:t xml:space="preserve">information is missing or </w:t>
      </w:r>
      <w:r w:rsidR="004C44FA" w:rsidRPr="00807DAF">
        <w:t xml:space="preserve">is </w:t>
      </w:r>
      <w:r w:rsidR="0059080E" w:rsidRPr="00807DAF">
        <w:t xml:space="preserve">incorrect, the </w:t>
      </w:r>
      <w:r w:rsidR="006459C5" w:rsidRPr="00807DAF">
        <w:t>application</w:t>
      </w:r>
      <w:r w:rsidR="00F01923">
        <w:rPr>
          <w:lang w:val="sr-Cyrl-RS"/>
        </w:rPr>
        <w:t xml:space="preserve"> </w:t>
      </w:r>
      <w:r w:rsidR="0087633A" w:rsidRPr="00807DAF">
        <w:t>may</w:t>
      </w:r>
      <w:r w:rsidR="0059080E" w:rsidRPr="00807DAF">
        <w:t xml:space="preserve">be rejected on that </w:t>
      </w:r>
      <w:r w:rsidR="0059080E" w:rsidRPr="00807DAF">
        <w:rPr>
          <w:b/>
          <w:u w:val="single"/>
        </w:rPr>
        <w:t>sole</w:t>
      </w:r>
      <w:r w:rsidR="00962588" w:rsidRPr="00807DAF">
        <w:t xml:space="preserve"> basis and the </w:t>
      </w:r>
      <w:r w:rsidR="006459C5" w:rsidRPr="00807DAF">
        <w:t>application</w:t>
      </w:r>
      <w:r w:rsidR="00962588" w:rsidRPr="00807DAF">
        <w:t xml:space="preserve"> will not be evaluated</w:t>
      </w:r>
      <w:r w:rsidR="00607F60" w:rsidRPr="00807DAF">
        <w:t xml:space="preserve"> further</w:t>
      </w:r>
      <w:r w:rsidR="00962588" w:rsidRPr="00807DAF">
        <w:t>.</w:t>
      </w:r>
    </w:p>
    <w:p w14:paraId="5A3DC227" w14:textId="77777777" w:rsidR="00C727EC" w:rsidRPr="00807DAF" w:rsidRDefault="00400B42" w:rsidP="006F280A">
      <w:r w:rsidRPr="00807DAF">
        <w:t xml:space="preserve">The </w:t>
      </w:r>
      <w:r w:rsidR="00717ADB">
        <w:t>c</w:t>
      </w:r>
      <w:r w:rsidRPr="00807DAF">
        <w:t xml:space="preserve">oncept </w:t>
      </w:r>
      <w:r w:rsidR="00717ADB">
        <w:t>n</w:t>
      </w:r>
      <w:r w:rsidRPr="00807DAF">
        <w:t xml:space="preserve">otes that pass </w:t>
      </w:r>
      <w:r w:rsidR="00803E07">
        <w:t xml:space="preserve">this </w:t>
      </w:r>
      <w:r w:rsidRPr="00807DAF">
        <w:t xml:space="preserve">check will </w:t>
      </w:r>
      <w:r w:rsidR="00B83541" w:rsidRPr="00807DAF">
        <w:t>be evaluated on</w:t>
      </w:r>
      <w:r w:rsidRPr="00807DAF">
        <w:t xml:space="preserve"> the relevance </w:t>
      </w:r>
      <w:r w:rsidR="0002503B" w:rsidRPr="00807DAF">
        <w:t xml:space="preserve">and design </w:t>
      </w:r>
      <w:r w:rsidRPr="00807DAF">
        <w:t xml:space="preserve">of the </w:t>
      </w:r>
      <w:r w:rsidR="00E56448" w:rsidRPr="00807DAF">
        <w:t xml:space="preserve">proposed </w:t>
      </w:r>
      <w:r w:rsidRPr="00807DAF">
        <w:t>action</w:t>
      </w:r>
      <w:r w:rsidR="0002503B" w:rsidRPr="00807DAF">
        <w:t>.</w:t>
      </w:r>
    </w:p>
    <w:p w14:paraId="0E4E44BD" w14:textId="77777777" w:rsidR="00400B42" w:rsidRPr="00807DAF" w:rsidRDefault="00400B42" w:rsidP="006F280A">
      <w:r w:rsidRPr="00807DAF">
        <w:t xml:space="preserve">The </w:t>
      </w:r>
      <w:r w:rsidR="00717ADB">
        <w:t>c</w:t>
      </w:r>
      <w:r w:rsidRPr="00807DAF">
        <w:t xml:space="preserve">oncept </w:t>
      </w:r>
      <w:r w:rsidR="00717ADB">
        <w:t>n</w:t>
      </w:r>
      <w:r w:rsidRPr="00807DAF">
        <w:t>ote</w:t>
      </w:r>
      <w:r w:rsidR="00E80733">
        <w:t>s</w:t>
      </w:r>
      <w:r w:rsidRPr="00807DAF">
        <w:t xml:space="preserve"> will </w:t>
      </w:r>
      <w:r w:rsidR="00B83541" w:rsidRPr="00807DAF">
        <w:t>receive</w:t>
      </w:r>
      <w:r w:rsidRPr="00807DAF">
        <w:t xml:space="preserve"> an overall score out of 50 </w:t>
      </w:r>
      <w:r w:rsidR="00B83541" w:rsidRPr="00807DAF">
        <w:t>using</w:t>
      </w:r>
      <w:r w:rsidRPr="00807DAF">
        <w:t xml:space="preserve"> the breakdown in the </w:t>
      </w:r>
      <w:r w:rsidR="00B83541" w:rsidRPr="00807DAF">
        <w:t>e</w:t>
      </w:r>
      <w:r w:rsidRPr="00807DAF">
        <w:t xml:space="preserve">valuation </w:t>
      </w:r>
      <w:r w:rsidR="00B83541" w:rsidRPr="00807DAF">
        <w:t>g</w:t>
      </w:r>
      <w:r w:rsidRPr="00807DAF">
        <w:t xml:space="preserve">rid below. The evaluation </w:t>
      </w:r>
      <w:r w:rsidR="00B83541" w:rsidRPr="00807DAF">
        <w:t xml:space="preserve">will </w:t>
      </w:r>
      <w:r w:rsidRPr="00807DAF">
        <w:t xml:space="preserve">also </w:t>
      </w:r>
      <w:r w:rsidR="00B83541" w:rsidRPr="00807DAF">
        <w:t xml:space="preserve">check </w:t>
      </w:r>
      <w:r w:rsidR="00B114E3">
        <w:t>the</w:t>
      </w:r>
      <w:r w:rsidRPr="00807DAF">
        <w:t xml:space="preserve"> compliance with the </w:t>
      </w:r>
      <w:r w:rsidR="007B5847" w:rsidRPr="00807DAF">
        <w:t xml:space="preserve">instructions on </w:t>
      </w:r>
      <w:r w:rsidR="00990BD8">
        <w:t xml:space="preserve">how to complete </w:t>
      </w:r>
      <w:r w:rsidR="007B5847" w:rsidRPr="00807DAF">
        <w:t xml:space="preserve">the </w:t>
      </w:r>
      <w:r w:rsidR="00717ADB">
        <w:t>c</w:t>
      </w:r>
      <w:r w:rsidRPr="00807DAF">
        <w:t xml:space="preserve">oncept </w:t>
      </w:r>
      <w:r w:rsidR="00717ADB">
        <w:t>n</w:t>
      </w:r>
      <w:r w:rsidRPr="00807DAF">
        <w:t>ote</w:t>
      </w:r>
      <w:r w:rsidR="00D9365C">
        <w:t>, which can be found in Part A of the grant application form.</w:t>
      </w:r>
    </w:p>
    <w:p w14:paraId="6BAFAFB8" w14:textId="77777777" w:rsidR="00ED5802" w:rsidRPr="00807DAF" w:rsidRDefault="00ED5802" w:rsidP="006F280A">
      <w:bookmarkStart w:id="22" w:name="_Toc159211906"/>
      <w:bookmarkStart w:id="23" w:name="_Toc159212662"/>
      <w:bookmarkStart w:id="24" w:name="_Toc159212881"/>
      <w:bookmarkStart w:id="25" w:name="_Toc159213197"/>
      <w:r w:rsidRPr="00807DAF">
        <w:t xml:space="preserve">The </w:t>
      </w:r>
      <w:r w:rsidRPr="00807DAF">
        <w:rPr>
          <w:u w:val="single"/>
        </w:rPr>
        <w:t>evaluation criteria</w:t>
      </w:r>
      <w:r w:rsidRPr="00807DAF">
        <w:t xml:space="preserve"> are divided into headings and subheadings. Each subheading will be given a score between 1 and 5 </w:t>
      </w:r>
      <w:r w:rsidR="006F44FB" w:rsidRPr="00807DAF">
        <w:t>as follows</w:t>
      </w:r>
      <w:r w:rsidRPr="00807DAF">
        <w:t>: 1 = very poor; 2 = poor; 3 = adequate; 4 = good; 5 = very good.</w:t>
      </w:r>
    </w:p>
    <w:bookmarkEnd w:id="22"/>
    <w:bookmarkEnd w:id="23"/>
    <w:bookmarkEnd w:id="24"/>
    <w:bookmarkEnd w:id="25"/>
    <w:tbl>
      <w:tblPr>
        <w:tblW w:w="9997" w:type="dxa"/>
        <w:tblLayout w:type="fixed"/>
        <w:tblLook w:val="01E0" w:firstRow="1" w:lastRow="1" w:firstColumn="1" w:lastColumn="1" w:noHBand="0" w:noVBand="0"/>
      </w:tblPr>
      <w:tblGrid>
        <w:gridCol w:w="8208"/>
        <w:gridCol w:w="1260"/>
        <w:gridCol w:w="529"/>
      </w:tblGrid>
      <w:tr w:rsidR="0002503B" w:rsidRPr="00807DAF" w14:paraId="7E7389F7" w14:textId="77777777" w:rsidTr="00C657E4">
        <w:tc>
          <w:tcPr>
            <w:tcW w:w="8208" w:type="dxa"/>
            <w:tcBorders>
              <w:bottom w:val="single" w:sz="4" w:space="0" w:color="auto"/>
            </w:tcBorders>
          </w:tcPr>
          <w:p w14:paraId="4DF5145D" w14:textId="77777777" w:rsidR="0002503B" w:rsidRPr="00807DAF" w:rsidRDefault="0002503B" w:rsidP="00F15864">
            <w:pPr>
              <w:spacing w:before="120"/>
              <w:rPr>
                <w:b/>
                <w:szCs w:val="22"/>
              </w:rPr>
            </w:pPr>
          </w:p>
        </w:tc>
        <w:tc>
          <w:tcPr>
            <w:tcW w:w="1789" w:type="dxa"/>
            <w:gridSpan w:val="2"/>
            <w:tcBorders>
              <w:bottom w:val="single" w:sz="4" w:space="0" w:color="auto"/>
            </w:tcBorders>
          </w:tcPr>
          <w:p w14:paraId="4E1B0AA0" w14:textId="77777777" w:rsidR="0002503B" w:rsidRPr="00807DAF" w:rsidRDefault="0002503B" w:rsidP="00F15864">
            <w:pPr>
              <w:spacing w:before="120"/>
              <w:jc w:val="center"/>
              <w:rPr>
                <w:b/>
                <w:szCs w:val="22"/>
              </w:rPr>
            </w:pPr>
            <w:r w:rsidRPr="00807DAF">
              <w:rPr>
                <w:b/>
                <w:szCs w:val="22"/>
              </w:rPr>
              <w:t>Scores</w:t>
            </w:r>
          </w:p>
        </w:tc>
      </w:tr>
      <w:tr w:rsidR="002C484F" w:rsidRPr="00807DAF" w14:paraId="364CF7B1" w14:textId="77777777" w:rsidTr="00D6428D">
        <w:tc>
          <w:tcPr>
            <w:tcW w:w="9997" w:type="dxa"/>
            <w:gridSpan w:val="3"/>
            <w:tcBorders>
              <w:top w:val="single" w:sz="4" w:space="0" w:color="auto"/>
              <w:left w:val="single" w:sz="4" w:space="0" w:color="auto"/>
              <w:bottom w:val="single" w:sz="4" w:space="0" w:color="auto"/>
              <w:right w:val="single" w:sz="4" w:space="0" w:color="auto"/>
            </w:tcBorders>
          </w:tcPr>
          <w:p w14:paraId="3180D3E0" w14:textId="361E0888" w:rsidR="002C484F" w:rsidRPr="00EB5876" w:rsidRDefault="002C484F" w:rsidP="002C484F">
            <w:pPr>
              <w:spacing w:before="120"/>
              <w:rPr>
                <w:szCs w:val="22"/>
              </w:rPr>
            </w:pPr>
            <w:r w:rsidRPr="00807DAF">
              <w:rPr>
                <w:b/>
                <w:szCs w:val="22"/>
              </w:rPr>
              <w:t>1. Relevance of the action</w:t>
            </w:r>
            <w:r w:rsidR="00EB5876">
              <w:rPr>
                <w:b/>
                <w:szCs w:val="22"/>
              </w:rPr>
              <w:t xml:space="preserve">                                                                                                             </w:t>
            </w:r>
            <w:r w:rsidRPr="00807DAF">
              <w:rPr>
                <w:szCs w:val="22"/>
              </w:rPr>
              <w:t>Sub-score</w:t>
            </w:r>
            <w:r w:rsidR="00EB5876">
              <w:rPr>
                <w:szCs w:val="22"/>
              </w:rPr>
              <w:t xml:space="preserve"> </w:t>
            </w:r>
            <w:r w:rsidRPr="00807DAF">
              <w:rPr>
                <w:b/>
                <w:szCs w:val="22"/>
              </w:rPr>
              <w:t>30</w:t>
            </w:r>
          </w:p>
        </w:tc>
      </w:tr>
      <w:tr w:rsidR="0002503B" w:rsidRPr="00807DAF" w14:paraId="578A7DF9"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14:paraId="41C7076F" w14:textId="77777777" w:rsidR="0002503B" w:rsidRPr="00807DAF" w:rsidRDefault="0002503B" w:rsidP="00717ADB">
            <w:pPr>
              <w:spacing w:before="120"/>
              <w:ind w:left="340" w:hanging="340"/>
              <w:rPr>
                <w:szCs w:val="22"/>
              </w:rPr>
            </w:pPr>
            <w:r w:rsidRPr="00807DAF">
              <w:rPr>
                <w:szCs w:val="22"/>
              </w:rPr>
              <w:t xml:space="preserve">1.1 How relevant is the proposal to the objectives and priorities of the </w:t>
            </w:r>
            <w:r w:rsidR="00717ADB">
              <w:rPr>
                <w:szCs w:val="22"/>
              </w:rPr>
              <w:t>c</w:t>
            </w:r>
            <w:r w:rsidRPr="00807DAF">
              <w:rPr>
                <w:szCs w:val="22"/>
              </w:rPr>
              <w:t xml:space="preserve">all for </w:t>
            </w:r>
            <w:r w:rsidR="00717ADB">
              <w:rPr>
                <w:szCs w:val="22"/>
              </w:rPr>
              <w:t>p</w:t>
            </w:r>
            <w:r w:rsidRPr="00807DAF">
              <w:rPr>
                <w:szCs w:val="22"/>
              </w:rPr>
              <w:t>roposals?</w:t>
            </w:r>
          </w:p>
        </w:tc>
        <w:tc>
          <w:tcPr>
            <w:tcW w:w="1260" w:type="dxa"/>
            <w:tcBorders>
              <w:top w:val="single" w:sz="4" w:space="0" w:color="auto"/>
              <w:left w:val="single" w:sz="4" w:space="0" w:color="auto"/>
              <w:right w:val="single" w:sz="4" w:space="0" w:color="auto"/>
            </w:tcBorders>
          </w:tcPr>
          <w:p w14:paraId="0B7507C4" w14:textId="77777777" w:rsidR="0002503B" w:rsidRPr="00807DAF" w:rsidRDefault="000636F3" w:rsidP="00F15864">
            <w:pPr>
              <w:spacing w:before="120"/>
              <w:jc w:val="center"/>
              <w:rPr>
                <w:szCs w:val="22"/>
              </w:rPr>
            </w:pPr>
            <w:r w:rsidRPr="00807DAF">
              <w:rPr>
                <w:szCs w:val="22"/>
              </w:rPr>
              <w:t>5x2</w:t>
            </w:r>
            <w:r w:rsidR="00790B79" w:rsidRPr="00807DAF">
              <w:rPr>
                <w:szCs w:val="22"/>
              </w:rPr>
              <w:t>*</w:t>
            </w:r>
          </w:p>
        </w:tc>
        <w:tc>
          <w:tcPr>
            <w:tcW w:w="529" w:type="dxa"/>
            <w:tcBorders>
              <w:top w:val="single" w:sz="4" w:space="0" w:color="auto"/>
              <w:left w:val="single" w:sz="4" w:space="0" w:color="auto"/>
              <w:right w:val="single" w:sz="4" w:space="0" w:color="auto"/>
            </w:tcBorders>
            <w:shd w:val="clear" w:color="auto" w:fill="auto"/>
          </w:tcPr>
          <w:p w14:paraId="23B7A6E6" w14:textId="77777777" w:rsidR="0002503B" w:rsidRPr="00807DAF" w:rsidRDefault="0002503B" w:rsidP="00F15864">
            <w:pPr>
              <w:spacing w:before="120"/>
              <w:jc w:val="center"/>
              <w:rPr>
                <w:szCs w:val="22"/>
                <w:u w:val="single"/>
              </w:rPr>
            </w:pPr>
          </w:p>
        </w:tc>
      </w:tr>
      <w:tr w:rsidR="0002503B" w:rsidRPr="00807DAF" w14:paraId="698DBC74"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left w:val="single" w:sz="4" w:space="0" w:color="auto"/>
              <w:right w:val="single" w:sz="4" w:space="0" w:color="auto"/>
            </w:tcBorders>
          </w:tcPr>
          <w:p w14:paraId="770FB10A" w14:textId="3C2B78E6" w:rsidR="0002503B" w:rsidRPr="00807DAF" w:rsidRDefault="0002503B" w:rsidP="00F15864">
            <w:pPr>
              <w:spacing w:before="120"/>
              <w:ind w:left="340" w:hanging="340"/>
              <w:rPr>
                <w:szCs w:val="22"/>
              </w:rPr>
            </w:pPr>
            <w:r w:rsidRPr="00807DAF">
              <w:rPr>
                <w:szCs w:val="22"/>
              </w:rPr>
              <w:t>1.2 How relevant to the particular needs and constraints</w:t>
            </w:r>
            <w:r w:rsidR="000C0BAB">
              <w:rPr>
                <w:szCs w:val="22"/>
                <w:lang w:val="sr-Cyrl-RS"/>
              </w:rPr>
              <w:t xml:space="preserve"> </w:t>
            </w:r>
            <w:r w:rsidRPr="00807DAF">
              <w:rPr>
                <w:szCs w:val="22"/>
              </w:rPr>
              <w:t xml:space="preserve">of the target </w:t>
            </w:r>
            <w:proofErr w:type="gramStart"/>
            <w:r w:rsidRPr="00807DAF">
              <w:rPr>
                <w:szCs w:val="22"/>
              </w:rPr>
              <w:t>country(</w:t>
            </w:r>
            <w:proofErr w:type="spellStart"/>
            <w:proofErr w:type="gramEnd"/>
            <w:r w:rsidRPr="00807DAF">
              <w:rPr>
                <w:szCs w:val="22"/>
              </w:rPr>
              <w:t>ies</w:t>
            </w:r>
            <w:proofErr w:type="spellEnd"/>
            <w:r w:rsidRPr="00807DAF">
              <w:rPr>
                <w:szCs w:val="22"/>
              </w:rPr>
              <w:t>) or region(s) is the proposal (including synergy with other E</w:t>
            </w:r>
            <w:r w:rsidR="0038373D" w:rsidRPr="00807DAF">
              <w:rPr>
                <w:szCs w:val="22"/>
              </w:rPr>
              <w:t>U</w:t>
            </w:r>
            <w:r w:rsidRPr="00807DAF">
              <w:rPr>
                <w:szCs w:val="22"/>
              </w:rPr>
              <w:t xml:space="preserve"> initiatives and avoidance of duplication)</w:t>
            </w:r>
            <w:r w:rsidR="00E94856" w:rsidRPr="00807DAF">
              <w:rPr>
                <w:szCs w:val="22"/>
              </w:rPr>
              <w:t>?</w:t>
            </w:r>
          </w:p>
        </w:tc>
        <w:tc>
          <w:tcPr>
            <w:tcW w:w="1260" w:type="dxa"/>
            <w:tcBorders>
              <w:left w:val="single" w:sz="4" w:space="0" w:color="auto"/>
              <w:right w:val="single" w:sz="4" w:space="0" w:color="auto"/>
            </w:tcBorders>
          </w:tcPr>
          <w:p w14:paraId="3007C8F1" w14:textId="77777777" w:rsidR="0002503B" w:rsidRPr="00807DAF" w:rsidRDefault="000636F3" w:rsidP="00F15864">
            <w:pPr>
              <w:spacing w:before="120"/>
              <w:jc w:val="center"/>
              <w:rPr>
                <w:szCs w:val="22"/>
              </w:rPr>
            </w:pPr>
            <w:r w:rsidRPr="00807DAF">
              <w:rPr>
                <w:szCs w:val="22"/>
              </w:rPr>
              <w:t>5x2</w:t>
            </w:r>
            <w:r w:rsidR="002D0607">
              <w:rPr>
                <w:szCs w:val="22"/>
              </w:rPr>
              <w:t>*</w:t>
            </w:r>
          </w:p>
        </w:tc>
        <w:tc>
          <w:tcPr>
            <w:tcW w:w="529" w:type="dxa"/>
            <w:tcBorders>
              <w:left w:val="single" w:sz="4" w:space="0" w:color="auto"/>
              <w:right w:val="single" w:sz="4" w:space="0" w:color="auto"/>
            </w:tcBorders>
            <w:shd w:val="clear" w:color="auto" w:fill="auto"/>
          </w:tcPr>
          <w:p w14:paraId="35B48637" w14:textId="77777777" w:rsidR="0002503B" w:rsidRPr="00807DAF" w:rsidRDefault="0002503B" w:rsidP="00F15864">
            <w:pPr>
              <w:spacing w:before="120"/>
              <w:jc w:val="center"/>
              <w:rPr>
                <w:szCs w:val="22"/>
                <w:u w:val="single"/>
              </w:rPr>
            </w:pPr>
          </w:p>
        </w:tc>
      </w:tr>
      <w:tr w:rsidR="0002503B" w:rsidRPr="00807DAF" w14:paraId="6E612404" w14:textId="77777777" w:rsidTr="00682B40">
        <w:trPr>
          <w:trHeight w:val="990"/>
        </w:trPr>
        <w:tc>
          <w:tcPr>
            <w:tcW w:w="8208" w:type="dxa"/>
            <w:tcBorders>
              <w:left w:val="single" w:sz="4" w:space="0" w:color="auto"/>
              <w:right w:val="single" w:sz="4" w:space="0" w:color="auto"/>
            </w:tcBorders>
          </w:tcPr>
          <w:p w14:paraId="7D838B20" w14:textId="77777777" w:rsidR="0002503B" w:rsidRPr="00807DAF" w:rsidRDefault="0002503B" w:rsidP="00F15864">
            <w:pPr>
              <w:spacing w:before="120"/>
              <w:ind w:left="340" w:hanging="340"/>
              <w:rPr>
                <w:szCs w:val="22"/>
              </w:rPr>
            </w:pPr>
            <w:r w:rsidRPr="00807DAF">
              <w:rPr>
                <w:szCs w:val="22"/>
              </w:rPr>
              <w:t>1.3 How clearly defined and strategically chosen are those involved (final beneficiaries, target groups)? Have their needs been clearly defined and does the proposal address them appropriately?</w:t>
            </w:r>
          </w:p>
        </w:tc>
        <w:tc>
          <w:tcPr>
            <w:tcW w:w="1260" w:type="dxa"/>
            <w:tcBorders>
              <w:top w:val="single" w:sz="4" w:space="0" w:color="auto"/>
              <w:left w:val="single" w:sz="4" w:space="0" w:color="auto"/>
              <w:right w:val="single" w:sz="4" w:space="0" w:color="auto"/>
            </w:tcBorders>
          </w:tcPr>
          <w:p w14:paraId="3A7D346D" w14:textId="77777777" w:rsidR="0002503B" w:rsidRPr="00807DAF" w:rsidDel="002D2C92" w:rsidRDefault="0002503B" w:rsidP="00F15864">
            <w:pPr>
              <w:spacing w:before="120"/>
              <w:jc w:val="center"/>
              <w:rPr>
                <w:szCs w:val="22"/>
              </w:rPr>
            </w:pPr>
            <w:r w:rsidRPr="00807DAF">
              <w:rPr>
                <w:szCs w:val="22"/>
              </w:rPr>
              <w:t>5</w:t>
            </w:r>
          </w:p>
        </w:tc>
        <w:tc>
          <w:tcPr>
            <w:tcW w:w="529" w:type="dxa"/>
            <w:tcBorders>
              <w:left w:val="single" w:sz="4" w:space="0" w:color="auto"/>
              <w:right w:val="single" w:sz="4" w:space="0" w:color="auto"/>
            </w:tcBorders>
            <w:shd w:val="clear" w:color="auto" w:fill="auto"/>
          </w:tcPr>
          <w:p w14:paraId="7050FF5A" w14:textId="77777777" w:rsidR="0002503B" w:rsidRPr="00807DAF" w:rsidRDefault="0002503B" w:rsidP="00F15864">
            <w:pPr>
              <w:spacing w:before="120"/>
              <w:jc w:val="center"/>
              <w:rPr>
                <w:szCs w:val="22"/>
                <w:u w:val="single"/>
              </w:rPr>
            </w:pPr>
          </w:p>
        </w:tc>
      </w:tr>
      <w:tr w:rsidR="0002503B" w:rsidRPr="00807DAF" w14:paraId="32A23310"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Borders>
              <w:left w:val="single" w:sz="4" w:space="0" w:color="auto"/>
              <w:right w:val="single" w:sz="4" w:space="0" w:color="auto"/>
            </w:tcBorders>
          </w:tcPr>
          <w:p w14:paraId="1FAFA544" w14:textId="77777777" w:rsidR="0002503B" w:rsidRPr="00807DAF" w:rsidRDefault="0002503B" w:rsidP="00D9365C">
            <w:pPr>
              <w:spacing w:before="120"/>
              <w:ind w:left="426" w:hanging="426"/>
              <w:rPr>
                <w:szCs w:val="22"/>
              </w:rPr>
            </w:pPr>
            <w:r w:rsidRPr="00807DAF">
              <w:rPr>
                <w:szCs w:val="22"/>
              </w:rPr>
              <w:t>1.4 Does the proposal contain specific added-value elements, such as environmental issues, promotion of gender equality and equal opportunities, needs of disabled people, rights of minorities and rights of indigenous peoples, or innovation and best practices</w:t>
            </w:r>
            <w:r w:rsidR="00D9365C">
              <w:rPr>
                <w:i/>
                <w:iCs/>
                <w:snapToGrid/>
                <w:szCs w:val="24"/>
                <w:lang w:eastAsia="en-GB"/>
              </w:rPr>
              <w:t>?</w:t>
            </w:r>
          </w:p>
        </w:tc>
        <w:tc>
          <w:tcPr>
            <w:tcW w:w="1260" w:type="dxa"/>
            <w:tcBorders>
              <w:top w:val="single" w:sz="4" w:space="0" w:color="auto"/>
              <w:left w:val="single" w:sz="4" w:space="0" w:color="auto"/>
              <w:right w:val="single" w:sz="4" w:space="0" w:color="auto"/>
            </w:tcBorders>
          </w:tcPr>
          <w:p w14:paraId="3063E644" w14:textId="77777777" w:rsidR="0002503B" w:rsidRPr="00807DAF" w:rsidRDefault="0002503B" w:rsidP="00F15864">
            <w:pPr>
              <w:spacing w:before="120"/>
              <w:jc w:val="center"/>
              <w:rPr>
                <w:szCs w:val="22"/>
              </w:rPr>
            </w:pPr>
            <w:r w:rsidRPr="00807DAF">
              <w:rPr>
                <w:szCs w:val="22"/>
              </w:rPr>
              <w:t>5</w:t>
            </w:r>
          </w:p>
        </w:tc>
        <w:tc>
          <w:tcPr>
            <w:tcW w:w="529" w:type="dxa"/>
            <w:tcBorders>
              <w:left w:val="single" w:sz="4" w:space="0" w:color="auto"/>
              <w:right w:val="single" w:sz="4" w:space="0" w:color="auto"/>
            </w:tcBorders>
            <w:shd w:val="clear" w:color="auto" w:fill="auto"/>
          </w:tcPr>
          <w:p w14:paraId="038579E7" w14:textId="77777777" w:rsidR="0002503B" w:rsidRPr="00807DAF" w:rsidRDefault="0002503B" w:rsidP="00F15864">
            <w:pPr>
              <w:spacing w:before="120"/>
              <w:jc w:val="center"/>
              <w:rPr>
                <w:szCs w:val="22"/>
                <w:u w:val="single"/>
              </w:rPr>
            </w:pPr>
          </w:p>
        </w:tc>
      </w:tr>
      <w:tr w:rsidR="0002503B" w:rsidRPr="00807DAF" w14:paraId="0A295CF5"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tcPr>
          <w:p w14:paraId="138DC3BB" w14:textId="77777777" w:rsidR="0002503B" w:rsidRPr="00807DAF" w:rsidRDefault="0002503B" w:rsidP="002F0D07">
            <w:pPr>
              <w:spacing w:before="120"/>
              <w:rPr>
                <w:b/>
                <w:szCs w:val="22"/>
              </w:rPr>
            </w:pPr>
            <w:r w:rsidRPr="00807DAF">
              <w:rPr>
                <w:b/>
                <w:szCs w:val="22"/>
              </w:rPr>
              <w:t>2. Design of the action</w:t>
            </w:r>
          </w:p>
        </w:tc>
        <w:tc>
          <w:tcPr>
            <w:tcW w:w="1260" w:type="dxa"/>
            <w:tcBorders>
              <w:bottom w:val="single" w:sz="4" w:space="0" w:color="auto"/>
            </w:tcBorders>
          </w:tcPr>
          <w:p w14:paraId="409AAB62" w14:textId="77777777" w:rsidR="0002503B" w:rsidRPr="00807DAF" w:rsidRDefault="0002503B" w:rsidP="00F15864">
            <w:pPr>
              <w:spacing w:before="120"/>
              <w:jc w:val="center"/>
              <w:rPr>
                <w:szCs w:val="22"/>
              </w:rPr>
            </w:pPr>
            <w:r w:rsidRPr="00807DAF">
              <w:rPr>
                <w:szCs w:val="22"/>
              </w:rPr>
              <w:t>Sub-score</w:t>
            </w:r>
          </w:p>
        </w:tc>
        <w:tc>
          <w:tcPr>
            <w:tcW w:w="529" w:type="dxa"/>
            <w:tcBorders>
              <w:bottom w:val="single" w:sz="4" w:space="0" w:color="auto"/>
            </w:tcBorders>
          </w:tcPr>
          <w:p w14:paraId="08ADAF43" w14:textId="77777777" w:rsidR="0002503B" w:rsidRPr="00807DAF" w:rsidRDefault="008A5CD8" w:rsidP="00F15864">
            <w:pPr>
              <w:spacing w:before="120"/>
              <w:jc w:val="center"/>
              <w:rPr>
                <w:b/>
                <w:szCs w:val="22"/>
              </w:rPr>
            </w:pPr>
            <w:r w:rsidRPr="00807DAF">
              <w:rPr>
                <w:b/>
                <w:szCs w:val="22"/>
              </w:rPr>
              <w:t>20</w:t>
            </w:r>
          </w:p>
        </w:tc>
      </w:tr>
      <w:tr w:rsidR="0002503B" w:rsidRPr="00807DAF" w14:paraId="5B02E319"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14:paraId="6FDFDEA5" w14:textId="77777777" w:rsidR="0002503B" w:rsidRPr="00807DAF" w:rsidRDefault="00F15864" w:rsidP="00F15864">
            <w:pPr>
              <w:spacing w:before="120"/>
              <w:ind w:left="340" w:hanging="340"/>
              <w:rPr>
                <w:szCs w:val="22"/>
              </w:rPr>
            </w:pPr>
            <w:r w:rsidRPr="00807DAF">
              <w:rPr>
                <w:szCs w:val="22"/>
              </w:rPr>
              <w:t xml:space="preserve">2.1 </w:t>
            </w:r>
            <w:r w:rsidR="0002503B" w:rsidRPr="00807DAF">
              <w:rPr>
                <w:szCs w:val="22"/>
              </w:rPr>
              <w:t xml:space="preserve">How coherent is the overall design of the action? </w:t>
            </w:r>
          </w:p>
          <w:p w14:paraId="7A6D5041" w14:textId="77777777" w:rsidR="0002503B" w:rsidRPr="00807DAF" w:rsidRDefault="0002503B" w:rsidP="00F15864">
            <w:pPr>
              <w:spacing w:before="120"/>
              <w:ind w:left="284"/>
              <w:rPr>
                <w:szCs w:val="22"/>
              </w:rPr>
            </w:pPr>
            <w:r w:rsidRPr="00807DAF">
              <w:rPr>
                <w:szCs w:val="22"/>
              </w:rPr>
              <w:t xml:space="preserve">In particular, does it reflect the analysis of the problems </w:t>
            </w:r>
            <w:proofErr w:type="gramStart"/>
            <w:r w:rsidRPr="00807DAF">
              <w:rPr>
                <w:szCs w:val="22"/>
              </w:rPr>
              <w:t>involved,</w:t>
            </w:r>
            <w:proofErr w:type="gramEnd"/>
            <w:r w:rsidRPr="00807DAF">
              <w:rPr>
                <w:szCs w:val="22"/>
              </w:rPr>
              <w:t xml:space="preserve"> take into account external factors and relevant stakeholders? </w:t>
            </w:r>
          </w:p>
        </w:tc>
        <w:tc>
          <w:tcPr>
            <w:tcW w:w="1260" w:type="dxa"/>
            <w:tcBorders>
              <w:top w:val="single" w:sz="4" w:space="0" w:color="auto"/>
              <w:left w:val="single" w:sz="4" w:space="0" w:color="auto"/>
              <w:bottom w:val="single" w:sz="4" w:space="0" w:color="auto"/>
              <w:right w:val="single" w:sz="4" w:space="0" w:color="auto"/>
            </w:tcBorders>
          </w:tcPr>
          <w:p w14:paraId="4EACD89B" w14:textId="77777777" w:rsidR="0002503B" w:rsidRPr="00807DAF" w:rsidRDefault="000636F3" w:rsidP="00F15864">
            <w:pPr>
              <w:spacing w:before="120"/>
              <w:jc w:val="center"/>
              <w:rPr>
                <w:szCs w:val="22"/>
              </w:rPr>
            </w:pPr>
            <w:r w:rsidRPr="00807DAF">
              <w:rPr>
                <w:szCs w:val="22"/>
              </w:rPr>
              <w:t>5x2*</w:t>
            </w:r>
          </w:p>
        </w:tc>
        <w:tc>
          <w:tcPr>
            <w:tcW w:w="529" w:type="dxa"/>
            <w:vMerge w:val="restart"/>
            <w:tcBorders>
              <w:top w:val="single" w:sz="4" w:space="0" w:color="auto"/>
              <w:left w:val="single" w:sz="4" w:space="0" w:color="auto"/>
              <w:right w:val="single" w:sz="4" w:space="0" w:color="auto"/>
            </w:tcBorders>
            <w:shd w:val="clear" w:color="auto" w:fill="auto"/>
          </w:tcPr>
          <w:p w14:paraId="57FE8A0C" w14:textId="77777777" w:rsidR="0002503B" w:rsidRPr="00807DAF" w:rsidRDefault="0002503B" w:rsidP="00F15864">
            <w:pPr>
              <w:spacing w:before="120"/>
              <w:jc w:val="center"/>
              <w:rPr>
                <w:szCs w:val="22"/>
                <w:u w:val="single"/>
              </w:rPr>
            </w:pPr>
          </w:p>
        </w:tc>
      </w:tr>
      <w:tr w:rsidR="0002503B" w:rsidRPr="00807DAF" w14:paraId="3F944ACE"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14:paraId="18CF0FC6" w14:textId="77777777" w:rsidR="0002503B" w:rsidRPr="00807DAF" w:rsidRDefault="00F15864" w:rsidP="002F0D07">
            <w:pPr>
              <w:spacing w:before="120"/>
              <w:ind w:left="426" w:hanging="426"/>
              <w:rPr>
                <w:szCs w:val="22"/>
              </w:rPr>
            </w:pPr>
            <w:r w:rsidRPr="00807DAF">
              <w:rPr>
                <w:szCs w:val="22"/>
              </w:rPr>
              <w:t xml:space="preserve">2.2 </w:t>
            </w:r>
            <w:r w:rsidR="0002503B" w:rsidRPr="00807DAF">
              <w:rPr>
                <w:szCs w:val="22"/>
              </w:rPr>
              <w:t>Is the action feasible and consistent in relation to the objectives and expected results?</w:t>
            </w:r>
          </w:p>
        </w:tc>
        <w:tc>
          <w:tcPr>
            <w:tcW w:w="1260" w:type="dxa"/>
            <w:tcBorders>
              <w:top w:val="single" w:sz="4" w:space="0" w:color="auto"/>
              <w:left w:val="single" w:sz="4" w:space="0" w:color="auto"/>
              <w:right w:val="single" w:sz="4" w:space="0" w:color="auto"/>
            </w:tcBorders>
          </w:tcPr>
          <w:p w14:paraId="5A9CE2AA" w14:textId="77777777" w:rsidR="0002503B" w:rsidRPr="00807DAF" w:rsidRDefault="000636F3" w:rsidP="00F15864">
            <w:pPr>
              <w:spacing w:before="120"/>
              <w:jc w:val="center"/>
              <w:rPr>
                <w:szCs w:val="22"/>
              </w:rPr>
            </w:pPr>
            <w:r w:rsidRPr="00807DAF">
              <w:rPr>
                <w:szCs w:val="22"/>
              </w:rPr>
              <w:t>5x2*</w:t>
            </w:r>
          </w:p>
        </w:tc>
        <w:tc>
          <w:tcPr>
            <w:tcW w:w="529" w:type="dxa"/>
            <w:vMerge/>
            <w:tcBorders>
              <w:left w:val="single" w:sz="4" w:space="0" w:color="auto"/>
              <w:right w:val="single" w:sz="4" w:space="0" w:color="auto"/>
            </w:tcBorders>
            <w:shd w:val="clear" w:color="auto" w:fill="auto"/>
          </w:tcPr>
          <w:p w14:paraId="4FB07564" w14:textId="77777777" w:rsidR="0002503B" w:rsidRPr="00807DAF" w:rsidRDefault="0002503B" w:rsidP="00F15864">
            <w:pPr>
              <w:spacing w:before="120"/>
              <w:jc w:val="center"/>
              <w:rPr>
                <w:szCs w:val="22"/>
                <w:u w:val="single"/>
              </w:rPr>
            </w:pPr>
          </w:p>
        </w:tc>
      </w:tr>
      <w:tr w:rsidR="0002503B" w:rsidRPr="00807DAF" w14:paraId="74B6F5EB" w14:textId="77777777" w:rsidTr="00682B40">
        <w:trPr>
          <w:trHeight w:val="395"/>
        </w:trPr>
        <w:tc>
          <w:tcPr>
            <w:tcW w:w="8208" w:type="dxa"/>
            <w:tcBorders>
              <w:top w:val="single" w:sz="4" w:space="0" w:color="auto"/>
            </w:tcBorders>
          </w:tcPr>
          <w:p w14:paraId="370693A2" w14:textId="77777777" w:rsidR="0002503B" w:rsidRPr="00807DAF" w:rsidRDefault="00D264B2" w:rsidP="0080479A">
            <w:pPr>
              <w:spacing w:before="120"/>
              <w:jc w:val="center"/>
              <w:rPr>
                <w:b/>
                <w:szCs w:val="22"/>
              </w:rPr>
            </w:pPr>
            <w:r>
              <w:rPr>
                <w:b/>
                <w:szCs w:val="22"/>
              </w:rPr>
              <w:t xml:space="preserve">MAXIMUM </w:t>
            </w:r>
            <w:r w:rsidR="0002503B" w:rsidRPr="00807DAF">
              <w:rPr>
                <w:b/>
                <w:szCs w:val="22"/>
              </w:rPr>
              <w:t>TOTAL SCORE</w:t>
            </w:r>
          </w:p>
        </w:tc>
        <w:tc>
          <w:tcPr>
            <w:tcW w:w="1260" w:type="dxa"/>
          </w:tcPr>
          <w:p w14:paraId="125A7CAE" w14:textId="77777777" w:rsidR="0002503B" w:rsidRPr="00807DAF" w:rsidRDefault="0002503B" w:rsidP="00F15864">
            <w:pPr>
              <w:spacing w:before="120"/>
              <w:jc w:val="center"/>
              <w:rPr>
                <w:b/>
                <w:szCs w:val="22"/>
              </w:rPr>
            </w:pPr>
          </w:p>
        </w:tc>
        <w:tc>
          <w:tcPr>
            <w:tcW w:w="529" w:type="dxa"/>
          </w:tcPr>
          <w:p w14:paraId="346DD5FC" w14:textId="77777777" w:rsidR="0002503B" w:rsidRPr="00807DAF" w:rsidRDefault="0002503B" w:rsidP="00F15864">
            <w:pPr>
              <w:spacing w:before="120"/>
              <w:jc w:val="center"/>
              <w:rPr>
                <w:b/>
                <w:szCs w:val="22"/>
              </w:rPr>
            </w:pPr>
            <w:r w:rsidRPr="00807DAF">
              <w:rPr>
                <w:b/>
                <w:szCs w:val="22"/>
              </w:rPr>
              <w:t>50</w:t>
            </w:r>
          </w:p>
        </w:tc>
      </w:tr>
    </w:tbl>
    <w:p w14:paraId="2A051C41" w14:textId="77777777" w:rsidR="00400B42" w:rsidRDefault="00790B79" w:rsidP="006F280A">
      <w:r w:rsidRPr="00807DAF">
        <w:t>*the</w:t>
      </w:r>
      <w:r w:rsidR="000636F3" w:rsidRPr="00807DAF">
        <w:t>se scores are multiplied by 2 because of their importance</w:t>
      </w:r>
    </w:p>
    <w:p w14:paraId="2119A209" w14:textId="77777777" w:rsidR="00D9365C" w:rsidRPr="00807DAF" w:rsidRDefault="00D9365C" w:rsidP="00D9365C">
      <w:r w:rsidRPr="00807DAF">
        <w:lastRenderedPageBreak/>
        <w:t xml:space="preserve">Once all </w:t>
      </w:r>
      <w:r>
        <w:t>c</w:t>
      </w:r>
      <w:r w:rsidRPr="00807DAF">
        <w:t xml:space="preserve">oncept </w:t>
      </w:r>
      <w:r>
        <w:t>n</w:t>
      </w:r>
      <w:r w:rsidRPr="00807DAF">
        <w:t xml:space="preserve">otes have been assessed, a list will be drawn up with the proposed actions ranked according to their total score. </w:t>
      </w:r>
    </w:p>
    <w:p w14:paraId="6F6A047D" w14:textId="77777777" w:rsidR="00D9365C" w:rsidRPr="00807DAF" w:rsidRDefault="00D9365C" w:rsidP="00D9365C">
      <w:r w:rsidRPr="00807DAF">
        <w:t xml:space="preserve">Firstly, only the </w:t>
      </w:r>
      <w:r>
        <w:t>c</w:t>
      </w:r>
      <w:r w:rsidRPr="00807DAF">
        <w:t xml:space="preserve">oncept </w:t>
      </w:r>
      <w:r>
        <w:t>n</w:t>
      </w:r>
      <w:r w:rsidRPr="00807DAF">
        <w:t xml:space="preserve">otes with a score of at least 30 will be considered for pre-selection. </w:t>
      </w:r>
    </w:p>
    <w:p w14:paraId="513B2BB7" w14:textId="77777777" w:rsidR="00D9365C" w:rsidRPr="00807DAF" w:rsidRDefault="00D9365C" w:rsidP="00D9365C">
      <w:r w:rsidRPr="00807DAF">
        <w:t xml:space="preserve">Secondly, the number of </w:t>
      </w:r>
      <w:r>
        <w:t>c</w:t>
      </w:r>
      <w:r w:rsidRPr="00807DAF">
        <w:t xml:space="preserve">oncept </w:t>
      </w:r>
      <w:r>
        <w:t>n</w:t>
      </w:r>
      <w:r w:rsidRPr="00807DAF">
        <w:t xml:space="preserve">otes will be reduced, taking account of the ranking, to the number of </w:t>
      </w:r>
      <w:r>
        <w:t>c</w:t>
      </w:r>
      <w:r w:rsidRPr="00807DAF">
        <w:t xml:space="preserve">oncept </w:t>
      </w:r>
      <w:r>
        <w:t>n</w:t>
      </w:r>
      <w:r w:rsidRPr="00807DAF">
        <w:t xml:space="preserve">otes whose total aggregate amount of requested contributions is </w:t>
      </w:r>
      <w:r w:rsidRPr="00D9365C">
        <w:t>equal to 200% of the</w:t>
      </w:r>
      <w:r w:rsidRPr="00807DAF">
        <w:t xml:space="preserve"> available budget for this </w:t>
      </w:r>
      <w:r>
        <w:t>c</w:t>
      </w:r>
      <w:r w:rsidRPr="00807DAF">
        <w:t xml:space="preserve">all for </w:t>
      </w:r>
      <w:r>
        <w:t>p</w:t>
      </w:r>
      <w:r w:rsidRPr="00807DAF">
        <w:t>roposals. The amount of requested contributions of each concept note will be based on the indicative financial envelopes for each lot</w:t>
      </w:r>
      <w:r>
        <w:t>, where relevant</w:t>
      </w:r>
      <w:r w:rsidRPr="00807DAF">
        <w:t>.</w:t>
      </w:r>
    </w:p>
    <w:p w14:paraId="6608F281" w14:textId="77777777" w:rsidR="00D9365C" w:rsidRPr="00807DAF" w:rsidRDefault="00D9365C" w:rsidP="006F280A">
      <w:r w:rsidRPr="00807DAF">
        <w:t xml:space="preserve">After the evaluation of </w:t>
      </w:r>
      <w:r>
        <w:t>c</w:t>
      </w:r>
      <w:r w:rsidRPr="00807DAF">
        <w:t xml:space="preserve">oncept </w:t>
      </w:r>
      <w:r>
        <w:t>n</w:t>
      </w:r>
      <w:r w:rsidRPr="00807DAF">
        <w:t xml:space="preserve">otes, the Contracting Authority will send </w:t>
      </w:r>
      <w:r w:rsidRPr="00D9365C">
        <w:t>letters to all lead applicants, indicating whether their application was submitted by the deadline, informing them of the reference number they have been allocated, whether the concept note was evaluated and the results of that evaluation. The evaluation committee will then proceed with the lead applicants whose proposals have been pre-selected.</w:t>
      </w:r>
    </w:p>
    <w:p w14:paraId="004C35B4" w14:textId="77777777" w:rsidR="007A3169" w:rsidRPr="00807DAF" w:rsidRDefault="00267E4F" w:rsidP="00345D21">
      <w:pPr>
        <w:numPr>
          <w:ilvl w:val="0"/>
          <w:numId w:val="11"/>
        </w:numPr>
        <w:spacing w:before="240"/>
        <w:ind w:left="357" w:hanging="357"/>
        <w:jc w:val="left"/>
        <w:rPr>
          <w:b/>
          <w:sz w:val="24"/>
          <w:szCs w:val="24"/>
        </w:rPr>
      </w:pPr>
      <w:r w:rsidRPr="00807DAF">
        <w:rPr>
          <w:b/>
          <w:sz w:val="24"/>
          <w:szCs w:val="24"/>
        </w:rPr>
        <w:br w:type="page"/>
      </w:r>
      <w:r w:rsidR="009A51CA" w:rsidRPr="00807DAF">
        <w:rPr>
          <w:b/>
          <w:sz w:val="24"/>
          <w:szCs w:val="24"/>
        </w:rPr>
        <w:lastRenderedPageBreak/>
        <w:t xml:space="preserve">STEP </w:t>
      </w:r>
      <w:r w:rsidR="00B66332" w:rsidRPr="00807DAF">
        <w:rPr>
          <w:b/>
          <w:sz w:val="24"/>
          <w:szCs w:val="24"/>
        </w:rPr>
        <w:t>2</w:t>
      </w:r>
      <w:r w:rsidR="009A51CA" w:rsidRPr="00807DAF">
        <w:rPr>
          <w:b/>
          <w:sz w:val="24"/>
          <w:szCs w:val="24"/>
        </w:rPr>
        <w:t xml:space="preserve">: </w:t>
      </w:r>
      <w:r w:rsidR="00C61B44" w:rsidRPr="00807DAF">
        <w:rPr>
          <w:b/>
          <w:sz w:val="24"/>
          <w:szCs w:val="24"/>
        </w:rPr>
        <w:t>EVALU</w:t>
      </w:r>
      <w:r w:rsidR="00AA6F1C" w:rsidRPr="00807DAF">
        <w:rPr>
          <w:b/>
          <w:sz w:val="24"/>
          <w:szCs w:val="24"/>
        </w:rPr>
        <w:t>A</w:t>
      </w:r>
      <w:r w:rsidR="00C61B44" w:rsidRPr="00807DAF">
        <w:rPr>
          <w:b/>
          <w:sz w:val="24"/>
          <w:szCs w:val="24"/>
        </w:rPr>
        <w:t xml:space="preserve">TION </w:t>
      </w:r>
      <w:r w:rsidR="001566CE" w:rsidRPr="00807DAF">
        <w:rPr>
          <w:b/>
          <w:sz w:val="24"/>
          <w:szCs w:val="24"/>
        </w:rPr>
        <w:t xml:space="preserve">OF THE </w:t>
      </w:r>
      <w:r w:rsidR="0084479D" w:rsidRPr="00807DAF">
        <w:rPr>
          <w:b/>
          <w:sz w:val="24"/>
          <w:szCs w:val="24"/>
        </w:rPr>
        <w:t xml:space="preserve">FULL </w:t>
      </w:r>
      <w:r w:rsidR="002A730B" w:rsidRPr="00807DAF">
        <w:rPr>
          <w:b/>
          <w:sz w:val="24"/>
          <w:szCs w:val="24"/>
        </w:rPr>
        <w:t>APPLICATION</w:t>
      </w:r>
    </w:p>
    <w:p w14:paraId="06B4F104" w14:textId="77777777" w:rsidR="00047C7D" w:rsidRPr="00807DAF" w:rsidRDefault="00047C7D" w:rsidP="006F280A">
      <w:r w:rsidRPr="00807DAF">
        <w:rPr>
          <w:szCs w:val="24"/>
        </w:rPr>
        <w:t>First</w:t>
      </w:r>
      <w:r w:rsidR="00C4575C" w:rsidRPr="00807DAF">
        <w:rPr>
          <w:szCs w:val="24"/>
        </w:rPr>
        <w:t>ly</w:t>
      </w:r>
      <w:r w:rsidRPr="00807DAF">
        <w:rPr>
          <w:szCs w:val="24"/>
        </w:rPr>
        <w:t xml:space="preserve">, </w:t>
      </w:r>
      <w:r w:rsidRPr="00807DAF">
        <w:t>the following will be assessed:</w:t>
      </w:r>
    </w:p>
    <w:p w14:paraId="668EE9E3" w14:textId="5FD63AB5" w:rsidR="00D9365C" w:rsidRPr="00807DAF" w:rsidRDefault="00D9365C" w:rsidP="00345D21">
      <w:pPr>
        <w:numPr>
          <w:ilvl w:val="0"/>
          <w:numId w:val="13"/>
        </w:numPr>
      </w:pPr>
      <w:r>
        <w:t>If t</w:t>
      </w:r>
      <w:r w:rsidRPr="00807DAF">
        <w:t>he full application satisfies all the criteria</w:t>
      </w:r>
      <w:r w:rsidR="00D61CFD">
        <w:rPr>
          <w:lang w:val="sr-Cyrl-RS"/>
        </w:rPr>
        <w:t xml:space="preserve"> </w:t>
      </w:r>
      <w:r w:rsidRPr="00807DAF">
        <w:t xml:space="preserve">specified in the </w:t>
      </w:r>
      <w:r>
        <w:t>c</w:t>
      </w:r>
      <w:r w:rsidRPr="00807DAF">
        <w:t>hecklist (</w:t>
      </w:r>
      <w:r>
        <w:t>s</w:t>
      </w:r>
      <w:r w:rsidRPr="00807DAF">
        <w:t xml:space="preserve">ection 7 of Part B of the grant application form). </w:t>
      </w:r>
      <w:r>
        <w:t xml:space="preserve">This includes also an assessment of the eligibility of the action. </w:t>
      </w:r>
      <w:r w:rsidRPr="00807DAF">
        <w:t xml:space="preserve"> If any of the requested information is missing or is incorrect, the application may be rejected on that </w:t>
      </w:r>
      <w:r w:rsidRPr="00807DAF">
        <w:rPr>
          <w:b/>
          <w:u w:val="single"/>
        </w:rPr>
        <w:t>sole</w:t>
      </w:r>
      <w:r w:rsidRPr="00807DAF">
        <w:t xml:space="preserve"> basis and the application will not be evaluated further.</w:t>
      </w:r>
    </w:p>
    <w:p w14:paraId="13AFA3F7" w14:textId="77777777" w:rsidR="00D9365C" w:rsidRPr="00807DAF" w:rsidRDefault="00D9365C" w:rsidP="00D9365C">
      <w:r w:rsidRPr="00807DAF">
        <w:t xml:space="preserve">The </w:t>
      </w:r>
      <w:r>
        <w:t>full applications</w:t>
      </w:r>
      <w:r w:rsidRPr="00807DAF">
        <w:t xml:space="preserve"> that pass </w:t>
      </w:r>
      <w:r>
        <w:t>this</w:t>
      </w:r>
      <w:r w:rsidRPr="00807DAF">
        <w:t xml:space="preserve"> check will be </w:t>
      </w:r>
      <w:r>
        <w:t xml:space="preserve">further </w:t>
      </w:r>
      <w:r w:rsidRPr="00807DAF">
        <w:t>evaluated</w:t>
      </w:r>
      <w:r>
        <w:t xml:space="preserve"> on their</w:t>
      </w:r>
      <w:r w:rsidRPr="00807DAF">
        <w:t xml:space="preserve"> quality, including the proposed budget and capacity of the applicants and affiliated </w:t>
      </w:r>
      <w:proofErr w:type="gramStart"/>
      <w:r w:rsidRPr="00807DAF">
        <w:t>entity(</w:t>
      </w:r>
      <w:proofErr w:type="spellStart"/>
      <w:proofErr w:type="gramEnd"/>
      <w:r w:rsidRPr="00807DAF">
        <w:t>ies</w:t>
      </w:r>
      <w:proofErr w:type="spellEnd"/>
      <w:r w:rsidRPr="00807DAF">
        <w:t>)</w:t>
      </w:r>
      <w:r>
        <w:t>. They</w:t>
      </w:r>
      <w:r w:rsidRPr="00807DAF">
        <w:t xml:space="preserve"> will be evaluated using the evaluation criteria in the evaluation grid below. There are two types of evaluation criteria: selection and award criteria.</w:t>
      </w:r>
    </w:p>
    <w:p w14:paraId="5432049C" w14:textId="77777777" w:rsidR="00D9365C" w:rsidRPr="00807DAF" w:rsidRDefault="00D9365C" w:rsidP="00D9365C">
      <w:r w:rsidRPr="00807DAF">
        <w:rPr>
          <w:b/>
          <w:u w:val="single"/>
        </w:rPr>
        <w:t>The selection criteria</w:t>
      </w:r>
      <w:r w:rsidRPr="00807DAF">
        <w:t xml:space="preserve"> help to evaluate the applicant(s)'s and affiliated </w:t>
      </w:r>
      <w:proofErr w:type="gramStart"/>
      <w:r w:rsidRPr="00807DAF">
        <w:t>entity(</w:t>
      </w:r>
      <w:proofErr w:type="spellStart"/>
      <w:proofErr w:type="gramEnd"/>
      <w:r w:rsidRPr="00807DAF">
        <w:t>ies</w:t>
      </w:r>
      <w:proofErr w:type="spellEnd"/>
      <w:r w:rsidRPr="00807DAF">
        <w:t xml:space="preserve">)'s operational capacity and the </w:t>
      </w:r>
      <w:r>
        <w:t>lead a</w:t>
      </w:r>
      <w:r w:rsidRPr="00807DAF">
        <w:t xml:space="preserve">pplicant's financial capacity and </w:t>
      </w:r>
      <w:r>
        <w:t xml:space="preserve">are used to verify </w:t>
      </w:r>
      <w:r w:rsidRPr="00807DAF">
        <w:t>that they:</w:t>
      </w:r>
    </w:p>
    <w:p w14:paraId="1DE7B242" w14:textId="4AC1C97B" w:rsidR="00D9365C" w:rsidRPr="00807DAF" w:rsidRDefault="006B6F21" w:rsidP="00345D21">
      <w:pPr>
        <w:numPr>
          <w:ilvl w:val="0"/>
          <w:numId w:val="14"/>
        </w:numPr>
      </w:pPr>
      <w:r>
        <w:t>H</w:t>
      </w:r>
      <w:r w:rsidR="00D9365C" w:rsidRPr="00807DAF">
        <w:t>ave stable and sufficient sources of finance to maintain their activity throughout the proposed action and, where appropriate, to participate in its funding</w:t>
      </w:r>
      <w:r w:rsidR="00D9365C">
        <w:t xml:space="preserve"> (this only applies to lead applicants);</w:t>
      </w:r>
    </w:p>
    <w:p w14:paraId="5CAE62CB" w14:textId="5321B1B7" w:rsidR="00D9365C" w:rsidRDefault="006B6F21" w:rsidP="00345D21">
      <w:pPr>
        <w:numPr>
          <w:ilvl w:val="0"/>
          <w:numId w:val="14"/>
        </w:numPr>
      </w:pPr>
      <w:r>
        <w:t>H</w:t>
      </w:r>
      <w:r w:rsidR="00D9365C" w:rsidRPr="00807DAF">
        <w:t xml:space="preserve">ave the management capacity, professional competencies and qualifications required to successfully complete the proposed action. This </w:t>
      </w:r>
      <w:r w:rsidR="00D9365C">
        <w:t>applies to applicants and</w:t>
      </w:r>
      <w:r w:rsidR="00D9365C" w:rsidRPr="00807DAF">
        <w:t xml:space="preserve"> any affiliated </w:t>
      </w:r>
      <w:proofErr w:type="gramStart"/>
      <w:r w:rsidR="00D9365C" w:rsidRPr="00807DAF">
        <w:t>entity(</w:t>
      </w:r>
      <w:proofErr w:type="spellStart"/>
      <w:proofErr w:type="gramEnd"/>
      <w:r w:rsidR="00D9365C" w:rsidRPr="00807DAF">
        <w:t>ies</w:t>
      </w:r>
      <w:proofErr w:type="spellEnd"/>
      <w:r w:rsidR="00D9365C" w:rsidRPr="00807DAF">
        <w:t>).</w:t>
      </w:r>
    </w:p>
    <w:p w14:paraId="2910F744" w14:textId="77777777" w:rsidR="00D9365C" w:rsidRPr="00807DAF" w:rsidRDefault="00D9365C" w:rsidP="00D9365C">
      <w:r w:rsidRPr="00807DAF">
        <w:rPr>
          <w:b/>
          <w:u w:val="single"/>
        </w:rPr>
        <w:t>The award criteria</w:t>
      </w:r>
      <w:r w:rsidRPr="00807DAF">
        <w:t xml:space="preserve"> help to evaluate the quality of the applications in relation to the objectives and priorities</w:t>
      </w:r>
      <w:r>
        <w:t xml:space="preserve"> set forth in the guidelines</w:t>
      </w:r>
      <w:r w:rsidRPr="00807DAF">
        <w:t xml:space="preserve">, and to award grants to projects which maximise the overall effectiveness of the </w:t>
      </w:r>
      <w:r>
        <w:t>c</w:t>
      </w:r>
      <w:r w:rsidRPr="00807DAF">
        <w:t xml:space="preserve">all for </w:t>
      </w:r>
      <w:r>
        <w:t>p</w:t>
      </w:r>
      <w:r w:rsidRPr="00807DAF">
        <w:t xml:space="preserve">roposals. They help to select applications which the Contracting Authority can be confident will comply with its objectives and priorities. They cover the relevance of the action, its consistency with the objectives of the </w:t>
      </w:r>
      <w:r>
        <w:t>c</w:t>
      </w:r>
      <w:r w:rsidRPr="00807DAF">
        <w:t xml:space="preserve">all for </w:t>
      </w:r>
      <w:r>
        <w:t>p</w:t>
      </w:r>
      <w:r w:rsidRPr="00807DAF">
        <w:t>roposals, quality, expected impact, sustainability and cost-effectiveness.</w:t>
      </w:r>
    </w:p>
    <w:p w14:paraId="0AEAA64D" w14:textId="77777777" w:rsidR="00D9365C" w:rsidRPr="00807DAF" w:rsidRDefault="00D9365C" w:rsidP="00D9365C">
      <w:pPr>
        <w:rPr>
          <w:i/>
        </w:rPr>
      </w:pPr>
      <w:r w:rsidRPr="00807DAF">
        <w:rPr>
          <w:i/>
        </w:rPr>
        <w:t>Scoring:</w:t>
      </w:r>
    </w:p>
    <w:p w14:paraId="66FA8D18" w14:textId="77777777" w:rsidR="00D9365C" w:rsidRPr="00807DAF" w:rsidRDefault="00D9365C" w:rsidP="00D9365C">
      <w:r w:rsidRPr="00807DAF">
        <w:t xml:space="preserve">The evaluation grid is divided into sections and subsections. Each subsection will be given a score between 1 and 5 as follows: 1 = very poor; 2 = poor; 3 = adequate; 4 = good; 5 = very good. </w:t>
      </w:r>
    </w:p>
    <w:p w14:paraId="3503C99B" w14:textId="77777777" w:rsidR="0007408E" w:rsidRPr="00807DAF" w:rsidRDefault="004B7BC2" w:rsidP="006F280A">
      <w:pPr>
        <w:rPr>
          <w:b/>
        </w:rPr>
      </w:pPr>
      <w:r>
        <w:rPr>
          <w:b/>
        </w:rPr>
        <w:br w:type="page"/>
      </w:r>
      <w:r w:rsidR="0007408E" w:rsidRPr="00807DAF">
        <w:rPr>
          <w:b/>
        </w:rPr>
        <w:lastRenderedPageBreak/>
        <w:t>Evaluation Grid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682B40" w:rsidRPr="00807DAF" w14:paraId="02ADEEDB" w14:textId="77777777" w:rsidTr="004B4447">
        <w:tc>
          <w:tcPr>
            <w:tcW w:w="8472" w:type="dxa"/>
            <w:vAlign w:val="center"/>
          </w:tcPr>
          <w:p w14:paraId="6D5A0AC2" w14:textId="77777777" w:rsidR="00682B40" w:rsidRPr="00807DAF" w:rsidRDefault="00682B40" w:rsidP="00F15864">
            <w:pPr>
              <w:spacing w:before="120"/>
              <w:rPr>
                <w:b/>
                <w:szCs w:val="22"/>
              </w:rPr>
            </w:pPr>
            <w:r w:rsidRPr="00807DAF">
              <w:rPr>
                <w:b/>
                <w:szCs w:val="22"/>
              </w:rPr>
              <w:t>Section</w:t>
            </w:r>
          </w:p>
        </w:tc>
        <w:tc>
          <w:tcPr>
            <w:tcW w:w="1275" w:type="dxa"/>
            <w:vAlign w:val="center"/>
          </w:tcPr>
          <w:p w14:paraId="325BB14F" w14:textId="77777777" w:rsidR="00682B40" w:rsidRPr="00807DAF" w:rsidRDefault="00281295" w:rsidP="00F15864">
            <w:pPr>
              <w:spacing w:before="120"/>
              <w:jc w:val="center"/>
              <w:rPr>
                <w:b/>
                <w:szCs w:val="22"/>
              </w:rPr>
            </w:pPr>
            <w:r w:rsidRPr="00807DAF">
              <w:rPr>
                <w:b/>
                <w:szCs w:val="22"/>
              </w:rPr>
              <w:t>Maximum Score</w:t>
            </w:r>
          </w:p>
        </w:tc>
      </w:tr>
      <w:tr w:rsidR="004B4447" w:rsidRPr="00807DAF" w14:paraId="3BF7AE8F" w14:textId="77777777" w:rsidTr="004B4447">
        <w:tc>
          <w:tcPr>
            <w:tcW w:w="8472" w:type="dxa"/>
            <w:shd w:val="pct10" w:color="auto" w:fill="FFFFFF"/>
            <w:vAlign w:val="center"/>
          </w:tcPr>
          <w:p w14:paraId="65B10227" w14:textId="77777777" w:rsidR="004B4447" w:rsidRPr="00807DAF" w:rsidRDefault="004B4447" w:rsidP="00F15864">
            <w:pPr>
              <w:spacing w:before="120"/>
              <w:rPr>
                <w:szCs w:val="22"/>
              </w:rPr>
            </w:pPr>
            <w:r w:rsidRPr="00807DAF">
              <w:rPr>
                <w:b/>
                <w:szCs w:val="22"/>
              </w:rPr>
              <w:t>1. Financial and operational capacity</w:t>
            </w:r>
          </w:p>
        </w:tc>
        <w:tc>
          <w:tcPr>
            <w:tcW w:w="1275" w:type="dxa"/>
            <w:shd w:val="pct10" w:color="auto" w:fill="FFFFFF"/>
            <w:vAlign w:val="center"/>
          </w:tcPr>
          <w:p w14:paraId="52AC6DA8" w14:textId="77777777" w:rsidR="004B4447" w:rsidRPr="00807DAF" w:rsidRDefault="00281295" w:rsidP="00F15864">
            <w:pPr>
              <w:spacing w:before="120"/>
              <w:jc w:val="center"/>
              <w:rPr>
                <w:b/>
                <w:szCs w:val="22"/>
              </w:rPr>
            </w:pPr>
            <w:r w:rsidRPr="00807DAF">
              <w:rPr>
                <w:b/>
                <w:szCs w:val="22"/>
              </w:rPr>
              <w:t>20</w:t>
            </w:r>
          </w:p>
        </w:tc>
      </w:tr>
      <w:tr w:rsidR="004B4447" w:rsidRPr="00807DAF" w14:paraId="3623FAB3" w14:textId="77777777" w:rsidTr="004B4447">
        <w:tc>
          <w:tcPr>
            <w:tcW w:w="8472" w:type="dxa"/>
          </w:tcPr>
          <w:p w14:paraId="27F06656" w14:textId="19986A5F" w:rsidR="004B4447" w:rsidRPr="00807DAF" w:rsidRDefault="004B4447" w:rsidP="002F0D07">
            <w:pPr>
              <w:spacing w:before="120"/>
              <w:ind w:left="340" w:hanging="340"/>
              <w:rPr>
                <w:szCs w:val="22"/>
              </w:rPr>
            </w:pPr>
            <w:r w:rsidRPr="00807DAF">
              <w:rPr>
                <w:szCs w:val="22"/>
              </w:rPr>
              <w:t>1.1 Do the applicant</w:t>
            </w:r>
            <w:r w:rsidR="000852E9" w:rsidRPr="00807DAF">
              <w:rPr>
                <w:szCs w:val="22"/>
              </w:rPr>
              <w:t>s</w:t>
            </w:r>
            <w:r w:rsidRPr="00807DAF">
              <w:rPr>
                <w:szCs w:val="22"/>
              </w:rPr>
              <w:t xml:space="preserve"> and, if applicable, </w:t>
            </w:r>
            <w:r w:rsidR="00FA1338" w:rsidRPr="00807DAF">
              <w:rPr>
                <w:szCs w:val="22"/>
              </w:rPr>
              <w:t xml:space="preserve">their </w:t>
            </w:r>
            <w:r w:rsidR="000852E9" w:rsidRPr="00807DAF">
              <w:rPr>
                <w:szCs w:val="22"/>
              </w:rPr>
              <w:t xml:space="preserve">affiliated </w:t>
            </w:r>
            <w:proofErr w:type="gramStart"/>
            <w:r w:rsidR="000852E9" w:rsidRPr="00807DAF">
              <w:rPr>
                <w:szCs w:val="22"/>
              </w:rPr>
              <w:t>entity(</w:t>
            </w:r>
            <w:proofErr w:type="spellStart"/>
            <w:proofErr w:type="gramEnd"/>
            <w:r w:rsidR="000852E9" w:rsidRPr="00807DAF">
              <w:rPr>
                <w:szCs w:val="22"/>
              </w:rPr>
              <w:t>ies</w:t>
            </w:r>
            <w:proofErr w:type="spellEnd"/>
            <w:r w:rsidR="000852E9" w:rsidRPr="00807DAF">
              <w:rPr>
                <w:szCs w:val="22"/>
              </w:rPr>
              <w:t xml:space="preserve">) </w:t>
            </w:r>
            <w:r w:rsidRPr="00807DAF">
              <w:rPr>
                <w:szCs w:val="22"/>
              </w:rPr>
              <w:t>have sufficient experience of project</w:t>
            </w:r>
            <w:r w:rsidR="00D61CFD">
              <w:rPr>
                <w:szCs w:val="22"/>
                <w:lang w:val="sr-Cyrl-RS"/>
              </w:rPr>
              <w:t xml:space="preserve"> </w:t>
            </w:r>
            <w:r w:rsidRPr="00807DAF">
              <w:rPr>
                <w:szCs w:val="22"/>
              </w:rPr>
              <w:t xml:space="preserve">management? </w:t>
            </w:r>
          </w:p>
        </w:tc>
        <w:tc>
          <w:tcPr>
            <w:tcW w:w="1275" w:type="dxa"/>
          </w:tcPr>
          <w:p w14:paraId="4C92C889" w14:textId="77777777" w:rsidR="004B4447" w:rsidRPr="00807DAF" w:rsidRDefault="00281295" w:rsidP="00F15864">
            <w:pPr>
              <w:spacing w:before="120"/>
              <w:jc w:val="center"/>
              <w:rPr>
                <w:szCs w:val="22"/>
              </w:rPr>
            </w:pPr>
            <w:r w:rsidRPr="00807DAF">
              <w:rPr>
                <w:szCs w:val="22"/>
              </w:rPr>
              <w:t>5</w:t>
            </w:r>
          </w:p>
        </w:tc>
      </w:tr>
      <w:tr w:rsidR="004B4447" w:rsidRPr="00807DAF" w14:paraId="37A4F34C" w14:textId="77777777" w:rsidTr="004B4447">
        <w:tc>
          <w:tcPr>
            <w:tcW w:w="8472" w:type="dxa"/>
          </w:tcPr>
          <w:p w14:paraId="1D557115" w14:textId="389725F8" w:rsidR="004B4447" w:rsidRPr="00807DAF" w:rsidRDefault="004B4447" w:rsidP="002F0D07">
            <w:pPr>
              <w:spacing w:before="120"/>
              <w:ind w:left="340" w:hanging="340"/>
              <w:rPr>
                <w:szCs w:val="22"/>
              </w:rPr>
            </w:pPr>
            <w:r w:rsidRPr="00807DAF">
              <w:rPr>
                <w:szCs w:val="22"/>
              </w:rPr>
              <w:t>1.2 Do the applicant</w:t>
            </w:r>
            <w:r w:rsidR="000852E9" w:rsidRPr="00807DAF">
              <w:rPr>
                <w:szCs w:val="22"/>
              </w:rPr>
              <w:t>s</w:t>
            </w:r>
            <w:r w:rsidRPr="00807DAF">
              <w:rPr>
                <w:szCs w:val="22"/>
              </w:rPr>
              <w:t xml:space="preserve"> and, if applicable</w:t>
            </w:r>
            <w:r w:rsidR="006F44FB" w:rsidRPr="00807DAF">
              <w:rPr>
                <w:szCs w:val="22"/>
              </w:rPr>
              <w:t>,</w:t>
            </w:r>
            <w:r w:rsidR="00D61CFD">
              <w:rPr>
                <w:szCs w:val="22"/>
                <w:lang w:val="sr-Cyrl-RS"/>
              </w:rPr>
              <w:t xml:space="preserve"> </w:t>
            </w:r>
            <w:r w:rsidR="00FA1338" w:rsidRPr="00807DAF">
              <w:rPr>
                <w:szCs w:val="22"/>
              </w:rPr>
              <w:t xml:space="preserve">their </w:t>
            </w:r>
            <w:r w:rsidR="000C1624" w:rsidRPr="00807DAF">
              <w:rPr>
                <w:szCs w:val="22"/>
              </w:rPr>
              <w:t xml:space="preserve">affiliated </w:t>
            </w:r>
            <w:proofErr w:type="gramStart"/>
            <w:r w:rsidR="000852E9" w:rsidRPr="00807DAF">
              <w:rPr>
                <w:szCs w:val="22"/>
              </w:rPr>
              <w:t>entity(</w:t>
            </w:r>
            <w:proofErr w:type="spellStart"/>
            <w:proofErr w:type="gramEnd"/>
            <w:r w:rsidR="000852E9" w:rsidRPr="00807DAF">
              <w:rPr>
                <w:szCs w:val="22"/>
              </w:rPr>
              <w:t>ies</w:t>
            </w:r>
            <w:proofErr w:type="spellEnd"/>
            <w:r w:rsidR="000852E9" w:rsidRPr="00807DAF">
              <w:rPr>
                <w:szCs w:val="22"/>
              </w:rPr>
              <w:t xml:space="preserve">) </w:t>
            </w:r>
            <w:r w:rsidRPr="00807DAF">
              <w:rPr>
                <w:szCs w:val="22"/>
              </w:rPr>
              <w:t>have sufficient technical expertise? (</w:t>
            </w:r>
            <w:r w:rsidR="006F44FB" w:rsidRPr="00807DAF">
              <w:rPr>
                <w:szCs w:val="22"/>
              </w:rPr>
              <w:t xml:space="preserve">especially </w:t>
            </w:r>
            <w:r w:rsidRPr="00807DAF">
              <w:rPr>
                <w:szCs w:val="22"/>
              </w:rPr>
              <w:t>knowledge of the issues to be addressed)</w:t>
            </w:r>
          </w:p>
        </w:tc>
        <w:tc>
          <w:tcPr>
            <w:tcW w:w="1275" w:type="dxa"/>
          </w:tcPr>
          <w:p w14:paraId="71DFF41D" w14:textId="77777777" w:rsidR="004B4447" w:rsidRPr="00807DAF" w:rsidRDefault="00281295" w:rsidP="00F15864">
            <w:pPr>
              <w:spacing w:before="120"/>
              <w:jc w:val="center"/>
              <w:rPr>
                <w:szCs w:val="22"/>
              </w:rPr>
            </w:pPr>
            <w:r w:rsidRPr="00807DAF">
              <w:rPr>
                <w:szCs w:val="22"/>
              </w:rPr>
              <w:t>5</w:t>
            </w:r>
          </w:p>
        </w:tc>
      </w:tr>
      <w:tr w:rsidR="004B4447" w:rsidRPr="00807DAF" w14:paraId="4C57C3A2" w14:textId="77777777" w:rsidTr="004B4447">
        <w:tc>
          <w:tcPr>
            <w:tcW w:w="8472" w:type="dxa"/>
            <w:tcBorders>
              <w:bottom w:val="nil"/>
            </w:tcBorders>
          </w:tcPr>
          <w:p w14:paraId="4E1680B4" w14:textId="77777777" w:rsidR="004B4447" w:rsidRPr="00807DAF" w:rsidRDefault="004B4447" w:rsidP="002F0D07">
            <w:pPr>
              <w:spacing w:before="120"/>
              <w:ind w:left="340" w:hanging="340"/>
              <w:jc w:val="left"/>
              <w:rPr>
                <w:szCs w:val="22"/>
              </w:rPr>
            </w:pPr>
            <w:r w:rsidRPr="00807DAF">
              <w:rPr>
                <w:szCs w:val="22"/>
              </w:rPr>
              <w:t>1.3 Do the applicant</w:t>
            </w:r>
            <w:r w:rsidR="000852E9" w:rsidRPr="00807DAF">
              <w:rPr>
                <w:szCs w:val="22"/>
              </w:rPr>
              <w:t>s</w:t>
            </w:r>
            <w:r w:rsidRPr="00807DAF">
              <w:rPr>
                <w:szCs w:val="22"/>
              </w:rPr>
              <w:t xml:space="preserve"> and, if applicable, </w:t>
            </w:r>
            <w:r w:rsidR="00FA1338" w:rsidRPr="00807DAF">
              <w:rPr>
                <w:szCs w:val="22"/>
              </w:rPr>
              <w:t xml:space="preserve">their </w:t>
            </w:r>
            <w:r w:rsidR="000852E9" w:rsidRPr="00807DAF">
              <w:rPr>
                <w:szCs w:val="22"/>
              </w:rPr>
              <w:t xml:space="preserve">affiliated </w:t>
            </w:r>
            <w:proofErr w:type="gramStart"/>
            <w:r w:rsidR="000852E9" w:rsidRPr="00807DAF">
              <w:rPr>
                <w:szCs w:val="22"/>
              </w:rPr>
              <w:t>entity(</w:t>
            </w:r>
            <w:proofErr w:type="spellStart"/>
            <w:proofErr w:type="gramEnd"/>
            <w:r w:rsidR="000852E9" w:rsidRPr="00807DAF">
              <w:rPr>
                <w:szCs w:val="22"/>
              </w:rPr>
              <w:t>ies</w:t>
            </w:r>
            <w:proofErr w:type="spellEnd"/>
            <w:r w:rsidR="000852E9" w:rsidRPr="00807DAF">
              <w:rPr>
                <w:szCs w:val="22"/>
              </w:rPr>
              <w:t xml:space="preserve">) </w:t>
            </w:r>
            <w:r w:rsidRPr="00807DAF">
              <w:rPr>
                <w:szCs w:val="22"/>
              </w:rPr>
              <w:t xml:space="preserve">have sufficient management capacity? </w:t>
            </w:r>
            <w:r w:rsidRPr="00807DAF">
              <w:rPr>
                <w:szCs w:val="22"/>
              </w:rPr>
              <w:br/>
              <w:t>(</w:t>
            </w:r>
            <w:r w:rsidR="00407D7F" w:rsidRPr="00807DAF">
              <w:rPr>
                <w:szCs w:val="22"/>
              </w:rPr>
              <w:t>I</w:t>
            </w:r>
            <w:r w:rsidRPr="00807DAF">
              <w:rPr>
                <w:szCs w:val="22"/>
              </w:rPr>
              <w:t>ncluding staff, equipment and ability to handle the budget for the action)?</w:t>
            </w:r>
          </w:p>
        </w:tc>
        <w:tc>
          <w:tcPr>
            <w:tcW w:w="1275" w:type="dxa"/>
            <w:tcBorders>
              <w:bottom w:val="nil"/>
            </w:tcBorders>
          </w:tcPr>
          <w:p w14:paraId="505447EA" w14:textId="77777777" w:rsidR="004B4447" w:rsidRPr="00807DAF" w:rsidRDefault="00281295" w:rsidP="00F15864">
            <w:pPr>
              <w:spacing w:before="120"/>
              <w:jc w:val="center"/>
              <w:rPr>
                <w:szCs w:val="22"/>
              </w:rPr>
            </w:pPr>
            <w:r w:rsidRPr="00807DAF">
              <w:rPr>
                <w:szCs w:val="22"/>
              </w:rPr>
              <w:t>5</w:t>
            </w:r>
          </w:p>
        </w:tc>
      </w:tr>
      <w:tr w:rsidR="004B4447" w:rsidRPr="00807DAF" w14:paraId="46A9F626" w14:textId="77777777" w:rsidTr="004B4447">
        <w:tc>
          <w:tcPr>
            <w:tcW w:w="8472" w:type="dxa"/>
            <w:tcBorders>
              <w:bottom w:val="single" w:sz="4" w:space="0" w:color="auto"/>
            </w:tcBorders>
          </w:tcPr>
          <w:p w14:paraId="5DF8FFB5" w14:textId="77777777" w:rsidR="004B4447" w:rsidRPr="00807DAF" w:rsidRDefault="004B4447" w:rsidP="00504963">
            <w:pPr>
              <w:spacing w:before="120"/>
              <w:ind w:left="340" w:hanging="340"/>
              <w:rPr>
                <w:szCs w:val="22"/>
              </w:rPr>
            </w:pPr>
            <w:r w:rsidRPr="00807DAF">
              <w:rPr>
                <w:szCs w:val="22"/>
              </w:rPr>
              <w:t>1.4 Do</w:t>
            </w:r>
            <w:r w:rsidR="00E94856" w:rsidRPr="00807DAF">
              <w:rPr>
                <w:szCs w:val="22"/>
              </w:rPr>
              <w:t>es</w:t>
            </w:r>
            <w:r w:rsidRPr="00807DAF">
              <w:rPr>
                <w:szCs w:val="22"/>
              </w:rPr>
              <w:t xml:space="preserve"> the </w:t>
            </w:r>
            <w:r w:rsidR="004044E0" w:rsidRPr="00807DAF">
              <w:rPr>
                <w:szCs w:val="22"/>
              </w:rPr>
              <w:t xml:space="preserve">lead </w:t>
            </w:r>
            <w:r w:rsidRPr="00807DAF">
              <w:rPr>
                <w:szCs w:val="22"/>
              </w:rPr>
              <w:t>applicant have stable and sufficient sources of finance?</w:t>
            </w:r>
          </w:p>
        </w:tc>
        <w:tc>
          <w:tcPr>
            <w:tcW w:w="1275" w:type="dxa"/>
            <w:tcBorders>
              <w:bottom w:val="single" w:sz="4" w:space="0" w:color="auto"/>
            </w:tcBorders>
          </w:tcPr>
          <w:p w14:paraId="3476A523" w14:textId="77777777" w:rsidR="004B4447" w:rsidRPr="00807DAF" w:rsidRDefault="00281295" w:rsidP="00F15864">
            <w:pPr>
              <w:spacing w:before="120"/>
              <w:jc w:val="center"/>
              <w:rPr>
                <w:szCs w:val="22"/>
              </w:rPr>
            </w:pPr>
            <w:r w:rsidRPr="00807DAF">
              <w:rPr>
                <w:szCs w:val="22"/>
              </w:rPr>
              <w:t>5</w:t>
            </w:r>
          </w:p>
        </w:tc>
      </w:tr>
      <w:tr w:rsidR="00682B40" w:rsidRPr="00807DAF" w14:paraId="40CB36DC" w14:textId="77777777" w:rsidTr="004B4447">
        <w:tc>
          <w:tcPr>
            <w:tcW w:w="8472" w:type="dxa"/>
            <w:tcBorders>
              <w:bottom w:val="single" w:sz="4" w:space="0" w:color="auto"/>
            </w:tcBorders>
            <w:shd w:val="pct10" w:color="auto" w:fill="FFFFFF"/>
          </w:tcPr>
          <w:p w14:paraId="0154DFC2" w14:textId="77777777" w:rsidR="00682B40" w:rsidRPr="00807DAF" w:rsidRDefault="00682B40" w:rsidP="00F15864">
            <w:pPr>
              <w:spacing w:before="120"/>
              <w:rPr>
                <w:szCs w:val="22"/>
              </w:rPr>
            </w:pPr>
            <w:r w:rsidRPr="00807DAF">
              <w:rPr>
                <w:b/>
                <w:szCs w:val="22"/>
              </w:rPr>
              <w:t>2. Relevance of the action</w:t>
            </w:r>
          </w:p>
        </w:tc>
        <w:tc>
          <w:tcPr>
            <w:tcW w:w="1275" w:type="dxa"/>
            <w:tcBorders>
              <w:bottom w:val="single" w:sz="4" w:space="0" w:color="auto"/>
            </w:tcBorders>
            <w:shd w:val="pct10" w:color="auto" w:fill="FFFFFF"/>
            <w:vAlign w:val="center"/>
          </w:tcPr>
          <w:p w14:paraId="3018C1B0" w14:textId="77777777" w:rsidR="00682B40" w:rsidRPr="00807DAF" w:rsidRDefault="004B4447" w:rsidP="00F15864">
            <w:pPr>
              <w:spacing w:before="120"/>
              <w:jc w:val="center"/>
              <w:rPr>
                <w:b/>
                <w:szCs w:val="22"/>
              </w:rPr>
            </w:pPr>
            <w:r w:rsidRPr="00807DAF">
              <w:rPr>
                <w:b/>
                <w:szCs w:val="22"/>
              </w:rPr>
              <w:t>30</w:t>
            </w:r>
          </w:p>
        </w:tc>
      </w:tr>
      <w:tr w:rsidR="00682B40" w:rsidRPr="00807DAF" w14:paraId="722FFD63" w14:textId="77777777" w:rsidTr="004B4447">
        <w:tc>
          <w:tcPr>
            <w:tcW w:w="8472" w:type="dxa"/>
            <w:shd w:val="clear" w:color="auto" w:fill="FFFFFF"/>
          </w:tcPr>
          <w:p w14:paraId="4F04648F" w14:textId="77777777" w:rsidR="00682B40" w:rsidRPr="00807DAF" w:rsidRDefault="00682B40" w:rsidP="00F815AC">
            <w:pPr>
              <w:spacing w:before="120"/>
              <w:rPr>
                <w:i/>
                <w:szCs w:val="22"/>
              </w:rPr>
            </w:pPr>
            <w:r w:rsidRPr="00807DAF">
              <w:rPr>
                <w:i/>
                <w:szCs w:val="22"/>
              </w:rPr>
              <w:t>Score transferred from</w:t>
            </w:r>
            <w:r w:rsidR="00E120C3" w:rsidRPr="00807DAF">
              <w:rPr>
                <w:i/>
                <w:szCs w:val="22"/>
              </w:rPr>
              <w:t xml:space="preserve"> the</w:t>
            </w:r>
            <w:r w:rsidRPr="00807DAF">
              <w:rPr>
                <w:i/>
                <w:szCs w:val="22"/>
              </w:rPr>
              <w:t xml:space="preserve"> C</w:t>
            </w:r>
            <w:r w:rsidR="00E120C3" w:rsidRPr="00807DAF">
              <w:rPr>
                <w:i/>
                <w:szCs w:val="22"/>
              </w:rPr>
              <w:t xml:space="preserve">oncept </w:t>
            </w:r>
            <w:r w:rsidRPr="00807DAF">
              <w:rPr>
                <w:i/>
                <w:szCs w:val="22"/>
              </w:rPr>
              <w:t>N</w:t>
            </w:r>
            <w:r w:rsidR="00E120C3" w:rsidRPr="00807DAF">
              <w:rPr>
                <w:i/>
                <w:szCs w:val="22"/>
              </w:rPr>
              <w:t>ote</w:t>
            </w:r>
            <w:r w:rsidRPr="00807DAF">
              <w:rPr>
                <w:i/>
                <w:szCs w:val="22"/>
              </w:rPr>
              <w:t xml:space="preserve"> evaluation</w:t>
            </w:r>
          </w:p>
        </w:tc>
        <w:tc>
          <w:tcPr>
            <w:tcW w:w="1275" w:type="dxa"/>
            <w:shd w:val="clear" w:color="auto" w:fill="FFFFFF"/>
            <w:vAlign w:val="center"/>
          </w:tcPr>
          <w:p w14:paraId="7692A0CE" w14:textId="4D88FB26" w:rsidR="00682B40" w:rsidRPr="00807DAF" w:rsidRDefault="00682B40" w:rsidP="00F15864">
            <w:pPr>
              <w:spacing w:before="120"/>
              <w:jc w:val="center"/>
              <w:rPr>
                <w:b/>
                <w:szCs w:val="22"/>
              </w:rPr>
            </w:pPr>
          </w:p>
        </w:tc>
      </w:tr>
      <w:tr w:rsidR="00682B40" w:rsidRPr="00807DAF" w14:paraId="63556C18" w14:textId="77777777" w:rsidTr="004B4447">
        <w:tc>
          <w:tcPr>
            <w:tcW w:w="8472" w:type="dxa"/>
            <w:shd w:val="pct10" w:color="auto" w:fill="FFFFFF"/>
            <w:vAlign w:val="center"/>
          </w:tcPr>
          <w:p w14:paraId="3618B73A" w14:textId="77777777" w:rsidR="00682B40" w:rsidRPr="00807DAF" w:rsidRDefault="00682B40" w:rsidP="00F15864">
            <w:pPr>
              <w:spacing w:before="120"/>
              <w:rPr>
                <w:szCs w:val="22"/>
              </w:rPr>
            </w:pPr>
            <w:r w:rsidRPr="00807DAF">
              <w:rPr>
                <w:b/>
                <w:szCs w:val="22"/>
              </w:rPr>
              <w:t>3. Effectiveness and feasibility of the action</w:t>
            </w:r>
          </w:p>
        </w:tc>
        <w:tc>
          <w:tcPr>
            <w:tcW w:w="1275" w:type="dxa"/>
            <w:shd w:val="pct10" w:color="auto" w:fill="FFFFFF"/>
            <w:vAlign w:val="center"/>
          </w:tcPr>
          <w:p w14:paraId="6D39F413" w14:textId="77777777" w:rsidR="00682B40" w:rsidRPr="00807DAF" w:rsidRDefault="00682B40" w:rsidP="00F15864">
            <w:pPr>
              <w:spacing w:before="120"/>
              <w:jc w:val="center"/>
              <w:rPr>
                <w:b/>
                <w:szCs w:val="22"/>
              </w:rPr>
            </w:pPr>
            <w:r w:rsidRPr="00807DAF">
              <w:rPr>
                <w:b/>
                <w:szCs w:val="22"/>
              </w:rPr>
              <w:t>20</w:t>
            </w:r>
          </w:p>
        </w:tc>
      </w:tr>
      <w:tr w:rsidR="00682B40" w:rsidRPr="00807DAF" w14:paraId="052BA71A" w14:textId="77777777" w:rsidTr="004B4447">
        <w:tc>
          <w:tcPr>
            <w:tcW w:w="8472" w:type="dxa"/>
          </w:tcPr>
          <w:p w14:paraId="5F20C3D6" w14:textId="77777777" w:rsidR="00682B40" w:rsidRPr="00807DAF" w:rsidRDefault="00682B40" w:rsidP="00F15864">
            <w:pPr>
              <w:spacing w:before="120"/>
              <w:ind w:left="340" w:hanging="340"/>
              <w:rPr>
                <w:szCs w:val="22"/>
              </w:rPr>
            </w:pPr>
            <w:r w:rsidRPr="00807DAF">
              <w:rPr>
                <w:szCs w:val="22"/>
              </w:rPr>
              <w:t>3.1 Are the activities proposed appropriate, practical, and consistent with the objectives and expected results?</w:t>
            </w:r>
          </w:p>
        </w:tc>
        <w:tc>
          <w:tcPr>
            <w:tcW w:w="1275" w:type="dxa"/>
          </w:tcPr>
          <w:p w14:paraId="0705D0E5" w14:textId="77777777" w:rsidR="00682B40" w:rsidRPr="00807DAF" w:rsidRDefault="00682B40" w:rsidP="00F15864">
            <w:pPr>
              <w:spacing w:before="120"/>
              <w:jc w:val="center"/>
              <w:rPr>
                <w:szCs w:val="22"/>
              </w:rPr>
            </w:pPr>
            <w:r w:rsidRPr="00807DAF">
              <w:rPr>
                <w:szCs w:val="22"/>
              </w:rPr>
              <w:t>5</w:t>
            </w:r>
          </w:p>
        </w:tc>
      </w:tr>
      <w:tr w:rsidR="00682B40" w:rsidRPr="00807DAF" w14:paraId="3472CCE5" w14:textId="77777777" w:rsidTr="004B4447">
        <w:tc>
          <w:tcPr>
            <w:tcW w:w="8472" w:type="dxa"/>
          </w:tcPr>
          <w:p w14:paraId="76B655FA" w14:textId="77777777" w:rsidR="00682B40" w:rsidRPr="00807DAF" w:rsidRDefault="00682B40" w:rsidP="00520968">
            <w:pPr>
              <w:spacing w:before="120"/>
              <w:ind w:left="340" w:hanging="340"/>
              <w:rPr>
                <w:szCs w:val="22"/>
              </w:rPr>
            </w:pPr>
            <w:r w:rsidRPr="00807DAF">
              <w:rPr>
                <w:szCs w:val="22"/>
              </w:rPr>
              <w:t>3.2 Is the action plan clear and feasible?</w:t>
            </w:r>
          </w:p>
        </w:tc>
        <w:tc>
          <w:tcPr>
            <w:tcW w:w="1275" w:type="dxa"/>
          </w:tcPr>
          <w:p w14:paraId="4C0D473D" w14:textId="77777777" w:rsidR="00682B40" w:rsidRPr="00807DAF" w:rsidRDefault="00682B40" w:rsidP="00F15864">
            <w:pPr>
              <w:spacing w:before="120"/>
              <w:jc w:val="center"/>
              <w:rPr>
                <w:szCs w:val="22"/>
              </w:rPr>
            </w:pPr>
            <w:r w:rsidRPr="00807DAF">
              <w:rPr>
                <w:szCs w:val="22"/>
              </w:rPr>
              <w:t>5</w:t>
            </w:r>
          </w:p>
        </w:tc>
      </w:tr>
      <w:tr w:rsidR="00682B40" w:rsidRPr="00807DAF" w14:paraId="5FF37324" w14:textId="77777777" w:rsidTr="004B4447">
        <w:tc>
          <w:tcPr>
            <w:tcW w:w="8472" w:type="dxa"/>
          </w:tcPr>
          <w:p w14:paraId="332B4FF3" w14:textId="77777777" w:rsidR="00682B40" w:rsidRPr="00807DAF" w:rsidRDefault="00682B40" w:rsidP="00F15864">
            <w:pPr>
              <w:spacing w:before="120"/>
              <w:ind w:left="340" w:hanging="340"/>
              <w:rPr>
                <w:szCs w:val="22"/>
              </w:rPr>
            </w:pPr>
            <w:r w:rsidRPr="00807DAF">
              <w:rPr>
                <w:szCs w:val="22"/>
              </w:rPr>
              <w:t xml:space="preserve">3.3 Does the proposal contain objectively verifiable indicators for the outcome of the action? Is </w:t>
            </w:r>
            <w:r w:rsidR="002852CE" w:rsidRPr="00807DAF">
              <w:rPr>
                <w:szCs w:val="22"/>
              </w:rPr>
              <w:t xml:space="preserve">any </w:t>
            </w:r>
            <w:r w:rsidRPr="00807DAF">
              <w:rPr>
                <w:szCs w:val="22"/>
              </w:rPr>
              <w:t xml:space="preserve">evaluation </w:t>
            </w:r>
            <w:r w:rsidR="006F44FB" w:rsidRPr="00807DAF">
              <w:rPr>
                <w:szCs w:val="22"/>
              </w:rPr>
              <w:t>planned</w:t>
            </w:r>
            <w:r w:rsidRPr="00807DAF">
              <w:rPr>
                <w:szCs w:val="22"/>
              </w:rPr>
              <w:t>?</w:t>
            </w:r>
          </w:p>
        </w:tc>
        <w:tc>
          <w:tcPr>
            <w:tcW w:w="1275" w:type="dxa"/>
          </w:tcPr>
          <w:p w14:paraId="1FA6E031" w14:textId="77777777" w:rsidR="00682B40" w:rsidRPr="00807DAF" w:rsidRDefault="00682B40" w:rsidP="00F15864">
            <w:pPr>
              <w:spacing w:before="120"/>
              <w:jc w:val="center"/>
              <w:rPr>
                <w:szCs w:val="22"/>
              </w:rPr>
            </w:pPr>
            <w:r w:rsidRPr="00807DAF">
              <w:rPr>
                <w:szCs w:val="22"/>
              </w:rPr>
              <w:t>5</w:t>
            </w:r>
          </w:p>
        </w:tc>
      </w:tr>
      <w:tr w:rsidR="00682B40" w:rsidRPr="00807DAF" w14:paraId="7B8FB146" w14:textId="77777777" w:rsidTr="004B4447">
        <w:tc>
          <w:tcPr>
            <w:tcW w:w="8472" w:type="dxa"/>
          </w:tcPr>
          <w:p w14:paraId="199526E3" w14:textId="073578BC" w:rsidR="00682B40" w:rsidRPr="00807DAF" w:rsidRDefault="00682B40" w:rsidP="00C97A42">
            <w:pPr>
              <w:spacing w:before="120"/>
              <w:rPr>
                <w:szCs w:val="22"/>
              </w:rPr>
            </w:pPr>
            <w:r w:rsidRPr="00807DAF">
              <w:rPr>
                <w:szCs w:val="22"/>
              </w:rPr>
              <w:t xml:space="preserve">3.4 Is the </w:t>
            </w:r>
            <w:r w:rsidR="000D40CC" w:rsidRPr="00807DAF">
              <w:rPr>
                <w:szCs w:val="22"/>
              </w:rPr>
              <w:t>co-applicant(s)</w:t>
            </w:r>
            <w:r w:rsidR="00E94856" w:rsidRPr="00807DAF">
              <w:rPr>
                <w:szCs w:val="22"/>
              </w:rPr>
              <w:t>'s</w:t>
            </w:r>
            <w:r w:rsidR="000D40CC" w:rsidRPr="00807DAF">
              <w:rPr>
                <w:szCs w:val="22"/>
              </w:rPr>
              <w:t xml:space="preserve"> and affiliated </w:t>
            </w:r>
            <w:proofErr w:type="gramStart"/>
            <w:r w:rsidR="000D40CC" w:rsidRPr="00807DAF">
              <w:rPr>
                <w:szCs w:val="22"/>
              </w:rPr>
              <w:t>entity(</w:t>
            </w:r>
            <w:proofErr w:type="spellStart"/>
            <w:proofErr w:type="gramEnd"/>
            <w:r w:rsidR="000D40CC" w:rsidRPr="00807DAF">
              <w:rPr>
                <w:szCs w:val="22"/>
              </w:rPr>
              <w:t>ies</w:t>
            </w:r>
            <w:proofErr w:type="spellEnd"/>
            <w:r w:rsidR="000D40CC" w:rsidRPr="00807DAF">
              <w:rPr>
                <w:szCs w:val="22"/>
              </w:rPr>
              <w:t>)</w:t>
            </w:r>
            <w:r w:rsidR="00E94856" w:rsidRPr="00807DAF">
              <w:rPr>
                <w:szCs w:val="22"/>
              </w:rPr>
              <w:t>'s</w:t>
            </w:r>
            <w:r w:rsidR="00D61CFD">
              <w:rPr>
                <w:szCs w:val="22"/>
                <w:lang w:val="sr-Cyrl-RS"/>
              </w:rPr>
              <w:t xml:space="preserve"> </w:t>
            </w:r>
            <w:r w:rsidRPr="00807DAF">
              <w:rPr>
                <w:szCs w:val="22"/>
              </w:rPr>
              <w:t>level of involvement and participation in the action satisfactory?</w:t>
            </w:r>
          </w:p>
        </w:tc>
        <w:tc>
          <w:tcPr>
            <w:tcW w:w="1275" w:type="dxa"/>
          </w:tcPr>
          <w:p w14:paraId="0A01A125" w14:textId="77777777" w:rsidR="00682B40" w:rsidRPr="00807DAF" w:rsidRDefault="00682B40" w:rsidP="00F15864">
            <w:pPr>
              <w:spacing w:before="120"/>
              <w:jc w:val="center"/>
              <w:rPr>
                <w:szCs w:val="22"/>
              </w:rPr>
            </w:pPr>
            <w:r w:rsidRPr="00807DAF">
              <w:rPr>
                <w:szCs w:val="22"/>
              </w:rPr>
              <w:t>5</w:t>
            </w:r>
          </w:p>
        </w:tc>
      </w:tr>
      <w:tr w:rsidR="00682B40" w:rsidRPr="00807DAF" w14:paraId="1D280266" w14:textId="77777777" w:rsidTr="004B4447">
        <w:tc>
          <w:tcPr>
            <w:tcW w:w="8472" w:type="dxa"/>
            <w:shd w:val="pct10" w:color="auto" w:fill="FFFFFF"/>
            <w:vAlign w:val="center"/>
          </w:tcPr>
          <w:p w14:paraId="5290CA68" w14:textId="77777777" w:rsidR="00682B40" w:rsidRPr="00807DAF" w:rsidRDefault="00682B40" w:rsidP="00F15864">
            <w:pPr>
              <w:spacing w:before="120"/>
              <w:rPr>
                <w:szCs w:val="22"/>
              </w:rPr>
            </w:pPr>
            <w:r w:rsidRPr="00807DAF">
              <w:rPr>
                <w:szCs w:val="22"/>
              </w:rPr>
              <w:br w:type="page"/>
            </w:r>
            <w:r w:rsidRPr="00807DAF">
              <w:rPr>
                <w:b/>
                <w:szCs w:val="22"/>
              </w:rPr>
              <w:t xml:space="preserve">4. Sustainability of the action </w:t>
            </w:r>
          </w:p>
        </w:tc>
        <w:tc>
          <w:tcPr>
            <w:tcW w:w="1275" w:type="dxa"/>
            <w:shd w:val="pct10" w:color="auto" w:fill="FFFFFF"/>
            <w:vAlign w:val="center"/>
          </w:tcPr>
          <w:p w14:paraId="17B1DAEA" w14:textId="77777777" w:rsidR="00682B40" w:rsidRPr="00807DAF" w:rsidRDefault="00682B40" w:rsidP="00F15864">
            <w:pPr>
              <w:spacing w:before="120"/>
              <w:jc w:val="center"/>
              <w:rPr>
                <w:b/>
                <w:szCs w:val="22"/>
              </w:rPr>
            </w:pPr>
            <w:r w:rsidRPr="00807DAF">
              <w:rPr>
                <w:b/>
                <w:szCs w:val="22"/>
              </w:rPr>
              <w:t>15</w:t>
            </w:r>
          </w:p>
        </w:tc>
      </w:tr>
      <w:tr w:rsidR="00682B40" w:rsidRPr="00807DAF" w14:paraId="251FBC44" w14:textId="77777777" w:rsidTr="004B4447">
        <w:tc>
          <w:tcPr>
            <w:tcW w:w="8472" w:type="dxa"/>
          </w:tcPr>
          <w:p w14:paraId="22F0D028" w14:textId="77777777" w:rsidR="00682B40" w:rsidRPr="00807DAF" w:rsidRDefault="00682B40" w:rsidP="00520968">
            <w:pPr>
              <w:spacing w:before="120"/>
              <w:ind w:left="340" w:hanging="340"/>
              <w:rPr>
                <w:szCs w:val="22"/>
              </w:rPr>
            </w:pPr>
            <w:r w:rsidRPr="00807DAF">
              <w:rPr>
                <w:szCs w:val="22"/>
              </w:rPr>
              <w:t>4.1 Is the action likely to have a tangible impact on its target groups?</w:t>
            </w:r>
          </w:p>
        </w:tc>
        <w:tc>
          <w:tcPr>
            <w:tcW w:w="1275" w:type="dxa"/>
          </w:tcPr>
          <w:p w14:paraId="0B6E64DA" w14:textId="77777777" w:rsidR="00682B40" w:rsidRPr="00807DAF" w:rsidRDefault="00682B40" w:rsidP="00F15864">
            <w:pPr>
              <w:spacing w:before="120"/>
              <w:jc w:val="center"/>
              <w:rPr>
                <w:szCs w:val="22"/>
              </w:rPr>
            </w:pPr>
            <w:r w:rsidRPr="00807DAF">
              <w:rPr>
                <w:szCs w:val="22"/>
              </w:rPr>
              <w:t>5</w:t>
            </w:r>
          </w:p>
        </w:tc>
      </w:tr>
      <w:tr w:rsidR="00682B40" w:rsidRPr="00807DAF" w14:paraId="4D4E32EA" w14:textId="77777777" w:rsidTr="004B4447">
        <w:tc>
          <w:tcPr>
            <w:tcW w:w="8472" w:type="dxa"/>
          </w:tcPr>
          <w:p w14:paraId="4D86319A" w14:textId="77777777" w:rsidR="00682B40" w:rsidRPr="00807DAF" w:rsidRDefault="00682B40" w:rsidP="00F15864">
            <w:pPr>
              <w:spacing w:before="120"/>
              <w:ind w:left="340" w:hanging="340"/>
              <w:rPr>
                <w:szCs w:val="22"/>
              </w:rPr>
            </w:pPr>
            <w:r w:rsidRPr="00807DAF">
              <w:rPr>
                <w:szCs w:val="22"/>
              </w:rPr>
              <w:t>4.2 Is the proposal likely to have multiplier effects? (Including scope for replication</w:t>
            </w:r>
            <w:r w:rsidR="002852CE" w:rsidRPr="00807DAF">
              <w:rPr>
                <w:szCs w:val="22"/>
              </w:rPr>
              <w:t>,</w:t>
            </w:r>
            <w:r w:rsidRPr="00807DAF">
              <w:rPr>
                <w:szCs w:val="22"/>
              </w:rPr>
              <w:t xml:space="preserve"> extension and information</w:t>
            </w:r>
            <w:r w:rsidR="002852CE" w:rsidRPr="00807DAF">
              <w:rPr>
                <w:szCs w:val="22"/>
              </w:rPr>
              <w:t xml:space="preserve"> sharing</w:t>
            </w:r>
            <w:r w:rsidRPr="00807DAF">
              <w:rPr>
                <w:szCs w:val="22"/>
              </w:rPr>
              <w:t>.)</w:t>
            </w:r>
          </w:p>
        </w:tc>
        <w:tc>
          <w:tcPr>
            <w:tcW w:w="1275" w:type="dxa"/>
          </w:tcPr>
          <w:p w14:paraId="3029C3ED" w14:textId="77777777" w:rsidR="00682B40" w:rsidRPr="00807DAF" w:rsidRDefault="00682B40" w:rsidP="00F15864">
            <w:pPr>
              <w:spacing w:before="120"/>
              <w:jc w:val="center"/>
              <w:rPr>
                <w:szCs w:val="22"/>
              </w:rPr>
            </w:pPr>
            <w:r w:rsidRPr="00807DAF">
              <w:rPr>
                <w:szCs w:val="22"/>
              </w:rPr>
              <w:t>5</w:t>
            </w:r>
          </w:p>
        </w:tc>
      </w:tr>
      <w:tr w:rsidR="00682B40" w:rsidRPr="00807DAF" w14:paraId="5109582B" w14:textId="77777777" w:rsidTr="004B4447">
        <w:tc>
          <w:tcPr>
            <w:tcW w:w="8472" w:type="dxa"/>
          </w:tcPr>
          <w:p w14:paraId="4C04105A" w14:textId="77777777" w:rsidR="00682B40" w:rsidRPr="00807DAF" w:rsidRDefault="00682B40" w:rsidP="00F15864">
            <w:pPr>
              <w:spacing w:before="120"/>
              <w:rPr>
                <w:szCs w:val="22"/>
              </w:rPr>
            </w:pPr>
            <w:r w:rsidRPr="00807DAF">
              <w:rPr>
                <w:szCs w:val="22"/>
              </w:rPr>
              <w:t>4.3 Are the expected results of the proposed action sustainable</w:t>
            </w:r>
            <w:r w:rsidR="002852CE" w:rsidRPr="00807DAF">
              <w:rPr>
                <w:szCs w:val="22"/>
              </w:rPr>
              <w:t>?</w:t>
            </w:r>
          </w:p>
          <w:p w14:paraId="52F42243" w14:textId="41EE1E68" w:rsidR="00682B40" w:rsidRPr="00807DAF" w:rsidRDefault="00682B40" w:rsidP="00F15864">
            <w:pPr>
              <w:spacing w:before="120"/>
              <w:ind w:left="510" w:hanging="170"/>
              <w:rPr>
                <w:szCs w:val="22"/>
              </w:rPr>
            </w:pPr>
            <w:r w:rsidRPr="00807DAF">
              <w:rPr>
                <w:szCs w:val="22"/>
              </w:rPr>
              <w:t xml:space="preserve">- </w:t>
            </w:r>
            <w:proofErr w:type="gramStart"/>
            <w:r w:rsidRPr="00807DAF">
              <w:rPr>
                <w:szCs w:val="22"/>
              </w:rPr>
              <w:t>financially</w:t>
            </w:r>
            <w:proofErr w:type="gramEnd"/>
            <w:r w:rsidR="006B6F21">
              <w:rPr>
                <w:szCs w:val="22"/>
              </w:rPr>
              <w:t xml:space="preserve"> </w:t>
            </w:r>
            <w:r w:rsidRPr="00807DAF">
              <w:rPr>
                <w:i/>
                <w:szCs w:val="22"/>
              </w:rPr>
              <w:t>(</w:t>
            </w:r>
            <w:r w:rsidR="006B6F21">
              <w:rPr>
                <w:i/>
                <w:szCs w:val="22"/>
              </w:rPr>
              <w:t>H</w:t>
            </w:r>
            <w:r w:rsidRPr="00807DAF">
              <w:rPr>
                <w:i/>
                <w:szCs w:val="22"/>
              </w:rPr>
              <w:t>ow will the activities be financed after the funding ends?)</w:t>
            </w:r>
          </w:p>
          <w:p w14:paraId="7AD34ECF" w14:textId="5BD5E466" w:rsidR="00682B40" w:rsidRPr="00807DAF" w:rsidRDefault="00682B40" w:rsidP="00F15864">
            <w:pPr>
              <w:spacing w:before="120"/>
              <w:ind w:left="510" w:hanging="170"/>
              <w:rPr>
                <w:szCs w:val="22"/>
              </w:rPr>
            </w:pPr>
            <w:r w:rsidRPr="00807DAF">
              <w:rPr>
                <w:szCs w:val="22"/>
              </w:rPr>
              <w:t xml:space="preserve">- </w:t>
            </w:r>
            <w:proofErr w:type="gramStart"/>
            <w:r w:rsidRPr="00807DAF">
              <w:rPr>
                <w:szCs w:val="22"/>
              </w:rPr>
              <w:t>institutionally</w:t>
            </w:r>
            <w:proofErr w:type="gramEnd"/>
            <w:r w:rsidR="006B6F21">
              <w:rPr>
                <w:szCs w:val="22"/>
              </w:rPr>
              <w:t xml:space="preserve"> </w:t>
            </w:r>
            <w:r w:rsidR="006B6F21">
              <w:rPr>
                <w:i/>
                <w:szCs w:val="22"/>
              </w:rPr>
              <w:t>(W</w:t>
            </w:r>
            <w:r w:rsidRPr="00807DAF">
              <w:rPr>
                <w:i/>
                <w:szCs w:val="22"/>
              </w:rPr>
              <w:t xml:space="preserve">ill structures allowing the activities to continue be in place at the end </w:t>
            </w:r>
            <w:r w:rsidRPr="00807DAF">
              <w:rPr>
                <w:i/>
                <w:szCs w:val="22"/>
              </w:rPr>
              <w:lastRenderedPageBreak/>
              <w:t xml:space="preserve">of the action? Will there be local </w:t>
            </w:r>
            <w:r w:rsidR="00A016F9" w:rsidRPr="00807DAF">
              <w:rPr>
                <w:i/>
                <w:szCs w:val="22"/>
              </w:rPr>
              <w:t>‘</w:t>
            </w:r>
            <w:r w:rsidRPr="00807DAF">
              <w:rPr>
                <w:i/>
                <w:szCs w:val="22"/>
              </w:rPr>
              <w:t>ownership</w:t>
            </w:r>
            <w:r w:rsidR="00A016F9" w:rsidRPr="00807DAF">
              <w:rPr>
                <w:i/>
                <w:szCs w:val="22"/>
              </w:rPr>
              <w:t>’</w:t>
            </w:r>
            <w:r w:rsidRPr="00807DAF">
              <w:rPr>
                <w:i/>
                <w:szCs w:val="22"/>
              </w:rPr>
              <w:t xml:space="preserve"> of the results of the action?)</w:t>
            </w:r>
          </w:p>
          <w:p w14:paraId="17835FAD" w14:textId="1168AA3C" w:rsidR="00FA1338" w:rsidRPr="00807DAF" w:rsidRDefault="00682B40" w:rsidP="00FA1338">
            <w:pPr>
              <w:spacing w:before="120"/>
              <w:ind w:left="510" w:hanging="170"/>
              <w:rPr>
                <w:iCs/>
                <w:szCs w:val="22"/>
              </w:rPr>
            </w:pPr>
            <w:r w:rsidRPr="00807DAF">
              <w:rPr>
                <w:szCs w:val="22"/>
              </w:rPr>
              <w:t xml:space="preserve">- </w:t>
            </w:r>
            <w:proofErr w:type="gramStart"/>
            <w:r w:rsidRPr="00807DAF">
              <w:rPr>
                <w:szCs w:val="22"/>
              </w:rPr>
              <w:t>at</w:t>
            </w:r>
            <w:proofErr w:type="gramEnd"/>
            <w:r w:rsidRPr="00807DAF">
              <w:rPr>
                <w:szCs w:val="22"/>
              </w:rPr>
              <w:t xml:space="preserve"> policy level (where applicable) </w:t>
            </w:r>
            <w:r w:rsidRPr="00807DAF">
              <w:rPr>
                <w:i/>
                <w:szCs w:val="22"/>
              </w:rPr>
              <w:t>(</w:t>
            </w:r>
            <w:r w:rsidR="006B6F21">
              <w:rPr>
                <w:i/>
                <w:szCs w:val="22"/>
              </w:rPr>
              <w:t>W</w:t>
            </w:r>
            <w:r w:rsidRPr="00807DAF">
              <w:rPr>
                <w:i/>
                <w:szCs w:val="22"/>
              </w:rPr>
              <w:t xml:space="preserve">hat will be the structural impact of the action — e.g. will it lead to improved legislation, codes of conduct, methods, </w:t>
            </w:r>
            <w:proofErr w:type="spellStart"/>
            <w:r w:rsidRPr="00807DAF">
              <w:rPr>
                <w:i/>
                <w:szCs w:val="22"/>
              </w:rPr>
              <w:t>etc</w:t>
            </w:r>
            <w:proofErr w:type="spellEnd"/>
            <w:r w:rsidRPr="00807DAF">
              <w:rPr>
                <w:i/>
                <w:szCs w:val="22"/>
              </w:rPr>
              <w:t>?)</w:t>
            </w:r>
          </w:p>
          <w:p w14:paraId="25FA28B8" w14:textId="1EC0E9ED" w:rsidR="00682B40" w:rsidRPr="00807DAF" w:rsidRDefault="00FA0760" w:rsidP="006B6F21">
            <w:pPr>
              <w:spacing w:before="120"/>
              <w:ind w:left="510" w:hanging="170"/>
              <w:rPr>
                <w:szCs w:val="22"/>
              </w:rPr>
            </w:pPr>
            <w:r w:rsidRPr="00807DAF">
              <w:rPr>
                <w:iCs/>
                <w:szCs w:val="22"/>
              </w:rPr>
              <w:t xml:space="preserve">- </w:t>
            </w:r>
            <w:proofErr w:type="gramStart"/>
            <w:r w:rsidRPr="00807DAF">
              <w:rPr>
                <w:iCs/>
                <w:szCs w:val="22"/>
              </w:rPr>
              <w:t>environmentally</w:t>
            </w:r>
            <w:proofErr w:type="gramEnd"/>
            <w:r w:rsidRPr="00807DAF">
              <w:rPr>
                <w:iCs/>
                <w:szCs w:val="22"/>
              </w:rPr>
              <w:t xml:space="preserve"> (if applicable) </w:t>
            </w:r>
            <w:r w:rsidRPr="00807DAF">
              <w:rPr>
                <w:i/>
                <w:szCs w:val="22"/>
              </w:rPr>
              <w:t>(</w:t>
            </w:r>
            <w:r w:rsidR="006B6F21">
              <w:rPr>
                <w:i/>
                <w:szCs w:val="22"/>
              </w:rPr>
              <w:t>W</w:t>
            </w:r>
            <w:r w:rsidRPr="00807DAF">
              <w:rPr>
                <w:i/>
                <w:szCs w:val="22"/>
              </w:rPr>
              <w:t>ill the action have a negative/positive environmental impact?)</w:t>
            </w:r>
          </w:p>
        </w:tc>
        <w:tc>
          <w:tcPr>
            <w:tcW w:w="1275" w:type="dxa"/>
          </w:tcPr>
          <w:p w14:paraId="08F8EF84" w14:textId="77777777" w:rsidR="00682B40" w:rsidRPr="00807DAF" w:rsidRDefault="00682B40" w:rsidP="00F15864">
            <w:pPr>
              <w:spacing w:before="120"/>
              <w:jc w:val="center"/>
              <w:rPr>
                <w:szCs w:val="22"/>
              </w:rPr>
            </w:pPr>
            <w:r w:rsidRPr="00807DAF">
              <w:rPr>
                <w:szCs w:val="22"/>
              </w:rPr>
              <w:lastRenderedPageBreak/>
              <w:t>5</w:t>
            </w:r>
          </w:p>
        </w:tc>
      </w:tr>
      <w:tr w:rsidR="00682B40" w:rsidRPr="00807DAF" w14:paraId="2A0C6E2F" w14:textId="77777777" w:rsidTr="004B4447">
        <w:tc>
          <w:tcPr>
            <w:tcW w:w="8472" w:type="dxa"/>
            <w:shd w:val="pct10" w:color="auto" w:fill="FFFFFF"/>
            <w:vAlign w:val="center"/>
          </w:tcPr>
          <w:p w14:paraId="6E8852D1" w14:textId="77777777" w:rsidR="00682B40" w:rsidRPr="00807DAF" w:rsidRDefault="00682B40" w:rsidP="00520968">
            <w:pPr>
              <w:spacing w:before="120"/>
              <w:rPr>
                <w:szCs w:val="22"/>
              </w:rPr>
            </w:pPr>
            <w:r w:rsidRPr="00807DAF">
              <w:rPr>
                <w:szCs w:val="22"/>
              </w:rPr>
              <w:lastRenderedPageBreak/>
              <w:br w:type="page"/>
            </w:r>
            <w:r w:rsidRPr="00807DAF">
              <w:rPr>
                <w:b/>
                <w:szCs w:val="22"/>
              </w:rPr>
              <w:t>5. Budget and cost-effectiveness of the action</w:t>
            </w:r>
          </w:p>
        </w:tc>
        <w:tc>
          <w:tcPr>
            <w:tcW w:w="1275" w:type="dxa"/>
            <w:shd w:val="pct10" w:color="auto" w:fill="FFFFFF"/>
            <w:vAlign w:val="center"/>
          </w:tcPr>
          <w:p w14:paraId="7EDE1D06" w14:textId="77777777" w:rsidR="00682B40" w:rsidRPr="00807DAF" w:rsidRDefault="00682B40" w:rsidP="00F15864">
            <w:pPr>
              <w:spacing w:before="120"/>
              <w:jc w:val="center"/>
              <w:rPr>
                <w:b/>
                <w:szCs w:val="22"/>
              </w:rPr>
            </w:pPr>
            <w:r w:rsidRPr="00807DAF">
              <w:rPr>
                <w:b/>
                <w:szCs w:val="22"/>
              </w:rPr>
              <w:t>15</w:t>
            </w:r>
          </w:p>
        </w:tc>
      </w:tr>
      <w:tr w:rsidR="00682B40" w:rsidRPr="00807DAF" w14:paraId="7EB75F28" w14:textId="77777777" w:rsidTr="004B4447">
        <w:tc>
          <w:tcPr>
            <w:tcW w:w="8472" w:type="dxa"/>
          </w:tcPr>
          <w:p w14:paraId="39EBD66B" w14:textId="77777777" w:rsidR="00682B40" w:rsidRPr="00807DAF" w:rsidRDefault="00682B40" w:rsidP="00F15864">
            <w:pPr>
              <w:spacing w:before="120"/>
              <w:ind w:left="340" w:hanging="340"/>
              <w:rPr>
                <w:szCs w:val="22"/>
              </w:rPr>
            </w:pPr>
            <w:r w:rsidRPr="00807DAF">
              <w:rPr>
                <w:szCs w:val="22"/>
              </w:rPr>
              <w:t>5.1 Are the activities appropriately reflected in the budget?</w:t>
            </w:r>
          </w:p>
        </w:tc>
        <w:tc>
          <w:tcPr>
            <w:tcW w:w="1275" w:type="dxa"/>
          </w:tcPr>
          <w:p w14:paraId="278D9C71" w14:textId="1BB66DA5" w:rsidR="00682B40" w:rsidRPr="00807DAF" w:rsidRDefault="00EB5876" w:rsidP="00130AF8">
            <w:pPr>
              <w:spacing w:before="120"/>
              <w:jc w:val="center"/>
              <w:rPr>
                <w:szCs w:val="22"/>
              </w:rPr>
            </w:pPr>
            <w:r>
              <w:rPr>
                <w:szCs w:val="22"/>
              </w:rPr>
              <w:t>/</w:t>
            </w:r>
            <w:r w:rsidR="00446C56" w:rsidRPr="00807DAF">
              <w:rPr>
                <w:szCs w:val="22"/>
              </w:rPr>
              <w:t>5</w:t>
            </w:r>
          </w:p>
        </w:tc>
      </w:tr>
      <w:tr w:rsidR="00682B40" w:rsidRPr="00807DAF" w14:paraId="6E8DC940" w14:textId="77777777" w:rsidTr="004B4447">
        <w:tc>
          <w:tcPr>
            <w:tcW w:w="8472" w:type="dxa"/>
          </w:tcPr>
          <w:p w14:paraId="5BCA8601" w14:textId="77777777" w:rsidR="00682B40" w:rsidRPr="00807DAF" w:rsidRDefault="00682B40" w:rsidP="00F15864">
            <w:pPr>
              <w:spacing w:before="120"/>
              <w:ind w:left="340" w:hanging="340"/>
              <w:rPr>
                <w:szCs w:val="22"/>
              </w:rPr>
            </w:pPr>
            <w:r w:rsidRPr="00807DAF">
              <w:rPr>
                <w:szCs w:val="22"/>
              </w:rPr>
              <w:t>5.2 Is the ratio between the estimated costs and the expected results satisfactory?</w:t>
            </w:r>
          </w:p>
        </w:tc>
        <w:tc>
          <w:tcPr>
            <w:tcW w:w="1275" w:type="dxa"/>
          </w:tcPr>
          <w:p w14:paraId="0383B39A" w14:textId="409920B8" w:rsidR="00682B40" w:rsidRPr="00807DAF" w:rsidRDefault="00EB5876" w:rsidP="00F15864">
            <w:pPr>
              <w:spacing w:before="120"/>
              <w:jc w:val="center"/>
              <w:rPr>
                <w:szCs w:val="22"/>
              </w:rPr>
            </w:pPr>
            <w:r>
              <w:rPr>
                <w:szCs w:val="22"/>
              </w:rPr>
              <w:t>/</w:t>
            </w:r>
            <w:r w:rsidR="00446C56" w:rsidRPr="00807DAF">
              <w:rPr>
                <w:szCs w:val="22"/>
              </w:rPr>
              <w:t>10</w:t>
            </w:r>
          </w:p>
        </w:tc>
      </w:tr>
      <w:tr w:rsidR="00682B40" w:rsidRPr="00807DAF" w14:paraId="17ABE598" w14:textId="77777777" w:rsidTr="004B4447">
        <w:tc>
          <w:tcPr>
            <w:tcW w:w="8472" w:type="dxa"/>
            <w:shd w:val="pct10" w:color="auto" w:fill="FFFFFF"/>
            <w:vAlign w:val="center"/>
          </w:tcPr>
          <w:p w14:paraId="506E7FD4" w14:textId="77777777" w:rsidR="00682B40" w:rsidRPr="00807DAF" w:rsidRDefault="00682B40" w:rsidP="00F15864">
            <w:pPr>
              <w:spacing w:before="120"/>
              <w:rPr>
                <w:b/>
                <w:szCs w:val="22"/>
              </w:rPr>
            </w:pPr>
            <w:r w:rsidRPr="00807DAF">
              <w:rPr>
                <w:b/>
                <w:szCs w:val="22"/>
              </w:rPr>
              <w:t>Maximum total score</w:t>
            </w:r>
          </w:p>
        </w:tc>
        <w:tc>
          <w:tcPr>
            <w:tcW w:w="1275" w:type="dxa"/>
            <w:shd w:val="pct10" w:color="auto" w:fill="FFFFFF"/>
            <w:vAlign w:val="center"/>
          </w:tcPr>
          <w:p w14:paraId="3A2AD14A" w14:textId="77777777" w:rsidR="00682B40" w:rsidRPr="00807DAF" w:rsidRDefault="00281295" w:rsidP="00F15864">
            <w:pPr>
              <w:spacing w:before="120"/>
              <w:jc w:val="center"/>
              <w:rPr>
                <w:b/>
                <w:szCs w:val="22"/>
              </w:rPr>
            </w:pPr>
            <w:r w:rsidRPr="00807DAF">
              <w:rPr>
                <w:b/>
                <w:szCs w:val="22"/>
              </w:rPr>
              <w:t>100</w:t>
            </w:r>
          </w:p>
        </w:tc>
      </w:tr>
    </w:tbl>
    <w:p w14:paraId="3893A64D" w14:textId="77777777" w:rsidR="0086780C" w:rsidRDefault="0086780C" w:rsidP="006F280A"/>
    <w:p w14:paraId="135FA6A7" w14:textId="77777777" w:rsidR="00F248A3" w:rsidRDefault="00F248A3" w:rsidP="006F280A">
      <w:r w:rsidRPr="00807DAF">
        <w:t xml:space="preserve">If the </w:t>
      </w:r>
      <w:r w:rsidR="00281295" w:rsidRPr="00807DAF">
        <w:t xml:space="preserve">total score for section 1 </w:t>
      </w:r>
      <w:r w:rsidR="0086780C">
        <w:t xml:space="preserve">(financial and operational capacity) </w:t>
      </w:r>
      <w:r w:rsidR="00281295" w:rsidRPr="00807DAF">
        <w:t>is less than 12 points</w:t>
      </w:r>
      <w:r w:rsidR="00B10F3E" w:rsidRPr="00807DAF">
        <w:t>,</w:t>
      </w:r>
      <w:r w:rsidRPr="00807DAF">
        <w:t xml:space="preserve"> the application will be rejected.</w:t>
      </w:r>
      <w:r w:rsidR="00281295" w:rsidRPr="00807DAF">
        <w:t xml:space="preserve"> If the score for at least one of the subsections under section 1 is 1, the application will also be rejected.</w:t>
      </w:r>
    </w:p>
    <w:p w14:paraId="5788FD81" w14:textId="77777777" w:rsidR="00B975FF" w:rsidRPr="00807DAF" w:rsidRDefault="00B975FF" w:rsidP="006F280A">
      <w:r>
        <w:t xml:space="preserve">If the lead applicant applies without co-applicants or affiliated entities the score for point 3.4 shall be 5 unless the involvement of co-applicants or affiliated entities is mandatory according to these guidelines for applicants.  </w:t>
      </w:r>
    </w:p>
    <w:p w14:paraId="3D72177A" w14:textId="77777777" w:rsidR="00ED5802" w:rsidRPr="00807DAF" w:rsidRDefault="00ED5802" w:rsidP="006F280A">
      <w:pPr>
        <w:rPr>
          <w:i/>
        </w:rPr>
      </w:pPr>
      <w:r w:rsidRPr="00807DAF">
        <w:rPr>
          <w:i/>
        </w:rPr>
        <w:t>Provisional selection</w:t>
      </w:r>
    </w:p>
    <w:p w14:paraId="5CFB8673" w14:textId="1A5F646D" w:rsidR="00ED5802" w:rsidRPr="00807DAF" w:rsidRDefault="008F3758" w:rsidP="006F280A">
      <w:r w:rsidRPr="00807DAF">
        <w:t xml:space="preserve">After </w:t>
      </w:r>
      <w:r w:rsidR="00ED5802" w:rsidRPr="00807DAF">
        <w:t xml:space="preserve">the evaluation, a table </w:t>
      </w:r>
      <w:r w:rsidRPr="00807DAF">
        <w:t xml:space="preserve">will be drawn up </w:t>
      </w:r>
      <w:r w:rsidR="00ED5802" w:rsidRPr="00807DAF">
        <w:t xml:space="preserve">listing the </w:t>
      </w:r>
      <w:r w:rsidR="006459C5" w:rsidRPr="00807DAF">
        <w:t>application</w:t>
      </w:r>
      <w:r w:rsidR="00ED5802" w:rsidRPr="00807DAF">
        <w:t>s ranked according to their score</w:t>
      </w:r>
      <w:r w:rsidR="0086780C">
        <w:t>.</w:t>
      </w:r>
      <w:r w:rsidR="004A033E">
        <w:t xml:space="preserve"> </w:t>
      </w:r>
      <w:r w:rsidR="0086780C">
        <w:t xml:space="preserve">The highest scoring applications will be provisionally selected until </w:t>
      </w:r>
      <w:r w:rsidR="0086780C" w:rsidRPr="00807DAF">
        <w:t xml:space="preserve">the available budget for this </w:t>
      </w:r>
      <w:r w:rsidR="0086780C">
        <w:t>c</w:t>
      </w:r>
      <w:r w:rsidR="0086780C" w:rsidRPr="00807DAF">
        <w:t xml:space="preserve">all for </w:t>
      </w:r>
      <w:r w:rsidR="0086780C">
        <w:t>p</w:t>
      </w:r>
      <w:r w:rsidR="0086780C" w:rsidRPr="00807DAF">
        <w:t>roposals</w:t>
      </w:r>
      <w:r w:rsidR="0086780C">
        <w:t xml:space="preserve"> is reached</w:t>
      </w:r>
      <w:r w:rsidR="00EF41DE" w:rsidRPr="00807DAF">
        <w:t xml:space="preserve">. </w:t>
      </w:r>
      <w:r w:rsidR="004113FC" w:rsidRPr="00807DAF">
        <w:t>In addition, a</w:t>
      </w:r>
      <w:r w:rsidR="00ED5802" w:rsidRPr="00807DAF">
        <w:t xml:space="preserve"> reserve list </w:t>
      </w:r>
      <w:r w:rsidR="004113FC" w:rsidRPr="00807DAF">
        <w:t xml:space="preserve">will be drawn up </w:t>
      </w:r>
      <w:r w:rsidR="00ED5802" w:rsidRPr="00807DAF">
        <w:t>following the same criteria</w:t>
      </w:r>
      <w:r w:rsidR="002A1D7C">
        <w:t>.</w:t>
      </w:r>
      <w:r w:rsidR="004A033E">
        <w:t xml:space="preserve"> </w:t>
      </w:r>
      <w:r w:rsidR="002A1D7C">
        <w:t xml:space="preserve">This list will be </w:t>
      </w:r>
      <w:r w:rsidR="004113FC" w:rsidRPr="00807DAF">
        <w:t>used if more funds become available during the validity period of the reserve list</w:t>
      </w:r>
      <w:r w:rsidR="00ED5802" w:rsidRPr="00807DAF">
        <w:t>.</w:t>
      </w:r>
    </w:p>
    <w:p w14:paraId="3861CF88" w14:textId="77777777" w:rsidR="00F20A9C" w:rsidRPr="00807DAF" w:rsidRDefault="00267E4F" w:rsidP="00345D21">
      <w:pPr>
        <w:numPr>
          <w:ilvl w:val="0"/>
          <w:numId w:val="11"/>
        </w:numPr>
        <w:tabs>
          <w:tab w:val="left" w:pos="426"/>
        </w:tabs>
        <w:spacing w:before="240"/>
        <w:ind w:left="1418" w:hanging="1418"/>
        <w:jc w:val="left"/>
        <w:rPr>
          <w:b/>
          <w:sz w:val="24"/>
          <w:szCs w:val="24"/>
        </w:rPr>
      </w:pPr>
      <w:r w:rsidRPr="00807DAF">
        <w:rPr>
          <w:b/>
          <w:sz w:val="24"/>
          <w:szCs w:val="24"/>
        </w:rPr>
        <w:br w:type="page"/>
      </w:r>
      <w:r w:rsidR="00F20A9C" w:rsidRPr="00807DAF">
        <w:rPr>
          <w:b/>
          <w:sz w:val="24"/>
          <w:szCs w:val="24"/>
        </w:rPr>
        <w:lastRenderedPageBreak/>
        <w:t xml:space="preserve">STEP </w:t>
      </w:r>
      <w:r w:rsidR="00B66332" w:rsidRPr="00807DAF">
        <w:rPr>
          <w:b/>
          <w:sz w:val="24"/>
          <w:szCs w:val="24"/>
        </w:rPr>
        <w:t>3</w:t>
      </w:r>
      <w:r w:rsidR="00F20A9C" w:rsidRPr="00807DAF">
        <w:rPr>
          <w:b/>
          <w:sz w:val="24"/>
          <w:szCs w:val="24"/>
        </w:rPr>
        <w:t>:</w:t>
      </w:r>
      <w:r w:rsidR="007C4C56" w:rsidRPr="00807DAF">
        <w:rPr>
          <w:b/>
          <w:sz w:val="24"/>
          <w:szCs w:val="24"/>
        </w:rPr>
        <w:tab/>
      </w:r>
      <w:r w:rsidR="002D0B7B" w:rsidRPr="00807DAF">
        <w:rPr>
          <w:b/>
          <w:sz w:val="24"/>
          <w:szCs w:val="24"/>
        </w:rPr>
        <w:t>VERIFICATION OF ELIGIBILITY OF THE APPLICANT</w:t>
      </w:r>
      <w:r w:rsidR="00FA1338" w:rsidRPr="00807DAF">
        <w:rPr>
          <w:b/>
          <w:sz w:val="24"/>
          <w:szCs w:val="24"/>
        </w:rPr>
        <w:t>S</w:t>
      </w:r>
      <w:r w:rsidR="002D0B7B" w:rsidRPr="00807DAF">
        <w:rPr>
          <w:b/>
          <w:sz w:val="24"/>
          <w:szCs w:val="24"/>
        </w:rPr>
        <w:t xml:space="preserve"> AND</w:t>
      </w:r>
      <w:r w:rsidR="000D40CC" w:rsidRPr="00807DAF">
        <w:rPr>
          <w:b/>
          <w:sz w:val="24"/>
          <w:szCs w:val="24"/>
        </w:rPr>
        <w:t>AFFILIATED ENTITY(IES)</w:t>
      </w:r>
    </w:p>
    <w:p w14:paraId="1B636183" w14:textId="77777777" w:rsidR="00D9365C" w:rsidRPr="00807DAF" w:rsidRDefault="00D9365C" w:rsidP="00D9365C">
      <w:bookmarkStart w:id="26" w:name="_Toc40507654"/>
      <w:r w:rsidRPr="00807DAF">
        <w:t>The eligibility verification</w:t>
      </w:r>
      <w:r>
        <w:t xml:space="preserve"> will be performed on the basis of </w:t>
      </w:r>
      <w:r w:rsidRPr="00807DAF">
        <w:t xml:space="preserve">the supporting documents requested by the Contracting Authority (see </w:t>
      </w:r>
      <w:r>
        <w:t>s</w:t>
      </w:r>
      <w:r w:rsidRPr="00807DAF">
        <w:t>ection 2.4)</w:t>
      </w:r>
      <w:r>
        <w:t>. It</w:t>
      </w:r>
      <w:r w:rsidRPr="00807DAF">
        <w:t xml:space="preserve"> will </w:t>
      </w:r>
      <w:r w:rsidRPr="00807DAF">
        <w:rPr>
          <w:u w:val="single"/>
        </w:rPr>
        <w:t>only</w:t>
      </w:r>
      <w:r w:rsidRPr="00807DAF">
        <w:t xml:space="preserve"> be performed for the applications that have been provisionally selected according to their score and within the available </w:t>
      </w:r>
      <w:r>
        <w:t>budget for this call for proposals</w:t>
      </w:r>
      <w:r w:rsidRPr="00807DAF">
        <w:t xml:space="preserve">. </w:t>
      </w:r>
    </w:p>
    <w:p w14:paraId="4EA08E8B" w14:textId="77777777" w:rsidR="00D9365C" w:rsidRPr="00807DAF" w:rsidRDefault="00D9365C" w:rsidP="00345D21">
      <w:pPr>
        <w:numPr>
          <w:ilvl w:val="0"/>
          <w:numId w:val="15"/>
        </w:numPr>
      </w:pPr>
      <w:r w:rsidRPr="00807DAF">
        <w:t xml:space="preserve">The </w:t>
      </w:r>
      <w:r>
        <w:t>d</w:t>
      </w:r>
      <w:r w:rsidRPr="00807DAF">
        <w:t xml:space="preserve">eclaration by the </w:t>
      </w:r>
      <w:r>
        <w:t>lead a</w:t>
      </w:r>
      <w:r w:rsidRPr="00807DAF">
        <w:t>pplicant (</w:t>
      </w:r>
      <w:r>
        <w:t>s</w:t>
      </w:r>
      <w:r w:rsidRPr="00807DAF">
        <w:t xml:space="preserve">ection 8 of Part B </w:t>
      </w:r>
      <w:r>
        <w:t xml:space="preserve">of </w:t>
      </w:r>
      <w:r w:rsidRPr="00807DAF">
        <w:t xml:space="preserve">the grant application form) will be cross-checked with the supporting documents provided by the </w:t>
      </w:r>
      <w:r>
        <w:t>lead a</w:t>
      </w:r>
      <w:r w:rsidRPr="00807DAF">
        <w:t xml:space="preserve">pplicant. Any missing supporting document or any incoherence between the </w:t>
      </w:r>
      <w:r>
        <w:t>d</w:t>
      </w:r>
      <w:r w:rsidRPr="00807DAF">
        <w:t xml:space="preserve">eclaration by the </w:t>
      </w:r>
      <w:r>
        <w:t>lead a</w:t>
      </w:r>
      <w:r w:rsidRPr="00807DAF">
        <w:t xml:space="preserve">pplicant and the supporting documents may lead to the rejection of the application on that sole basis. </w:t>
      </w:r>
    </w:p>
    <w:p w14:paraId="00894DEE" w14:textId="77777777" w:rsidR="00D9365C" w:rsidRPr="00807DAF" w:rsidRDefault="00D9365C" w:rsidP="00345D21">
      <w:pPr>
        <w:numPr>
          <w:ilvl w:val="0"/>
          <w:numId w:val="15"/>
        </w:numPr>
      </w:pPr>
      <w:r w:rsidRPr="00807DAF">
        <w:t>The eligibility of applicants</w:t>
      </w:r>
      <w:r>
        <w:t xml:space="preserve"> and</w:t>
      </w:r>
      <w:r w:rsidRPr="00807DAF">
        <w:t xml:space="preserve"> the affiliated </w:t>
      </w:r>
      <w:proofErr w:type="gramStart"/>
      <w:r w:rsidRPr="00807DAF">
        <w:t>entity(</w:t>
      </w:r>
      <w:proofErr w:type="spellStart"/>
      <w:proofErr w:type="gramEnd"/>
      <w:r w:rsidRPr="00807DAF">
        <w:t>ies</w:t>
      </w:r>
      <w:proofErr w:type="spellEnd"/>
      <w:r w:rsidRPr="00807DAF">
        <w:t xml:space="preserve">) will be verified according to the criteria set out in </w:t>
      </w:r>
      <w:r>
        <w:t>s</w:t>
      </w:r>
      <w:r w:rsidRPr="00807DAF">
        <w:t>ections 2.1.1, 2.1.2 and 2.1.3.</w:t>
      </w:r>
    </w:p>
    <w:p w14:paraId="2E7F585D" w14:textId="77777777" w:rsidR="00D9365C" w:rsidRPr="00807DAF" w:rsidRDefault="00D9365C" w:rsidP="00D9365C">
      <w:r w:rsidRPr="00807DAF">
        <w:t xml:space="preserve">Any rejected application will be replaced by the next best placed application on the reserve list that falls within the available </w:t>
      </w:r>
      <w:r>
        <w:t>budget for this call for proposals</w:t>
      </w:r>
      <w:r w:rsidRPr="00807DAF">
        <w:t>.</w:t>
      </w:r>
    </w:p>
    <w:p w14:paraId="666DA467" w14:textId="6AC9D336" w:rsidR="0007408E" w:rsidRPr="00F02ACE" w:rsidRDefault="00B67806" w:rsidP="00F02ACE">
      <w:pPr>
        <w:pStyle w:val="Guidelines2"/>
      </w:pPr>
      <w:bookmarkStart w:id="27" w:name="_Toc502218274"/>
      <w:r w:rsidRPr="00F02ACE">
        <w:t xml:space="preserve">Submission of supporting documents for </w:t>
      </w:r>
      <w:r w:rsidR="00E44A12" w:rsidRPr="00F02ACE">
        <w:t>provisionally</w:t>
      </w:r>
      <w:r w:rsidR="00D61CFD">
        <w:rPr>
          <w:lang w:val="sr-Cyrl-RS"/>
        </w:rPr>
        <w:t xml:space="preserve"> </w:t>
      </w:r>
      <w:r w:rsidRPr="00F02ACE">
        <w:t xml:space="preserve">selected </w:t>
      </w:r>
      <w:r w:rsidR="000C00BF" w:rsidRPr="00F02ACE">
        <w:t>applications</w:t>
      </w:r>
      <w:bookmarkEnd w:id="26"/>
      <w:bookmarkEnd w:id="27"/>
    </w:p>
    <w:p w14:paraId="1748E6BD" w14:textId="35770FAE" w:rsidR="00511FEE" w:rsidRPr="00807DAF" w:rsidRDefault="009901E5" w:rsidP="006F280A">
      <w:r w:rsidRPr="00807DAF">
        <w:t>A</w:t>
      </w:r>
      <w:r w:rsidR="00504963">
        <w:t xml:space="preserve"> lead a</w:t>
      </w:r>
      <w:r w:rsidR="0007408E" w:rsidRPr="00807DAF">
        <w:t xml:space="preserve">pplicant </w:t>
      </w:r>
      <w:r w:rsidR="004B3788">
        <w:t xml:space="preserve">whose application has </w:t>
      </w:r>
      <w:r w:rsidR="00DE7018" w:rsidRPr="00807DAF">
        <w:t xml:space="preserve">been </w:t>
      </w:r>
      <w:r w:rsidR="001D5B79" w:rsidRPr="00807DAF">
        <w:t xml:space="preserve">provisionally </w:t>
      </w:r>
      <w:r w:rsidR="00DE7018" w:rsidRPr="00807DAF">
        <w:t xml:space="preserve">selected or </w:t>
      </w:r>
      <w:r w:rsidR="002379BB" w:rsidRPr="00807DAF">
        <w:t>placed on</w:t>
      </w:r>
      <w:r w:rsidR="00DE7018" w:rsidRPr="00807DAF">
        <w:t xml:space="preserve"> the reserve list </w:t>
      </w:r>
      <w:r w:rsidR="0007408E" w:rsidRPr="00807DAF">
        <w:t xml:space="preserve">will be informed in writing </w:t>
      </w:r>
      <w:r w:rsidR="00DE7018" w:rsidRPr="00807DAF">
        <w:t>by</w:t>
      </w:r>
      <w:r w:rsidR="0007408E" w:rsidRPr="00807DAF">
        <w:t xml:space="preserve"> the </w:t>
      </w:r>
      <w:r w:rsidR="00701E4D" w:rsidRPr="00807DAF">
        <w:t>C</w:t>
      </w:r>
      <w:r w:rsidR="0007408E" w:rsidRPr="00807DAF">
        <w:t xml:space="preserve">ontracting </w:t>
      </w:r>
      <w:r w:rsidR="00DE7018" w:rsidRPr="00807DAF">
        <w:t>Authority</w:t>
      </w:r>
      <w:r w:rsidR="009C1C8B" w:rsidRPr="00807DAF">
        <w:t xml:space="preserve">. </w:t>
      </w:r>
      <w:r w:rsidR="00725B7A" w:rsidRPr="00807DAF">
        <w:t xml:space="preserve">It </w:t>
      </w:r>
      <w:r w:rsidR="00DE7018" w:rsidRPr="00807DAF">
        <w:t xml:space="preserve">will be requested to supply the following documents in order to allow the Contracting Authority to verify the eligibility of the </w:t>
      </w:r>
      <w:r w:rsidR="00504963">
        <w:t>lead a</w:t>
      </w:r>
      <w:r w:rsidR="00DE7018" w:rsidRPr="00807DAF">
        <w:t>pplicant</w:t>
      </w:r>
      <w:r w:rsidR="005700D5" w:rsidRPr="00807DAF">
        <w:t xml:space="preserve">, (if any) of the co-applicant(s) </w:t>
      </w:r>
      <w:r w:rsidR="00485E39" w:rsidRPr="00807DAF">
        <w:t>and</w:t>
      </w:r>
      <w:r w:rsidR="005700D5" w:rsidRPr="00807DAF">
        <w:t xml:space="preserve"> (if any</w:t>
      </w:r>
      <w:proofErr w:type="gramStart"/>
      <w:r w:rsidR="005700D5" w:rsidRPr="00807DAF">
        <w:t>)of</w:t>
      </w:r>
      <w:proofErr w:type="gramEnd"/>
      <w:r w:rsidR="00D61CFD">
        <w:rPr>
          <w:lang w:val="sr-Cyrl-RS"/>
        </w:rPr>
        <w:t xml:space="preserve"> </w:t>
      </w:r>
      <w:r w:rsidR="00485E39" w:rsidRPr="00807DAF">
        <w:t xml:space="preserve">their </w:t>
      </w:r>
      <w:r w:rsidR="000D40CC" w:rsidRPr="00807DAF">
        <w:t>affiliated entity(</w:t>
      </w:r>
      <w:proofErr w:type="spellStart"/>
      <w:r w:rsidR="000D40CC" w:rsidRPr="00807DAF">
        <w:t>ies</w:t>
      </w:r>
      <w:proofErr w:type="spellEnd"/>
      <w:r w:rsidR="000D40CC" w:rsidRPr="00807DAF">
        <w:t>)</w:t>
      </w:r>
      <w:r w:rsidR="006F280A" w:rsidRPr="00807DAF">
        <w:rPr>
          <w:rStyle w:val="FootnoteReference"/>
        </w:rPr>
        <w:footnoteReference w:id="17"/>
      </w:r>
      <w:r w:rsidR="00511FEE" w:rsidRPr="00807DAF">
        <w:t>:</w:t>
      </w:r>
    </w:p>
    <w:p w14:paraId="62C89E40" w14:textId="4E7EE075" w:rsidR="003D1E09" w:rsidRPr="00807DAF" w:rsidRDefault="00511FEE" w:rsidP="00345D21">
      <w:pPr>
        <w:numPr>
          <w:ilvl w:val="6"/>
          <w:numId w:val="16"/>
        </w:numPr>
        <w:tabs>
          <w:tab w:val="left" w:pos="567"/>
          <w:tab w:val="left" w:pos="2126"/>
          <w:tab w:val="left" w:pos="2835"/>
        </w:tabs>
        <w:spacing w:before="120"/>
        <w:ind w:left="567"/>
      </w:pPr>
      <w:r w:rsidRPr="00807DAF">
        <w:t xml:space="preserve">The statutes or articles of association of the </w:t>
      </w:r>
      <w:r w:rsidR="00504963">
        <w:t>lead a</w:t>
      </w:r>
      <w:r w:rsidRPr="00807DAF">
        <w:t>pplicant</w:t>
      </w:r>
      <w:r w:rsidR="005700D5" w:rsidRPr="00807DAF">
        <w:t xml:space="preserve">, (if any) of </w:t>
      </w:r>
      <w:r w:rsidR="00327BB2" w:rsidRPr="00807DAF">
        <w:t>each</w:t>
      </w:r>
      <w:r w:rsidR="005700D5" w:rsidRPr="00807DAF">
        <w:t xml:space="preserve"> co-applicant and (if any) of </w:t>
      </w:r>
      <w:r w:rsidR="00327BB2" w:rsidRPr="00807DAF">
        <w:t>each</w:t>
      </w:r>
      <w:r w:rsidR="005700D5" w:rsidRPr="00807DAF">
        <w:t xml:space="preserve"> affiliated entity</w:t>
      </w:r>
      <w:r w:rsidR="005700D5" w:rsidRPr="00807DAF">
        <w:rPr>
          <w:rStyle w:val="FootnoteReference"/>
        </w:rPr>
        <w:footnoteReference w:id="18"/>
      </w:r>
      <w:r w:rsidR="001E10DA" w:rsidRPr="00807DAF">
        <w:t xml:space="preserve">. </w:t>
      </w:r>
      <w:r w:rsidRPr="00807DAF">
        <w:t>Where the Contracting Authority has recogni</w:t>
      </w:r>
      <w:r w:rsidR="00A016F9" w:rsidRPr="00807DAF">
        <w:t>s</w:t>
      </w:r>
      <w:r w:rsidRPr="00807DAF">
        <w:t xml:space="preserve">ed the </w:t>
      </w:r>
      <w:r w:rsidR="00504963">
        <w:t>lead a</w:t>
      </w:r>
      <w:r w:rsidRPr="00807DAF">
        <w:t>pplicant’</w:t>
      </w:r>
      <w:r w:rsidR="005700D5" w:rsidRPr="00807DAF">
        <w:t>s,</w:t>
      </w:r>
      <w:r w:rsidR="00D61CFD">
        <w:rPr>
          <w:lang w:val="sr-Cyrl-RS"/>
        </w:rPr>
        <w:t xml:space="preserve"> </w:t>
      </w:r>
      <w:r w:rsidR="005700D5" w:rsidRPr="00807DAF">
        <w:t xml:space="preserve">or the co-applicant(s)’s, or </w:t>
      </w:r>
      <w:r w:rsidR="00327BB2" w:rsidRPr="00807DAF">
        <w:t>their</w:t>
      </w:r>
      <w:r w:rsidR="005700D5" w:rsidRPr="00807DAF">
        <w:t xml:space="preserve"> affiliated entity(</w:t>
      </w:r>
      <w:proofErr w:type="spellStart"/>
      <w:r w:rsidR="005700D5" w:rsidRPr="00807DAF">
        <w:t>ies</w:t>
      </w:r>
      <w:proofErr w:type="spellEnd"/>
      <w:r w:rsidR="005700D5" w:rsidRPr="00807DAF">
        <w:t xml:space="preserve">)’s </w:t>
      </w:r>
      <w:r w:rsidRPr="00807DAF">
        <w:t xml:space="preserve">eligibility for another call for proposals under the same budget line within 2 years before the deadline for receipt of applications, </w:t>
      </w:r>
      <w:r w:rsidR="00327BB2" w:rsidRPr="00807DAF">
        <w:t>it should</w:t>
      </w:r>
      <w:r w:rsidR="00D61CFD">
        <w:rPr>
          <w:lang w:val="sr-Cyrl-RS"/>
        </w:rPr>
        <w:t xml:space="preserve"> </w:t>
      </w:r>
      <w:r w:rsidR="00327BB2" w:rsidRPr="00807DAF">
        <w:t xml:space="preserve">be </w:t>
      </w:r>
      <w:r w:rsidRPr="00807DAF">
        <w:t>submit</w:t>
      </w:r>
      <w:r w:rsidR="00327BB2" w:rsidRPr="00807DAF">
        <w:t>ted</w:t>
      </w:r>
      <w:r w:rsidRPr="00807DAF">
        <w:t xml:space="preserve">, instead of </w:t>
      </w:r>
      <w:r w:rsidR="005700D5" w:rsidRPr="00807DAF">
        <w:t xml:space="preserve">the  </w:t>
      </w:r>
      <w:r w:rsidRPr="00807DAF">
        <w:t>statutes</w:t>
      </w:r>
      <w:r w:rsidR="005700D5" w:rsidRPr="00807DAF">
        <w:t xml:space="preserve"> or articles of association</w:t>
      </w:r>
      <w:r w:rsidRPr="00807DAF">
        <w:t xml:space="preserve">, </w:t>
      </w:r>
      <w:r w:rsidR="002379BB" w:rsidRPr="00807DAF">
        <w:t xml:space="preserve">a </w:t>
      </w:r>
      <w:r w:rsidRPr="00807DAF">
        <w:t xml:space="preserve">copy of the document proving </w:t>
      </w:r>
      <w:r w:rsidR="00327BB2" w:rsidRPr="00807DAF">
        <w:t xml:space="preserve">their </w:t>
      </w:r>
      <w:r w:rsidRPr="00807DAF">
        <w:t xml:space="preserve">eligibility in a former </w:t>
      </w:r>
      <w:r w:rsidR="00F65B55">
        <w:t>c</w:t>
      </w:r>
      <w:r w:rsidRPr="00807DAF">
        <w:t>all (</w:t>
      </w:r>
      <w:r w:rsidR="00A121F5" w:rsidRPr="00807DAF">
        <w:t>e.g.</w:t>
      </w:r>
      <w:r w:rsidR="002379BB" w:rsidRPr="00807DAF">
        <w:t xml:space="preserve"> a</w:t>
      </w:r>
      <w:r w:rsidRPr="00807DAF">
        <w:t xml:space="preserve"> copy of the </w:t>
      </w:r>
      <w:r w:rsidR="00F65B55">
        <w:t>S</w:t>
      </w:r>
      <w:r w:rsidRPr="00807DAF">
        <w:t xml:space="preserve">pecial </w:t>
      </w:r>
      <w:r w:rsidR="00F65B55">
        <w:t>C</w:t>
      </w:r>
      <w:r w:rsidRPr="00807DAF">
        <w:t xml:space="preserve">onditions of </w:t>
      </w:r>
      <w:r w:rsidR="00485E39" w:rsidRPr="00807DAF">
        <w:t xml:space="preserve">a </w:t>
      </w:r>
      <w:r w:rsidRPr="00807DAF">
        <w:t>grant contract</w:t>
      </w:r>
      <w:r w:rsidR="00485E39" w:rsidRPr="00807DAF">
        <w:t xml:space="preserve"> received during the reference period</w:t>
      </w:r>
      <w:r w:rsidRPr="00807DAF">
        <w:t>), unless a change in legal status has occurred in the meantime</w:t>
      </w:r>
      <w:r w:rsidRPr="00807DAF">
        <w:rPr>
          <w:rStyle w:val="FootnoteReference"/>
        </w:rPr>
        <w:footnoteReference w:id="19"/>
      </w:r>
      <w:r w:rsidR="00292E73" w:rsidRPr="00807DAF">
        <w:t xml:space="preserve">. </w:t>
      </w:r>
      <w:r w:rsidRPr="00807DAF">
        <w:t xml:space="preserve"> This obligation does not apply to international organisations which have signed a framework agreement with the European Commission. </w:t>
      </w:r>
    </w:p>
    <w:p w14:paraId="456BE2ED" w14:textId="77777777" w:rsidR="0069357C" w:rsidRPr="00807DAF" w:rsidRDefault="008B3646" w:rsidP="00345D21">
      <w:pPr>
        <w:numPr>
          <w:ilvl w:val="6"/>
          <w:numId w:val="16"/>
        </w:numPr>
        <w:tabs>
          <w:tab w:val="left" w:pos="567"/>
          <w:tab w:val="left" w:pos="2126"/>
          <w:tab w:val="left" w:pos="2835"/>
        </w:tabs>
        <w:spacing w:before="120"/>
        <w:ind w:left="567"/>
      </w:pPr>
      <w:r w:rsidRPr="00807DAF">
        <w:t>A c</w:t>
      </w:r>
      <w:r w:rsidR="0069357C" w:rsidRPr="00807DAF">
        <w:t xml:space="preserve">opy of </w:t>
      </w:r>
      <w:r w:rsidR="00485E39" w:rsidRPr="00807DAF">
        <w:t xml:space="preserve">the </w:t>
      </w:r>
      <w:r w:rsidR="00504963">
        <w:t>lead a</w:t>
      </w:r>
      <w:r w:rsidR="00485E39" w:rsidRPr="00807DAF">
        <w:t xml:space="preserve">pplicant’s </w:t>
      </w:r>
      <w:r w:rsidR="0069357C" w:rsidRPr="00807DAF">
        <w:t xml:space="preserve">latest accounts (the profit and loss account and the balance sheet for the </w:t>
      </w:r>
      <w:r w:rsidRPr="00807DAF">
        <w:t xml:space="preserve">last </w:t>
      </w:r>
      <w:r w:rsidR="0069357C" w:rsidRPr="00807DAF">
        <w:t>financial year for which the accounts have been closed)</w:t>
      </w:r>
      <w:r w:rsidR="0069357C" w:rsidRPr="00807DAF">
        <w:rPr>
          <w:rStyle w:val="FootnoteReference"/>
        </w:rPr>
        <w:footnoteReference w:id="20"/>
      </w:r>
      <w:r w:rsidR="00984331" w:rsidRPr="00807DAF">
        <w:t>.</w:t>
      </w:r>
      <w:r w:rsidR="005700D5" w:rsidRPr="00807DAF">
        <w:t xml:space="preserve"> A copy of the latest account is </w:t>
      </w:r>
      <w:r w:rsidR="00524552" w:rsidRPr="00807DAF">
        <w:t xml:space="preserve">neither </w:t>
      </w:r>
      <w:r w:rsidR="005700D5" w:rsidRPr="00807DAF">
        <w:t>required from (if any) the co-applicant(s)</w:t>
      </w:r>
      <w:r w:rsidR="00524552" w:rsidRPr="00807DAF">
        <w:t xml:space="preserve"> nor from (if any) affiliated </w:t>
      </w:r>
      <w:proofErr w:type="gramStart"/>
      <w:r w:rsidR="00524552" w:rsidRPr="00807DAF">
        <w:t>entity(</w:t>
      </w:r>
      <w:proofErr w:type="spellStart"/>
      <w:proofErr w:type="gramEnd"/>
      <w:r w:rsidR="00524552" w:rsidRPr="00807DAF">
        <w:t>ies</w:t>
      </w:r>
      <w:proofErr w:type="spellEnd"/>
      <w:r w:rsidR="00524552" w:rsidRPr="00807DAF">
        <w:t>)</w:t>
      </w:r>
      <w:r w:rsidR="005700D5" w:rsidRPr="00807DAF">
        <w:t>).</w:t>
      </w:r>
    </w:p>
    <w:p w14:paraId="56ED8A98" w14:textId="02159E5F" w:rsidR="00511FEE" w:rsidRPr="00DF5C66" w:rsidRDefault="00511FEE" w:rsidP="00345D21">
      <w:pPr>
        <w:numPr>
          <w:ilvl w:val="6"/>
          <w:numId w:val="16"/>
        </w:numPr>
        <w:tabs>
          <w:tab w:val="left" w:pos="567"/>
          <w:tab w:val="left" w:pos="2126"/>
          <w:tab w:val="left" w:pos="2835"/>
        </w:tabs>
        <w:spacing w:before="120"/>
        <w:ind w:left="567"/>
        <w:rPr>
          <w:szCs w:val="22"/>
        </w:rPr>
      </w:pPr>
      <w:r w:rsidRPr="00DF5C66">
        <w:rPr>
          <w:szCs w:val="22"/>
        </w:rPr>
        <w:t xml:space="preserve">Legal entity sheet (see </w:t>
      </w:r>
      <w:r w:rsidR="00A24F0A" w:rsidRPr="00DF5C66">
        <w:rPr>
          <w:szCs w:val="22"/>
        </w:rPr>
        <w:t>A</w:t>
      </w:r>
      <w:r w:rsidRPr="00DF5C66">
        <w:rPr>
          <w:szCs w:val="22"/>
        </w:rPr>
        <w:t>nnex D</w:t>
      </w:r>
      <w:r w:rsidR="006459C5" w:rsidRPr="00DF5C66">
        <w:rPr>
          <w:szCs w:val="22"/>
        </w:rPr>
        <w:t xml:space="preserve"> of these </w:t>
      </w:r>
      <w:r w:rsidR="00F65B55" w:rsidRPr="00DF5C66">
        <w:rPr>
          <w:szCs w:val="22"/>
        </w:rPr>
        <w:t>g</w:t>
      </w:r>
      <w:r w:rsidR="006459C5" w:rsidRPr="00DF5C66">
        <w:rPr>
          <w:szCs w:val="22"/>
        </w:rPr>
        <w:t>uidelines</w:t>
      </w:r>
      <w:r w:rsidRPr="00DF5C66">
        <w:rPr>
          <w:szCs w:val="22"/>
        </w:rPr>
        <w:t>)</w:t>
      </w:r>
      <w:r w:rsidR="00130AF8">
        <w:rPr>
          <w:szCs w:val="22"/>
        </w:rPr>
        <w:t xml:space="preserve"> </w:t>
      </w:r>
      <w:r w:rsidRPr="00DF5C66">
        <w:rPr>
          <w:szCs w:val="22"/>
        </w:rPr>
        <w:t xml:space="preserve">duly completed and signed by </w:t>
      </w:r>
      <w:r w:rsidR="00F1605F" w:rsidRPr="00DF5C66">
        <w:rPr>
          <w:szCs w:val="22"/>
        </w:rPr>
        <w:t xml:space="preserve">each of the </w:t>
      </w:r>
      <w:r w:rsidRPr="00DF5C66">
        <w:rPr>
          <w:szCs w:val="22"/>
        </w:rPr>
        <w:t>applicant</w:t>
      </w:r>
      <w:r w:rsidR="000C1624" w:rsidRPr="00DF5C66">
        <w:rPr>
          <w:szCs w:val="22"/>
        </w:rPr>
        <w:t>s</w:t>
      </w:r>
      <w:r w:rsidR="00327BB2" w:rsidRPr="00DF5C66">
        <w:rPr>
          <w:szCs w:val="22"/>
        </w:rPr>
        <w:t xml:space="preserve"> (i</w:t>
      </w:r>
      <w:r w:rsidR="00A24F0A" w:rsidRPr="00DF5C66">
        <w:rPr>
          <w:szCs w:val="22"/>
        </w:rPr>
        <w:t>.</w:t>
      </w:r>
      <w:r w:rsidR="00327BB2" w:rsidRPr="00DF5C66">
        <w:rPr>
          <w:szCs w:val="22"/>
        </w:rPr>
        <w:t>e</w:t>
      </w:r>
      <w:r w:rsidR="00A24F0A" w:rsidRPr="00DF5C66">
        <w:rPr>
          <w:szCs w:val="22"/>
        </w:rPr>
        <w:t>.</w:t>
      </w:r>
      <w:r w:rsidR="00327BB2" w:rsidRPr="00DF5C66">
        <w:rPr>
          <w:szCs w:val="22"/>
        </w:rPr>
        <w:t xml:space="preserve"> by the </w:t>
      </w:r>
      <w:r w:rsidR="00504963" w:rsidRPr="00DF5C66">
        <w:rPr>
          <w:szCs w:val="22"/>
        </w:rPr>
        <w:t>lead a</w:t>
      </w:r>
      <w:r w:rsidR="00327BB2" w:rsidRPr="00DF5C66">
        <w:rPr>
          <w:szCs w:val="22"/>
        </w:rPr>
        <w:t>pplicant and (if any) by each co-applicant)</w:t>
      </w:r>
      <w:r w:rsidRPr="00DF5C66">
        <w:rPr>
          <w:szCs w:val="22"/>
        </w:rPr>
        <w:t>, accompanied by the justifying documents requested there. If the applicant</w:t>
      </w:r>
      <w:r w:rsidR="000C1624" w:rsidRPr="00DF5C66">
        <w:rPr>
          <w:szCs w:val="22"/>
        </w:rPr>
        <w:t>s</w:t>
      </w:r>
      <w:r w:rsidR="00D61CFD">
        <w:rPr>
          <w:szCs w:val="22"/>
          <w:lang w:val="sr-Cyrl-RS"/>
        </w:rPr>
        <w:t xml:space="preserve"> </w:t>
      </w:r>
      <w:r w:rsidR="000C1624" w:rsidRPr="00DF5C66">
        <w:rPr>
          <w:szCs w:val="22"/>
        </w:rPr>
        <w:t xml:space="preserve">have </w:t>
      </w:r>
      <w:r w:rsidRPr="00DF5C66">
        <w:rPr>
          <w:szCs w:val="22"/>
        </w:rPr>
        <w:t xml:space="preserve">already signed a contract with the </w:t>
      </w:r>
      <w:r w:rsidR="00B75EB7" w:rsidRPr="00DF5C66">
        <w:rPr>
          <w:szCs w:val="22"/>
        </w:rPr>
        <w:t>Contracting Authority</w:t>
      </w:r>
      <w:r w:rsidRPr="00DF5C66">
        <w:rPr>
          <w:szCs w:val="22"/>
        </w:rPr>
        <w:t>, instead of the legal entity sheet and supporting documents</w:t>
      </w:r>
      <w:r w:rsidR="008B3646" w:rsidRPr="00DF5C66">
        <w:rPr>
          <w:szCs w:val="22"/>
        </w:rPr>
        <w:t>,</w:t>
      </w:r>
      <w:r w:rsidR="00D61CFD">
        <w:rPr>
          <w:szCs w:val="22"/>
          <w:lang w:val="sr-Cyrl-RS"/>
        </w:rPr>
        <w:t xml:space="preserve"> </w:t>
      </w:r>
      <w:r w:rsidR="00F95172" w:rsidRPr="00DF5C66">
        <w:rPr>
          <w:szCs w:val="22"/>
        </w:rPr>
        <w:t>the</w:t>
      </w:r>
      <w:r w:rsidRPr="00DF5C66">
        <w:rPr>
          <w:szCs w:val="22"/>
        </w:rPr>
        <w:t xml:space="preserve"> legal entity number </w:t>
      </w:r>
      <w:r w:rsidR="00F95172" w:rsidRPr="00DF5C66">
        <w:rPr>
          <w:szCs w:val="22"/>
        </w:rPr>
        <w:t>may be provided</w:t>
      </w:r>
      <w:r w:rsidRPr="00DF5C66">
        <w:rPr>
          <w:szCs w:val="22"/>
        </w:rPr>
        <w:t>, unless a change in legal status occurred in the meantime.</w:t>
      </w:r>
    </w:p>
    <w:p w14:paraId="71EAC3A8" w14:textId="77777777" w:rsidR="00984331" w:rsidRDefault="00984331" w:rsidP="00345D21">
      <w:pPr>
        <w:numPr>
          <w:ilvl w:val="6"/>
          <w:numId w:val="16"/>
        </w:numPr>
        <w:tabs>
          <w:tab w:val="left" w:pos="567"/>
          <w:tab w:val="left" w:pos="2126"/>
          <w:tab w:val="left" w:pos="2835"/>
        </w:tabs>
        <w:spacing w:before="120"/>
        <w:ind w:left="567"/>
        <w:rPr>
          <w:szCs w:val="22"/>
        </w:rPr>
      </w:pPr>
      <w:r w:rsidRPr="00DF5C66">
        <w:rPr>
          <w:szCs w:val="22"/>
        </w:rPr>
        <w:lastRenderedPageBreak/>
        <w:t xml:space="preserve">A financial identification form of the </w:t>
      </w:r>
      <w:r w:rsidR="00504963" w:rsidRPr="00DF5C66">
        <w:rPr>
          <w:szCs w:val="22"/>
        </w:rPr>
        <w:t>lead a</w:t>
      </w:r>
      <w:r w:rsidRPr="00DF5C66">
        <w:rPr>
          <w:szCs w:val="22"/>
        </w:rPr>
        <w:t xml:space="preserve">pplicant </w:t>
      </w:r>
      <w:r w:rsidR="00327BB2" w:rsidRPr="00DF5C66">
        <w:rPr>
          <w:szCs w:val="22"/>
        </w:rPr>
        <w:t xml:space="preserve">(not from co-applicant(s)) </w:t>
      </w:r>
      <w:r w:rsidRPr="00DF5C66">
        <w:rPr>
          <w:szCs w:val="22"/>
        </w:rPr>
        <w:t>conforming to the model attached a</w:t>
      </w:r>
      <w:r w:rsidR="00A24F0A" w:rsidRPr="00DF5C66">
        <w:rPr>
          <w:szCs w:val="22"/>
        </w:rPr>
        <w:t>s</w:t>
      </w:r>
      <w:r w:rsidRPr="00DF5C66">
        <w:rPr>
          <w:szCs w:val="22"/>
        </w:rPr>
        <w:t xml:space="preserve"> Annex E of these </w:t>
      </w:r>
      <w:r w:rsidR="00F65B55" w:rsidRPr="00DF5C66">
        <w:rPr>
          <w:szCs w:val="22"/>
        </w:rPr>
        <w:t>g</w:t>
      </w:r>
      <w:r w:rsidRPr="00DF5C66">
        <w:rPr>
          <w:szCs w:val="22"/>
        </w:rPr>
        <w:t xml:space="preserve">uidelines, certified by the bank to which the payments will be made. This bank should be located in the country where the </w:t>
      </w:r>
      <w:r w:rsidR="00504963" w:rsidRPr="00DF5C66">
        <w:rPr>
          <w:szCs w:val="22"/>
        </w:rPr>
        <w:t>lead a</w:t>
      </w:r>
      <w:r w:rsidRPr="00DF5C66">
        <w:rPr>
          <w:szCs w:val="22"/>
        </w:rPr>
        <w:t xml:space="preserve">pplicant is established. If the </w:t>
      </w:r>
      <w:r w:rsidR="002004B0" w:rsidRPr="00DF5C66">
        <w:rPr>
          <w:szCs w:val="22"/>
        </w:rPr>
        <w:t>lead a</w:t>
      </w:r>
      <w:r w:rsidRPr="00DF5C66">
        <w:rPr>
          <w:szCs w:val="22"/>
        </w:rPr>
        <w:t>pplicant has already submitted a financial identification form in the past for a contract where the European Commission was in charge of the payments and intends to use the same bank account, a copy of the previous financial identificatio</w:t>
      </w:r>
      <w:r w:rsidR="00DF5C66">
        <w:rPr>
          <w:szCs w:val="22"/>
        </w:rPr>
        <w:t>n form may be provided instead.</w:t>
      </w:r>
    </w:p>
    <w:p w14:paraId="5660E716" w14:textId="70676584" w:rsidR="00DF5C66" w:rsidRPr="00F14E4A" w:rsidRDefault="00DF5C66" w:rsidP="00345D21">
      <w:pPr>
        <w:numPr>
          <w:ilvl w:val="6"/>
          <w:numId w:val="16"/>
        </w:numPr>
        <w:tabs>
          <w:tab w:val="left" w:pos="567"/>
          <w:tab w:val="left" w:pos="2126"/>
          <w:tab w:val="left" w:pos="2835"/>
        </w:tabs>
        <w:spacing w:before="120"/>
        <w:ind w:left="567"/>
        <w:rPr>
          <w:sz w:val="24"/>
        </w:rPr>
      </w:pPr>
      <w:r w:rsidRPr="00F14E4A">
        <w:rPr>
          <w:szCs w:val="22"/>
        </w:rPr>
        <w:t>Evidence on the fulfilment of obligation related to social security contributions and payment of taxes</w:t>
      </w:r>
      <w:r w:rsidR="00D8170B">
        <w:rPr>
          <w:szCs w:val="22"/>
        </w:rPr>
        <w:t>, obtained</w:t>
      </w:r>
      <w:r w:rsidRPr="00F14E4A">
        <w:rPr>
          <w:szCs w:val="22"/>
        </w:rPr>
        <w:t xml:space="preserve"> from the relevant tax authorities for the </w:t>
      </w:r>
      <w:r>
        <w:rPr>
          <w:szCs w:val="22"/>
        </w:rPr>
        <w:t>lead a</w:t>
      </w:r>
      <w:r w:rsidRPr="00F14E4A">
        <w:rPr>
          <w:szCs w:val="22"/>
        </w:rPr>
        <w:t xml:space="preserve">pplicant and each co-applicant(s). If the </w:t>
      </w:r>
      <w:r>
        <w:rPr>
          <w:szCs w:val="22"/>
        </w:rPr>
        <w:t>lead a</w:t>
      </w:r>
      <w:r w:rsidRPr="00F14E4A">
        <w:rPr>
          <w:szCs w:val="22"/>
        </w:rPr>
        <w:t>pplicant and the co-applicant(s) are tax exempted, documentary proof regarding the status should be provided</w:t>
      </w:r>
      <w:r w:rsidRPr="00F14E4A">
        <w:rPr>
          <w:sz w:val="24"/>
        </w:rPr>
        <w:t>.</w:t>
      </w:r>
    </w:p>
    <w:p w14:paraId="5E8E15ED" w14:textId="15D9825C" w:rsidR="00DF5C66" w:rsidRPr="00F14E4A" w:rsidRDefault="00DF5C66" w:rsidP="00345D21">
      <w:pPr>
        <w:numPr>
          <w:ilvl w:val="6"/>
          <w:numId w:val="16"/>
        </w:numPr>
        <w:tabs>
          <w:tab w:val="left" w:pos="567"/>
          <w:tab w:val="left" w:pos="2126"/>
          <w:tab w:val="left" w:pos="2835"/>
        </w:tabs>
        <w:spacing w:before="120"/>
        <w:ind w:left="567"/>
        <w:rPr>
          <w:szCs w:val="22"/>
        </w:rPr>
      </w:pPr>
      <w:r w:rsidRPr="00F14E4A">
        <w:rPr>
          <w:szCs w:val="22"/>
        </w:rPr>
        <w:t xml:space="preserve">A copy of </w:t>
      </w:r>
      <w:r>
        <w:rPr>
          <w:szCs w:val="22"/>
        </w:rPr>
        <w:t>lead a</w:t>
      </w:r>
      <w:r w:rsidRPr="00F14E4A">
        <w:rPr>
          <w:szCs w:val="22"/>
        </w:rPr>
        <w:t xml:space="preserve">pplicant’s and each co-applicant(s)’s tax registration or a document indicating the tax number from the relevant tax authority. If the </w:t>
      </w:r>
      <w:r>
        <w:rPr>
          <w:szCs w:val="22"/>
        </w:rPr>
        <w:t>lead a</w:t>
      </w:r>
      <w:r w:rsidRPr="00F14E4A">
        <w:rPr>
          <w:szCs w:val="22"/>
        </w:rPr>
        <w:t>pplicant and the c</w:t>
      </w:r>
      <w:r w:rsidR="00FE5D0F">
        <w:rPr>
          <w:szCs w:val="22"/>
        </w:rPr>
        <w:t xml:space="preserve">o-applicant(s) are tax exempted, </w:t>
      </w:r>
      <w:r w:rsidRPr="00F14E4A">
        <w:rPr>
          <w:szCs w:val="22"/>
        </w:rPr>
        <w:t>they should prove this with the relevant document.</w:t>
      </w:r>
    </w:p>
    <w:p w14:paraId="0BEC0443" w14:textId="63759636" w:rsidR="00C4175C" w:rsidRPr="00807DAF" w:rsidRDefault="00DD6055" w:rsidP="00984331">
      <w:r>
        <w:t>D</w:t>
      </w:r>
      <w:r w:rsidR="00C4175C" w:rsidRPr="00807DAF">
        <w:t>ocuments</w:t>
      </w:r>
      <w:r w:rsidR="00D61CFD">
        <w:rPr>
          <w:lang w:val="sr-Cyrl-RS"/>
        </w:rPr>
        <w:t xml:space="preserve"> </w:t>
      </w:r>
      <w:r w:rsidR="00C4175C" w:rsidRPr="00807DAF">
        <w:t>must be supplied in the form of originals</w:t>
      </w:r>
      <w:r w:rsidR="00460A7B" w:rsidRPr="00807DAF">
        <w:t>,</w:t>
      </w:r>
      <w:r w:rsidR="00D61CFD">
        <w:rPr>
          <w:lang w:val="sr-Cyrl-RS"/>
        </w:rPr>
        <w:t xml:space="preserve"> </w:t>
      </w:r>
      <w:r w:rsidR="00E249FE" w:rsidRPr="00807DAF">
        <w:t>photo</w:t>
      </w:r>
      <w:r w:rsidR="00C4175C" w:rsidRPr="00807DAF">
        <w:t>copies</w:t>
      </w:r>
      <w:r w:rsidR="00460A7B" w:rsidRPr="00807DAF">
        <w:t xml:space="preserve"> or scanned versions (i.e. showing legible stamps, signatures and dates) </w:t>
      </w:r>
      <w:r w:rsidR="00E249FE" w:rsidRPr="00807DAF">
        <w:t>of the said originals</w:t>
      </w:r>
      <w:r w:rsidR="00C4175C" w:rsidRPr="00807DAF">
        <w:t>.</w:t>
      </w:r>
    </w:p>
    <w:p w14:paraId="786C25AD" w14:textId="749137C6" w:rsidR="009348D1" w:rsidRPr="00807DAF" w:rsidRDefault="009348D1" w:rsidP="00984331">
      <w:r w:rsidRPr="00807DAF">
        <w:t xml:space="preserve">Where such documents are not in one of the official languages of the European Union </w:t>
      </w:r>
      <w:r w:rsidRPr="00DF5C66">
        <w:t>or</w:t>
      </w:r>
      <w:r w:rsidR="00130AF8">
        <w:t xml:space="preserve"> </w:t>
      </w:r>
      <w:r w:rsidRPr="00DF5C66">
        <w:t>in the language of the country where the action is implemented</w:t>
      </w:r>
      <w:r w:rsidR="00B75EB7" w:rsidRPr="00807DAF">
        <w:t>,</w:t>
      </w:r>
      <w:r w:rsidRPr="00807DAF">
        <w:t xml:space="preserve"> a translation into </w:t>
      </w:r>
      <w:r w:rsidR="00A4107F">
        <w:t>English</w:t>
      </w:r>
      <w:r w:rsidRPr="00807DAF">
        <w:t xml:space="preserve"> of the relevant parts of these documents proving the </w:t>
      </w:r>
      <w:r w:rsidR="00504963">
        <w:t>lead a</w:t>
      </w:r>
      <w:r w:rsidRPr="00807DAF">
        <w:t>pplicant</w:t>
      </w:r>
      <w:r w:rsidR="00E94856" w:rsidRPr="00807DAF">
        <w:t>'s</w:t>
      </w:r>
      <w:r w:rsidR="00D61CFD">
        <w:rPr>
          <w:lang w:val="sr-Cyrl-RS"/>
        </w:rPr>
        <w:t xml:space="preserve"> </w:t>
      </w:r>
      <w:r w:rsidR="00520968">
        <w:t xml:space="preserve">and, where applicable, </w:t>
      </w:r>
      <w:r w:rsidR="00F65B55">
        <w:t>c</w:t>
      </w:r>
      <w:r w:rsidR="0025435C">
        <w:t>o-applicant</w:t>
      </w:r>
      <w:r w:rsidR="00520968">
        <w:t xml:space="preserve">s' and </w:t>
      </w:r>
      <w:r w:rsidR="00F65B55">
        <w:t>a</w:t>
      </w:r>
      <w:r w:rsidR="00520968">
        <w:t xml:space="preserve">ffiliated </w:t>
      </w:r>
      <w:proofErr w:type="gramStart"/>
      <w:r w:rsidR="00F65B55">
        <w:t>e</w:t>
      </w:r>
      <w:r w:rsidR="00520968">
        <w:t>ntity(</w:t>
      </w:r>
      <w:proofErr w:type="spellStart"/>
      <w:proofErr w:type="gramEnd"/>
      <w:r w:rsidR="00520968">
        <w:t>ies</w:t>
      </w:r>
      <w:proofErr w:type="spellEnd"/>
      <w:r w:rsidR="00520968">
        <w:t xml:space="preserve">)' </w:t>
      </w:r>
      <w:r w:rsidRPr="00807DAF">
        <w:t>eligibility, must be attached</w:t>
      </w:r>
      <w:r w:rsidR="00D61CFD">
        <w:rPr>
          <w:lang w:val="sr-Cyrl-RS"/>
        </w:rPr>
        <w:t xml:space="preserve"> </w:t>
      </w:r>
      <w:r w:rsidRPr="00807DAF">
        <w:t>for the purpose of analy</w:t>
      </w:r>
      <w:r w:rsidR="00B75EB7" w:rsidRPr="00807DAF">
        <w:t>s</w:t>
      </w:r>
      <w:r w:rsidRPr="00807DAF">
        <w:t xml:space="preserve">ing the </w:t>
      </w:r>
      <w:r w:rsidR="006459C5" w:rsidRPr="00807DAF">
        <w:t>application</w:t>
      </w:r>
      <w:r w:rsidRPr="00807DAF">
        <w:t>.</w:t>
      </w:r>
    </w:p>
    <w:p w14:paraId="67EE458C" w14:textId="77777777" w:rsidR="00A57627" w:rsidRPr="00807DAF" w:rsidRDefault="00A57627" w:rsidP="00984331">
      <w:pPr>
        <w:rPr>
          <w:rStyle w:val="StyleListBullet11ptChar"/>
        </w:rPr>
      </w:pPr>
      <w:r w:rsidRPr="00807DAF">
        <w:rPr>
          <w:rStyle w:val="StyleListBullet11ptChar"/>
        </w:rPr>
        <w:t xml:space="preserve">Where these documents are in an official language of the European Union other than </w:t>
      </w:r>
      <w:r w:rsidR="00A4107F">
        <w:rPr>
          <w:rStyle w:val="StyleListBullet11ptChar"/>
        </w:rPr>
        <w:t>English</w:t>
      </w:r>
      <w:r w:rsidRPr="00807DAF">
        <w:rPr>
          <w:rStyle w:val="StyleListBullet11ptChar"/>
        </w:rPr>
        <w:t xml:space="preserve">, it is </w:t>
      </w:r>
      <w:r w:rsidRPr="00807DAF">
        <w:rPr>
          <w:b/>
          <w:szCs w:val="22"/>
        </w:rPr>
        <w:t xml:space="preserve">strongly </w:t>
      </w:r>
      <w:r w:rsidRPr="00807DAF">
        <w:rPr>
          <w:rStyle w:val="StyleListBullet11ptChar"/>
        </w:rPr>
        <w:t xml:space="preserve">recommended, in order to facilitate the evaluation, to provide a translation of the relevant parts of the documents, proving the </w:t>
      </w:r>
      <w:r w:rsidR="00504963">
        <w:rPr>
          <w:rStyle w:val="StyleListBullet11ptChar"/>
        </w:rPr>
        <w:t>lead a</w:t>
      </w:r>
      <w:r w:rsidR="00520968" w:rsidRPr="00807DAF">
        <w:t xml:space="preserve">pplicant's </w:t>
      </w:r>
      <w:r w:rsidR="00520968">
        <w:t xml:space="preserve">and, where applicable, </w:t>
      </w:r>
      <w:r w:rsidR="00F65B55">
        <w:t>c</w:t>
      </w:r>
      <w:r w:rsidR="00520968">
        <w:t xml:space="preserve">o-applicants' and </w:t>
      </w:r>
      <w:r w:rsidR="00F65B55">
        <w:t>a</w:t>
      </w:r>
      <w:r w:rsidR="00520968">
        <w:t xml:space="preserve">ffiliated </w:t>
      </w:r>
      <w:r w:rsidR="00F65B55">
        <w:t>e</w:t>
      </w:r>
      <w:r w:rsidR="00520968">
        <w:t>ntity(</w:t>
      </w:r>
      <w:proofErr w:type="spellStart"/>
      <w:r w:rsidR="00520968">
        <w:t>ies</w:t>
      </w:r>
      <w:proofErr w:type="spellEnd"/>
      <w:r w:rsidR="00520968">
        <w:t xml:space="preserve">)' </w:t>
      </w:r>
      <w:r w:rsidRPr="00807DAF">
        <w:rPr>
          <w:rStyle w:val="StyleListBullet11ptChar"/>
        </w:rPr>
        <w:t xml:space="preserve">eligibility, into </w:t>
      </w:r>
      <w:r w:rsidR="00A4107F">
        <w:rPr>
          <w:rStyle w:val="StyleListBullet11ptChar"/>
        </w:rPr>
        <w:t>English.</w:t>
      </w:r>
    </w:p>
    <w:p w14:paraId="3AEEF4AF" w14:textId="2756E2C5" w:rsidR="009348D1" w:rsidRPr="00807DAF" w:rsidRDefault="009348D1" w:rsidP="00984331">
      <w:pPr>
        <w:rPr>
          <w:szCs w:val="22"/>
        </w:rPr>
      </w:pPr>
      <w:r w:rsidRPr="00807DAF">
        <w:rPr>
          <w:szCs w:val="22"/>
        </w:rPr>
        <w:t>If the</w:t>
      </w:r>
      <w:r w:rsidR="00D61CFD">
        <w:rPr>
          <w:szCs w:val="22"/>
          <w:lang w:val="sr-Cyrl-RS"/>
        </w:rPr>
        <w:t xml:space="preserve"> </w:t>
      </w:r>
      <w:r w:rsidR="00460A7B" w:rsidRPr="00807DAF">
        <w:rPr>
          <w:szCs w:val="22"/>
        </w:rPr>
        <w:t>above</w:t>
      </w:r>
      <w:r w:rsidR="00D61CFD">
        <w:rPr>
          <w:szCs w:val="22"/>
          <w:lang w:val="sr-Cyrl-RS"/>
        </w:rPr>
        <w:t xml:space="preserve"> </w:t>
      </w:r>
      <w:r w:rsidR="00460A7B" w:rsidRPr="00807DAF">
        <w:rPr>
          <w:szCs w:val="22"/>
        </w:rPr>
        <w:t xml:space="preserve">mentioned </w:t>
      </w:r>
      <w:r w:rsidR="00585E31" w:rsidRPr="00807DAF">
        <w:rPr>
          <w:szCs w:val="22"/>
        </w:rPr>
        <w:t>supporting</w:t>
      </w:r>
      <w:r w:rsidRPr="00807DAF">
        <w:rPr>
          <w:szCs w:val="22"/>
        </w:rPr>
        <w:t xml:space="preserve"> documents are not provided </w:t>
      </w:r>
      <w:r w:rsidR="00B67806" w:rsidRPr="00807DAF">
        <w:rPr>
          <w:szCs w:val="22"/>
        </w:rPr>
        <w:t>before the deadline</w:t>
      </w:r>
      <w:r w:rsidR="00460A7B" w:rsidRPr="00807DAF">
        <w:rPr>
          <w:szCs w:val="22"/>
        </w:rPr>
        <w:t xml:space="preserve"> indicated in the request for supporting documents sent to the </w:t>
      </w:r>
      <w:r w:rsidR="00504963">
        <w:rPr>
          <w:szCs w:val="22"/>
        </w:rPr>
        <w:t>lead a</w:t>
      </w:r>
      <w:r w:rsidR="00460A7B" w:rsidRPr="00807DAF">
        <w:rPr>
          <w:szCs w:val="22"/>
        </w:rPr>
        <w:t>pplicant by the Contracting Authority</w:t>
      </w:r>
      <w:r w:rsidR="00B67806" w:rsidRPr="00807DAF">
        <w:rPr>
          <w:szCs w:val="22"/>
        </w:rPr>
        <w:t xml:space="preserve">, the application </w:t>
      </w:r>
      <w:r w:rsidR="00B75EB7" w:rsidRPr="00807DAF">
        <w:rPr>
          <w:szCs w:val="22"/>
        </w:rPr>
        <w:t xml:space="preserve">may </w:t>
      </w:r>
      <w:r w:rsidR="00B67806" w:rsidRPr="00807DAF">
        <w:rPr>
          <w:szCs w:val="22"/>
        </w:rPr>
        <w:t>be rejected</w:t>
      </w:r>
      <w:r w:rsidRPr="00807DAF">
        <w:rPr>
          <w:szCs w:val="22"/>
        </w:rPr>
        <w:t>.</w:t>
      </w:r>
    </w:p>
    <w:p w14:paraId="7C2DBBD5" w14:textId="77777777" w:rsidR="00DB5567" w:rsidRPr="00807DAF" w:rsidRDefault="008B3646" w:rsidP="00984331">
      <w:pPr>
        <w:rPr>
          <w:szCs w:val="22"/>
        </w:rPr>
      </w:pPr>
      <w:r w:rsidRPr="00807DAF">
        <w:rPr>
          <w:szCs w:val="22"/>
        </w:rPr>
        <w:t xml:space="preserve">After </w:t>
      </w:r>
      <w:r w:rsidR="00DB5567" w:rsidRPr="00807DAF">
        <w:rPr>
          <w:szCs w:val="22"/>
        </w:rPr>
        <w:t>verif</w:t>
      </w:r>
      <w:r w:rsidRPr="00807DAF">
        <w:rPr>
          <w:szCs w:val="22"/>
        </w:rPr>
        <w:t>ying</w:t>
      </w:r>
      <w:r w:rsidR="00DB5567" w:rsidRPr="00807DAF">
        <w:rPr>
          <w:szCs w:val="22"/>
        </w:rPr>
        <w:t xml:space="preserve"> the supporting documents</w:t>
      </w:r>
      <w:r w:rsidRPr="00807DAF">
        <w:rPr>
          <w:szCs w:val="22"/>
        </w:rPr>
        <w:t>,</w:t>
      </w:r>
      <w:r w:rsidR="00DB5567" w:rsidRPr="00807DAF">
        <w:rPr>
          <w:szCs w:val="22"/>
        </w:rPr>
        <w:t xml:space="preserve"> the </w:t>
      </w:r>
      <w:r w:rsidR="00F65B55">
        <w:rPr>
          <w:szCs w:val="22"/>
        </w:rPr>
        <w:t>e</w:t>
      </w:r>
      <w:r w:rsidR="00DB5567" w:rsidRPr="00807DAF">
        <w:rPr>
          <w:szCs w:val="22"/>
        </w:rPr>
        <w:t xml:space="preserve">valuation </w:t>
      </w:r>
      <w:r w:rsidR="00F65B55">
        <w:rPr>
          <w:szCs w:val="22"/>
        </w:rPr>
        <w:t>c</w:t>
      </w:r>
      <w:r w:rsidR="00DB5567" w:rsidRPr="00807DAF">
        <w:rPr>
          <w:szCs w:val="22"/>
        </w:rPr>
        <w:t>ommittee will make a final recommendation to the Contracting Authority</w:t>
      </w:r>
      <w:r w:rsidRPr="00807DAF">
        <w:rPr>
          <w:szCs w:val="22"/>
        </w:rPr>
        <w:t>,</w:t>
      </w:r>
      <w:r w:rsidR="00DB5567" w:rsidRPr="00807DAF">
        <w:rPr>
          <w:szCs w:val="22"/>
        </w:rPr>
        <w:t xml:space="preserve"> which will decide on the award of grants.</w:t>
      </w:r>
    </w:p>
    <w:p w14:paraId="018BC78E" w14:textId="747DB64B" w:rsidR="000C0BAB" w:rsidRDefault="006A52F4" w:rsidP="002D4ACD">
      <w:pPr>
        <w:ind w:left="567" w:hanging="567"/>
      </w:pPr>
      <w:r w:rsidRPr="00807DAF">
        <w:t>NB:</w:t>
      </w:r>
      <w:r w:rsidR="007C4C56" w:rsidRPr="00807DAF">
        <w:tab/>
      </w:r>
      <w:r w:rsidR="001E10DA" w:rsidRPr="00807DAF">
        <w:t xml:space="preserve">In the eventuality that the Contracting Authority is not satisfied with the strength, solidity, and guarantee offered by the </w:t>
      </w:r>
      <w:r w:rsidR="00991F51" w:rsidRPr="00807DAF">
        <w:t>structural</w:t>
      </w:r>
      <w:r w:rsidR="001E10DA" w:rsidRPr="00807DAF">
        <w:t xml:space="preserve"> link between one of the applicants and its affiliated entity, it can require the submission of the missing documents allowing for its conversion into co-applicant.</w:t>
      </w:r>
      <w:r w:rsidR="00154428" w:rsidRPr="00807DAF">
        <w:t xml:space="preserve"> If all the missing documents for co-applicants are submitted, and provided all necessary eligibility criteria are fulfilled, the above mentioned entity becomes a co-applicant for all purposes. The </w:t>
      </w:r>
      <w:r w:rsidR="00E80733">
        <w:t>lead a</w:t>
      </w:r>
      <w:r w:rsidR="00154428" w:rsidRPr="00807DAF">
        <w:t>pplicant has to submit the application form revised accordingly.</w:t>
      </w:r>
    </w:p>
    <w:p w14:paraId="15C74BB7" w14:textId="77777777" w:rsidR="000C0BAB" w:rsidRDefault="000C0BAB">
      <w:pPr>
        <w:spacing w:after="0"/>
        <w:jc w:val="left"/>
      </w:pPr>
      <w:r>
        <w:br w:type="page"/>
      </w:r>
    </w:p>
    <w:p w14:paraId="599CEEB0" w14:textId="77777777" w:rsidR="001E10DA" w:rsidRPr="00807DAF" w:rsidRDefault="001E10DA" w:rsidP="002D4ACD">
      <w:pPr>
        <w:ind w:left="567" w:hanging="567"/>
        <w:rPr>
          <w:szCs w:val="22"/>
        </w:rPr>
      </w:pPr>
    </w:p>
    <w:p w14:paraId="6A7338B9" w14:textId="77777777" w:rsidR="009348D1" w:rsidRPr="00F02ACE" w:rsidRDefault="00B67806" w:rsidP="00F02ACE">
      <w:pPr>
        <w:pStyle w:val="Guidelines2"/>
      </w:pPr>
      <w:bookmarkStart w:id="28" w:name="_Toc502218275"/>
      <w:r w:rsidRPr="00F02ACE">
        <w:t>Notification of the Contracting Authority’s decision</w:t>
      </w:r>
      <w:bookmarkEnd w:id="28"/>
    </w:p>
    <w:p w14:paraId="6153FC81" w14:textId="77777777" w:rsidR="00A57627" w:rsidRPr="00807DAF" w:rsidRDefault="00A57627" w:rsidP="004B7BC2">
      <w:pPr>
        <w:pStyle w:val="Guidelines3"/>
      </w:pPr>
      <w:bookmarkStart w:id="29" w:name="_Toc502218276"/>
      <w:r w:rsidRPr="00807DAF">
        <w:t>Content of the decision</w:t>
      </w:r>
      <w:bookmarkEnd w:id="29"/>
    </w:p>
    <w:p w14:paraId="6E0ACA5C" w14:textId="77777777" w:rsidR="00AA4FE0" w:rsidRPr="00807DAF" w:rsidRDefault="008A7A99" w:rsidP="00984331">
      <w:pPr>
        <w:spacing w:before="240"/>
      </w:pPr>
      <w:r w:rsidRPr="00807DAF">
        <w:t xml:space="preserve">The </w:t>
      </w:r>
      <w:r w:rsidR="00504963">
        <w:t>lead a</w:t>
      </w:r>
      <w:r w:rsidR="00AA4FE0" w:rsidRPr="00807DAF">
        <w:t>pplicant</w:t>
      </w:r>
      <w:r w:rsidR="0067474F" w:rsidRPr="00807DAF">
        <w:t>s</w:t>
      </w:r>
      <w:r w:rsidR="00AA4FE0" w:rsidRPr="00807DAF">
        <w:t xml:space="preserve"> will be informed in writing of the Contracting Authority’s decision concerning their application</w:t>
      </w:r>
      <w:r w:rsidR="000D5F55" w:rsidRPr="00807DAF">
        <w:t xml:space="preserve"> and</w:t>
      </w:r>
      <w:r w:rsidR="00E9669E" w:rsidRPr="00807DAF">
        <w:t>, i</w:t>
      </w:r>
      <w:r w:rsidR="008B3646" w:rsidRPr="00807DAF">
        <w:t>f</w:t>
      </w:r>
      <w:r w:rsidR="00E9669E" w:rsidRPr="00807DAF">
        <w:t xml:space="preserve"> reject</w:t>
      </w:r>
      <w:r w:rsidR="008B3646" w:rsidRPr="00807DAF">
        <w:t>ed</w:t>
      </w:r>
      <w:r w:rsidR="00E9669E" w:rsidRPr="00807DAF">
        <w:t>,</w:t>
      </w:r>
      <w:r w:rsidR="000D5F55" w:rsidRPr="00807DAF">
        <w:t xml:space="preserve"> the reasons for the </w:t>
      </w:r>
      <w:r w:rsidR="00E9669E" w:rsidRPr="00807DAF">
        <w:t xml:space="preserve">negative </w:t>
      </w:r>
      <w:r w:rsidR="000D5F55" w:rsidRPr="00807DAF">
        <w:t>decision</w:t>
      </w:r>
      <w:r w:rsidR="00AA4FE0" w:rsidRPr="00807DAF">
        <w:t>.</w:t>
      </w:r>
    </w:p>
    <w:p w14:paraId="2F022209" w14:textId="77777777" w:rsidR="000D5F55" w:rsidRPr="00807DAF" w:rsidRDefault="008A7A99" w:rsidP="00984331">
      <w:r w:rsidRPr="00807DAF">
        <w:t>An a</w:t>
      </w:r>
      <w:r w:rsidR="000D5F55" w:rsidRPr="00807DAF">
        <w:t xml:space="preserve">pplicant believing that </w:t>
      </w:r>
      <w:r w:rsidRPr="00807DAF">
        <w:t xml:space="preserve">it has </w:t>
      </w:r>
      <w:r w:rsidR="000D5F55" w:rsidRPr="00807DAF">
        <w:t xml:space="preserve">been harmed by an error or irregularity during the award process may </w:t>
      </w:r>
      <w:r w:rsidR="008B3646" w:rsidRPr="00807DAF">
        <w:t xml:space="preserve">lodge </w:t>
      </w:r>
      <w:r w:rsidR="00260548" w:rsidRPr="00807DAF">
        <w:t xml:space="preserve">a complaint. See further </w:t>
      </w:r>
      <w:r w:rsidR="00DD6055">
        <w:t>s</w:t>
      </w:r>
      <w:r w:rsidR="00896ECA" w:rsidRPr="00807DAF">
        <w:t>ection</w:t>
      </w:r>
      <w:r w:rsidR="00260548" w:rsidRPr="00807DAF">
        <w:t xml:space="preserve"> 2.4.1</w:t>
      </w:r>
      <w:r w:rsidR="00A63ACF" w:rsidRPr="00807DAF">
        <w:t>5</w:t>
      </w:r>
      <w:r w:rsidR="00260548" w:rsidRPr="00807DAF">
        <w:t xml:space="preserve"> of the Practical Guide. </w:t>
      </w:r>
    </w:p>
    <w:p w14:paraId="7FE07B6C" w14:textId="77777777" w:rsidR="0097715A" w:rsidRPr="00807DAF" w:rsidRDefault="0097715A" w:rsidP="004B7BC2">
      <w:pPr>
        <w:pStyle w:val="Guidelines3"/>
      </w:pPr>
      <w:bookmarkStart w:id="30" w:name="_Toc502218277"/>
      <w:r w:rsidRPr="00807DAF">
        <w:t>Indicative timetable</w:t>
      </w:r>
      <w:bookmarkEnd w:id="30"/>
    </w:p>
    <w:p w14:paraId="61EBDB5D" w14:textId="77777777" w:rsidR="000E38CD" w:rsidRPr="00807DAF" w:rsidRDefault="000E38CD" w:rsidP="00984331"/>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807DAF" w14:paraId="753A1A69" w14:textId="77777777" w:rsidTr="008503BC">
        <w:tc>
          <w:tcPr>
            <w:tcW w:w="4678" w:type="dxa"/>
            <w:tcBorders>
              <w:top w:val="single" w:sz="4" w:space="0" w:color="auto"/>
              <w:left w:val="single" w:sz="4" w:space="0" w:color="auto"/>
              <w:bottom w:val="single" w:sz="4" w:space="0" w:color="auto"/>
              <w:right w:val="single" w:sz="4" w:space="0" w:color="auto"/>
            </w:tcBorders>
          </w:tcPr>
          <w:p w14:paraId="304B65D0" w14:textId="77777777" w:rsidR="0013435B" w:rsidRPr="00807DAF" w:rsidRDefault="0013435B" w:rsidP="00F15864">
            <w:pPr>
              <w:spacing w:before="120"/>
              <w:rPr>
                <w:szCs w:val="22"/>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578DAD09" w14:textId="77777777" w:rsidR="0013435B" w:rsidRPr="00807DAF" w:rsidRDefault="0013435B" w:rsidP="00F15864">
            <w:pPr>
              <w:spacing w:before="120"/>
              <w:jc w:val="center"/>
              <w:rPr>
                <w:b/>
                <w:szCs w:val="22"/>
              </w:rPr>
            </w:pPr>
            <w:r w:rsidRPr="00807DAF">
              <w:rPr>
                <w:b/>
                <w:szCs w:val="22"/>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71340F41" w14:textId="77777777" w:rsidR="0013435B" w:rsidRPr="00807DAF" w:rsidRDefault="0013435B" w:rsidP="00F15864">
            <w:pPr>
              <w:spacing w:before="120"/>
              <w:jc w:val="center"/>
              <w:rPr>
                <w:b/>
                <w:szCs w:val="22"/>
              </w:rPr>
            </w:pPr>
            <w:r w:rsidRPr="00807DAF">
              <w:rPr>
                <w:b/>
                <w:szCs w:val="22"/>
              </w:rPr>
              <w:t>TIME</w:t>
            </w:r>
          </w:p>
        </w:tc>
      </w:tr>
      <w:tr w:rsidR="00180425" w:rsidRPr="00807DAF" w14:paraId="09851EE4" w14:textId="77777777" w:rsidTr="00E04092">
        <w:tc>
          <w:tcPr>
            <w:tcW w:w="4678" w:type="dxa"/>
            <w:tcBorders>
              <w:top w:val="single" w:sz="4" w:space="0" w:color="auto"/>
            </w:tcBorders>
            <w:shd w:val="pct10" w:color="auto" w:fill="FFFFFF"/>
          </w:tcPr>
          <w:p w14:paraId="51141A44" w14:textId="77777777" w:rsidR="00180425" w:rsidRPr="00807DAF" w:rsidRDefault="00180425" w:rsidP="001C4D3A">
            <w:pPr>
              <w:spacing w:before="120"/>
              <w:ind w:left="318" w:hanging="318"/>
              <w:jc w:val="left"/>
              <w:rPr>
                <w:b/>
                <w:szCs w:val="22"/>
              </w:rPr>
            </w:pPr>
            <w:r>
              <w:rPr>
                <w:b/>
                <w:szCs w:val="22"/>
              </w:rPr>
              <w:t>1.</w:t>
            </w:r>
            <w:r>
              <w:rPr>
                <w:b/>
                <w:szCs w:val="22"/>
              </w:rPr>
              <w:tab/>
            </w:r>
            <w:r w:rsidRPr="00807DAF">
              <w:rPr>
                <w:b/>
                <w:szCs w:val="22"/>
              </w:rPr>
              <w:t>Information meeting (if any)</w:t>
            </w:r>
          </w:p>
        </w:tc>
        <w:tc>
          <w:tcPr>
            <w:tcW w:w="5103" w:type="dxa"/>
            <w:gridSpan w:val="2"/>
            <w:tcBorders>
              <w:top w:val="single" w:sz="4" w:space="0" w:color="auto"/>
            </w:tcBorders>
          </w:tcPr>
          <w:p w14:paraId="4497AAED" w14:textId="15D75D8A" w:rsidR="00180425" w:rsidRPr="00C00FF7" w:rsidRDefault="00180425" w:rsidP="007A0F56">
            <w:pPr>
              <w:spacing w:before="120"/>
              <w:jc w:val="center"/>
              <w:rPr>
                <w:szCs w:val="22"/>
                <w:lang w:val="sr-Cyrl-RS"/>
              </w:rPr>
            </w:pPr>
            <w:r w:rsidRPr="002F4215">
              <w:t>Date and time to be announced within 15 days of the launch of this Call for Proposals (see 2.2.4 above)</w:t>
            </w:r>
          </w:p>
        </w:tc>
      </w:tr>
      <w:tr w:rsidR="0013435B" w:rsidRPr="00807DAF" w14:paraId="0F112A79" w14:textId="77777777" w:rsidTr="00984331">
        <w:tc>
          <w:tcPr>
            <w:tcW w:w="4678" w:type="dxa"/>
            <w:shd w:val="pct10" w:color="auto" w:fill="FFFFFF"/>
          </w:tcPr>
          <w:p w14:paraId="52FECDAB" w14:textId="77777777" w:rsidR="0013435B" w:rsidRPr="00807DAF" w:rsidRDefault="001C4D3A" w:rsidP="001C4D3A">
            <w:pPr>
              <w:spacing w:before="120"/>
              <w:ind w:left="318" w:hanging="284"/>
              <w:jc w:val="left"/>
              <w:rPr>
                <w:b/>
                <w:szCs w:val="22"/>
              </w:rPr>
            </w:pPr>
            <w:r>
              <w:rPr>
                <w:b/>
                <w:szCs w:val="22"/>
              </w:rPr>
              <w:t>2.</w:t>
            </w:r>
            <w:r>
              <w:rPr>
                <w:b/>
                <w:szCs w:val="22"/>
              </w:rPr>
              <w:tab/>
            </w:r>
            <w:r w:rsidR="0013435B" w:rsidRPr="00807DAF">
              <w:rPr>
                <w:b/>
                <w:szCs w:val="22"/>
              </w:rPr>
              <w:t>Deadline for request</w:t>
            </w:r>
            <w:r w:rsidR="009B7BB7" w:rsidRPr="00807DAF">
              <w:rPr>
                <w:b/>
                <w:szCs w:val="22"/>
              </w:rPr>
              <w:t>ing</w:t>
            </w:r>
            <w:r w:rsidR="0013435B" w:rsidRPr="00807DAF">
              <w:rPr>
                <w:b/>
                <w:szCs w:val="22"/>
              </w:rPr>
              <w:t xml:space="preserve"> any clarifications from the Contracting Authority</w:t>
            </w:r>
          </w:p>
        </w:tc>
        <w:tc>
          <w:tcPr>
            <w:tcW w:w="2552" w:type="dxa"/>
          </w:tcPr>
          <w:p w14:paraId="142505D8" w14:textId="62FF487A" w:rsidR="0013435B" w:rsidRPr="00C00FF7" w:rsidRDefault="006E0FB2" w:rsidP="000B7352">
            <w:pPr>
              <w:spacing w:before="120"/>
              <w:jc w:val="center"/>
              <w:rPr>
                <w:szCs w:val="22"/>
              </w:rPr>
            </w:pPr>
            <w:r>
              <w:rPr>
                <w:szCs w:val="22"/>
              </w:rPr>
              <w:t>17</w:t>
            </w:r>
            <w:r>
              <w:rPr>
                <w:szCs w:val="22"/>
                <w:vertAlign w:val="superscript"/>
              </w:rPr>
              <w:t xml:space="preserve">th </w:t>
            </w:r>
            <w:r w:rsidR="000B7352" w:rsidRPr="00C00FF7">
              <w:rPr>
                <w:szCs w:val="22"/>
              </w:rPr>
              <w:t>April</w:t>
            </w:r>
            <w:r w:rsidR="00D8170B" w:rsidRPr="00C00FF7">
              <w:rPr>
                <w:szCs w:val="22"/>
              </w:rPr>
              <w:t xml:space="preserve"> </w:t>
            </w:r>
            <w:r w:rsidR="00A4107F" w:rsidRPr="00C00FF7">
              <w:rPr>
                <w:szCs w:val="22"/>
              </w:rPr>
              <w:t>201</w:t>
            </w:r>
            <w:r w:rsidR="00D76F58" w:rsidRPr="00C00FF7">
              <w:rPr>
                <w:szCs w:val="22"/>
              </w:rPr>
              <w:t>8</w:t>
            </w:r>
          </w:p>
        </w:tc>
        <w:tc>
          <w:tcPr>
            <w:tcW w:w="2551" w:type="dxa"/>
          </w:tcPr>
          <w:p w14:paraId="6B5DF872" w14:textId="4622BD00" w:rsidR="0013435B" w:rsidRPr="00C00FF7" w:rsidRDefault="00D8170B" w:rsidP="00D76F58">
            <w:pPr>
              <w:spacing w:before="120"/>
              <w:jc w:val="center"/>
              <w:rPr>
                <w:szCs w:val="22"/>
              </w:rPr>
            </w:pPr>
            <w:r w:rsidRPr="00C00FF7">
              <w:rPr>
                <w:szCs w:val="22"/>
              </w:rPr>
              <w:t>15:00h</w:t>
            </w:r>
          </w:p>
        </w:tc>
      </w:tr>
      <w:tr w:rsidR="0013435B" w:rsidRPr="00807DAF" w14:paraId="165E1966" w14:textId="77777777" w:rsidTr="00984331">
        <w:tc>
          <w:tcPr>
            <w:tcW w:w="4678" w:type="dxa"/>
            <w:shd w:val="pct10" w:color="auto" w:fill="FFFFFF"/>
          </w:tcPr>
          <w:p w14:paraId="20971D94" w14:textId="77777777" w:rsidR="0013435B" w:rsidRPr="00807DAF" w:rsidRDefault="001C4D3A" w:rsidP="001C4D3A">
            <w:pPr>
              <w:spacing w:before="120"/>
              <w:ind w:left="318" w:hanging="284"/>
              <w:jc w:val="left"/>
              <w:rPr>
                <w:b/>
                <w:szCs w:val="22"/>
              </w:rPr>
            </w:pPr>
            <w:r>
              <w:rPr>
                <w:b/>
                <w:szCs w:val="22"/>
              </w:rPr>
              <w:t>3.</w:t>
            </w:r>
            <w:r>
              <w:rPr>
                <w:b/>
                <w:szCs w:val="22"/>
              </w:rPr>
              <w:tab/>
            </w:r>
            <w:r w:rsidR="0013435B" w:rsidRPr="00807DAF">
              <w:rPr>
                <w:b/>
                <w:szCs w:val="22"/>
              </w:rPr>
              <w:t>Last date on which clarifications are issued by the Contracting Authority</w:t>
            </w:r>
          </w:p>
        </w:tc>
        <w:tc>
          <w:tcPr>
            <w:tcW w:w="2552" w:type="dxa"/>
          </w:tcPr>
          <w:p w14:paraId="60568464" w14:textId="6D4A6719" w:rsidR="0013435B" w:rsidRPr="00C00FF7" w:rsidRDefault="00D76F58" w:rsidP="00D76F58">
            <w:pPr>
              <w:tabs>
                <w:tab w:val="center" w:pos="1168"/>
                <w:tab w:val="right" w:pos="2336"/>
              </w:tabs>
              <w:spacing w:before="120"/>
              <w:jc w:val="left"/>
              <w:rPr>
                <w:szCs w:val="22"/>
              </w:rPr>
            </w:pPr>
            <w:r w:rsidRPr="00C00FF7">
              <w:rPr>
                <w:szCs w:val="22"/>
              </w:rPr>
              <w:tab/>
            </w:r>
            <w:r w:rsidR="006E0FB2">
              <w:rPr>
                <w:szCs w:val="22"/>
              </w:rPr>
              <w:t>27</w:t>
            </w:r>
            <w:r w:rsidR="00D8170B" w:rsidRPr="00C00FF7">
              <w:rPr>
                <w:szCs w:val="22"/>
                <w:vertAlign w:val="superscript"/>
              </w:rPr>
              <w:t>th</w:t>
            </w:r>
            <w:r w:rsidR="00D8170B" w:rsidRPr="00C00FF7">
              <w:rPr>
                <w:szCs w:val="22"/>
              </w:rPr>
              <w:t xml:space="preserve"> April 2018</w:t>
            </w:r>
          </w:p>
        </w:tc>
        <w:tc>
          <w:tcPr>
            <w:tcW w:w="2551" w:type="dxa"/>
          </w:tcPr>
          <w:p w14:paraId="7221D10F" w14:textId="128F5041" w:rsidR="0013435B" w:rsidRPr="00C00FF7" w:rsidRDefault="00D8170B" w:rsidP="00F15864">
            <w:pPr>
              <w:spacing w:before="120"/>
              <w:jc w:val="center"/>
              <w:rPr>
                <w:szCs w:val="22"/>
              </w:rPr>
            </w:pPr>
            <w:r w:rsidRPr="00C00FF7">
              <w:rPr>
                <w:szCs w:val="22"/>
              </w:rPr>
              <w:t>15:00h</w:t>
            </w:r>
          </w:p>
        </w:tc>
      </w:tr>
      <w:tr w:rsidR="0013435B" w:rsidRPr="00807DAF" w14:paraId="36AE5E9D" w14:textId="77777777" w:rsidTr="00984331">
        <w:tc>
          <w:tcPr>
            <w:tcW w:w="4678" w:type="dxa"/>
            <w:shd w:val="pct10" w:color="auto" w:fill="FFFFFF"/>
          </w:tcPr>
          <w:p w14:paraId="330115BA" w14:textId="77777777" w:rsidR="0013435B" w:rsidRPr="00807DAF" w:rsidRDefault="001C4D3A" w:rsidP="00216BBF">
            <w:pPr>
              <w:spacing w:before="120"/>
              <w:ind w:left="318" w:hanging="284"/>
              <w:jc w:val="left"/>
              <w:rPr>
                <w:b/>
                <w:szCs w:val="22"/>
              </w:rPr>
            </w:pPr>
            <w:r>
              <w:rPr>
                <w:b/>
                <w:szCs w:val="22"/>
              </w:rPr>
              <w:t>4.</w:t>
            </w:r>
            <w:r>
              <w:rPr>
                <w:b/>
                <w:szCs w:val="22"/>
              </w:rPr>
              <w:tab/>
            </w:r>
            <w:r w:rsidR="0013435B" w:rsidRPr="00807DAF">
              <w:rPr>
                <w:b/>
                <w:szCs w:val="22"/>
              </w:rPr>
              <w:t xml:space="preserve">Deadline for </w:t>
            </w:r>
            <w:r w:rsidR="0013435B" w:rsidRPr="00216BBF">
              <w:rPr>
                <w:b/>
                <w:szCs w:val="22"/>
              </w:rPr>
              <w:t xml:space="preserve">submission of </w:t>
            </w:r>
            <w:r w:rsidR="00F65B55" w:rsidRPr="00216BBF">
              <w:rPr>
                <w:b/>
                <w:szCs w:val="22"/>
              </w:rPr>
              <w:t>a</w:t>
            </w:r>
            <w:r w:rsidR="00622381" w:rsidRPr="00216BBF">
              <w:rPr>
                <w:b/>
                <w:szCs w:val="22"/>
              </w:rPr>
              <w:t>pplication</w:t>
            </w:r>
            <w:r w:rsidR="00F65B55" w:rsidRPr="00216BBF">
              <w:rPr>
                <w:b/>
                <w:szCs w:val="22"/>
              </w:rPr>
              <w:t>s</w:t>
            </w:r>
          </w:p>
        </w:tc>
        <w:tc>
          <w:tcPr>
            <w:tcW w:w="2552" w:type="dxa"/>
          </w:tcPr>
          <w:p w14:paraId="4BAB58D6" w14:textId="7ACFB1CC" w:rsidR="0013435B" w:rsidRPr="00C00FF7" w:rsidRDefault="006E0FB2" w:rsidP="00B249DA">
            <w:pPr>
              <w:spacing w:before="120"/>
              <w:jc w:val="center"/>
              <w:rPr>
                <w:szCs w:val="22"/>
              </w:rPr>
            </w:pPr>
            <w:r>
              <w:rPr>
                <w:szCs w:val="22"/>
              </w:rPr>
              <w:t>8</w:t>
            </w:r>
            <w:r w:rsidRPr="006E0FB2">
              <w:rPr>
                <w:szCs w:val="22"/>
                <w:vertAlign w:val="superscript"/>
              </w:rPr>
              <w:t>th</w:t>
            </w:r>
            <w:r>
              <w:rPr>
                <w:szCs w:val="22"/>
              </w:rPr>
              <w:t xml:space="preserve"> May</w:t>
            </w:r>
            <w:r w:rsidR="00D8170B" w:rsidRPr="00C00FF7">
              <w:rPr>
                <w:szCs w:val="22"/>
              </w:rPr>
              <w:t xml:space="preserve"> 2018</w:t>
            </w:r>
          </w:p>
        </w:tc>
        <w:tc>
          <w:tcPr>
            <w:tcW w:w="2551" w:type="dxa"/>
          </w:tcPr>
          <w:p w14:paraId="077BE289" w14:textId="1F06782D" w:rsidR="0013435B" w:rsidRPr="00C00FF7" w:rsidRDefault="00A4107F" w:rsidP="00F15864">
            <w:pPr>
              <w:spacing w:before="120"/>
              <w:jc w:val="center"/>
              <w:rPr>
                <w:szCs w:val="22"/>
              </w:rPr>
            </w:pPr>
            <w:r w:rsidRPr="00C00FF7">
              <w:rPr>
                <w:szCs w:val="22"/>
              </w:rPr>
              <w:t>1</w:t>
            </w:r>
            <w:r w:rsidR="00D8170B" w:rsidRPr="00C00FF7">
              <w:rPr>
                <w:szCs w:val="22"/>
              </w:rPr>
              <w:t>4</w:t>
            </w:r>
            <w:r w:rsidRPr="00C00FF7">
              <w:rPr>
                <w:szCs w:val="22"/>
              </w:rPr>
              <w:t>:00 h</w:t>
            </w:r>
          </w:p>
        </w:tc>
      </w:tr>
      <w:tr w:rsidR="00622381" w:rsidRPr="00807DAF" w14:paraId="54DD6941" w14:textId="77777777" w:rsidTr="00984331">
        <w:tc>
          <w:tcPr>
            <w:tcW w:w="4678" w:type="dxa"/>
            <w:shd w:val="pct10" w:color="auto" w:fill="FFFFFF"/>
          </w:tcPr>
          <w:p w14:paraId="5A707364" w14:textId="77777777" w:rsidR="00622381" w:rsidRPr="00807DAF" w:rsidRDefault="001C4D3A" w:rsidP="001C4D3A">
            <w:pPr>
              <w:spacing w:before="120"/>
              <w:ind w:left="318" w:hanging="284"/>
              <w:jc w:val="left"/>
              <w:rPr>
                <w:b/>
                <w:szCs w:val="22"/>
              </w:rPr>
            </w:pPr>
            <w:r>
              <w:rPr>
                <w:b/>
                <w:szCs w:val="22"/>
              </w:rPr>
              <w:t>5.</w:t>
            </w:r>
            <w:r>
              <w:rPr>
                <w:b/>
                <w:szCs w:val="22"/>
              </w:rPr>
              <w:tab/>
            </w:r>
            <w:r w:rsidR="00622381" w:rsidRPr="00807DAF">
              <w:rPr>
                <w:b/>
                <w:szCs w:val="22"/>
              </w:rPr>
              <w:t xml:space="preserve">Information to </w:t>
            </w:r>
            <w:r w:rsidR="00504963">
              <w:rPr>
                <w:b/>
                <w:szCs w:val="22"/>
              </w:rPr>
              <w:t>lead a</w:t>
            </w:r>
            <w:r w:rsidR="00622381" w:rsidRPr="00807DAF">
              <w:rPr>
                <w:b/>
                <w:szCs w:val="22"/>
              </w:rPr>
              <w:t xml:space="preserve">pplicants on </w:t>
            </w:r>
            <w:r w:rsidR="003743F9" w:rsidRPr="00807DAF">
              <w:rPr>
                <w:b/>
                <w:szCs w:val="22"/>
              </w:rPr>
              <w:t>opening</w:t>
            </w:r>
            <w:r w:rsidR="009B7BB7" w:rsidRPr="00807DAF">
              <w:rPr>
                <w:b/>
                <w:szCs w:val="22"/>
              </w:rPr>
              <w:t xml:space="preserve">, </w:t>
            </w:r>
            <w:r w:rsidR="003743F9" w:rsidRPr="00807DAF">
              <w:rPr>
                <w:b/>
                <w:szCs w:val="22"/>
              </w:rPr>
              <w:t>administrative check</w:t>
            </w:r>
            <w:r w:rsidR="00584247" w:rsidRPr="00807DAF">
              <w:rPr>
                <w:b/>
                <w:szCs w:val="22"/>
              </w:rPr>
              <w:t>s</w:t>
            </w:r>
            <w:r w:rsidR="003743F9" w:rsidRPr="00807DAF">
              <w:rPr>
                <w:b/>
                <w:szCs w:val="22"/>
              </w:rPr>
              <w:t xml:space="preserve"> and </w:t>
            </w:r>
            <w:r w:rsidR="005A61AA" w:rsidRPr="00807DAF">
              <w:rPr>
                <w:b/>
                <w:szCs w:val="22"/>
              </w:rPr>
              <w:t xml:space="preserve">concept note </w:t>
            </w:r>
            <w:r w:rsidR="00622381" w:rsidRPr="00807DAF">
              <w:rPr>
                <w:b/>
                <w:szCs w:val="22"/>
              </w:rPr>
              <w:t xml:space="preserve">evaluation </w:t>
            </w:r>
            <w:r w:rsidR="00E708CB" w:rsidRPr="00807DAF">
              <w:rPr>
                <w:b/>
                <w:szCs w:val="22"/>
              </w:rPr>
              <w:t xml:space="preserve"> (</w:t>
            </w:r>
            <w:r w:rsidR="009B7BB7" w:rsidRPr="00807DAF">
              <w:rPr>
                <w:b/>
                <w:szCs w:val="22"/>
              </w:rPr>
              <w:t>S</w:t>
            </w:r>
            <w:r w:rsidR="00E708CB" w:rsidRPr="00807DAF">
              <w:rPr>
                <w:b/>
                <w:szCs w:val="22"/>
              </w:rPr>
              <w:t xml:space="preserve">tep </w:t>
            </w:r>
            <w:r w:rsidR="003743F9" w:rsidRPr="00807DAF">
              <w:rPr>
                <w:b/>
                <w:szCs w:val="22"/>
              </w:rPr>
              <w:t>1</w:t>
            </w:r>
            <w:r w:rsidR="00E708CB" w:rsidRPr="00807DAF">
              <w:rPr>
                <w:b/>
                <w:szCs w:val="22"/>
              </w:rPr>
              <w:t>)</w:t>
            </w:r>
          </w:p>
        </w:tc>
        <w:tc>
          <w:tcPr>
            <w:tcW w:w="2552" w:type="dxa"/>
          </w:tcPr>
          <w:p w14:paraId="2707B2AC" w14:textId="0CE4DEF1" w:rsidR="00622381" w:rsidRPr="00C00FF7" w:rsidRDefault="006E0FB2" w:rsidP="00F15864">
            <w:pPr>
              <w:spacing w:before="120"/>
              <w:jc w:val="center"/>
              <w:rPr>
                <w:szCs w:val="22"/>
              </w:rPr>
            </w:pPr>
            <w:r>
              <w:rPr>
                <w:szCs w:val="22"/>
              </w:rPr>
              <w:t>8</w:t>
            </w:r>
            <w:r w:rsidRPr="006E0FB2">
              <w:rPr>
                <w:szCs w:val="22"/>
                <w:vertAlign w:val="superscript"/>
              </w:rPr>
              <w:t>th</w:t>
            </w:r>
            <w:r>
              <w:rPr>
                <w:szCs w:val="22"/>
              </w:rPr>
              <w:t xml:space="preserve"> </w:t>
            </w:r>
            <w:r w:rsidR="00D8170B" w:rsidRPr="00C00FF7">
              <w:rPr>
                <w:szCs w:val="22"/>
              </w:rPr>
              <w:t>June 2018</w:t>
            </w:r>
          </w:p>
        </w:tc>
        <w:tc>
          <w:tcPr>
            <w:tcW w:w="2551" w:type="dxa"/>
          </w:tcPr>
          <w:p w14:paraId="6D5E472D" w14:textId="77777777" w:rsidR="00622381" w:rsidRPr="00C00FF7" w:rsidRDefault="00622381" w:rsidP="00F15864">
            <w:pPr>
              <w:spacing w:before="120"/>
              <w:jc w:val="center"/>
              <w:rPr>
                <w:szCs w:val="22"/>
              </w:rPr>
            </w:pPr>
            <w:r w:rsidRPr="00C00FF7">
              <w:rPr>
                <w:szCs w:val="22"/>
              </w:rPr>
              <w:t>-</w:t>
            </w:r>
          </w:p>
        </w:tc>
      </w:tr>
      <w:tr w:rsidR="00622381" w:rsidRPr="00807DAF" w14:paraId="12DEBDC7" w14:textId="77777777" w:rsidTr="00984331">
        <w:tc>
          <w:tcPr>
            <w:tcW w:w="4678" w:type="dxa"/>
            <w:shd w:val="pct10" w:color="auto" w:fill="FFFFFF"/>
          </w:tcPr>
          <w:p w14:paraId="4D1BCFA2" w14:textId="46209576" w:rsidR="00622381" w:rsidRPr="00807DAF" w:rsidRDefault="00A4107F" w:rsidP="001C4D3A">
            <w:pPr>
              <w:spacing w:before="120"/>
              <w:ind w:left="318" w:hanging="284"/>
              <w:jc w:val="left"/>
              <w:rPr>
                <w:b/>
                <w:szCs w:val="22"/>
              </w:rPr>
            </w:pPr>
            <w:r>
              <w:rPr>
                <w:b/>
                <w:szCs w:val="22"/>
              </w:rPr>
              <w:t>6</w:t>
            </w:r>
            <w:r w:rsidR="001C4D3A">
              <w:rPr>
                <w:b/>
                <w:szCs w:val="22"/>
              </w:rPr>
              <w:t>.</w:t>
            </w:r>
            <w:r w:rsidR="001C4D3A">
              <w:rPr>
                <w:b/>
                <w:szCs w:val="22"/>
              </w:rPr>
              <w:tab/>
            </w:r>
            <w:r w:rsidR="00622381" w:rsidRPr="00807DAF">
              <w:rPr>
                <w:b/>
                <w:szCs w:val="22"/>
              </w:rPr>
              <w:t xml:space="preserve">Information to </w:t>
            </w:r>
            <w:r w:rsidR="00504963">
              <w:rPr>
                <w:b/>
                <w:szCs w:val="22"/>
              </w:rPr>
              <w:t>lead a</w:t>
            </w:r>
            <w:r w:rsidR="00622381" w:rsidRPr="00807DAF">
              <w:rPr>
                <w:b/>
                <w:szCs w:val="22"/>
              </w:rPr>
              <w:t xml:space="preserve">pplicants on the evaluation of the </w:t>
            </w:r>
            <w:r w:rsidR="00F65B55">
              <w:rPr>
                <w:b/>
                <w:szCs w:val="22"/>
              </w:rPr>
              <w:t>f</w:t>
            </w:r>
            <w:r w:rsidR="00537CD5" w:rsidRPr="00807DAF">
              <w:rPr>
                <w:b/>
                <w:szCs w:val="22"/>
              </w:rPr>
              <w:t xml:space="preserve">ull </w:t>
            </w:r>
            <w:r w:rsidR="00F65B55">
              <w:rPr>
                <w:b/>
                <w:szCs w:val="22"/>
              </w:rPr>
              <w:t>a</w:t>
            </w:r>
            <w:r w:rsidR="00622381" w:rsidRPr="00807DAF">
              <w:rPr>
                <w:b/>
                <w:szCs w:val="22"/>
              </w:rPr>
              <w:t>pplication</w:t>
            </w:r>
            <w:r w:rsidR="00F65B55">
              <w:rPr>
                <w:b/>
                <w:szCs w:val="22"/>
              </w:rPr>
              <w:t>s</w:t>
            </w:r>
            <w:r w:rsidR="00377383">
              <w:rPr>
                <w:b/>
                <w:szCs w:val="22"/>
              </w:rPr>
              <w:t xml:space="preserve"> </w:t>
            </w:r>
            <w:r w:rsidR="00E708CB" w:rsidRPr="00807DAF">
              <w:rPr>
                <w:b/>
                <w:szCs w:val="22"/>
              </w:rPr>
              <w:t>(</w:t>
            </w:r>
            <w:r w:rsidR="009B7BB7" w:rsidRPr="00807DAF">
              <w:rPr>
                <w:b/>
                <w:szCs w:val="22"/>
              </w:rPr>
              <w:t>S</w:t>
            </w:r>
            <w:r w:rsidR="00E708CB" w:rsidRPr="00807DAF">
              <w:rPr>
                <w:b/>
                <w:szCs w:val="22"/>
              </w:rPr>
              <w:t xml:space="preserve">tep </w:t>
            </w:r>
            <w:r w:rsidR="003743F9" w:rsidRPr="00807DAF">
              <w:rPr>
                <w:b/>
                <w:szCs w:val="22"/>
              </w:rPr>
              <w:t>2</w:t>
            </w:r>
            <w:r w:rsidR="00E708CB" w:rsidRPr="00807DAF">
              <w:rPr>
                <w:b/>
                <w:szCs w:val="22"/>
              </w:rPr>
              <w:t>)</w:t>
            </w:r>
          </w:p>
        </w:tc>
        <w:tc>
          <w:tcPr>
            <w:tcW w:w="2552" w:type="dxa"/>
          </w:tcPr>
          <w:p w14:paraId="3EF95EB5" w14:textId="73B5E13B" w:rsidR="00622381" w:rsidRPr="00C00FF7" w:rsidRDefault="006E0FB2" w:rsidP="00F15864">
            <w:pPr>
              <w:spacing w:before="120"/>
              <w:jc w:val="center"/>
              <w:rPr>
                <w:szCs w:val="22"/>
              </w:rPr>
            </w:pPr>
            <w:r>
              <w:rPr>
                <w:szCs w:val="22"/>
              </w:rPr>
              <w:t>6</w:t>
            </w:r>
            <w:r w:rsidRPr="006E0FB2">
              <w:rPr>
                <w:szCs w:val="22"/>
                <w:vertAlign w:val="superscript"/>
              </w:rPr>
              <w:t>th</w:t>
            </w:r>
            <w:r>
              <w:rPr>
                <w:szCs w:val="22"/>
              </w:rPr>
              <w:t xml:space="preserve"> </w:t>
            </w:r>
            <w:r w:rsidR="00EF694E" w:rsidRPr="00C00FF7">
              <w:rPr>
                <w:szCs w:val="22"/>
              </w:rPr>
              <w:t>July</w:t>
            </w:r>
            <w:r w:rsidR="00D8170B" w:rsidRPr="00C00FF7">
              <w:rPr>
                <w:szCs w:val="22"/>
              </w:rPr>
              <w:t xml:space="preserve"> 2018</w:t>
            </w:r>
          </w:p>
        </w:tc>
        <w:tc>
          <w:tcPr>
            <w:tcW w:w="2551" w:type="dxa"/>
          </w:tcPr>
          <w:p w14:paraId="7FB30BF5" w14:textId="77777777" w:rsidR="00622381" w:rsidRPr="00C00FF7" w:rsidRDefault="00622381" w:rsidP="00F15864">
            <w:pPr>
              <w:spacing w:before="120"/>
              <w:jc w:val="center"/>
              <w:rPr>
                <w:szCs w:val="22"/>
              </w:rPr>
            </w:pPr>
            <w:r w:rsidRPr="00C00FF7">
              <w:rPr>
                <w:szCs w:val="22"/>
              </w:rPr>
              <w:t>-</w:t>
            </w:r>
          </w:p>
        </w:tc>
      </w:tr>
      <w:tr w:rsidR="00415248" w:rsidRPr="00807DAF" w14:paraId="1A0B5B3D" w14:textId="77777777" w:rsidTr="00984331">
        <w:tc>
          <w:tcPr>
            <w:tcW w:w="4678" w:type="dxa"/>
            <w:shd w:val="pct10" w:color="auto" w:fill="FFFFFF"/>
          </w:tcPr>
          <w:p w14:paraId="062333DE" w14:textId="77777777" w:rsidR="00415248" w:rsidRPr="00807DAF" w:rsidRDefault="00A4107F" w:rsidP="001C4D3A">
            <w:pPr>
              <w:spacing w:before="120"/>
              <w:ind w:left="318" w:hanging="284"/>
              <w:jc w:val="left"/>
              <w:rPr>
                <w:b/>
                <w:szCs w:val="22"/>
              </w:rPr>
            </w:pPr>
            <w:r>
              <w:rPr>
                <w:b/>
                <w:szCs w:val="22"/>
              </w:rPr>
              <w:t>7</w:t>
            </w:r>
            <w:r w:rsidR="001C4D3A">
              <w:rPr>
                <w:b/>
                <w:szCs w:val="22"/>
              </w:rPr>
              <w:t>.</w:t>
            </w:r>
            <w:r w:rsidR="001C4D3A">
              <w:rPr>
                <w:b/>
                <w:szCs w:val="22"/>
              </w:rPr>
              <w:tab/>
            </w:r>
            <w:r w:rsidR="00415248" w:rsidRPr="00807DAF">
              <w:rPr>
                <w:b/>
                <w:szCs w:val="22"/>
              </w:rPr>
              <w:t>Notification of award (after the eligibility check)</w:t>
            </w:r>
            <w:r w:rsidR="00E708CB" w:rsidRPr="00807DAF">
              <w:rPr>
                <w:b/>
                <w:szCs w:val="22"/>
              </w:rPr>
              <w:t xml:space="preserve"> (</w:t>
            </w:r>
            <w:r w:rsidR="009B7BB7" w:rsidRPr="00807DAF">
              <w:rPr>
                <w:b/>
                <w:szCs w:val="22"/>
              </w:rPr>
              <w:t>S</w:t>
            </w:r>
            <w:r w:rsidR="00E708CB" w:rsidRPr="00807DAF">
              <w:rPr>
                <w:b/>
                <w:szCs w:val="22"/>
              </w:rPr>
              <w:t xml:space="preserve">tep </w:t>
            </w:r>
            <w:r w:rsidR="003743F9" w:rsidRPr="00807DAF">
              <w:rPr>
                <w:b/>
                <w:szCs w:val="22"/>
              </w:rPr>
              <w:t>3</w:t>
            </w:r>
            <w:r w:rsidR="00E708CB" w:rsidRPr="00807DAF">
              <w:rPr>
                <w:b/>
                <w:szCs w:val="22"/>
              </w:rPr>
              <w:t>)</w:t>
            </w:r>
          </w:p>
        </w:tc>
        <w:tc>
          <w:tcPr>
            <w:tcW w:w="2552" w:type="dxa"/>
          </w:tcPr>
          <w:p w14:paraId="0F898473" w14:textId="238E8727" w:rsidR="00415248" w:rsidRPr="00C00FF7" w:rsidRDefault="006E0FB2" w:rsidP="00D76F58">
            <w:pPr>
              <w:spacing w:before="120"/>
              <w:jc w:val="center"/>
              <w:rPr>
                <w:szCs w:val="22"/>
              </w:rPr>
            </w:pPr>
            <w:r>
              <w:rPr>
                <w:szCs w:val="22"/>
              </w:rPr>
              <w:t>3</w:t>
            </w:r>
            <w:r w:rsidRPr="006E0FB2">
              <w:rPr>
                <w:szCs w:val="22"/>
                <w:vertAlign w:val="superscript"/>
              </w:rPr>
              <w:t>rd</w:t>
            </w:r>
            <w:r>
              <w:rPr>
                <w:szCs w:val="22"/>
              </w:rPr>
              <w:t xml:space="preserve"> </w:t>
            </w:r>
            <w:r w:rsidR="00EF694E" w:rsidRPr="00C00FF7">
              <w:rPr>
                <w:szCs w:val="22"/>
              </w:rPr>
              <w:t>August</w:t>
            </w:r>
            <w:r w:rsidR="0071335D" w:rsidRPr="00C00FF7">
              <w:rPr>
                <w:szCs w:val="22"/>
              </w:rPr>
              <w:t xml:space="preserve"> </w:t>
            </w:r>
            <w:r w:rsidR="00D76F58" w:rsidRPr="00C00FF7">
              <w:rPr>
                <w:szCs w:val="22"/>
              </w:rPr>
              <w:t>2018</w:t>
            </w:r>
          </w:p>
        </w:tc>
        <w:tc>
          <w:tcPr>
            <w:tcW w:w="2551" w:type="dxa"/>
          </w:tcPr>
          <w:p w14:paraId="29AAD71E" w14:textId="77777777" w:rsidR="00415248" w:rsidRPr="00C00FF7" w:rsidRDefault="00415248" w:rsidP="00F15864">
            <w:pPr>
              <w:spacing w:before="120"/>
              <w:jc w:val="center"/>
              <w:rPr>
                <w:szCs w:val="22"/>
              </w:rPr>
            </w:pPr>
            <w:r w:rsidRPr="00C00FF7">
              <w:rPr>
                <w:szCs w:val="22"/>
              </w:rPr>
              <w:t>-</w:t>
            </w:r>
          </w:p>
        </w:tc>
      </w:tr>
      <w:tr w:rsidR="00415248" w:rsidRPr="00807DAF" w14:paraId="15EBBD6A" w14:textId="77777777" w:rsidTr="00984331">
        <w:tc>
          <w:tcPr>
            <w:tcW w:w="4678" w:type="dxa"/>
            <w:shd w:val="pct10" w:color="auto" w:fill="FFFFFF"/>
          </w:tcPr>
          <w:p w14:paraId="40B7F59F" w14:textId="77777777" w:rsidR="00415248" w:rsidRPr="00807DAF" w:rsidRDefault="00A4107F" w:rsidP="001C4D3A">
            <w:pPr>
              <w:spacing w:before="120"/>
              <w:ind w:left="318" w:hanging="284"/>
              <w:jc w:val="left"/>
              <w:rPr>
                <w:b/>
                <w:szCs w:val="22"/>
              </w:rPr>
            </w:pPr>
            <w:r>
              <w:rPr>
                <w:b/>
                <w:szCs w:val="22"/>
              </w:rPr>
              <w:t>8</w:t>
            </w:r>
            <w:r w:rsidR="001C4D3A">
              <w:rPr>
                <w:b/>
                <w:szCs w:val="22"/>
              </w:rPr>
              <w:t>.</w:t>
            </w:r>
            <w:r w:rsidR="001C4D3A">
              <w:rPr>
                <w:b/>
                <w:szCs w:val="22"/>
              </w:rPr>
              <w:tab/>
            </w:r>
            <w:r w:rsidR="00415248" w:rsidRPr="00807DAF">
              <w:rPr>
                <w:b/>
                <w:szCs w:val="22"/>
              </w:rPr>
              <w:t>Contract signature</w:t>
            </w:r>
          </w:p>
        </w:tc>
        <w:tc>
          <w:tcPr>
            <w:tcW w:w="2552" w:type="dxa"/>
          </w:tcPr>
          <w:p w14:paraId="6C56B305" w14:textId="0FA10369" w:rsidR="00415248" w:rsidRPr="00C00FF7" w:rsidRDefault="006E0FB2" w:rsidP="0071335D">
            <w:pPr>
              <w:spacing w:before="120"/>
              <w:jc w:val="center"/>
              <w:rPr>
                <w:szCs w:val="22"/>
              </w:rPr>
            </w:pPr>
            <w:r>
              <w:rPr>
                <w:szCs w:val="22"/>
              </w:rPr>
              <w:t>7</w:t>
            </w:r>
            <w:r w:rsidRPr="006E0FB2">
              <w:rPr>
                <w:szCs w:val="22"/>
                <w:vertAlign w:val="superscript"/>
              </w:rPr>
              <w:t>th</w:t>
            </w:r>
            <w:r>
              <w:rPr>
                <w:szCs w:val="22"/>
              </w:rPr>
              <w:t xml:space="preserve"> </w:t>
            </w:r>
            <w:r w:rsidR="00EF694E" w:rsidRPr="00C00FF7">
              <w:rPr>
                <w:szCs w:val="22"/>
              </w:rPr>
              <w:t xml:space="preserve">September </w:t>
            </w:r>
            <w:r w:rsidR="00D76F58" w:rsidRPr="00C00FF7">
              <w:rPr>
                <w:szCs w:val="22"/>
              </w:rPr>
              <w:t>2018</w:t>
            </w:r>
          </w:p>
        </w:tc>
        <w:tc>
          <w:tcPr>
            <w:tcW w:w="2551" w:type="dxa"/>
          </w:tcPr>
          <w:p w14:paraId="551EB3FC" w14:textId="77777777" w:rsidR="00415248" w:rsidRPr="00C00FF7" w:rsidRDefault="00415248" w:rsidP="00F15864">
            <w:pPr>
              <w:spacing w:before="120"/>
              <w:jc w:val="center"/>
              <w:rPr>
                <w:szCs w:val="22"/>
              </w:rPr>
            </w:pPr>
            <w:r w:rsidRPr="00C00FF7">
              <w:rPr>
                <w:szCs w:val="22"/>
              </w:rPr>
              <w:t>-</w:t>
            </w:r>
          </w:p>
        </w:tc>
      </w:tr>
    </w:tbl>
    <w:p w14:paraId="0FCE5072" w14:textId="77777777" w:rsidR="00E939EC" w:rsidRPr="00807DAF" w:rsidRDefault="00415248" w:rsidP="001C4D3A">
      <w:pPr>
        <w:spacing w:before="120"/>
      </w:pPr>
      <w:r w:rsidRPr="00807DAF">
        <w:t>All times are in the time zone of the country of the Contracting Authority</w:t>
      </w:r>
      <w:r w:rsidR="009B7BB7" w:rsidRPr="00807DAF">
        <w:t>.</w:t>
      </w:r>
    </w:p>
    <w:p w14:paraId="78F0DD15" w14:textId="77777777" w:rsidR="00A4107F" w:rsidRDefault="00D23749" w:rsidP="00984331">
      <w:r w:rsidRPr="00807DAF">
        <w:t xml:space="preserve">This indicative timetable </w:t>
      </w:r>
      <w:r w:rsidR="00E76203">
        <w:t xml:space="preserve">refers to provisional dates (except for </w:t>
      </w:r>
      <w:r w:rsidR="00273299">
        <w:t xml:space="preserve">dates 2, 3, and 4) </w:t>
      </w:r>
      <w:r w:rsidR="00E76203" w:rsidRPr="00951BF6">
        <w:rPr>
          <w:szCs w:val="22"/>
        </w:rPr>
        <w:t xml:space="preserve">and </w:t>
      </w:r>
      <w:r w:rsidRPr="00807DAF">
        <w:t xml:space="preserve">may be </w:t>
      </w:r>
      <w:r w:rsidR="00E120C3" w:rsidRPr="00807DAF">
        <w:t>updated</w:t>
      </w:r>
      <w:r w:rsidRPr="00807DAF">
        <w:t xml:space="preserve"> by the Contracting Authority </w:t>
      </w:r>
      <w:r w:rsidR="00E120C3" w:rsidRPr="00807DAF">
        <w:t>during the procedure. In such case</w:t>
      </w:r>
      <w:r w:rsidR="009B7BB7" w:rsidRPr="00807DAF">
        <w:t>s</w:t>
      </w:r>
      <w:r w:rsidR="00E120C3" w:rsidRPr="00807DAF">
        <w:t>, t</w:t>
      </w:r>
      <w:r w:rsidRPr="00807DAF">
        <w:t xml:space="preserve">he updated timetable </w:t>
      </w:r>
      <w:r w:rsidR="009B7BB7" w:rsidRPr="00807DAF">
        <w:t xml:space="preserve">will </w:t>
      </w:r>
      <w:r w:rsidRPr="00807DAF">
        <w:t xml:space="preserve">be published </w:t>
      </w:r>
      <w:r w:rsidR="0046081F" w:rsidRPr="00807DAF">
        <w:t xml:space="preserve">on </w:t>
      </w:r>
      <w:r w:rsidRPr="00807DAF">
        <w:t>the</w:t>
      </w:r>
      <w:r w:rsidR="00A4107F">
        <w:t>:</w:t>
      </w:r>
    </w:p>
    <w:p w14:paraId="4B5E6D42" w14:textId="77777777" w:rsidR="00A4107F" w:rsidRDefault="00D23749" w:rsidP="00345D21">
      <w:pPr>
        <w:numPr>
          <w:ilvl w:val="0"/>
          <w:numId w:val="21"/>
        </w:numPr>
      </w:pPr>
      <w:proofErr w:type="spellStart"/>
      <w:r w:rsidRPr="00807DAF">
        <w:t>EuropeAid</w:t>
      </w:r>
      <w:proofErr w:type="spellEnd"/>
      <w:r w:rsidRPr="00807DAF">
        <w:t xml:space="preserve"> web site</w:t>
      </w:r>
      <w:r w:rsidR="009B7BB7" w:rsidRPr="00807DAF">
        <w:tab/>
      </w:r>
    </w:p>
    <w:p w14:paraId="009255EC" w14:textId="393A0CB1" w:rsidR="00B64F4C" w:rsidRDefault="00516696" w:rsidP="00A4107F">
      <w:pPr>
        <w:ind w:left="360"/>
        <w:rPr>
          <w:highlight w:val="lightGray"/>
        </w:rPr>
      </w:pPr>
      <w:hyperlink r:id="rId21" w:history="1">
        <w:r w:rsidR="00D0109C" w:rsidRPr="00807DAF">
          <w:rPr>
            <w:rStyle w:val="Hyperlink"/>
            <w:szCs w:val="22"/>
          </w:rPr>
          <w:t>https://webgate.ec.europa.eu/europeaid/online-services/index.cfm?do=publi.welcome</w:t>
        </w:r>
      </w:hyperlink>
      <w:r w:rsidR="00EB5876">
        <w:rPr>
          <w:rStyle w:val="Hyperlink"/>
          <w:szCs w:val="22"/>
        </w:rPr>
        <w:t xml:space="preserve"> </w:t>
      </w:r>
      <w:r w:rsidR="00C55820" w:rsidRPr="00B64F4C">
        <w:t xml:space="preserve">and </w:t>
      </w:r>
    </w:p>
    <w:p w14:paraId="08F6E327" w14:textId="77777777" w:rsidR="0013435B" w:rsidRDefault="00B64F4C" w:rsidP="00345D21">
      <w:pPr>
        <w:numPr>
          <w:ilvl w:val="0"/>
          <w:numId w:val="21"/>
        </w:numPr>
      </w:pPr>
      <w:r>
        <w:t>Website of the Contracting Authority:</w:t>
      </w:r>
    </w:p>
    <w:p w14:paraId="02750D4A" w14:textId="77777777" w:rsidR="00B64F4C" w:rsidRPr="00807DAF" w:rsidRDefault="00516696" w:rsidP="00B64F4C">
      <w:pPr>
        <w:ind w:left="360"/>
      </w:pPr>
      <w:hyperlink r:id="rId22" w:history="1">
        <w:r w:rsidR="00B64F4C" w:rsidRPr="00147229">
          <w:rPr>
            <w:rStyle w:val="Hyperlink"/>
            <w:szCs w:val="22"/>
          </w:rPr>
          <w:t>http://www.mif.gov.me/en/sections/CFCU_Tenders</w:t>
        </w:r>
      </w:hyperlink>
      <w:r w:rsidR="00B64F4C" w:rsidRPr="00147229">
        <w:rPr>
          <w:szCs w:val="22"/>
        </w:rPr>
        <w:t>.</w:t>
      </w:r>
    </w:p>
    <w:p w14:paraId="5F8B7EC0" w14:textId="77777777" w:rsidR="0007408E" w:rsidRPr="00881BFD" w:rsidRDefault="0007408E" w:rsidP="00F02ACE">
      <w:pPr>
        <w:pStyle w:val="Guidelines2"/>
      </w:pPr>
      <w:bookmarkStart w:id="31" w:name="_Toc40507655"/>
      <w:bookmarkStart w:id="32" w:name="_Toc502218278"/>
      <w:r w:rsidRPr="00881BFD">
        <w:lastRenderedPageBreak/>
        <w:t xml:space="preserve">Conditions </w:t>
      </w:r>
      <w:r w:rsidR="009B7BB7" w:rsidRPr="00881BFD">
        <w:t>for</w:t>
      </w:r>
      <w:r w:rsidRPr="00881BFD">
        <w:t xml:space="preserve"> implementation </w:t>
      </w:r>
      <w:r w:rsidR="009B7BB7" w:rsidRPr="00881BFD">
        <w:t>after</w:t>
      </w:r>
      <w:r w:rsidRPr="00881BFD">
        <w:t xml:space="preserve"> the </w:t>
      </w:r>
      <w:r w:rsidR="00265A33" w:rsidRPr="00881BFD">
        <w:t>C</w:t>
      </w:r>
      <w:r w:rsidRPr="00881BFD">
        <w:t xml:space="preserve">ontracting </w:t>
      </w:r>
      <w:r w:rsidR="00265A33" w:rsidRPr="00881BFD">
        <w:t>A</w:t>
      </w:r>
      <w:r w:rsidRPr="00881BFD">
        <w:t>uthority</w:t>
      </w:r>
      <w:r w:rsidR="00A016F9" w:rsidRPr="00881BFD">
        <w:t>’</w:t>
      </w:r>
      <w:r w:rsidRPr="00881BFD">
        <w:t>s decision to award a grant</w:t>
      </w:r>
      <w:bookmarkEnd w:id="31"/>
      <w:bookmarkEnd w:id="32"/>
    </w:p>
    <w:p w14:paraId="058A6A0E" w14:textId="04B8EA58" w:rsidR="00511FEE" w:rsidRPr="00807DAF" w:rsidRDefault="00511FEE" w:rsidP="002D4ACD">
      <w:pPr>
        <w:spacing w:after="120"/>
      </w:pPr>
      <w:r w:rsidRPr="00807DAF">
        <w:t xml:space="preserve">Following the decision to award a grant, the </w:t>
      </w:r>
      <w:proofErr w:type="gramStart"/>
      <w:r w:rsidR="00F65B55">
        <w:t>b</w:t>
      </w:r>
      <w:r w:rsidRPr="00807DAF">
        <w:t>eneficiary</w:t>
      </w:r>
      <w:r w:rsidR="00FA2479" w:rsidRPr="00807DAF">
        <w:t>(</w:t>
      </w:r>
      <w:proofErr w:type="spellStart"/>
      <w:proofErr w:type="gramEnd"/>
      <w:r w:rsidR="00FA2479" w:rsidRPr="00807DAF">
        <w:t>ies</w:t>
      </w:r>
      <w:proofErr w:type="spellEnd"/>
      <w:r w:rsidR="00FA2479" w:rsidRPr="00807DAF">
        <w:t>)</w:t>
      </w:r>
      <w:r w:rsidRPr="00807DAF">
        <w:t xml:space="preserve"> will be offered a contract based on the </w:t>
      </w:r>
      <w:r w:rsidR="00F65B55">
        <w:t xml:space="preserve">standard </w:t>
      </w:r>
      <w:r w:rsidR="00450369" w:rsidRPr="00807DAF">
        <w:t xml:space="preserve">grant </w:t>
      </w:r>
      <w:r w:rsidRPr="00807DAF">
        <w:t>contract (</w:t>
      </w:r>
      <w:r w:rsidR="00AA4FE0" w:rsidRPr="00807DAF">
        <w:t xml:space="preserve">see </w:t>
      </w:r>
      <w:r w:rsidRPr="00807DAF">
        <w:t xml:space="preserve">Annex </w:t>
      </w:r>
      <w:r w:rsidR="007D4E58" w:rsidRPr="00807DAF">
        <w:t>G</w:t>
      </w:r>
      <w:r w:rsidR="004A51E9" w:rsidRPr="00807DAF">
        <w:t xml:space="preserve"> of these </w:t>
      </w:r>
      <w:r w:rsidR="00FE6B79">
        <w:t>g</w:t>
      </w:r>
      <w:r w:rsidR="004A51E9" w:rsidRPr="00807DAF">
        <w:t>uidelines</w:t>
      </w:r>
      <w:r w:rsidRPr="00807DAF">
        <w:t xml:space="preserve">). </w:t>
      </w:r>
      <w:r w:rsidR="00D078E2" w:rsidRPr="00807DAF">
        <w:t xml:space="preserve">By signing the </w:t>
      </w:r>
      <w:r w:rsidR="009B7BB7" w:rsidRPr="00807DAF">
        <w:t>a</w:t>
      </w:r>
      <w:r w:rsidR="00D078E2" w:rsidRPr="00807DAF">
        <w:t>pplication form (Annex A</w:t>
      </w:r>
      <w:r w:rsidR="004A51E9" w:rsidRPr="00807DAF">
        <w:t xml:space="preserve"> of these </w:t>
      </w:r>
      <w:r w:rsidR="00F65B55">
        <w:t>g</w:t>
      </w:r>
      <w:r w:rsidR="004A51E9" w:rsidRPr="00807DAF">
        <w:t>uidelines</w:t>
      </w:r>
      <w:r w:rsidR="00D078E2" w:rsidRPr="00807DAF">
        <w:t>), the applicant</w:t>
      </w:r>
      <w:r w:rsidR="00FA2479" w:rsidRPr="00807DAF">
        <w:t>s</w:t>
      </w:r>
      <w:r w:rsidR="00D61CFD">
        <w:rPr>
          <w:lang w:val="sr-Cyrl-RS"/>
        </w:rPr>
        <w:t xml:space="preserve"> </w:t>
      </w:r>
      <w:r w:rsidR="009B7BB7" w:rsidRPr="00807DAF">
        <w:t>agree</w:t>
      </w:r>
      <w:r w:rsidR="00D078E2" w:rsidRPr="00807DAF">
        <w:t xml:space="preserve">, </w:t>
      </w:r>
      <w:r w:rsidR="009B7BB7" w:rsidRPr="00807DAF">
        <w:t>if</w:t>
      </w:r>
      <w:r w:rsidR="00D078E2" w:rsidRPr="00807DAF">
        <w:t xml:space="preserve"> awarded a grant,</w:t>
      </w:r>
      <w:r w:rsidR="009B7BB7" w:rsidRPr="00807DAF">
        <w:t xml:space="preserve"> to accept</w:t>
      </w:r>
      <w:r w:rsidR="00D078E2" w:rsidRPr="00807DAF">
        <w:t xml:space="preserve"> the </w:t>
      </w:r>
      <w:r w:rsidR="009B7BB7" w:rsidRPr="00807DAF">
        <w:t>c</w:t>
      </w:r>
      <w:r w:rsidR="00D078E2" w:rsidRPr="00807DAF">
        <w:t xml:space="preserve">ontractual conditions </w:t>
      </w:r>
      <w:r w:rsidR="009B7BB7" w:rsidRPr="00807DAF">
        <w:t>of</w:t>
      </w:r>
      <w:r w:rsidR="00D078E2" w:rsidRPr="00807DAF">
        <w:t xml:space="preserve"> the </w:t>
      </w:r>
      <w:r w:rsidR="00450369" w:rsidRPr="00807DAF">
        <w:t>standard grant contract</w:t>
      </w:r>
      <w:r w:rsidR="00D23C8D" w:rsidRPr="00807DAF">
        <w:t>.</w:t>
      </w:r>
      <w:r w:rsidR="00D61CFD">
        <w:rPr>
          <w:lang w:val="sr-Cyrl-RS"/>
        </w:rPr>
        <w:t xml:space="preserve"> </w:t>
      </w:r>
      <w:r w:rsidR="00530E9C">
        <w:t>Where the Coordinator is an organisation whose pillars have been positively assessed, it will sign a PA G</w:t>
      </w:r>
      <w:r w:rsidR="0033119E">
        <w:t xml:space="preserve">rant Agreement based on the </w:t>
      </w:r>
      <w:proofErr w:type="spellStart"/>
      <w:r w:rsidR="0033119E">
        <w:t>PAG</w:t>
      </w:r>
      <w:r w:rsidR="0025435C">
        <w:t>o</w:t>
      </w:r>
      <w:r w:rsidR="00530E9C">
        <w:t>DA</w:t>
      </w:r>
      <w:proofErr w:type="spellEnd"/>
      <w:r w:rsidR="00530E9C">
        <w:t xml:space="preserve"> template. In this case references to provisions of the standard grant contract and its annexes shall not apply. References in these </w:t>
      </w:r>
      <w:r w:rsidR="00F65B55">
        <w:t>g</w:t>
      </w:r>
      <w:r w:rsidR="00530E9C">
        <w:t xml:space="preserve">uidelines to the </w:t>
      </w:r>
      <w:r w:rsidR="00F65B55">
        <w:t>g</w:t>
      </w:r>
      <w:r w:rsidR="00530E9C">
        <w:t xml:space="preserve">rant </w:t>
      </w:r>
      <w:r w:rsidR="00F65B55">
        <w:t>c</w:t>
      </w:r>
      <w:r w:rsidR="00530E9C">
        <w:t>ontract shall be understood as references to the relevant provisions of the PA Grant Agreement.</w:t>
      </w:r>
    </w:p>
    <w:p w14:paraId="2A1342CD" w14:textId="77777777" w:rsidR="0007408E" w:rsidRPr="00807DAF" w:rsidRDefault="0007408E" w:rsidP="00984331">
      <w:pPr>
        <w:spacing w:before="240"/>
        <w:rPr>
          <w:u w:val="single"/>
        </w:rPr>
      </w:pPr>
      <w:r w:rsidRPr="00807DAF">
        <w:rPr>
          <w:u w:val="single"/>
        </w:rPr>
        <w:t>Implementation contracts</w:t>
      </w:r>
    </w:p>
    <w:p w14:paraId="3FF6704A" w14:textId="068050AE" w:rsidR="0007408E" w:rsidRPr="00807DAF" w:rsidRDefault="0007408E" w:rsidP="00984331">
      <w:r w:rsidRPr="00807DAF">
        <w:t xml:space="preserve">Where implementation of the action requires the </w:t>
      </w:r>
      <w:proofErr w:type="gramStart"/>
      <w:r w:rsidR="00F65B55">
        <w:t>b</w:t>
      </w:r>
      <w:r w:rsidRPr="00807DAF">
        <w:t>eneficiar</w:t>
      </w:r>
      <w:r w:rsidR="00544E5D" w:rsidRPr="00807DAF">
        <w:t>y(</w:t>
      </w:r>
      <w:proofErr w:type="spellStart"/>
      <w:proofErr w:type="gramEnd"/>
      <w:r w:rsidR="00544E5D" w:rsidRPr="00807DAF">
        <w:t>ies</w:t>
      </w:r>
      <w:proofErr w:type="spellEnd"/>
      <w:r w:rsidR="00544E5D" w:rsidRPr="00807DAF">
        <w:t>)</w:t>
      </w:r>
      <w:r w:rsidR="006B6F21">
        <w:t xml:space="preserve"> </w:t>
      </w:r>
      <w:r w:rsidR="00544E5D" w:rsidRPr="00807DAF">
        <w:t>and its affiliated entity(</w:t>
      </w:r>
      <w:proofErr w:type="spellStart"/>
      <w:r w:rsidR="00544E5D" w:rsidRPr="00807DAF">
        <w:t>ies</w:t>
      </w:r>
      <w:proofErr w:type="spellEnd"/>
      <w:r w:rsidR="00544E5D" w:rsidRPr="00807DAF">
        <w:t>) (if any)</w:t>
      </w:r>
      <w:r w:rsidR="006B6F21">
        <w:t xml:space="preserve"> </w:t>
      </w:r>
      <w:r w:rsidRPr="00807DAF">
        <w:t xml:space="preserve">to award procurement contracts, </w:t>
      </w:r>
      <w:r w:rsidR="00DC1934" w:rsidRPr="00807DAF">
        <w:t>those contracts must be awarded in accordance with</w:t>
      </w:r>
      <w:r w:rsidRPr="00807DAF">
        <w:t xml:space="preserve"> Annex IV to the </w:t>
      </w:r>
      <w:r w:rsidR="0046081F" w:rsidRPr="00807DAF">
        <w:t xml:space="preserve">standard grant </w:t>
      </w:r>
      <w:r w:rsidR="00D23749" w:rsidRPr="00807DAF">
        <w:t>contract</w:t>
      </w:r>
      <w:r w:rsidRPr="00807DAF">
        <w:t>.</w:t>
      </w:r>
    </w:p>
    <w:p w14:paraId="6C3E9B1A" w14:textId="77777777" w:rsidR="0007408E" w:rsidRPr="00807DAF" w:rsidRDefault="00267E4F" w:rsidP="00CE56AC">
      <w:pPr>
        <w:pStyle w:val="Guidelines1"/>
      </w:pPr>
      <w:bookmarkStart w:id="33" w:name="_Toc40507656"/>
      <w:r w:rsidRPr="00807DAF">
        <w:br w:type="page"/>
      </w:r>
      <w:bookmarkStart w:id="34" w:name="_Toc502218279"/>
      <w:r w:rsidR="0007408E" w:rsidRPr="00807DAF">
        <w:lastRenderedPageBreak/>
        <w:t>LIST OF annexes</w:t>
      </w:r>
      <w:bookmarkEnd w:id="33"/>
      <w:bookmarkEnd w:id="34"/>
    </w:p>
    <w:p w14:paraId="38D11494" w14:textId="4DF3A95F" w:rsidR="00112E4F" w:rsidRPr="00807DAF" w:rsidRDefault="00112E4F" w:rsidP="00600738">
      <w:pPr>
        <w:rPr>
          <w:b/>
          <w:smallCaps/>
        </w:rPr>
      </w:pPr>
      <w:bookmarkStart w:id="35" w:name="_Toc40507657"/>
      <w:r w:rsidRPr="00807DAF">
        <w:rPr>
          <w:b/>
          <w:smallCaps/>
        </w:rPr>
        <w:t>D</w:t>
      </w:r>
      <w:r w:rsidR="00600738" w:rsidRPr="00807DAF">
        <w:rPr>
          <w:b/>
          <w:smallCaps/>
        </w:rPr>
        <w:t>ocuments to</w:t>
      </w:r>
      <w:r w:rsidR="0086092D">
        <w:rPr>
          <w:b/>
          <w:smallCaps/>
        </w:rPr>
        <w:t xml:space="preserve"> </w:t>
      </w:r>
      <w:r w:rsidR="00E708CB" w:rsidRPr="00807DAF">
        <w:rPr>
          <w:b/>
          <w:smallCaps/>
        </w:rPr>
        <w:t>be completed</w:t>
      </w:r>
    </w:p>
    <w:p w14:paraId="480F4D67" w14:textId="77777777" w:rsidR="0007408E" w:rsidRPr="00807DAF" w:rsidRDefault="0007408E" w:rsidP="001C4D3A">
      <w:pPr>
        <w:spacing w:after="80"/>
        <w:ind w:left="1134" w:hanging="1134"/>
      </w:pPr>
      <w:r w:rsidRPr="00807DAF">
        <w:t>Annex A:</w:t>
      </w:r>
      <w:r w:rsidR="00600738" w:rsidRPr="00807DAF">
        <w:tab/>
      </w:r>
      <w:r w:rsidRPr="00807DAF">
        <w:t>Grant Application Form (Word format)</w:t>
      </w:r>
      <w:bookmarkEnd w:id="35"/>
    </w:p>
    <w:p w14:paraId="0E1947E1" w14:textId="77777777" w:rsidR="008D553A" w:rsidRPr="00807DAF" w:rsidRDefault="00600738" w:rsidP="001C4D3A">
      <w:pPr>
        <w:spacing w:after="80"/>
        <w:ind w:left="1134" w:hanging="1134"/>
      </w:pPr>
      <w:bookmarkStart w:id="36" w:name="_Toc40507658"/>
      <w:r w:rsidRPr="00807DAF">
        <w:t>Annex B:</w:t>
      </w:r>
      <w:r w:rsidRPr="00807DAF">
        <w:tab/>
      </w:r>
      <w:r w:rsidR="0007408E" w:rsidRPr="00807DAF">
        <w:t>Budget (Excel format)</w:t>
      </w:r>
      <w:bookmarkEnd w:id="36"/>
    </w:p>
    <w:p w14:paraId="7AE745F2" w14:textId="77777777" w:rsidR="0007408E" w:rsidRPr="00B64F4C" w:rsidRDefault="0007408E" w:rsidP="001C4D3A">
      <w:pPr>
        <w:spacing w:after="80"/>
        <w:ind w:left="1134" w:hanging="1134"/>
      </w:pPr>
      <w:bookmarkStart w:id="37" w:name="_Toc40507659"/>
      <w:r w:rsidRPr="00B64F4C">
        <w:t>Annex C:</w:t>
      </w:r>
      <w:r w:rsidR="00600738" w:rsidRPr="00B64F4C">
        <w:tab/>
      </w:r>
      <w:r w:rsidRPr="00B64F4C">
        <w:t>Logical Framework (Excel format)</w:t>
      </w:r>
      <w:bookmarkEnd w:id="37"/>
    </w:p>
    <w:p w14:paraId="1573527F" w14:textId="77777777" w:rsidR="0079640D" w:rsidRPr="00B64F4C" w:rsidRDefault="0007408E" w:rsidP="001C4D3A">
      <w:pPr>
        <w:spacing w:after="80"/>
        <w:ind w:left="1134" w:hanging="1134"/>
      </w:pPr>
      <w:bookmarkStart w:id="38" w:name="_Toc40507660"/>
      <w:r w:rsidRPr="00B64F4C">
        <w:t>Annex D:</w:t>
      </w:r>
      <w:bookmarkEnd w:id="38"/>
      <w:r w:rsidR="00600738" w:rsidRPr="00B64F4C">
        <w:tab/>
      </w:r>
      <w:r w:rsidR="00DB227A" w:rsidRPr="00B64F4C">
        <w:t xml:space="preserve">Legal Entity </w:t>
      </w:r>
      <w:r w:rsidR="00FA2043" w:rsidRPr="00B64F4C">
        <w:t>Sheet</w:t>
      </w:r>
      <w:r w:rsidR="00B54C9C" w:rsidRPr="00B64F4C">
        <w:rPr>
          <w:rStyle w:val="FootnoteReference"/>
        </w:rPr>
        <w:footnoteReference w:id="21"/>
      </w:r>
      <w:bookmarkStart w:id="39" w:name="_Toc40507661"/>
    </w:p>
    <w:p w14:paraId="0430961A" w14:textId="77777777" w:rsidR="00872E67" w:rsidRPr="00807DAF" w:rsidRDefault="00872E67" w:rsidP="001C4D3A">
      <w:pPr>
        <w:spacing w:after="80"/>
        <w:ind w:left="1134" w:hanging="1134"/>
      </w:pPr>
      <w:r w:rsidRPr="00B64F4C">
        <w:t>Annex E:</w:t>
      </w:r>
      <w:r w:rsidR="00600738" w:rsidRPr="00B64F4C">
        <w:tab/>
      </w:r>
      <w:r w:rsidRPr="00B64F4C">
        <w:t>Financial identification form</w:t>
      </w:r>
    </w:p>
    <w:p w14:paraId="56FB0D41" w14:textId="77777777" w:rsidR="00112E4F" w:rsidRPr="008503BC" w:rsidRDefault="00112E4F" w:rsidP="00600738">
      <w:pPr>
        <w:spacing w:before="240"/>
        <w:rPr>
          <w:b/>
          <w:smallCaps/>
        </w:rPr>
      </w:pPr>
      <w:r w:rsidRPr="008503BC">
        <w:rPr>
          <w:b/>
          <w:smallCaps/>
        </w:rPr>
        <w:t>DOCUMENTS FOR INFORMATION</w:t>
      </w:r>
      <w:r w:rsidR="0025435C">
        <w:rPr>
          <w:rStyle w:val="FootnoteReference"/>
          <w:b/>
          <w:smallCaps/>
          <w:lang w:val="fr-FR"/>
        </w:rPr>
        <w:footnoteReference w:id="22"/>
      </w:r>
    </w:p>
    <w:p w14:paraId="78385E16" w14:textId="77777777" w:rsidR="00946471" w:rsidRPr="008503BC" w:rsidRDefault="0007408E" w:rsidP="001C4D3A">
      <w:pPr>
        <w:spacing w:after="120"/>
        <w:ind w:left="1134" w:hanging="1134"/>
      </w:pPr>
      <w:r w:rsidRPr="008503BC">
        <w:t xml:space="preserve">Annex </w:t>
      </w:r>
      <w:r w:rsidR="00C067EC" w:rsidRPr="008503BC">
        <w:t>G</w:t>
      </w:r>
      <w:r w:rsidR="00600738" w:rsidRPr="008503BC">
        <w:t>:</w:t>
      </w:r>
      <w:r w:rsidR="00600738" w:rsidRPr="008503BC">
        <w:tab/>
      </w:r>
      <w:r w:rsidRPr="008503BC">
        <w:t xml:space="preserve">Standard </w:t>
      </w:r>
      <w:r w:rsidR="00450369" w:rsidRPr="008503BC">
        <w:t xml:space="preserve">Grant </w:t>
      </w:r>
      <w:r w:rsidRPr="008503BC">
        <w:t>Contract</w:t>
      </w:r>
    </w:p>
    <w:bookmarkEnd w:id="39"/>
    <w:p w14:paraId="257E6C47" w14:textId="77777777" w:rsidR="00946471" w:rsidRPr="00807DAF" w:rsidRDefault="005677E7" w:rsidP="00BC0D86">
      <w:pPr>
        <w:tabs>
          <w:tab w:val="left" w:pos="567"/>
          <w:tab w:val="left" w:pos="1701"/>
        </w:tabs>
        <w:spacing w:after="0"/>
        <w:ind w:left="1701" w:hanging="1276"/>
      </w:pPr>
      <w:r w:rsidRPr="00807DAF">
        <w:t>-</w:t>
      </w:r>
      <w:r w:rsidR="00946471" w:rsidRPr="00807DAF">
        <w:tab/>
      </w:r>
      <w:r w:rsidRPr="00807DAF">
        <w:t>Annex II:</w:t>
      </w:r>
      <w:r w:rsidR="00946471" w:rsidRPr="00807DAF">
        <w:tab/>
      </w:r>
      <w:r w:rsidR="00151EDE">
        <w:t>g</w:t>
      </w:r>
      <w:r w:rsidRPr="00807DAF">
        <w:t xml:space="preserve">eneral conditions </w:t>
      </w:r>
    </w:p>
    <w:p w14:paraId="7E0CA40D" w14:textId="77777777" w:rsidR="00946471" w:rsidRPr="00807DAF" w:rsidRDefault="005677E7" w:rsidP="00BC0D86">
      <w:pPr>
        <w:tabs>
          <w:tab w:val="left" w:pos="567"/>
          <w:tab w:val="left" w:pos="1701"/>
        </w:tabs>
        <w:spacing w:after="0"/>
        <w:ind w:left="1701" w:hanging="1276"/>
      </w:pPr>
      <w:r w:rsidRPr="00807DAF">
        <w:t>-</w:t>
      </w:r>
      <w:r w:rsidR="00946471" w:rsidRPr="00807DAF">
        <w:tab/>
      </w:r>
      <w:r w:rsidRPr="00807DAF">
        <w:t>Annex IV</w:t>
      </w:r>
      <w:r w:rsidR="004D7B57" w:rsidRPr="00807DAF">
        <w:t>:</w:t>
      </w:r>
      <w:r w:rsidR="00946471" w:rsidRPr="00807DAF">
        <w:tab/>
      </w:r>
      <w:r w:rsidRPr="00807DAF">
        <w:t xml:space="preserve">contract award </w:t>
      </w:r>
      <w:r w:rsidR="00333E48">
        <w:t>rules</w:t>
      </w:r>
    </w:p>
    <w:p w14:paraId="45FE72C5" w14:textId="77777777" w:rsidR="00946471" w:rsidRPr="00807DAF" w:rsidRDefault="005677E7" w:rsidP="00BC0D86">
      <w:pPr>
        <w:tabs>
          <w:tab w:val="left" w:pos="567"/>
          <w:tab w:val="left" w:pos="1701"/>
        </w:tabs>
        <w:spacing w:after="0"/>
        <w:ind w:left="1701" w:hanging="1276"/>
      </w:pPr>
      <w:r w:rsidRPr="00807DAF">
        <w:t>-</w:t>
      </w:r>
      <w:r w:rsidR="00946471" w:rsidRPr="00807DAF">
        <w:tab/>
      </w:r>
      <w:r w:rsidRPr="00807DAF">
        <w:t>A</w:t>
      </w:r>
      <w:r w:rsidR="00600738" w:rsidRPr="00807DAF">
        <w:t>nnex</w:t>
      </w:r>
      <w:r w:rsidRPr="00807DAF">
        <w:t xml:space="preserve"> V</w:t>
      </w:r>
      <w:r w:rsidR="004D7B57" w:rsidRPr="00807DAF">
        <w:t>:</w:t>
      </w:r>
      <w:r w:rsidR="00946471" w:rsidRPr="00807DAF">
        <w:tab/>
      </w:r>
      <w:r w:rsidRPr="00807DAF">
        <w:t>standard request for payment</w:t>
      </w:r>
    </w:p>
    <w:p w14:paraId="4D85C6B5" w14:textId="77777777" w:rsidR="00946471" w:rsidRPr="00807DAF" w:rsidRDefault="005677E7" w:rsidP="00BC0D86">
      <w:pPr>
        <w:tabs>
          <w:tab w:val="left" w:pos="567"/>
          <w:tab w:val="left" w:pos="1701"/>
        </w:tabs>
        <w:spacing w:after="0"/>
        <w:ind w:left="1701" w:hanging="1276"/>
      </w:pPr>
      <w:r w:rsidRPr="00807DAF">
        <w:t>-</w:t>
      </w:r>
      <w:r w:rsidR="00946471" w:rsidRPr="00807DAF">
        <w:tab/>
      </w:r>
      <w:r w:rsidR="009D141D" w:rsidRPr="00807DAF">
        <w:t>A</w:t>
      </w:r>
      <w:r w:rsidRPr="00807DAF">
        <w:t>nnex VI</w:t>
      </w:r>
      <w:r w:rsidR="004D7B57" w:rsidRPr="00807DAF">
        <w:t>:</w:t>
      </w:r>
      <w:r w:rsidR="00946471" w:rsidRPr="00807DAF">
        <w:tab/>
      </w:r>
      <w:r w:rsidRPr="00807DAF">
        <w:t>model narrative and financial report</w:t>
      </w:r>
    </w:p>
    <w:p w14:paraId="2024F11C" w14:textId="77777777" w:rsidR="00946471" w:rsidRPr="00DA4A12" w:rsidRDefault="00600738" w:rsidP="00BC0D86">
      <w:pPr>
        <w:tabs>
          <w:tab w:val="left" w:pos="567"/>
          <w:tab w:val="left" w:pos="1701"/>
        </w:tabs>
        <w:spacing w:after="0"/>
        <w:ind w:left="1701" w:hanging="1276"/>
      </w:pPr>
      <w:r w:rsidRPr="00B64F4C">
        <w:t>-A</w:t>
      </w:r>
      <w:r w:rsidR="005677E7" w:rsidRPr="00B64F4C">
        <w:t xml:space="preserve">nnex </w:t>
      </w:r>
      <w:r w:rsidRPr="00B64F4C">
        <w:t>VII</w:t>
      </w:r>
      <w:r w:rsidR="005677E7" w:rsidRPr="00B64F4C">
        <w:t>:</w:t>
      </w:r>
      <w:r w:rsidR="00946471" w:rsidRPr="00B64F4C">
        <w:tab/>
      </w:r>
      <w:r w:rsidR="005677E7" w:rsidRPr="00B64F4C">
        <w:t xml:space="preserve">model report of factual findings and terms of reference for an expenditure verification of an </w:t>
      </w:r>
      <w:r w:rsidR="00D23749" w:rsidRPr="00B64F4C">
        <w:t xml:space="preserve">EU </w:t>
      </w:r>
      <w:r w:rsidR="005677E7" w:rsidRPr="00B64F4C">
        <w:t xml:space="preserve">financed grant contract </w:t>
      </w:r>
      <w:r w:rsidR="00DA4A12">
        <w:t>for external action</w:t>
      </w:r>
    </w:p>
    <w:p w14:paraId="44429377" w14:textId="4502E239" w:rsidR="005677E7" w:rsidRDefault="005677E7" w:rsidP="00BC0D86">
      <w:pPr>
        <w:tabs>
          <w:tab w:val="left" w:pos="567"/>
          <w:tab w:val="left" w:pos="1701"/>
        </w:tabs>
        <w:spacing w:after="0"/>
        <w:ind w:left="1701" w:hanging="1276"/>
      </w:pPr>
      <w:r w:rsidRPr="00DA4A12">
        <w:t>-</w:t>
      </w:r>
      <w:r w:rsidR="00600738" w:rsidRPr="00DA4A12">
        <w:t>A</w:t>
      </w:r>
      <w:r w:rsidR="00946471" w:rsidRPr="00DA4A12">
        <w:t>nnex</w:t>
      </w:r>
      <w:r w:rsidR="00D61CFD">
        <w:rPr>
          <w:lang w:val="sr-Cyrl-RS"/>
        </w:rPr>
        <w:t xml:space="preserve"> </w:t>
      </w:r>
      <w:r w:rsidR="00600738" w:rsidRPr="00DA4A12">
        <w:t>VIII</w:t>
      </w:r>
      <w:r w:rsidRPr="00DA4A12">
        <w:t>:</w:t>
      </w:r>
      <w:r w:rsidR="00946471" w:rsidRPr="00DA4A12">
        <w:tab/>
        <w:t>model financial guarantee</w:t>
      </w:r>
    </w:p>
    <w:p w14:paraId="49202355" w14:textId="77777777" w:rsidR="00DA4A12" w:rsidRPr="00DA4A12" w:rsidRDefault="00DA4A12" w:rsidP="00BC0D86">
      <w:pPr>
        <w:tabs>
          <w:tab w:val="left" w:pos="567"/>
          <w:tab w:val="left" w:pos="1701"/>
        </w:tabs>
        <w:spacing w:after="0"/>
        <w:ind w:left="1701" w:hanging="1276"/>
      </w:pPr>
      <w:r>
        <w:t>-Annex IX:   standard template for transfer of ownership of assets</w:t>
      </w:r>
    </w:p>
    <w:p w14:paraId="70F84B51" w14:textId="77777777" w:rsidR="0048369D" w:rsidRPr="00807DAF" w:rsidRDefault="0048369D" w:rsidP="001C4D3A">
      <w:pPr>
        <w:tabs>
          <w:tab w:val="left" w:pos="567"/>
          <w:tab w:val="left" w:pos="1701"/>
        </w:tabs>
        <w:spacing w:after="0"/>
      </w:pPr>
    </w:p>
    <w:p w14:paraId="006E61A9" w14:textId="77777777" w:rsidR="00B64F4C" w:rsidRDefault="00112E4F" w:rsidP="001C4D3A">
      <w:pPr>
        <w:tabs>
          <w:tab w:val="left" w:pos="1134"/>
        </w:tabs>
        <w:spacing w:after="120"/>
        <w:ind w:left="1134" w:hanging="1134"/>
        <w:jc w:val="left"/>
        <w:rPr>
          <w:szCs w:val="22"/>
        </w:rPr>
      </w:pPr>
      <w:r w:rsidRPr="00807DAF">
        <w:rPr>
          <w:szCs w:val="22"/>
        </w:rPr>
        <w:t>A</w:t>
      </w:r>
      <w:r w:rsidR="00600738" w:rsidRPr="00807DAF">
        <w:rPr>
          <w:szCs w:val="22"/>
        </w:rPr>
        <w:t>nnex H:</w:t>
      </w:r>
      <w:r w:rsidR="00600738" w:rsidRPr="00807DAF">
        <w:rPr>
          <w:szCs w:val="22"/>
        </w:rPr>
        <w:tab/>
      </w:r>
      <w:r w:rsidR="00AA4FE0" w:rsidRPr="00807DAF">
        <w:rPr>
          <w:szCs w:val="22"/>
        </w:rPr>
        <w:t>Daily allowance rates (</w:t>
      </w:r>
      <w:r w:rsidRPr="00807DAF">
        <w:rPr>
          <w:szCs w:val="22"/>
        </w:rPr>
        <w:t xml:space="preserve">Per </w:t>
      </w:r>
      <w:proofErr w:type="gramStart"/>
      <w:r w:rsidRPr="00807DAF">
        <w:rPr>
          <w:szCs w:val="22"/>
        </w:rPr>
        <w:t>diem</w:t>
      </w:r>
      <w:proofErr w:type="gramEnd"/>
      <w:r w:rsidR="00AA4FE0" w:rsidRPr="00807DAF">
        <w:rPr>
          <w:szCs w:val="22"/>
        </w:rPr>
        <w:t>)</w:t>
      </w:r>
      <w:r w:rsidRPr="00807DAF">
        <w:rPr>
          <w:szCs w:val="22"/>
        </w:rPr>
        <w:t xml:space="preserve">, available at the following address: </w:t>
      </w:r>
      <w:hyperlink r:id="rId23" w:history="1">
        <w:r w:rsidR="004B7BC2" w:rsidRPr="00EA7062">
          <w:rPr>
            <w:rStyle w:val="Hyperlink"/>
            <w:szCs w:val="22"/>
          </w:rPr>
          <w:t>http://ec.europa.eu/europeaid/funding/about-procurement-contracts/procedures-and-practical-guide-prag/diems_en</w:t>
        </w:r>
      </w:hyperlink>
      <w:bookmarkStart w:id="40" w:name="_Toc216513983"/>
    </w:p>
    <w:p w14:paraId="25A52DFE" w14:textId="77777777" w:rsidR="00151EDE" w:rsidRPr="00807DAF" w:rsidRDefault="00151EDE" w:rsidP="001C4D3A">
      <w:pPr>
        <w:tabs>
          <w:tab w:val="left" w:pos="1134"/>
        </w:tabs>
        <w:spacing w:after="120"/>
        <w:ind w:left="1134" w:hanging="1134"/>
        <w:jc w:val="left"/>
        <w:rPr>
          <w:szCs w:val="22"/>
        </w:rPr>
      </w:pPr>
      <w:r w:rsidRPr="00807DAF">
        <w:rPr>
          <w:szCs w:val="22"/>
        </w:rPr>
        <w:t>A</w:t>
      </w:r>
      <w:r>
        <w:rPr>
          <w:szCs w:val="22"/>
        </w:rPr>
        <w:t>nnex</w:t>
      </w:r>
      <w:r w:rsidRPr="00807DAF">
        <w:rPr>
          <w:szCs w:val="22"/>
        </w:rPr>
        <w:t xml:space="preserve"> J:</w:t>
      </w:r>
      <w:r w:rsidRPr="00807DAF">
        <w:rPr>
          <w:szCs w:val="22"/>
        </w:rPr>
        <w:tab/>
        <w:t>Information on the tax regime applicable to grant contracts signed under the call.</w:t>
      </w:r>
    </w:p>
    <w:p w14:paraId="4CE23973" w14:textId="77777777" w:rsidR="00211B8D" w:rsidRPr="008503BC" w:rsidRDefault="00600738" w:rsidP="001C4D3A">
      <w:pPr>
        <w:tabs>
          <w:tab w:val="left" w:pos="1134"/>
        </w:tabs>
        <w:spacing w:after="0"/>
        <w:ind w:left="1134" w:hanging="1134"/>
        <w:jc w:val="left"/>
        <w:rPr>
          <w:szCs w:val="22"/>
        </w:rPr>
      </w:pPr>
      <w:r w:rsidRPr="008503BC">
        <w:rPr>
          <w:szCs w:val="22"/>
        </w:rPr>
        <w:t xml:space="preserve">Annex </w:t>
      </w:r>
      <w:r w:rsidR="00151EDE">
        <w:rPr>
          <w:szCs w:val="22"/>
        </w:rPr>
        <w:t>K</w:t>
      </w:r>
      <w:r w:rsidRPr="008503BC">
        <w:rPr>
          <w:szCs w:val="22"/>
        </w:rPr>
        <w:t>:</w:t>
      </w:r>
      <w:r w:rsidRPr="008503BC">
        <w:rPr>
          <w:szCs w:val="22"/>
        </w:rPr>
        <w:tab/>
      </w:r>
      <w:r w:rsidR="00211B8D" w:rsidRPr="008503BC">
        <w:rPr>
          <w:szCs w:val="22"/>
        </w:rPr>
        <w:t>G</w:t>
      </w:r>
      <w:r w:rsidRPr="008503BC">
        <w:rPr>
          <w:szCs w:val="22"/>
        </w:rPr>
        <w:t>uidelines and Checklist for assessing</w:t>
      </w:r>
      <w:r w:rsidR="00211B8D" w:rsidRPr="008503BC">
        <w:rPr>
          <w:szCs w:val="22"/>
        </w:rPr>
        <w:t xml:space="preserve"> B</w:t>
      </w:r>
      <w:r w:rsidRPr="008503BC">
        <w:rPr>
          <w:szCs w:val="22"/>
        </w:rPr>
        <w:t>udget and Simplified cost options</w:t>
      </w:r>
      <w:r w:rsidR="00211B8D" w:rsidRPr="008503BC">
        <w:rPr>
          <w:szCs w:val="22"/>
        </w:rPr>
        <w:t>.</w:t>
      </w:r>
    </w:p>
    <w:p w14:paraId="1DC2BD65" w14:textId="77777777" w:rsidR="006F4ACD" w:rsidRPr="00807DAF" w:rsidRDefault="006F4ACD" w:rsidP="002D4ACD">
      <w:pPr>
        <w:spacing w:before="240"/>
        <w:jc w:val="left"/>
        <w:rPr>
          <w:b/>
          <w:szCs w:val="22"/>
        </w:rPr>
      </w:pPr>
      <w:bookmarkStart w:id="41" w:name="_Toc216513984"/>
      <w:bookmarkEnd w:id="40"/>
      <w:r w:rsidRPr="00807DAF">
        <w:rPr>
          <w:b/>
          <w:szCs w:val="22"/>
        </w:rPr>
        <w:t>Useful links:</w:t>
      </w:r>
    </w:p>
    <w:p w14:paraId="52E887EF" w14:textId="77777777" w:rsidR="00345514" w:rsidRPr="00807DAF" w:rsidRDefault="00345514" w:rsidP="001C4D3A">
      <w:pPr>
        <w:spacing w:after="0"/>
        <w:jc w:val="left"/>
        <w:rPr>
          <w:b/>
          <w:szCs w:val="22"/>
        </w:rPr>
      </w:pPr>
      <w:r w:rsidRPr="00807DAF">
        <w:rPr>
          <w:b/>
          <w:szCs w:val="22"/>
        </w:rPr>
        <w:t>Project Cycle Management Guidelines</w:t>
      </w:r>
      <w:bookmarkEnd w:id="41"/>
    </w:p>
    <w:p w14:paraId="3DB3B72A" w14:textId="77777777" w:rsidR="00176C61" w:rsidRDefault="00516696" w:rsidP="001C4D3A">
      <w:pPr>
        <w:spacing w:after="120"/>
        <w:jc w:val="left"/>
        <w:rPr>
          <w:rStyle w:val="Hyperlink"/>
          <w:szCs w:val="22"/>
        </w:rPr>
      </w:pPr>
      <w:hyperlink r:id="rId24" w:history="1">
        <w:r w:rsidR="009C7178" w:rsidRPr="009D136D">
          <w:rPr>
            <w:rStyle w:val="Hyperlink"/>
            <w:szCs w:val="22"/>
          </w:rPr>
          <w:t>http://ec.europa.eu/europeaid/aid-delivery-methods-project-cycle-management-guidelines-vol-1_en</w:t>
        </w:r>
      </w:hyperlink>
    </w:p>
    <w:p w14:paraId="328689D8" w14:textId="77777777" w:rsidR="00034524" w:rsidRDefault="00BB518F" w:rsidP="001C4D3A">
      <w:pPr>
        <w:spacing w:before="120" w:after="120"/>
        <w:jc w:val="left"/>
        <w:rPr>
          <w:b/>
          <w:szCs w:val="22"/>
        </w:rPr>
      </w:pPr>
      <w:r w:rsidRPr="00807DAF">
        <w:rPr>
          <w:b/>
          <w:szCs w:val="22"/>
        </w:rPr>
        <w:t>The implementation of grant contracts</w:t>
      </w:r>
    </w:p>
    <w:p w14:paraId="6E62F729" w14:textId="77777777" w:rsidR="00BB518F" w:rsidRPr="00807DAF" w:rsidRDefault="00BB518F" w:rsidP="001C4D3A">
      <w:pPr>
        <w:spacing w:after="0"/>
        <w:jc w:val="left"/>
        <w:rPr>
          <w:b/>
          <w:szCs w:val="22"/>
        </w:rPr>
      </w:pPr>
      <w:r w:rsidRPr="00807DAF">
        <w:rPr>
          <w:b/>
          <w:szCs w:val="22"/>
        </w:rPr>
        <w:t>A Users' Guide</w:t>
      </w:r>
    </w:p>
    <w:p w14:paraId="65B0DBF9" w14:textId="77777777" w:rsidR="002573AC" w:rsidRPr="00807DAF" w:rsidRDefault="00516696" w:rsidP="001C4D3A">
      <w:pPr>
        <w:spacing w:after="120"/>
        <w:jc w:val="left"/>
        <w:rPr>
          <w:b/>
          <w:szCs w:val="22"/>
        </w:rPr>
      </w:pPr>
      <w:hyperlink r:id="rId25" w:history="1">
        <w:r w:rsidR="00034524" w:rsidRPr="00FE3AC1">
          <w:rPr>
            <w:rStyle w:val="Hyperlink"/>
            <w:szCs w:val="22"/>
          </w:rPr>
          <w:t>http://ec.europa.eu/europeaid/companion/document.do?nodeNumber=19&amp;locale=en</w:t>
        </w:r>
      </w:hyperlink>
    </w:p>
    <w:p w14:paraId="4CF3D7DE" w14:textId="77777777" w:rsidR="001E10DA" w:rsidRPr="008503BC" w:rsidRDefault="001E10DA" w:rsidP="001C4D3A">
      <w:pPr>
        <w:spacing w:before="120" w:after="0"/>
        <w:jc w:val="left"/>
        <w:rPr>
          <w:b/>
          <w:szCs w:val="22"/>
        </w:rPr>
      </w:pPr>
      <w:r w:rsidRPr="008503BC">
        <w:rPr>
          <w:b/>
          <w:szCs w:val="22"/>
        </w:rPr>
        <w:t>Financial Toolkit</w:t>
      </w:r>
      <w:r w:rsidR="0061182F" w:rsidRPr="008503BC">
        <w:rPr>
          <w:b/>
          <w:szCs w:val="22"/>
        </w:rPr>
        <w:tab/>
      </w:r>
    </w:p>
    <w:p w14:paraId="41AD3584" w14:textId="77777777" w:rsidR="00197634" w:rsidRDefault="00516696" w:rsidP="001C4D3A">
      <w:pPr>
        <w:spacing w:after="120"/>
        <w:rPr>
          <w:rStyle w:val="Hyperlink"/>
          <w:szCs w:val="22"/>
        </w:rPr>
      </w:pPr>
      <w:hyperlink r:id="rId26" w:history="1">
        <w:r w:rsidR="00034524" w:rsidRPr="008503BC">
          <w:rPr>
            <w:rStyle w:val="Hyperlink"/>
            <w:szCs w:val="22"/>
          </w:rPr>
          <w:t>http://ec.europa.eu/europeaid/funding/procedures-beneficiary-countries-and-partners/financial-management-toolkit_en</w:t>
        </w:r>
      </w:hyperlink>
    </w:p>
    <w:p w14:paraId="2CEAE8F0" w14:textId="77777777" w:rsidR="001E1E01" w:rsidRPr="008503BC" w:rsidRDefault="001E1E01" w:rsidP="001C4D3A">
      <w:pPr>
        <w:spacing w:after="120"/>
        <w:rPr>
          <w:szCs w:val="22"/>
        </w:rPr>
      </w:pPr>
    </w:p>
    <w:p w14:paraId="4AF70CD0" w14:textId="77777777" w:rsidR="001C4D3A" w:rsidRPr="00712ADB" w:rsidRDefault="00197634" w:rsidP="001C4D3A">
      <w:pPr>
        <w:spacing w:after="0"/>
        <w:rPr>
          <w:iCs/>
          <w:color w:val="000000"/>
        </w:rPr>
      </w:pPr>
      <w:r w:rsidRPr="00712ADB">
        <w:rPr>
          <w:iCs/>
          <w:color w:val="000000"/>
        </w:rPr>
        <w:t xml:space="preserve">Please note: The toolkit is not part of the </w:t>
      </w:r>
      <w:r w:rsidR="0025435C" w:rsidRPr="00712ADB">
        <w:rPr>
          <w:iCs/>
          <w:color w:val="000000"/>
        </w:rPr>
        <w:t>g</w:t>
      </w:r>
      <w:r w:rsidRPr="00712ADB">
        <w:rPr>
          <w:iCs/>
          <w:color w:val="000000"/>
        </w:rPr>
        <w:t xml:space="preserve">rant </w:t>
      </w:r>
      <w:r w:rsidR="0025435C" w:rsidRPr="00712ADB">
        <w:rPr>
          <w:iCs/>
          <w:color w:val="000000"/>
        </w:rPr>
        <w:t>c</w:t>
      </w:r>
      <w:r w:rsidRPr="00712ADB">
        <w:rPr>
          <w:iCs/>
          <w:color w:val="000000"/>
        </w:rPr>
        <w:t>ontract and has no legal value. It merely provides general guidance and may in some d</w:t>
      </w:r>
      <w:r w:rsidR="0025435C" w:rsidRPr="00712ADB">
        <w:rPr>
          <w:iCs/>
          <w:color w:val="000000"/>
        </w:rPr>
        <w:t>etails differ from the signed g</w:t>
      </w:r>
      <w:r w:rsidRPr="00712ADB">
        <w:rPr>
          <w:iCs/>
          <w:color w:val="000000"/>
        </w:rPr>
        <w:t xml:space="preserve">rant </w:t>
      </w:r>
      <w:r w:rsidR="0025435C" w:rsidRPr="00712ADB">
        <w:rPr>
          <w:iCs/>
          <w:color w:val="000000"/>
        </w:rPr>
        <w:t>c</w:t>
      </w:r>
      <w:r w:rsidRPr="00712ADB">
        <w:rPr>
          <w:iCs/>
          <w:color w:val="000000"/>
        </w:rPr>
        <w:t xml:space="preserve">ontract. In order to ensure compliance with their contractual obligations </w:t>
      </w:r>
      <w:r w:rsidR="0025435C" w:rsidRPr="00712ADB">
        <w:rPr>
          <w:iCs/>
          <w:color w:val="000000"/>
        </w:rPr>
        <w:t>b</w:t>
      </w:r>
      <w:r w:rsidRPr="00712ADB">
        <w:rPr>
          <w:iCs/>
          <w:color w:val="000000"/>
        </w:rPr>
        <w:t>eneficiaries should not exclusively rely on the toolkit but always consult their</w:t>
      </w:r>
      <w:r w:rsidR="001C4D3A" w:rsidRPr="00712ADB">
        <w:rPr>
          <w:iCs/>
          <w:color w:val="000000"/>
        </w:rPr>
        <w:t xml:space="preserve"> individual contract documents.</w:t>
      </w:r>
    </w:p>
    <w:p w14:paraId="02B3684D" w14:textId="77777777" w:rsidR="002573AC" w:rsidRPr="00807DAF" w:rsidRDefault="005D7AF3" w:rsidP="001C4D3A">
      <w:pPr>
        <w:spacing w:after="0"/>
        <w:jc w:val="center"/>
        <w:rPr>
          <w:b/>
          <w:szCs w:val="22"/>
          <w:highlight w:val="magenta"/>
          <w:lang w:val="pt-PT"/>
        </w:rPr>
      </w:pPr>
      <w:r w:rsidRPr="00712ADB">
        <w:rPr>
          <w:color w:val="000000"/>
          <w:szCs w:val="22"/>
          <w:lang w:val="pt-PT"/>
        </w:rPr>
        <w:t>* * *</w:t>
      </w:r>
    </w:p>
    <w:sectPr w:rsidR="002573AC" w:rsidRPr="00807DAF" w:rsidSect="002D4ACD">
      <w:pgSz w:w="11906" w:h="16838" w:code="9"/>
      <w:pgMar w:top="1021" w:right="1134" w:bottom="1021" w:left="1134" w:header="567" w:footer="545"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2F4854" w15:done="0"/>
  <w15:commentEx w15:paraId="70B1C9F4" w15:done="0"/>
  <w15:commentEx w15:paraId="111A919A" w15:done="0"/>
  <w15:commentEx w15:paraId="2A20EE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7A34B" w14:textId="77777777" w:rsidR="00516696" w:rsidRDefault="00516696">
      <w:r>
        <w:separator/>
      </w:r>
    </w:p>
    <w:p w14:paraId="6BC05A72" w14:textId="77777777" w:rsidR="00516696" w:rsidRDefault="00516696"/>
  </w:endnote>
  <w:endnote w:type="continuationSeparator" w:id="0">
    <w:p w14:paraId="2D445A2F" w14:textId="77777777" w:rsidR="00516696" w:rsidRDefault="00516696">
      <w:r>
        <w:continuationSeparator/>
      </w:r>
    </w:p>
    <w:p w14:paraId="3244835C" w14:textId="77777777" w:rsidR="00516696" w:rsidRDefault="00516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charset w:val="00"/>
    <w:family w:val="auto"/>
    <w:pitch w:val="variable"/>
    <w:sig w:usb0="00000003"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32FC3" w14:textId="77777777" w:rsidR="00516696" w:rsidRPr="00A016F9" w:rsidRDefault="00516696" w:rsidP="004B4983">
    <w:pPr>
      <w:pStyle w:val="Footer"/>
      <w:tabs>
        <w:tab w:val="right" w:pos="9639"/>
      </w:tabs>
      <w:spacing w:after="0"/>
      <w:rPr>
        <w:rFonts w:ascii="Times New Roman" w:hAnsi="Times New Roman"/>
        <w:sz w:val="18"/>
        <w:szCs w:val="18"/>
      </w:rPr>
    </w:pPr>
    <w:r w:rsidRPr="00A016F9">
      <w:rPr>
        <w:rFonts w:ascii="Times New Roman" w:hAnsi="Times New Roman"/>
        <w:sz w:val="18"/>
        <w:szCs w:val="18"/>
      </w:rPr>
      <w:tab/>
    </w:r>
  </w:p>
  <w:p w14:paraId="3EAC46A6" w14:textId="77777777" w:rsidR="00516696" w:rsidRDefault="00516696" w:rsidP="004B4983">
    <w:pPr>
      <w:pStyle w:val="Footer"/>
      <w:tabs>
        <w:tab w:val="right" w:pos="9639"/>
      </w:tabs>
      <w:spacing w:after="0"/>
      <w:rPr>
        <w:rFonts w:ascii="Times New Roman" w:hAnsi="Times New Roman"/>
        <w:sz w:val="18"/>
        <w:szCs w:val="18"/>
      </w:rPr>
    </w:pPr>
    <w:r w:rsidRPr="00A016F9">
      <w:rPr>
        <w:rFonts w:ascii="Times New Roman" w:hAnsi="Times New Roman"/>
        <w:sz w:val="18"/>
        <w:szCs w:val="18"/>
      </w:rPr>
      <w:tab/>
    </w:r>
  </w:p>
  <w:p w14:paraId="721F1D0D" w14:textId="77777777" w:rsidR="00516696" w:rsidRDefault="00516696" w:rsidP="004B4983">
    <w:pPr>
      <w:pStyle w:val="Footer"/>
      <w:tabs>
        <w:tab w:val="right" w:pos="9639"/>
      </w:tabs>
      <w:spacing w:after="0"/>
      <w:rPr>
        <w:rFonts w:ascii="Times New Roman" w:hAnsi="Times New Roman"/>
        <w:sz w:val="18"/>
        <w:szCs w:val="18"/>
      </w:rPr>
    </w:pPr>
    <w:r w:rsidRPr="00A016F9">
      <w:rPr>
        <w:rFonts w:ascii="Times New Roman" w:hAnsi="Times New Roman"/>
        <w:sz w:val="18"/>
        <w:szCs w:val="18"/>
      </w:rPr>
      <w:tab/>
    </w:r>
  </w:p>
  <w:p w14:paraId="2EAA7841" w14:textId="00504BFF" w:rsidR="00516696" w:rsidRDefault="00516696" w:rsidP="004B4983">
    <w:pPr>
      <w:pStyle w:val="Footer"/>
      <w:tabs>
        <w:tab w:val="right" w:pos="9639"/>
      </w:tabs>
      <w:spacing w:after="0"/>
      <w:rPr>
        <w:rFonts w:ascii="Times New Roman" w:hAnsi="Times New Roman"/>
        <w:sz w:val="18"/>
        <w:szCs w:val="18"/>
      </w:rPr>
    </w:pP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423E35">
      <w:rPr>
        <w:rFonts w:ascii="Times New Roman" w:hAnsi="Times New Roman"/>
        <w:noProof/>
        <w:sz w:val="18"/>
        <w:szCs w:val="18"/>
      </w:rPr>
      <w:t>33</w:t>
    </w:r>
    <w:r>
      <w:rPr>
        <w:rFonts w:ascii="Times New Roman" w:hAnsi="Times New Roman"/>
        <w:sz w:val="18"/>
        <w:szCs w:val="18"/>
      </w:rPr>
      <w:fldChar w:fldCharType="end"/>
    </w:r>
    <w:r w:rsidRPr="00A016F9">
      <w:rPr>
        <w:rFonts w:ascii="Times New Roman" w:hAnsi="Times New Roman"/>
        <w:sz w:val="18"/>
        <w:szCs w:val="18"/>
      </w:rPr>
      <w:t xml:space="preserve"> of </w:t>
    </w:r>
    <w:fldSimple w:instr=" NUMPAGES   \* MERGEFORMAT ">
      <w:r w:rsidR="00423E35" w:rsidRPr="00423E35">
        <w:rPr>
          <w:rFonts w:ascii="Times New Roman" w:hAnsi="Times New Roman"/>
          <w:noProof/>
          <w:sz w:val="18"/>
          <w:szCs w:val="18"/>
        </w:rPr>
        <w:t>33</w:t>
      </w:r>
    </w:fldSimple>
  </w:p>
  <w:p w14:paraId="5CD42B41" w14:textId="77777777" w:rsidR="00516696" w:rsidRDefault="00516696" w:rsidP="004B4983">
    <w:pPr>
      <w:pStyle w:val="Footer"/>
      <w:tabs>
        <w:tab w:val="right" w:pos="9639"/>
      </w:tabs>
      <w:spacing w:after="0"/>
      <w:rPr>
        <w:rFonts w:ascii="Times New Roman" w:hAnsi="Times New Roman"/>
        <w:sz w:val="18"/>
        <w:szCs w:val="18"/>
      </w:rPr>
    </w:pPr>
    <w:r>
      <w:rPr>
        <w:rFonts w:ascii="Times New Roman" w:hAnsi="Times New Roman"/>
        <w:b/>
        <w:sz w:val="20"/>
      </w:rPr>
      <w:t>15 January 2016</w:t>
    </w:r>
    <w:r w:rsidRPr="00A016F9">
      <w:rPr>
        <w:rFonts w:ascii="Times New Roman" w:hAnsi="Times New Roman"/>
        <w:sz w:val="18"/>
        <w:szCs w:val="18"/>
      </w:rPr>
      <w:tab/>
    </w:r>
  </w:p>
  <w:p w14:paraId="528C4E0E" w14:textId="77777777" w:rsidR="00516696" w:rsidRPr="004B4983" w:rsidRDefault="00516696" w:rsidP="004B4983">
    <w:pPr>
      <w:pStyle w:val="Footer"/>
    </w:pPr>
    <w:r w:rsidRPr="00353623">
      <w:rPr>
        <w:rStyle w:val="PageNumber"/>
        <w:rFonts w:ascii="Times New Roman" w:hAnsi="Times New Roman"/>
        <w:sz w:val="18"/>
        <w:szCs w:val="18"/>
      </w:rPr>
      <w:t>e3a_guidelines_en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F3D83" w14:textId="77777777" w:rsidR="00516696" w:rsidRDefault="00516696" w:rsidP="004B4983">
    <w:pPr>
      <w:pStyle w:val="Footer"/>
      <w:tabs>
        <w:tab w:val="right" w:pos="9639"/>
      </w:tabs>
      <w:spacing w:after="0"/>
      <w:rPr>
        <w:rFonts w:ascii="Times New Roman" w:hAnsi="Times New Roman"/>
        <w:sz w:val="18"/>
        <w:szCs w:val="18"/>
      </w:rPr>
    </w:pPr>
    <w:r>
      <w:rPr>
        <w:rFonts w:ascii="Times New Roman" w:hAnsi="Times New Roman"/>
        <w:b/>
        <w:sz w:val="20"/>
      </w:rPr>
      <w:t>15 January 2016</w:t>
    </w:r>
    <w:r w:rsidRPr="00A016F9">
      <w:rPr>
        <w:rFonts w:ascii="Times New Roman" w:hAnsi="Times New Roman"/>
        <w:sz w:val="18"/>
        <w:szCs w:val="18"/>
      </w:rPr>
      <w:tab/>
    </w:r>
  </w:p>
  <w:p w14:paraId="5DF79BBC" w14:textId="77777777" w:rsidR="00516696" w:rsidRPr="00491F8A" w:rsidRDefault="00516696" w:rsidP="00491F8A">
    <w:pPr>
      <w:pStyle w:val="Footer"/>
      <w:tabs>
        <w:tab w:val="right" w:pos="9639"/>
      </w:tabs>
      <w:spacing w:after="0"/>
      <w:rPr>
        <w:rFonts w:ascii="Times New Roman" w:hAnsi="Times New Roman"/>
        <w:sz w:val="18"/>
        <w:szCs w:val="18"/>
      </w:rPr>
    </w:pPr>
    <w:r w:rsidRPr="00353623">
      <w:rPr>
        <w:rStyle w:val="PageNumber"/>
        <w:rFonts w:ascii="Times New Roman" w:hAnsi="Times New Roman"/>
        <w:sz w:val="18"/>
        <w:szCs w:val="18"/>
      </w:rPr>
      <w:t>e3a_guidelines_en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3E1EC" w14:textId="77777777" w:rsidR="00516696" w:rsidRDefault="00516696" w:rsidP="00491F8A">
    <w:pPr>
      <w:pStyle w:val="Footer"/>
      <w:tabs>
        <w:tab w:val="right" w:pos="9639"/>
      </w:tabs>
      <w:spacing w:after="0"/>
      <w:rPr>
        <w:rFonts w:ascii="Times New Roman" w:hAnsi="Times New Roman"/>
        <w:sz w:val="18"/>
        <w:szCs w:val="18"/>
      </w:rPr>
    </w:pPr>
    <w:r>
      <w:rPr>
        <w:rFonts w:ascii="Times New Roman" w:hAnsi="Times New Roman"/>
        <w:sz w:val="18"/>
        <w:szCs w:val="18"/>
      </w:rPr>
      <w:tab/>
    </w:r>
  </w:p>
  <w:p w14:paraId="548F0A4D" w14:textId="45571B40" w:rsidR="00516696" w:rsidRDefault="00516696" w:rsidP="004B4983">
    <w:pPr>
      <w:pStyle w:val="Footer"/>
      <w:tabs>
        <w:tab w:val="right" w:pos="9639"/>
      </w:tabs>
      <w:spacing w:after="0"/>
      <w:rPr>
        <w:rFonts w:ascii="Times New Roman" w:hAnsi="Times New Roman"/>
        <w:sz w:val="18"/>
        <w:szCs w:val="18"/>
      </w:rPr>
    </w:pP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423E35">
      <w:rPr>
        <w:rFonts w:ascii="Times New Roman" w:hAnsi="Times New Roman"/>
        <w:noProof/>
        <w:sz w:val="18"/>
        <w:szCs w:val="18"/>
      </w:rPr>
      <w:t>4</w:t>
    </w:r>
    <w:r>
      <w:rPr>
        <w:rFonts w:ascii="Times New Roman" w:hAnsi="Times New Roman"/>
        <w:sz w:val="18"/>
        <w:szCs w:val="18"/>
      </w:rPr>
      <w:fldChar w:fldCharType="end"/>
    </w:r>
    <w:r w:rsidRPr="00A016F9">
      <w:rPr>
        <w:rFonts w:ascii="Times New Roman" w:hAnsi="Times New Roman"/>
        <w:sz w:val="18"/>
        <w:szCs w:val="18"/>
      </w:rPr>
      <w:t xml:space="preserve"> of </w:t>
    </w:r>
    <w:fldSimple w:instr=" NUMPAGES   \* MERGEFORMAT ">
      <w:r w:rsidR="00423E35" w:rsidRPr="00423E35">
        <w:rPr>
          <w:rFonts w:ascii="Times New Roman" w:hAnsi="Times New Roman"/>
          <w:noProof/>
          <w:sz w:val="18"/>
          <w:szCs w:val="18"/>
        </w:rPr>
        <w:t>33</w:t>
      </w:r>
    </w:fldSimple>
  </w:p>
  <w:p w14:paraId="0E8B1793" w14:textId="77777777" w:rsidR="00516696" w:rsidRDefault="00516696" w:rsidP="004B4983">
    <w:pPr>
      <w:pStyle w:val="Footer"/>
      <w:tabs>
        <w:tab w:val="right" w:pos="9639"/>
      </w:tabs>
      <w:spacing w:after="0"/>
      <w:rPr>
        <w:rFonts w:ascii="Times New Roman" w:hAnsi="Times New Roman"/>
        <w:sz w:val="18"/>
        <w:szCs w:val="18"/>
      </w:rPr>
    </w:pPr>
    <w:r>
      <w:rPr>
        <w:rFonts w:ascii="Times New Roman" w:hAnsi="Times New Roman"/>
        <w:b/>
        <w:sz w:val="20"/>
      </w:rPr>
      <w:t>15 January 2016</w:t>
    </w:r>
    <w:r w:rsidRPr="00A016F9">
      <w:rPr>
        <w:rFonts w:ascii="Times New Roman" w:hAnsi="Times New Roman"/>
        <w:sz w:val="18"/>
        <w:szCs w:val="18"/>
      </w:rPr>
      <w:tab/>
    </w:r>
  </w:p>
  <w:p w14:paraId="09140F96" w14:textId="77777777" w:rsidR="00516696" w:rsidRPr="00491F8A" w:rsidRDefault="00516696" w:rsidP="00353623">
    <w:pPr>
      <w:pStyle w:val="Footer"/>
      <w:tabs>
        <w:tab w:val="right" w:pos="9639"/>
      </w:tabs>
      <w:spacing w:after="0"/>
      <w:rPr>
        <w:rFonts w:ascii="Times New Roman" w:hAnsi="Times New Roman"/>
        <w:sz w:val="18"/>
        <w:szCs w:val="18"/>
      </w:rPr>
    </w:pPr>
    <w:r w:rsidRPr="00353623">
      <w:rPr>
        <w:rStyle w:val="PageNumber"/>
        <w:rFonts w:ascii="Times New Roman" w:hAnsi="Times New Roman"/>
        <w:sz w:val="18"/>
        <w:szCs w:val="18"/>
      </w:rPr>
      <w:t>e3a_guidelines_en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BD87" w14:textId="77777777" w:rsidR="00516696" w:rsidRDefault="00516696">
      <w:r>
        <w:separator/>
      </w:r>
    </w:p>
  </w:footnote>
  <w:footnote w:type="continuationSeparator" w:id="0">
    <w:p w14:paraId="11008D99" w14:textId="77777777" w:rsidR="00516696" w:rsidRDefault="00516696">
      <w:r>
        <w:continuationSeparator/>
      </w:r>
    </w:p>
  </w:footnote>
  <w:footnote w:type="continuationNotice" w:id="1">
    <w:p w14:paraId="370F105F" w14:textId="77777777" w:rsidR="00516696" w:rsidRPr="004D357E" w:rsidRDefault="00516696" w:rsidP="004D357E">
      <w:pPr>
        <w:pStyle w:val="Footer"/>
      </w:pPr>
    </w:p>
  </w:footnote>
  <w:footnote w:id="2">
    <w:p w14:paraId="56D7A2AC" w14:textId="4EF24D08" w:rsidR="00516696" w:rsidRDefault="00516696">
      <w:pPr>
        <w:pStyle w:val="FootnoteText"/>
      </w:pPr>
      <w:r>
        <w:rPr>
          <w:rStyle w:val="FootnoteReference"/>
        </w:rPr>
        <w:footnoteRef/>
      </w:r>
      <w:r>
        <w:t xml:space="preserve"> </w:t>
      </w:r>
      <w:r w:rsidRPr="00BA1F84">
        <w:t xml:space="preserve">These finding are stipulated in the </w:t>
      </w:r>
      <w:r w:rsidRPr="00BA1F84">
        <w:rPr>
          <w:i/>
        </w:rPr>
        <w:t>Industrial Policy of Montenegro 2020</w:t>
      </w:r>
      <w:r w:rsidRPr="00BA1F84">
        <w:t>.</w:t>
      </w:r>
    </w:p>
  </w:footnote>
  <w:footnote w:id="3">
    <w:p w14:paraId="5D5DDCC7" w14:textId="1BBE9890" w:rsidR="00516696" w:rsidRDefault="00516696">
      <w:pPr>
        <w:pStyle w:val="FootnoteText"/>
      </w:pPr>
      <w:r>
        <w:rPr>
          <w:rStyle w:val="FootnoteReference"/>
        </w:rPr>
        <w:footnoteRef/>
      </w:r>
      <w:r>
        <w:t xml:space="preserve"> </w:t>
      </w:r>
      <w:r w:rsidRPr="00BA1F84">
        <w:t>Chapter 1 - Free movements of goods, Chapter 3 - Right of establishment and freedom to provide services, Chapter 7-Intellectual property rights, Chapter  8 - Competition policy, Chapter 20 - Enterprise and industrial policy, Chapter 22 Regional policy and coordination of structural instruments and Chapter 25 - Science and research.</w:t>
      </w:r>
    </w:p>
  </w:footnote>
  <w:footnote w:id="4">
    <w:p w14:paraId="4D23FF51" w14:textId="4BC63C66" w:rsidR="00516696" w:rsidRDefault="00516696">
      <w:pPr>
        <w:pStyle w:val="FootnoteText"/>
      </w:pPr>
      <w:r>
        <w:rPr>
          <w:rStyle w:val="FootnoteReference"/>
        </w:rPr>
        <w:footnoteRef/>
      </w:r>
      <w:r>
        <w:t xml:space="preserve"> </w:t>
      </w:r>
      <w:r w:rsidRPr="00BA1F84">
        <w:t>These programmes are financed from the state budget and implemented in the form of state aid to the various categories of SMEs.</w:t>
      </w:r>
    </w:p>
  </w:footnote>
  <w:footnote w:id="5">
    <w:p w14:paraId="43657E2A" w14:textId="166D4740" w:rsidR="00516696" w:rsidRPr="00C60C7C" w:rsidRDefault="00516696">
      <w:pPr>
        <w:pStyle w:val="FootnoteText"/>
      </w:pPr>
      <w:r>
        <w:rPr>
          <w:rStyle w:val="FootnoteReference"/>
        </w:rPr>
        <w:footnoteRef/>
      </w:r>
      <w:r>
        <w:tab/>
      </w:r>
      <w:r w:rsidRPr="00EB43F4">
        <w:t xml:space="preserve">Note that </w:t>
      </w:r>
      <w:r>
        <w:t xml:space="preserve">a </w:t>
      </w:r>
      <w:r>
        <w:rPr>
          <w:lang w:val="sr-Cyrl-RS"/>
        </w:rPr>
        <w:t>L</w:t>
      </w:r>
      <w:proofErr w:type="spellStart"/>
      <w:r>
        <w:t>ead</w:t>
      </w:r>
      <w:proofErr w:type="spellEnd"/>
      <w:r>
        <w:t xml:space="preserve"> applicant (i.e. a Coordinator) </w:t>
      </w:r>
      <w:r w:rsidRPr="00EB43F4">
        <w:t xml:space="preserve">whose pillars have been </w:t>
      </w:r>
      <w:r>
        <w:t xml:space="preserve">positively assessed by the European Commission and who is awarded a grant will not sign the standard grant contract published with these guidelines but a PA Grant Agreement based on the </w:t>
      </w:r>
      <w:proofErr w:type="spellStart"/>
      <w:r>
        <w:t>PAGoDA</w:t>
      </w:r>
      <w:proofErr w:type="spellEnd"/>
      <w:r>
        <w:t xml:space="preserve"> template. All references in these guidelines and other documents related to this call to the standard grant contract shall in this case be understood as referring to the relevant provisions of the </w:t>
      </w:r>
      <w:proofErr w:type="spellStart"/>
      <w:r>
        <w:t>PAGoDA</w:t>
      </w:r>
      <w:proofErr w:type="spellEnd"/>
      <w:r>
        <w:t xml:space="preserve"> template.</w:t>
      </w:r>
    </w:p>
  </w:footnote>
  <w:footnote w:id="6">
    <w:p w14:paraId="23B1AA53" w14:textId="77777777" w:rsidR="00516696" w:rsidRPr="00CC335F" w:rsidRDefault="00516696" w:rsidP="004208AB">
      <w:pPr>
        <w:pStyle w:val="FootnoteText"/>
      </w:pPr>
      <w:r>
        <w:rPr>
          <w:rStyle w:val="FootnoteReference"/>
        </w:rPr>
        <w:footnoteRef/>
      </w:r>
      <w:r>
        <w:t xml:space="preserve"> International organisations are international public-sector organisations set up by intergovernmental agreements as well as specialised agencies set up by them; the International Committee of the Red Cross (ICRC) and the International Federation of National Red Cross and Red Crescent Societies are also recognised as international organisations.</w:t>
      </w:r>
    </w:p>
  </w:footnote>
  <w:footnote w:id="7">
    <w:p w14:paraId="71DFF7E8" w14:textId="77777777" w:rsidR="00516696" w:rsidRPr="0062605F" w:rsidRDefault="00516696">
      <w:pPr>
        <w:pStyle w:val="FootnoteText"/>
      </w:pPr>
      <w:r>
        <w:rPr>
          <w:rStyle w:val="FootnoteReference"/>
        </w:rPr>
        <w:footnoteRef/>
      </w:r>
      <w:r w:rsidRPr="0062605F">
        <w:t>To be determine</w:t>
      </w:r>
      <w:r>
        <w:t xml:space="preserve">d </w:t>
      </w:r>
      <w:r w:rsidRPr="0062605F">
        <w:t>on the basis of the organisation’s statutes that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w:t>
      </w:r>
    </w:p>
  </w:footnote>
  <w:footnote w:id="8">
    <w:p w14:paraId="3836839B" w14:textId="77777777" w:rsidR="00516696" w:rsidRPr="007E4821" w:rsidRDefault="00516696" w:rsidP="007E4821">
      <w:pPr>
        <w:pStyle w:val="FootnoteText"/>
        <w:rPr>
          <w:sz w:val="18"/>
          <w:szCs w:val="18"/>
        </w:rPr>
      </w:pPr>
      <w:r w:rsidRPr="007E4821">
        <w:rPr>
          <w:rStyle w:val="FootnoteReference"/>
          <w:sz w:val="18"/>
          <w:szCs w:val="18"/>
        </w:rPr>
        <w:footnoteRef/>
      </w:r>
      <w:r w:rsidRPr="007E4821">
        <w:rPr>
          <w:sz w:val="18"/>
          <w:szCs w:val="18"/>
        </w:rPr>
        <w:t xml:space="preserve"> The Industrial Modernization Support Programme</w:t>
      </w:r>
    </w:p>
  </w:footnote>
  <w:footnote w:id="9">
    <w:p w14:paraId="1E63A2C2" w14:textId="77777777" w:rsidR="00516696" w:rsidRPr="007E4821" w:rsidRDefault="00516696" w:rsidP="007E4821">
      <w:pPr>
        <w:pStyle w:val="FootnoteText"/>
        <w:ind w:left="0" w:firstLine="0"/>
        <w:rPr>
          <w:sz w:val="18"/>
          <w:szCs w:val="18"/>
        </w:rPr>
      </w:pPr>
      <w:r w:rsidRPr="007E4821">
        <w:rPr>
          <w:rStyle w:val="FootnoteReference"/>
          <w:sz w:val="18"/>
          <w:szCs w:val="18"/>
        </w:rPr>
        <w:footnoteRef/>
      </w:r>
      <w:r w:rsidRPr="007E4821">
        <w:rPr>
          <w:sz w:val="18"/>
          <w:szCs w:val="18"/>
        </w:rPr>
        <w:t xml:space="preserve"> It is applied to the northern, central and southern region of Montenegro.</w:t>
      </w:r>
    </w:p>
  </w:footnote>
  <w:footnote w:id="10">
    <w:p w14:paraId="6F67B0F5" w14:textId="77777777" w:rsidR="00516696" w:rsidRPr="007E4821" w:rsidRDefault="00516696" w:rsidP="007E4821">
      <w:pPr>
        <w:pStyle w:val="FootnoteText"/>
        <w:rPr>
          <w:sz w:val="18"/>
          <w:szCs w:val="18"/>
        </w:rPr>
      </w:pPr>
      <w:r w:rsidRPr="007E4821">
        <w:rPr>
          <w:rStyle w:val="FootnoteReference"/>
          <w:sz w:val="18"/>
          <w:szCs w:val="18"/>
        </w:rPr>
        <w:footnoteRef/>
      </w:r>
      <w:r w:rsidRPr="007E4821">
        <w:rPr>
          <w:sz w:val="18"/>
          <w:szCs w:val="18"/>
        </w:rPr>
        <w:t xml:space="preserve"> The development of the Strategy for Development of SME 2011-2015 was financed and conducted by GIZ (later GTZ). Presently, the Working group coordinated by Directorate for Development of Small and Medium Enterprises is drafting the Strategy for Development of SMEs 2018-2022. </w:t>
      </w:r>
    </w:p>
  </w:footnote>
  <w:footnote w:id="11">
    <w:p w14:paraId="77FCA7F4" w14:textId="77777777" w:rsidR="00516696" w:rsidRPr="007E4821" w:rsidRDefault="00516696" w:rsidP="007E4821">
      <w:pPr>
        <w:pStyle w:val="FootnoteText"/>
        <w:rPr>
          <w:sz w:val="18"/>
          <w:szCs w:val="18"/>
        </w:rPr>
      </w:pPr>
      <w:r w:rsidRPr="007E4821">
        <w:rPr>
          <w:rStyle w:val="FootnoteReference"/>
          <w:sz w:val="18"/>
          <w:szCs w:val="18"/>
        </w:rPr>
        <w:footnoteRef/>
      </w:r>
      <w:r w:rsidRPr="007E4821">
        <w:rPr>
          <w:sz w:val="18"/>
          <w:szCs w:val="18"/>
        </w:rPr>
        <w:t xml:space="preserve"> The Smart Specialization Strategy </w:t>
      </w:r>
      <w:r>
        <w:rPr>
          <w:sz w:val="18"/>
          <w:szCs w:val="18"/>
        </w:rPr>
        <w:t>is being drafted. It stipulates the precise</w:t>
      </w:r>
      <w:r w:rsidRPr="007E4821">
        <w:rPr>
          <w:sz w:val="18"/>
          <w:szCs w:val="18"/>
        </w:rPr>
        <w:t xml:space="preserve"> directions on identifying niche areas of competitive strength, innovation partnerships emphasizing greater co-ordination between different societal stakeholders and aligning resources and strategies between private and public actors.</w:t>
      </w:r>
    </w:p>
  </w:footnote>
  <w:footnote w:id="12">
    <w:p w14:paraId="32C42CB5" w14:textId="77777777" w:rsidR="00516696" w:rsidRPr="00102B57" w:rsidRDefault="00516696">
      <w:pPr>
        <w:pStyle w:val="FootnoteText"/>
      </w:pPr>
      <w:r>
        <w:rPr>
          <w:rStyle w:val="FootnoteReference"/>
        </w:rPr>
        <w:footnoteRef/>
      </w:r>
      <w:r>
        <w:t>Including COSME, Horizon 2020 and other EU programmes.</w:t>
      </w:r>
    </w:p>
  </w:footnote>
  <w:footnote w:id="13">
    <w:p w14:paraId="2AF3F957" w14:textId="35DF8BE3" w:rsidR="00516696" w:rsidRPr="00A316E1" w:rsidRDefault="00516696">
      <w:pPr>
        <w:pStyle w:val="FootnoteText"/>
      </w:pPr>
      <w:r>
        <w:rPr>
          <w:rStyle w:val="FootnoteReference"/>
        </w:rPr>
        <w:footnoteRef/>
      </w:r>
      <w:r w:rsidRPr="00A316E1">
        <w:t>The Activities under Result 3 are based upon the out</w:t>
      </w:r>
      <w:r>
        <w:t>puts of the results one and two</w:t>
      </w:r>
      <w:r w:rsidRPr="00A316E1">
        <w:t xml:space="preserve"> i.e. precondition for implementation of Grant </w:t>
      </w:r>
      <w:r>
        <w:t>Scheme and related activities will be defined</w:t>
      </w:r>
      <w:r w:rsidRPr="00A316E1">
        <w:t xml:space="preserve"> thought implementation </w:t>
      </w:r>
      <w:r>
        <w:t xml:space="preserve">directions </w:t>
      </w:r>
      <w:r w:rsidRPr="00A316E1">
        <w:t xml:space="preserve">from the </w:t>
      </w:r>
      <w:r>
        <w:t>policies that are the subject of result 1and 2</w:t>
      </w:r>
      <w:r w:rsidRPr="00A316E1">
        <w:t xml:space="preserve"> (Programme for supporting industry modernisation , Mid-term review of Industrial Policy until 2020 , Revision of the Strategy for Development of Small and Medium Sized Enterprises</w:t>
      </w:r>
      <w:r>
        <w:t xml:space="preserve"> 2018-2020</w:t>
      </w:r>
      <w:r w:rsidRPr="00A316E1">
        <w:t xml:space="preserve">, Revision of the </w:t>
      </w:r>
      <w:r>
        <w:t>Smart Specialisation</w:t>
      </w:r>
      <w:r>
        <w:rPr>
          <w:lang w:val="sr-Cyrl-RS"/>
        </w:rPr>
        <w:t xml:space="preserve"> </w:t>
      </w:r>
      <w:r w:rsidRPr="00A316E1">
        <w:t>Str</w:t>
      </w:r>
      <w:r>
        <w:t>ategy</w:t>
      </w:r>
      <w:r w:rsidRPr="00A316E1">
        <w:t>)</w:t>
      </w:r>
    </w:p>
  </w:footnote>
  <w:footnote w:id="14">
    <w:p w14:paraId="6CB1536C" w14:textId="77777777" w:rsidR="00516696" w:rsidRPr="00EC744B" w:rsidRDefault="00516696" w:rsidP="00EC744B">
      <w:pPr>
        <w:pStyle w:val="FootnoteText"/>
        <w:spacing w:before="0"/>
        <w:rPr>
          <w:sz w:val="18"/>
          <w:szCs w:val="18"/>
        </w:rPr>
      </w:pPr>
      <w:r w:rsidRPr="00EC744B">
        <w:rPr>
          <w:rStyle w:val="FootnoteReference"/>
          <w:sz w:val="18"/>
          <w:szCs w:val="18"/>
        </w:rPr>
        <w:footnoteRef/>
      </w:r>
      <w:r w:rsidRPr="00EC744B">
        <w:rPr>
          <w:sz w:val="18"/>
          <w:szCs w:val="18"/>
        </w:rPr>
        <w:t xml:space="preserve"> Categories of applicants eligible for financial support are:</w:t>
      </w:r>
    </w:p>
    <w:p w14:paraId="69DA47C0" w14:textId="77777777" w:rsidR="00516696" w:rsidRPr="00EC744B" w:rsidRDefault="00516696" w:rsidP="00345D21">
      <w:pPr>
        <w:pStyle w:val="FootnoteText"/>
        <w:numPr>
          <w:ilvl w:val="0"/>
          <w:numId w:val="21"/>
        </w:numPr>
        <w:spacing w:before="0"/>
        <w:rPr>
          <w:sz w:val="18"/>
          <w:szCs w:val="18"/>
        </w:rPr>
      </w:pPr>
      <w:r w:rsidRPr="00EC744B">
        <w:rPr>
          <w:sz w:val="18"/>
          <w:szCs w:val="18"/>
        </w:rPr>
        <w:t>Micro, small and medium-sized companies registered in accordance with the Law on Enterprises ("Official Gazette of the Republic of Montenegro", No. 06/02</w:t>
      </w:r>
    </w:p>
    <w:p w14:paraId="75FF71C7" w14:textId="3F8CC2C9" w:rsidR="00516696" w:rsidRPr="00EC744B" w:rsidRDefault="00516696" w:rsidP="00345D21">
      <w:pPr>
        <w:pStyle w:val="FootnoteText"/>
        <w:numPr>
          <w:ilvl w:val="0"/>
          <w:numId w:val="21"/>
        </w:numPr>
        <w:spacing w:before="0"/>
        <w:rPr>
          <w:sz w:val="18"/>
          <w:szCs w:val="18"/>
          <w:u w:val="single"/>
        </w:rPr>
      </w:pPr>
      <w:r w:rsidRPr="00EC744B">
        <w:rPr>
          <w:sz w:val="18"/>
          <w:szCs w:val="18"/>
        </w:rPr>
        <w:t>Clusters of entrepreneurs, micro, small and medium enterprises register</w:t>
      </w:r>
      <w:r>
        <w:rPr>
          <w:sz w:val="18"/>
          <w:szCs w:val="18"/>
        </w:rPr>
        <w:t>ed as a non-governmental organis</w:t>
      </w:r>
      <w:r w:rsidRPr="00EC744B">
        <w:rPr>
          <w:sz w:val="18"/>
          <w:szCs w:val="18"/>
        </w:rPr>
        <w:t>ation (NGO) or as a company in accordance with the</w:t>
      </w:r>
      <w:r>
        <w:rPr>
          <w:sz w:val="18"/>
          <w:szCs w:val="18"/>
        </w:rPr>
        <w:t xml:space="preserve"> Law on Non-Governmental Organis</w:t>
      </w:r>
      <w:r w:rsidRPr="00EC744B">
        <w:rPr>
          <w:sz w:val="18"/>
          <w:szCs w:val="18"/>
        </w:rPr>
        <w:t>ations (Official Gazette of the Republic of Montenegro, No. 27/99, 09/02, 30/02, "Official Gazette of Montenegro", no. 11/07) and the</w:t>
      </w:r>
      <w:r w:rsidRPr="00EC744B">
        <w:rPr>
          <w:sz w:val="18"/>
          <w:szCs w:val="18"/>
          <w:u w:val="single"/>
        </w:rPr>
        <w:t xml:space="preserve"> Law on Enterprises ( "Official Gazette of the Republic of Montenegro", no. 06/02, "Official Gazette of Montenegro" no. 17/07, 80/08, 40 / 10, 36/11, 40/11)</w:t>
      </w:r>
    </w:p>
    <w:p w14:paraId="63BCE81C" w14:textId="77777777" w:rsidR="00516696" w:rsidRPr="00EC744B" w:rsidRDefault="00516696" w:rsidP="00EC744B">
      <w:pPr>
        <w:pStyle w:val="FootnoteText"/>
        <w:spacing w:before="0"/>
        <w:rPr>
          <w:sz w:val="18"/>
          <w:szCs w:val="18"/>
          <w:lang w:val="en-US"/>
        </w:rPr>
      </w:pPr>
    </w:p>
    <w:p w14:paraId="61216E16" w14:textId="77777777" w:rsidR="00516696" w:rsidRPr="00EC744B" w:rsidRDefault="00516696" w:rsidP="00EC744B">
      <w:pPr>
        <w:pStyle w:val="FootnoteText"/>
        <w:spacing w:before="0"/>
        <w:rPr>
          <w:sz w:val="18"/>
          <w:szCs w:val="18"/>
        </w:rPr>
      </w:pPr>
    </w:p>
    <w:p w14:paraId="5A891BC1" w14:textId="77777777" w:rsidR="00516696" w:rsidRPr="00EC744B" w:rsidRDefault="00516696">
      <w:pPr>
        <w:pStyle w:val="FootnoteText"/>
      </w:pPr>
    </w:p>
  </w:footnote>
  <w:footnote w:id="15">
    <w:p w14:paraId="58FAAC2E" w14:textId="77777777" w:rsidR="00516696" w:rsidRPr="00DB06F5" w:rsidRDefault="00516696">
      <w:pPr>
        <w:pStyle w:val="FootnoteText"/>
      </w:pPr>
      <w:r>
        <w:rPr>
          <w:rStyle w:val="FootnoteReference"/>
        </w:rPr>
        <w:footnoteRef/>
      </w:r>
      <w:r w:rsidRPr="00DB06F5">
        <w:t xml:space="preserve">These </w:t>
      </w:r>
      <w:r>
        <w:t>third parties</w:t>
      </w:r>
      <w:r w:rsidRPr="00DB06F5">
        <w:t xml:space="preserve"> are neither affiliated </w:t>
      </w:r>
      <w:proofErr w:type="gramStart"/>
      <w:r w:rsidRPr="00DB06F5">
        <w:t>entity(</w:t>
      </w:r>
      <w:proofErr w:type="spellStart"/>
      <w:proofErr w:type="gramEnd"/>
      <w:r w:rsidRPr="00DB06F5">
        <w:t>ies</w:t>
      </w:r>
      <w:proofErr w:type="spellEnd"/>
      <w:r w:rsidRPr="00DB06F5">
        <w:t>) nor associates nor contractors.</w:t>
      </w:r>
    </w:p>
  </w:footnote>
  <w:footnote w:id="16">
    <w:p w14:paraId="23AC3E39" w14:textId="24F4025D" w:rsidR="00516696" w:rsidRDefault="00516696" w:rsidP="0040358C">
      <w:pPr>
        <w:pStyle w:val="FootnoteText"/>
      </w:pPr>
      <w:r>
        <w:footnoteRef/>
      </w:r>
      <w:r>
        <w:tab/>
      </w:r>
      <w:r w:rsidRPr="00DE4085">
        <w:t>Examples</w:t>
      </w:r>
      <w:r>
        <w:t>:</w:t>
      </w:r>
      <w:r w:rsidRPr="00DE4085">
        <w:t xml:space="preserve"> - for staff costs: number of hours or days of work * hourly or daily rate pre-set according to the category of personnel concerned; - for travel expenses: distance in km * pre-set cost of transport per km; number of days * daily allowance pre-set according to the country; - for specifi</w:t>
      </w:r>
      <w:r>
        <w:t>c costs arising from the organis</w:t>
      </w:r>
      <w:r w:rsidRPr="00DE4085">
        <w:t>ation of an event: number of participants at the event * pre-set total cost per participant</w:t>
      </w:r>
      <w:r>
        <w:t xml:space="preserve"> etc</w:t>
      </w:r>
      <w:r w:rsidRPr="00DE4085">
        <w:t>.</w:t>
      </w:r>
    </w:p>
  </w:footnote>
  <w:footnote w:id="17">
    <w:p w14:paraId="21DBDE8F" w14:textId="77777777" w:rsidR="00516696" w:rsidRPr="00A016F9" w:rsidRDefault="00516696" w:rsidP="00F93423">
      <w:pPr>
        <w:pStyle w:val="FootnoteText"/>
      </w:pPr>
      <w:r w:rsidRPr="00A016F9">
        <w:footnoteRef/>
      </w:r>
      <w:r w:rsidRPr="00A016F9">
        <w:tab/>
        <w:t xml:space="preserve">No supporting document will be requested for applications for a grant not exceeding EUR </w:t>
      </w:r>
      <w:r>
        <w:t>60 000.</w:t>
      </w:r>
    </w:p>
  </w:footnote>
  <w:footnote w:id="18">
    <w:p w14:paraId="0AF5E33A" w14:textId="7757778A" w:rsidR="00516696" w:rsidRPr="00A016F9" w:rsidRDefault="00516696" w:rsidP="005700D5">
      <w:pPr>
        <w:pStyle w:val="FootnoteText"/>
      </w:pPr>
      <w:r w:rsidRPr="00A016F9">
        <w:footnoteRef/>
      </w:r>
      <w:r w:rsidRPr="00A016F9">
        <w:tab/>
        <w:t xml:space="preserve">Where </w:t>
      </w:r>
      <w:r>
        <w:t>the lead a</w:t>
      </w:r>
      <w:r w:rsidRPr="00A016F9">
        <w:t xml:space="preserve">pplicant </w:t>
      </w:r>
      <w:r>
        <w:t xml:space="preserve">and/or a co-applicant(s) and or an </w:t>
      </w:r>
      <w:r w:rsidRPr="000D40CC">
        <w:t>affilia</w:t>
      </w:r>
      <w:r>
        <w:t xml:space="preserve">ted </w:t>
      </w:r>
      <w:proofErr w:type="gramStart"/>
      <w:r>
        <w:t>entity(</w:t>
      </w:r>
      <w:proofErr w:type="spellStart"/>
      <w:proofErr w:type="gramEnd"/>
      <w:r>
        <w:t>ies</w:t>
      </w:r>
      <w:proofErr w:type="spellEnd"/>
      <w:r>
        <w:t xml:space="preserve">) </w:t>
      </w:r>
      <w:r w:rsidRPr="00A016F9">
        <w:t>is a public body created by a law, a copy of the said law must be provided</w:t>
      </w:r>
      <w:r>
        <w:t>.</w:t>
      </w:r>
    </w:p>
  </w:footnote>
  <w:footnote w:id="19">
    <w:p w14:paraId="161AE24B" w14:textId="77777777" w:rsidR="00516696" w:rsidRPr="00A016F9" w:rsidRDefault="00516696" w:rsidP="0040358C">
      <w:pPr>
        <w:pStyle w:val="FootnoteText"/>
      </w:pPr>
      <w:r w:rsidRPr="00A016F9">
        <w:footnoteRef/>
      </w:r>
      <w:r w:rsidRPr="00A016F9">
        <w:tab/>
        <w:t>To be inserted only where the eligibility conditions have not changed from one call for proposals to the other.</w:t>
      </w:r>
    </w:p>
  </w:footnote>
  <w:footnote w:id="20">
    <w:p w14:paraId="20680FE5" w14:textId="77777777" w:rsidR="00516696" w:rsidRPr="00A016F9" w:rsidRDefault="00516696" w:rsidP="0040358C">
      <w:pPr>
        <w:pStyle w:val="FootnoteText"/>
      </w:pPr>
      <w:r w:rsidRPr="00A016F9">
        <w:footnoteRef/>
      </w:r>
      <w:r w:rsidRPr="00A016F9">
        <w:tab/>
        <w:t>This obligation does not apply to natural persons who have received a scholarship</w:t>
      </w:r>
      <w:r>
        <w:t xml:space="preserve"> or that are</w:t>
      </w:r>
      <w:r w:rsidRPr="00B22511">
        <w:t xml:space="preserve"> in most need in receipt of direct support</w:t>
      </w:r>
      <w:r w:rsidRPr="00A016F9">
        <w:t xml:space="preserve">, nor to public bodies </w:t>
      </w:r>
      <w:r>
        <w:t>and</w:t>
      </w:r>
      <w:r w:rsidRPr="00A016F9">
        <w:t xml:space="preserve"> to international organisations. It does not apply either when the accounts are in practice the same documents as the external audit report already provided pursuant to </w:t>
      </w:r>
      <w:r>
        <w:t>s</w:t>
      </w:r>
      <w:r w:rsidRPr="00A016F9">
        <w:t xml:space="preserve">ection 2.4.2. </w:t>
      </w:r>
    </w:p>
  </w:footnote>
  <w:footnote w:id="21">
    <w:p w14:paraId="533683F4" w14:textId="1D6C91E5" w:rsidR="00516696" w:rsidRPr="00A016F9" w:rsidRDefault="00516696" w:rsidP="001C4D3A">
      <w:pPr>
        <w:pStyle w:val="FootnoteText"/>
        <w:spacing w:before="0"/>
      </w:pPr>
      <w:r w:rsidRPr="00A016F9">
        <w:footnoteRef/>
      </w:r>
      <w:r w:rsidRPr="00A016F9">
        <w:tab/>
      </w:r>
      <w:proofErr w:type="gramStart"/>
      <w:r w:rsidRPr="00A016F9">
        <w:t>Only</w:t>
      </w:r>
      <w:r>
        <w:t xml:space="preserve"> </w:t>
      </w:r>
      <w:r w:rsidRPr="00A016F9">
        <w:t>applicable where the European Commission make</w:t>
      </w:r>
      <w:r>
        <w:t>s</w:t>
      </w:r>
      <w:r w:rsidRPr="00A016F9">
        <w:t xml:space="preserve"> the payments under the </w:t>
      </w:r>
      <w:r>
        <w:t xml:space="preserve">signed </w:t>
      </w:r>
      <w:r w:rsidRPr="00A016F9">
        <w:t>contracts.</w:t>
      </w:r>
      <w:proofErr w:type="gramEnd"/>
    </w:p>
  </w:footnote>
  <w:footnote w:id="22">
    <w:p w14:paraId="6D711795" w14:textId="77777777" w:rsidR="00516696" w:rsidRPr="0025435C" w:rsidRDefault="00516696" w:rsidP="001C4D3A">
      <w:pPr>
        <w:pStyle w:val="FootnoteText"/>
        <w:spacing w:before="0"/>
      </w:pPr>
      <w:r>
        <w:rPr>
          <w:rStyle w:val="FootnoteReference"/>
        </w:rPr>
        <w:footnoteRef/>
      </w:r>
      <w:r w:rsidRPr="008503BC">
        <w:t>These documents should also be published by the Contracting Authority.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CCC"/>
    <w:multiLevelType w:val="multilevel"/>
    <w:tmpl w:val="208E4C5C"/>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
    <w:nsid w:val="03EC2051"/>
    <w:multiLevelType w:val="hybridMultilevel"/>
    <w:tmpl w:val="02C4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967867"/>
    <w:multiLevelType w:val="hybridMultilevel"/>
    <w:tmpl w:val="B350876A"/>
    <w:lvl w:ilvl="0" w:tplc="04090017">
      <w:start w:val="1"/>
      <w:numFmt w:val="lowerLetter"/>
      <w:lvlText w:val="%1)"/>
      <w:lvlJc w:val="left"/>
      <w:pPr>
        <w:ind w:left="720" w:hanging="360"/>
      </w:pPr>
      <w:rPr>
        <w:rFonts w:hint="default"/>
        <w:b w:val="0"/>
      </w:rPr>
    </w:lvl>
    <w:lvl w:ilvl="1" w:tplc="75D6064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4B676F"/>
    <w:multiLevelType w:val="hybridMultilevel"/>
    <w:tmpl w:val="C366B2F4"/>
    <w:lvl w:ilvl="0" w:tplc="75D60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95526"/>
    <w:multiLevelType w:val="hybridMultilevel"/>
    <w:tmpl w:val="B350876A"/>
    <w:lvl w:ilvl="0" w:tplc="04090017">
      <w:start w:val="1"/>
      <w:numFmt w:val="lowerLetter"/>
      <w:lvlText w:val="%1)"/>
      <w:lvlJc w:val="left"/>
      <w:pPr>
        <w:ind w:left="720" w:hanging="360"/>
      </w:pPr>
      <w:rPr>
        <w:rFonts w:hint="default"/>
        <w:b w:val="0"/>
      </w:rPr>
    </w:lvl>
    <w:lvl w:ilvl="1" w:tplc="75D6064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911598"/>
    <w:multiLevelType w:val="hybridMultilevel"/>
    <w:tmpl w:val="1DAC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0554A"/>
    <w:multiLevelType w:val="hybridMultilevel"/>
    <w:tmpl w:val="8E80295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C3058F"/>
    <w:multiLevelType w:val="hybridMultilevel"/>
    <w:tmpl w:val="DBFC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E948D7"/>
    <w:multiLevelType w:val="hybridMultilevel"/>
    <w:tmpl w:val="0538AE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56D1309"/>
    <w:multiLevelType w:val="hybridMultilevel"/>
    <w:tmpl w:val="CADA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D230FB"/>
    <w:multiLevelType w:val="hybridMultilevel"/>
    <w:tmpl w:val="65303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30097"/>
    <w:multiLevelType w:val="hybridMultilevel"/>
    <w:tmpl w:val="B17C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AA0820"/>
    <w:multiLevelType w:val="hybridMultilevel"/>
    <w:tmpl w:val="431C1E70"/>
    <w:lvl w:ilvl="0" w:tplc="349228B8">
      <w:start w:val="1"/>
      <w:numFmt w:val="decimal"/>
      <w:lvlText w:val="%1."/>
      <w:lvlJc w:val="left"/>
      <w:pPr>
        <w:ind w:left="720" w:hanging="360"/>
      </w:pPr>
      <w:rPr>
        <w:rFonts w:hint="default"/>
        <w:i w:val="0"/>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nsid w:val="328C6FC7"/>
    <w:multiLevelType w:val="hybridMultilevel"/>
    <w:tmpl w:val="39969E9C"/>
    <w:lvl w:ilvl="0" w:tplc="04090017">
      <w:start w:val="1"/>
      <w:numFmt w:val="lowerLetter"/>
      <w:lvlText w:val="%1)"/>
      <w:lvlJc w:val="left"/>
      <w:pPr>
        <w:ind w:left="720" w:hanging="360"/>
      </w:pPr>
      <w:rPr>
        <w:rFonts w:hint="default"/>
        <w:b w:val="0"/>
      </w:rPr>
    </w:lvl>
    <w:lvl w:ilvl="1" w:tplc="75D6064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F40910"/>
    <w:multiLevelType w:val="hybridMultilevel"/>
    <w:tmpl w:val="DDF0C3C0"/>
    <w:lvl w:ilvl="0" w:tplc="54A23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nsid w:val="467D5AEF"/>
    <w:multiLevelType w:val="hybridMultilevel"/>
    <w:tmpl w:val="AA40DA38"/>
    <w:lvl w:ilvl="0" w:tplc="75D6064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8C569D"/>
    <w:multiLevelType w:val="hybridMultilevel"/>
    <w:tmpl w:val="EFFE8DFE"/>
    <w:lvl w:ilvl="0" w:tplc="B2CCDD86">
      <w:start w:val="1"/>
      <w:numFmt w:val="lowerLetter"/>
      <w:lvlText w:val="%1)"/>
      <w:lvlJc w:val="left"/>
      <w:pPr>
        <w:ind w:left="720" w:hanging="360"/>
      </w:pPr>
      <w:rPr>
        <w:b w:val="0"/>
      </w:rPr>
    </w:lvl>
    <w:lvl w:ilvl="1" w:tplc="75D60642">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6">
    <w:nsid w:val="4C6D2CF6"/>
    <w:multiLevelType w:val="hybridMultilevel"/>
    <w:tmpl w:val="F926F33A"/>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8C3CA6"/>
    <w:multiLevelType w:val="hybridMultilevel"/>
    <w:tmpl w:val="DCFE8D6E"/>
    <w:lvl w:ilvl="0" w:tplc="7D8A732C">
      <w:start w:val="10"/>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E07728C"/>
    <w:multiLevelType w:val="hybridMultilevel"/>
    <w:tmpl w:val="81A6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78390F"/>
    <w:multiLevelType w:val="hybridMultilevel"/>
    <w:tmpl w:val="890AE7C8"/>
    <w:lvl w:ilvl="0" w:tplc="04090017">
      <w:start w:val="1"/>
      <w:numFmt w:val="lowerLetter"/>
      <w:lvlText w:val="%1)"/>
      <w:lvlJc w:val="left"/>
      <w:pPr>
        <w:ind w:left="720" w:hanging="360"/>
      </w:pPr>
      <w:rPr>
        <w:b w:val="0"/>
      </w:rPr>
    </w:lvl>
    <w:lvl w:ilvl="1" w:tplc="75D60642">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1A76BA"/>
    <w:multiLevelType w:val="hybridMultilevel"/>
    <w:tmpl w:val="247642E2"/>
    <w:lvl w:ilvl="0" w:tplc="BFA0F0A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CC7F43"/>
    <w:multiLevelType w:val="hybridMultilevel"/>
    <w:tmpl w:val="19D8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A0F54"/>
    <w:multiLevelType w:val="hybridMultilevel"/>
    <w:tmpl w:val="93F22D34"/>
    <w:lvl w:ilvl="0" w:tplc="75D60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7343F5"/>
    <w:multiLevelType w:val="hybridMultilevel"/>
    <w:tmpl w:val="8A544E56"/>
    <w:lvl w:ilvl="0" w:tplc="75D6064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814DBF"/>
    <w:multiLevelType w:val="hybridMultilevel"/>
    <w:tmpl w:val="F4C6E0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41"/>
  </w:num>
  <w:num w:numId="4">
    <w:abstractNumId w:val="21"/>
  </w:num>
  <w:num w:numId="5">
    <w:abstractNumId w:val="5"/>
  </w:num>
  <w:num w:numId="6">
    <w:abstractNumId w:val="29"/>
  </w:num>
  <w:num w:numId="7">
    <w:abstractNumId w:val="36"/>
  </w:num>
  <w:num w:numId="8">
    <w:abstractNumId w:val="8"/>
  </w:num>
  <w:num w:numId="9">
    <w:abstractNumId w:val="37"/>
  </w:num>
  <w:num w:numId="10">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9"/>
  </w:num>
  <w:num w:numId="13">
    <w:abstractNumId w:val="40"/>
  </w:num>
  <w:num w:numId="14">
    <w:abstractNumId w:val="15"/>
  </w:num>
  <w:num w:numId="15">
    <w:abstractNumId w:val="2"/>
  </w:num>
  <w:num w:numId="16">
    <w:abstractNumId w:val="19"/>
  </w:num>
  <w:num w:numId="17">
    <w:abstractNumId w:val="20"/>
  </w:num>
  <w:num w:numId="18">
    <w:abstractNumId w:val="18"/>
  </w:num>
  <w:num w:numId="19">
    <w:abstractNumId w:val="33"/>
  </w:num>
  <w:num w:numId="20">
    <w:abstractNumId w:val="25"/>
  </w:num>
  <w:num w:numId="21">
    <w:abstractNumId w:val="39"/>
  </w:num>
  <w:num w:numId="22">
    <w:abstractNumId w:val="16"/>
  </w:num>
  <w:num w:numId="23">
    <w:abstractNumId w:val="6"/>
  </w:num>
  <w:num w:numId="24">
    <w:abstractNumId w:val="30"/>
  </w:num>
  <w:num w:numId="25">
    <w:abstractNumId w:val="35"/>
  </w:num>
  <w:num w:numId="26">
    <w:abstractNumId w:val="4"/>
  </w:num>
  <w:num w:numId="27">
    <w:abstractNumId w:val="24"/>
  </w:num>
  <w:num w:numId="28">
    <w:abstractNumId w:val="7"/>
  </w:num>
  <w:num w:numId="29">
    <w:abstractNumId w:val="17"/>
  </w:num>
  <w:num w:numId="30">
    <w:abstractNumId w:val="32"/>
  </w:num>
  <w:num w:numId="31">
    <w:abstractNumId w:val="38"/>
  </w:num>
  <w:num w:numId="32">
    <w:abstractNumId w:val="22"/>
  </w:num>
  <w:num w:numId="33">
    <w:abstractNumId w:val="12"/>
  </w:num>
  <w:num w:numId="34">
    <w:abstractNumId w:val="34"/>
  </w:num>
  <w:num w:numId="35">
    <w:abstractNumId w:val="14"/>
  </w:num>
  <w:num w:numId="36">
    <w:abstractNumId w:val="31"/>
  </w:num>
  <w:num w:numId="37">
    <w:abstractNumId w:val="10"/>
  </w:num>
  <w:num w:numId="38">
    <w:abstractNumId w:val="1"/>
  </w:num>
  <w:num w:numId="39">
    <w:abstractNumId w:val="42"/>
  </w:num>
  <w:num w:numId="40">
    <w:abstractNumId w:val="13"/>
  </w:num>
  <w:num w:numId="41">
    <w:abstractNumId w:val="3"/>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adjana Pesic">
    <w15:presenceInfo w15:providerId="AD" w15:userId="S-1-5-21-3530176030-4113171763-13993460-11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749B5"/>
    <w:rsid w:val="00000189"/>
    <w:rsid w:val="00000396"/>
    <w:rsid w:val="000015FC"/>
    <w:rsid w:val="00001767"/>
    <w:rsid w:val="000018DF"/>
    <w:rsid w:val="00001F83"/>
    <w:rsid w:val="00003166"/>
    <w:rsid w:val="00003724"/>
    <w:rsid w:val="000041CE"/>
    <w:rsid w:val="000043F8"/>
    <w:rsid w:val="00005078"/>
    <w:rsid w:val="0000587D"/>
    <w:rsid w:val="00005BAF"/>
    <w:rsid w:val="000061EE"/>
    <w:rsid w:val="00006318"/>
    <w:rsid w:val="000105C8"/>
    <w:rsid w:val="0001129D"/>
    <w:rsid w:val="00011765"/>
    <w:rsid w:val="0001251B"/>
    <w:rsid w:val="000127B4"/>
    <w:rsid w:val="00012D9A"/>
    <w:rsid w:val="0001411D"/>
    <w:rsid w:val="0001462B"/>
    <w:rsid w:val="0001485A"/>
    <w:rsid w:val="00014E97"/>
    <w:rsid w:val="000159A3"/>
    <w:rsid w:val="00016669"/>
    <w:rsid w:val="000176B4"/>
    <w:rsid w:val="00017DDF"/>
    <w:rsid w:val="00017EFF"/>
    <w:rsid w:val="00020C81"/>
    <w:rsid w:val="000220E5"/>
    <w:rsid w:val="00023576"/>
    <w:rsid w:val="0002374A"/>
    <w:rsid w:val="0002503B"/>
    <w:rsid w:val="00026D5B"/>
    <w:rsid w:val="00027881"/>
    <w:rsid w:val="000279C7"/>
    <w:rsid w:val="000279D5"/>
    <w:rsid w:val="00027C2F"/>
    <w:rsid w:val="00030A89"/>
    <w:rsid w:val="00030E42"/>
    <w:rsid w:val="000312D2"/>
    <w:rsid w:val="000319C0"/>
    <w:rsid w:val="00031E41"/>
    <w:rsid w:val="000323AD"/>
    <w:rsid w:val="00033713"/>
    <w:rsid w:val="00033A1F"/>
    <w:rsid w:val="00034524"/>
    <w:rsid w:val="00034BC8"/>
    <w:rsid w:val="0003772E"/>
    <w:rsid w:val="000405C5"/>
    <w:rsid w:val="00040730"/>
    <w:rsid w:val="00042967"/>
    <w:rsid w:val="00043140"/>
    <w:rsid w:val="000437FE"/>
    <w:rsid w:val="00044129"/>
    <w:rsid w:val="00044A63"/>
    <w:rsid w:val="00045E79"/>
    <w:rsid w:val="00046BE8"/>
    <w:rsid w:val="00046C46"/>
    <w:rsid w:val="00047C7D"/>
    <w:rsid w:val="00050582"/>
    <w:rsid w:val="00050B50"/>
    <w:rsid w:val="00050E48"/>
    <w:rsid w:val="0005133A"/>
    <w:rsid w:val="0005169C"/>
    <w:rsid w:val="00051AC1"/>
    <w:rsid w:val="00054B49"/>
    <w:rsid w:val="00055FED"/>
    <w:rsid w:val="00056377"/>
    <w:rsid w:val="000572EE"/>
    <w:rsid w:val="000603C3"/>
    <w:rsid w:val="0006044D"/>
    <w:rsid w:val="000604AC"/>
    <w:rsid w:val="000612F3"/>
    <w:rsid w:val="000616CA"/>
    <w:rsid w:val="00061871"/>
    <w:rsid w:val="000618B3"/>
    <w:rsid w:val="00062A91"/>
    <w:rsid w:val="000636F3"/>
    <w:rsid w:val="000638B5"/>
    <w:rsid w:val="00063A68"/>
    <w:rsid w:val="00063B48"/>
    <w:rsid w:val="0006470D"/>
    <w:rsid w:val="00064836"/>
    <w:rsid w:val="0006488E"/>
    <w:rsid w:val="000648BB"/>
    <w:rsid w:val="0006505A"/>
    <w:rsid w:val="00065311"/>
    <w:rsid w:val="00065681"/>
    <w:rsid w:val="00065C6A"/>
    <w:rsid w:val="00065F32"/>
    <w:rsid w:val="00067591"/>
    <w:rsid w:val="00067A85"/>
    <w:rsid w:val="000717A1"/>
    <w:rsid w:val="00072540"/>
    <w:rsid w:val="000728FC"/>
    <w:rsid w:val="0007296D"/>
    <w:rsid w:val="000734D6"/>
    <w:rsid w:val="000735EC"/>
    <w:rsid w:val="0007408E"/>
    <w:rsid w:val="000745FC"/>
    <w:rsid w:val="0007495B"/>
    <w:rsid w:val="00074BC7"/>
    <w:rsid w:val="000752CD"/>
    <w:rsid w:val="0007546C"/>
    <w:rsid w:val="00077BB8"/>
    <w:rsid w:val="00080C91"/>
    <w:rsid w:val="00081B91"/>
    <w:rsid w:val="000826F1"/>
    <w:rsid w:val="000842B5"/>
    <w:rsid w:val="00084CB5"/>
    <w:rsid w:val="00085173"/>
    <w:rsid w:val="000852E9"/>
    <w:rsid w:val="0008570E"/>
    <w:rsid w:val="0008672E"/>
    <w:rsid w:val="00087373"/>
    <w:rsid w:val="00090A34"/>
    <w:rsid w:val="000919FB"/>
    <w:rsid w:val="00092688"/>
    <w:rsid w:val="000934EB"/>
    <w:rsid w:val="00093C1F"/>
    <w:rsid w:val="00093DA8"/>
    <w:rsid w:val="0009588C"/>
    <w:rsid w:val="00095C5E"/>
    <w:rsid w:val="0009629E"/>
    <w:rsid w:val="0009657A"/>
    <w:rsid w:val="00097401"/>
    <w:rsid w:val="00097686"/>
    <w:rsid w:val="00097B47"/>
    <w:rsid w:val="000A0D0B"/>
    <w:rsid w:val="000A1E94"/>
    <w:rsid w:val="000A2C18"/>
    <w:rsid w:val="000A4055"/>
    <w:rsid w:val="000A51F3"/>
    <w:rsid w:val="000A52DB"/>
    <w:rsid w:val="000A60D9"/>
    <w:rsid w:val="000B071C"/>
    <w:rsid w:val="000B0DBB"/>
    <w:rsid w:val="000B0FF1"/>
    <w:rsid w:val="000B1032"/>
    <w:rsid w:val="000B21CB"/>
    <w:rsid w:val="000B2315"/>
    <w:rsid w:val="000B2496"/>
    <w:rsid w:val="000B24FE"/>
    <w:rsid w:val="000B2A3D"/>
    <w:rsid w:val="000B327F"/>
    <w:rsid w:val="000B54D6"/>
    <w:rsid w:val="000B5E16"/>
    <w:rsid w:val="000B7352"/>
    <w:rsid w:val="000B7AC2"/>
    <w:rsid w:val="000C00BF"/>
    <w:rsid w:val="000C024F"/>
    <w:rsid w:val="000C06A5"/>
    <w:rsid w:val="000C0AD6"/>
    <w:rsid w:val="000C0BAB"/>
    <w:rsid w:val="000C0D5C"/>
    <w:rsid w:val="000C145B"/>
    <w:rsid w:val="000C1624"/>
    <w:rsid w:val="000C183F"/>
    <w:rsid w:val="000C3296"/>
    <w:rsid w:val="000C3E25"/>
    <w:rsid w:val="000C4252"/>
    <w:rsid w:val="000C6140"/>
    <w:rsid w:val="000C6593"/>
    <w:rsid w:val="000D240A"/>
    <w:rsid w:val="000D40CC"/>
    <w:rsid w:val="000D5F55"/>
    <w:rsid w:val="000D61C6"/>
    <w:rsid w:val="000D658E"/>
    <w:rsid w:val="000D773C"/>
    <w:rsid w:val="000E123D"/>
    <w:rsid w:val="000E1508"/>
    <w:rsid w:val="000E19B9"/>
    <w:rsid w:val="000E2E9C"/>
    <w:rsid w:val="000E3294"/>
    <w:rsid w:val="000E32B1"/>
    <w:rsid w:val="000E38CD"/>
    <w:rsid w:val="000E4726"/>
    <w:rsid w:val="000E5BD3"/>
    <w:rsid w:val="000E71C5"/>
    <w:rsid w:val="000E76E9"/>
    <w:rsid w:val="000F197D"/>
    <w:rsid w:val="000F19C3"/>
    <w:rsid w:val="000F2165"/>
    <w:rsid w:val="000F22BC"/>
    <w:rsid w:val="000F47D9"/>
    <w:rsid w:val="000F52E2"/>
    <w:rsid w:val="000F59A0"/>
    <w:rsid w:val="000F611E"/>
    <w:rsid w:val="000F62AF"/>
    <w:rsid w:val="000F7405"/>
    <w:rsid w:val="000F7C3A"/>
    <w:rsid w:val="001003C5"/>
    <w:rsid w:val="001008C1"/>
    <w:rsid w:val="00100C6B"/>
    <w:rsid w:val="00100E22"/>
    <w:rsid w:val="00100E41"/>
    <w:rsid w:val="00100F61"/>
    <w:rsid w:val="00100FAC"/>
    <w:rsid w:val="00101271"/>
    <w:rsid w:val="00101AEE"/>
    <w:rsid w:val="00101B6B"/>
    <w:rsid w:val="00101E54"/>
    <w:rsid w:val="00101FF1"/>
    <w:rsid w:val="001027A3"/>
    <w:rsid w:val="00102B57"/>
    <w:rsid w:val="00106BC6"/>
    <w:rsid w:val="00107C6D"/>
    <w:rsid w:val="00107DF6"/>
    <w:rsid w:val="00111F6A"/>
    <w:rsid w:val="00112E4F"/>
    <w:rsid w:val="0011323C"/>
    <w:rsid w:val="0011455E"/>
    <w:rsid w:val="001151FE"/>
    <w:rsid w:val="0011551C"/>
    <w:rsid w:val="001158D6"/>
    <w:rsid w:val="001162F0"/>
    <w:rsid w:val="001178DC"/>
    <w:rsid w:val="001203D7"/>
    <w:rsid w:val="00120A8D"/>
    <w:rsid w:val="001217C0"/>
    <w:rsid w:val="00121CA0"/>
    <w:rsid w:val="00122B03"/>
    <w:rsid w:val="001232A6"/>
    <w:rsid w:val="001236BA"/>
    <w:rsid w:val="00124239"/>
    <w:rsid w:val="00126371"/>
    <w:rsid w:val="00127131"/>
    <w:rsid w:val="001308CA"/>
    <w:rsid w:val="001309F2"/>
    <w:rsid w:val="00130AF8"/>
    <w:rsid w:val="00132E55"/>
    <w:rsid w:val="00133EAB"/>
    <w:rsid w:val="0013435B"/>
    <w:rsid w:val="00136AD0"/>
    <w:rsid w:val="00137D64"/>
    <w:rsid w:val="00140A0D"/>
    <w:rsid w:val="00141666"/>
    <w:rsid w:val="00141BAA"/>
    <w:rsid w:val="001421B6"/>
    <w:rsid w:val="00142774"/>
    <w:rsid w:val="00143E05"/>
    <w:rsid w:val="00145B17"/>
    <w:rsid w:val="0014692E"/>
    <w:rsid w:val="00146F1C"/>
    <w:rsid w:val="00147ECE"/>
    <w:rsid w:val="00150568"/>
    <w:rsid w:val="001507E7"/>
    <w:rsid w:val="00151EDE"/>
    <w:rsid w:val="00152F84"/>
    <w:rsid w:val="00153C75"/>
    <w:rsid w:val="00153E80"/>
    <w:rsid w:val="00154428"/>
    <w:rsid w:val="00154C34"/>
    <w:rsid w:val="001554CF"/>
    <w:rsid w:val="00155BB8"/>
    <w:rsid w:val="001561E0"/>
    <w:rsid w:val="001566CE"/>
    <w:rsid w:val="00156DE6"/>
    <w:rsid w:val="001572CC"/>
    <w:rsid w:val="00157648"/>
    <w:rsid w:val="00160781"/>
    <w:rsid w:val="00161AC7"/>
    <w:rsid w:val="00161C69"/>
    <w:rsid w:val="00161EB8"/>
    <w:rsid w:val="001628D4"/>
    <w:rsid w:val="001640CB"/>
    <w:rsid w:val="0016598D"/>
    <w:rsid w:val="00165EB2"/>
    <w:rsid w:val="00166253"/>
    <w:rsid w:val="001664B1"/>
    <w:rsid w:val="00167396"/>
    <w:rsid w:val="00167D43"/>
    <w:rsid w:val="001709E9"/>
    <w:rsid w:val="00171BDD"/>
    <w:rsid w:val="00172079"/>
    <w:rsid w:val="001729EF"/>
    <w:rsid w:val="0017357A"/>
    <w:rsid w:val="00173C10"/>
    <w:rsid w:val="00175DE7"/>
    <w:rsid w:val="00175F1E"/>
    <w:rsid w:val="00176719"/>
    <w:rsid w:val="00176901"/>
    <w:rsid w:val="00176993"/>
    <w:rsid w:val="00176B31"/>
    <w:rsid w:val="00176C61"/>
    <w:rsid w:val="00176FB1"/>
    <w:rsid w:val="0017762C"/>
    <w:rsid w:val="00177C31"/>
    <w:rsid w:val="00180425"/>
    <w:rsid w:val="00180523"/>
    <w:rsid w:val="001817FD"/>
    <w:rsid w:val="00181D7A"/>
    <w:rsid w:val="001844EB"/>
    <w:rsid w:val="001848C3"/>
    <w:rsid w:val="00184BD0"/>
    <w:rsid w:val="001851C2"/>
    <w:rsid w:val="00185AAB"/>
    <w:rsid w:val="001862B7"/>
    <w:rsid w:val="001870D3"/>
    <w:rsid w:val="00187D60"/>
    <w:rsid w:val="00190A83"/>
    <w:rsid w:val="00192503"/>
    <w:rsid w:val="0019373F"/>
    <w:rsid w:val="00195347"/>
    <w:rsid w:val="0019553F"/>
    <w:rsid w:val="00195EAB"/>
    <w:rsid w:val="00197634"/>
    <w:rsid w:val="001A081C"/>
    <w:rsid w:val="001A0FEC"/>
    <w:rsid w:val="001A1157"/>
    <w:rsid w:val="001A143D"/>
    <w:rsid w:val="001A1E7A"/>
    <w:rsid w:val="001A31B7"/>
    <w:rsid w:val="001A3322"/>
    <w:rsid w:val="001A394F"/>
    <w:rsid w:val="001A3FE1"/>
    <w:rsid w:val="001A4D38"/>
    <w:rsid w:val="001A4F8E"/>
    <w:rsid w:val="001A6356"/>
    <w:rsid w:val="001A77B3"/>
    <w:rsid w:val="001B03E2"/>
    <w:rsid w:val="001B0750"/>
    <w:rsid w:val="001B1C96"/>
    <w:rsid w:val="001B2484"/>
    <w:rsid w:val="001B26AC"/>
    <w:rsid w:val="001B3226"/>
    <w:rsid w:val="001B53ED"/>
    <w:rsid w:val="001B596A"/>
    <w:rsid w:val="001B62CE"/>
    <w:rsid w:val="001B69A5"/>
    <w:rsid w:val="001B6E72"/>
    <w:rsid w:val="001B6F5A"/>
    <w:rsid w:val="001C0A89"/>
    <w:rsid w:val="001C0D8C"/>
    <w:rsid w:val="001C0EFE"/>
    <w:rsid w:val="001C1230"/>
    <w:rsid w:val="001C1D2C"/>
    <w:rsid w:val="001C1EB6"/>
    <w:rsid w:val="001C2D15"/>
    <w:rsid w:val="001C474A"/>
    <w:rsid w:val="001C4833"/>
    <w:rsid w:val="001C4D3A"/>
    <w:rsid w:val="001C4EEE"/>
    <w:rsid w:val="001C5D7E"/>
    <w:rsid w:val="001C6E02"/>
    <w:rsid w:val="001C71E4"/>
    <w:rsid w:val="001C71F8"/>
    <w:rsid w:val="001C755E"/>
    <w:rsid w:val="001C7DA0"/>
    <w:rsid w:val="001D07C0"/>
    <w:rsid w:val="001D0C7B"/>
    <w:rsid w:val="001D0D72"/>
    <w:rsid w:val="001D2826"/>
    <w:rsid w:val="001D2DF3"/>
    <w:rsid w:val="001D3284"/>
    <w:rsid w:val="001D4949"/>
    <w:rsid w:val="001D5A37"/>
    <w:rsid w:val="001D5AD4"/>
    <w:rsid w:val="001D5B79"/>
    <w:rsid w:val="001D6917"/>
    <w:rsid w:val="001D6EA7"/>
    <w:rsid w:val="001D7884"/>
    <w:rsid w:val="001D7B14"/>
    <w:rsid w:val="001E0435"/>
    <w:rsid w:val="001E10DA"/>
    <w:rsid w:val="001E1E01"/>
    <w:rsid w:val="001E274C"/>
    <w:rsid w:val="001E2CF5"/>
    <w:rsid w:val="001E2E0D"/>
    <w:rsid w:val="001E3751"/>
    <w:rsid w:val="001E3BA7"/>
    <w:rsid w:val="001E4A72"/>
    <w:rsid w:val="001E4D38"/>
    <w:rsid w:val="001E633D"/>
    <w:rsid w:val="001E6568"/>
    <w:rsid w:val="001E7C41"/>
    <w:rsid w:val="001F0C60"/>
    <w:rsid w:val="001F204F"/>
    <w:rsid w:val="001F4014"/>
    <w:rsid w:val="001F47DB"/>
    <w:rsid w:val="001F59CD"/>
    <w:rsid w:val="001F6434"/>
    <w:rsid w:val="001F7DFC"/>
    <w:rsid w:val="002004B0"/>
    <w:rsid w:val="0020102F"/>
    <w:rsid w:val="002015A7"/>
    <w:rsid w:val="00201E89"/>
    <w:rsid w:val="002023D8"/>
    <w:rsid w:val="00203ABF"/>
    <w:rsid w:val="00203BFA"/>
    <w:rsid w:val="0020401B"/>
    <w:rsid w:val="002040AB"/>
    <w:rsid w:val="0020420B"/>
    <w:rsid w:val="002045C6"/>
    <w:rsid w:val="0020471F"/>
    <w:rsid w:val="00205D6F"/>
    <w:rsid w:val="002060C2"/>
    <w:rsid w:val="00207468"/>
    <w:rsid w:val="00211B17"/>
    <w:rsid w:val="00211B8D"/>
    <w:rsid w:val="00212526"/>
    <w:rsid w:val="002128D0"/>
    <w:rsid w:val="0021362B"/>
    <w:rsid w:val="00216AC6"/>
    <w:rsid w:val="00216BBF"/>
    <w:rsid w:val="002174F6"/>
    <w:rsid w:val="002205E3"/>
    <w:rsid w:val="0022115B"/>
    <w:rsid w:val="00221163"/>
    <w:rsid w:val="0022128C"/>
    <w:rsid w:val="002215BA"/>
    <w:rsid w:val="00222427"/>
    <w:rsid w:val="0022260F"/>
    <w:rsid w:val="0022283B"/>
    <w:rsid w:val="00222886"/>
    <w:rsid w:val="00222AE2"/>
    <w:rsid w:val="0022324E"/>
    <w:rsid w:val="00223658"/>
    <w:rsid w:val="00223C40"/>
    <w:rsid w:val="00224703"/>
    <w:rsid w:val="002254C4"/>
    <w:rsid w:val="00225C3A"/>
    <w:rsid w:val="00226148"/>
    <w:rsid w:val="002265E1"/>
    <w:rsid w:val="00227148"/>
    <w:rsid w:val="0023018A"/>
    <w:rsid w:val="00230AC2"/>
    <w:rsid w:val="002311AE"/>
    <w:rsid w:val="00231C23"/>
    <w:rsid w:val="00232FF9"/>
    <w:rsid w:val="00233450"/>
    <w:rsid w:val="00233466"/>
    <w:rsid w:val="00234312"/>
    <w:rsid w:val="00234335"/>
    <w:rsid w:val="002355D2"/>
    <w:rsid w:val="00236984"/>
    <w:rsid w:val="002374F3"/>
    <w:rsid w:val="00237938"/>
    <w:rsid w:val="002379BB"/>
    <w:rsid w:val="00237BB9"/>
    <w:rsid w:val="0024146B"/>
    <w:rsid w:val="0024252F"/>
    <w:rsid w:val="00243325"/>
    <w:rsid w:val="0024336B"/>
    <w:rsid w:val="0024468E"/>
    <w:rsid w:val="00244AFA"/>
    <w:rsid w:val="00244BC4"/>
    <w:rsid w:val="00244D10"/>
    <w:rsid w:val="0024522D"/>
    <w:rsid w:val="00245469"/>
    <w:rsid w:val="00245478"/>
    <w:rsid w:val="00245C75"/>
    <w:rsid w:val="0024623A"/>
    <w:rsid w:val="002466FD"/>
    <w:rsid w:val="00250BEE"/>
    <w:rsid w:val="0025435C"/>
    <w:rsid w:val="00254371"/>
    <w:rsid w:val="0025585A"/>
    <w:rsid w:val="00255A76"/>
    <w:rsid w:val="00256233"/>
    <w:rsid w:val="0025737C"/>
    <w:rsid w:val="002573AC"/>
    <w:rsid w:val="00257BDB"/>
    <w:rsid w:val="00260548"/>
    <w:rsid w:val="00260640"/>
    <w:rsid w:val="0026123F"/>
    <w:rsid w:val="00261376"/>
    <w:rsid w:val="00262604"/>
    <w:rsid w:val="00264C31"/>
    <w:rsid w:val="00265280"/>
    <w:rsid w:val="00265A33"/>
    <w:rsid w:val="00265C90"/>
    <w:rsid w:val="002661BC"/>
    <w:rsid w:val="00266BD4"/>
    <w:rsid w:val="00267AD8"/>
    <w:rsid w:val="00267E4F"/>
    <w:rsid w:val="00270A4A"/>
    <w:rsid w:val="002711D9"/>
    <w:rsid w:val="002729BF"/>
    <w:rsid w:val="00272B9C"/>
    <w:rsid w:val="00272D88"/>
    <w:rsid w:val="00273299"/>
    <w:rsid w:val="002777BB"/>
    <w:rsid w:val="00277B28"/>
    <w:rsid w:val="002809D4"/>
    <w:rsid w:val="00280C8B"/>
    <w:rsid w:val="00281295"/>
    <w:rsid w:val="00281878"/>
    <w:rsid w:val="00282341"/>
    <w:rsid w:val="00282832"/>
    <w:rsid w:val="002852CE"/>
    <w:rsid w:val="00285551"/>
    <w:rsid w:val="002868DC"/>
    <w:rsid w:val="002875B2"/>
    <w:rsid w:val="002901C9"/>
    <w:rsid w:val="0029143C"/>
    <w:rsid w:val="0029175E"/>
    <w:rsid w:val="00291A36"/>
    <w:rsid w:val="00292E73"/>
    <w:rsid w:val="002932B4"/>
    <w:rsid w:val="00294236"/>
    <w:rsid w:val="00294270"/>
    <w:rsid w:val="002951E2"/>
    <w:rsid w:val="00295591"/>
    <w:rsid w:val="00295D7C"/>
    <w:rsid w:val="00296A25"/>
    <w:rsid w:val="00296BDF"/>
    <w:rsid w:val="00296EE4"/>
    <w:rsid w:val="00297054"/>
    <w:rsid w:val="00297DCC"/>
    <w:rsid w:val="002A020A"/>
    <w:rsid w:val="002A0BA0"/>
    <w:rsid w:val="002A189E"/>
    <w:rsid w:val="002A1D7C"/>
    <w:rsid w:val="002A4363"/>
    <w:rsid w:val="002A4866"/>
    <w:rsid w:val="002A4A5A"/>
    <w:rsid w:val="002A64E5"/>
    <w:rsid w:val="002A66CB"/>
    <w:rsid w:val="002A680D"/>
    <w:rsid w:val="002A730B"/>
    <w:rsid w:val="002B2921"/>
    <w:rsid w:val="002B3016"/>
    <w:rsid w:val="002B3CFB"/>
    <w:rsid w:val="002B4D8B"/>
    <w:rsid w:val="002B4EDE"/>
    <w:rsid w:val="002B6407"/>
    <w:rsid w:val="002B68A5"/>
    <w:rsid w:val="002B7141"/>
    <w:rsid w:val="002B78DD"/>
    <w:rsid w:val="002B7E10"/>
    <w:rsid w:val="002C1016"/>
    <w:rsid w:val="002C2123"/>
    <w:rsid w:val="002C3B80"/>
    <w:rsid w:val="002C484F"/>
    <w:rsid w:val="002C4B11"/>
    <w:rsid w:val="002C5506"/>
    <w:rsid w:val="002C5F77"/>
    <w:rsid w:val="002C706C"/>
    <w:rsid w:val="002C788C"/>
    <w:rsid w:val="002D019B"/>
    <w:rsid w:val="002D0607"/>
    <w:rsid w:val="002D0B0C"/>
    <w:rsid w:val="002D0B7B"/>
    <w:rsid w:val="002D0EEF"/>
    <w:rsid w:val="002D39F5"/>
    <w:rsid w:val="002D4709"/>
    <w:rsid w:val="002D4ACD"/>
    <w:rsid w:val="002D4DD8"/>
    <w:rsid w:val="002D4E11"/>
    <w:rsid w:val="002D566A"/>
    <w:rsid w:val="002D5C26"/>
    <w:rsid w:val="002D62FC"/>
    <w:rsid w:val="002D65F6"/>
    <w:rsid w:val="002D6A16"/>
    <w:rsid w:val="002D7ADE"/>
    <w:rsid w:val="002D7F4A"/>
    <w:rsid w:val="002E0652"/>
    <w:rsid w:val="002E0A05"/>
    <w:rsid w:val="002E2508"/>
    <w:rsid w:val="002E283D"/>
    <w:rsid w:val="002E38E4"/>
    <w:rsid w:val="002E4196"/>
    <w:rsid w:val="002E4455"/>
    <w:rsid w:val="002E4ED0"/>
    <w:rsid w:val="002E536D"/>
    <w:rsid w:val="002E57E3"/>
    <w:rsid w:val="002E5D69"/>
    <w:rsid w:val="002E674B"/>
    <w:rsid w:val="002E76D9"/>
    <w:rsid w:val="002E7F33"/>
    <w:rsid w:val="002F0314"/>
    <w:rsid w:val="002F08A0"/>
    <w:rsid w:val="002F0D07"/>
    <w:rsid w:val="002F3F27"/>
    <w:rsid w:val="002F4094"/>
    <w:rsid w:val="002F4215"/>
    <w:rsid w:val="002F4D63"/>
    <w:rsid w:val="002F53C2"/>
    <w:rsid w:val="002F5787"/>
    <w:rsid w:val="002F63AD"/>
    <w:rsid w:val="00301E5E"/>
    <w:rsid w:val="0030239C"/>
    <w:rsid w:val="00302E84"/>
    <w:rsid w:val="003040C2"/>
    <w:rsid w:val="00306EBD"/>
    <w:rsid w:val="00307779"/>
    <w:rsid w:val="00310363"/>
    <w:rsid w:val="00311AAE"/>
    <w:rsid w:val="00311D7F"/>
    <w:rsid w:val="00312C98"/>
    <w:rsid w:val="003137E2"/>
    <w:rsid w:val="003139E4"/>
    <w:rsid w:val="00313A20"/>
    <w:rsid w:val="00313B4A"/>
    <w:rsid w:val="00314734"/>
    <w:rsid w:val="00314D93"/>
    <w:rsid w:val="003157DE"/>
    <w:rsid w:val="003165F1"/>
    <w:rsid w:val="0031666A"/>
    <w:rsid w:val="00316F9A"/>
    <w:rsid w:val="003172E5"/>
    <w:rsid w:val="0031769D"/>
    <w:rsid w:val="00317915"/>
    <w:rsid w:val="00320C1F"/>
    <w:rsid w:val="00322322"/>
    <w:rsid w:val="00322D1B"/>
    <w:rsid w:val="00322F1C"/>
    <w:rsid w:val="00323026"/>
    <w:rsid w:val="003248FB"/>
    <w:rsid w:val="003258EB"/>
    <w:rsid w:val="0032711C"/>
    <w:rsid w:val="003271BD"/>
    <w:rsid w:val="0032734C"/>
    <w:rsid w:val="003273E1"/>
    <w:rsid w:val="00327BB2"/>
    <w:rsid w:val="0033060C"/>
    <w:rsid w:val="0033119E"/>
    <w:rsid w:val="003319BB"/>
    <w:rsid w:val="00332780"/>
    <w:rsid w:val="00333E48"/>
    <w:rsid w:val="00334342"/>
    <w:rsid w:val="00334997"/>
    <w:rsid w:val="00334B66"/>
    <w:rsid w:val="00335BA4"/>
    <w:rsid w:val="003377C8"/>
    <w:rsid w:val="0033794D"/>
    <w:rsid w:val="00337B24"/>
    <w:rsid w:val="00337C61"/>
    <w:rsid w:val="00340416"/>
    <w:rsid w:val="00341C39"/>
    <w:rsid w:val="0034471E"/>
    <w:rsid w:val="00344E3D"/>
    <w:rsid w:val="00345514"/>
    <w:rsid w:val="00345A0D"/>
    <w:rsid w:val="00345D21"/>
    <w:rsid w:val="003462E7"/>
    <w:rsid w:val="00346509"/>
    <w:rsid w:val="00346742"/>
    <w:rsid w:val="00347059"/>
    <w:rsid w:val="003477DE"/>
    <w:rsid w:val="00351F48"/>
    <w:rsid w:val="0035206C"/>
    <w:rsid w:val="00353306"/>
    <w:rsid w:val="00353623"/>
    <w:rsid w:val="00353868"/>
    <w:rsid w:val="00353E3A"/>
    <w:rsid w:val="00354267"/>
    <w:rsid w:val="00354D60"/>
    <w:rsid w:val="003554E4"/>
    <w:rsid w:val="00356178"/>
    <w:rsid w:val="003565E6"/>
    <w:rsid w:val="00356ABC"/>
    <w:rsid w:val="00356DFC"/>
    <w:rsid w:val="003576D6"/>
    <w:rsid w:val="0035770E"/>
    <w:rsid w:val="00357AA6"/>
    <w:rsid w:val="00357BCC"/>
    <w:rsid w:val="00357CC0"/>
    <w:rsid w:val="00357DDA"/>
    <w:rsid w:val="0036173F"/>
    <w:rsid w:val="003620C8"/>
    <w:rsid w:val="00363369"/>
    <w:rsid w:val="0036395E"/>
    <w:rsid w:val="003639B6"/>
    <w:rsid w:val="00364F72"/>
    <w:rsid w:val="00365134"/>
    <w:rsid w:val="003664DD"/>
    <w:rsid w:val="00367035"/>
    <w:rsid w:val="00370173"/>
    <w:rsid w:val="00370AB0"/>
    <w:rsid w:val="00371364"/>
    <w:rsid w:val="0037369C"/>
    <w:rsid w:val="003737C8"/>
    <w:rsid w:val="003743F9"/>
    <w:rsid w:val="003746E7"/>
    <w:rsid w:val="003749B5"/>
    <w:rsid w:val="00374E8E"/>
    <w:rsid w:val="00376E92"/>
    <w:rsid w:val="0037734E"/>
    <w:rsid w:val="00377383"/>
    <w:rsid w:val="003776B9"/>
    <w:rsid w:val="00380723"/>
    <w:rsid w:val="00380C43"/>
    <w:rsid w:val="00382428"/>
    <w:rsid w:val="003824A8"/>
    <w:rsid w:val="00382704"/>
    <w:rsid w:val="0038373D"/>
    <w:rsid w:val="003858CD"/>
    <w:rsid w:val="00386331"/>
    <w:rsid w:val="0038698E"/>
    <w:rsid w:val="00386ACF"/>
    <w:rsid w:val="00386D0F"/>
    <w:rsid w:val="00387AB3"/>
    <w:rsid w:val="00387B18"/>
    <w:rsid w:val="00387D74"/>
    <w:rsid w:val="00387E9B"/>
    <w:rsid w:val="0039065F"/>
    <w:rsid w:val="003908CC"/>
    <w:rsid w:val="00391C3F"/>
    <w:rsid w:val="003927A2"/>
    <w:rsid w:val="00392B2D"/>
    <w:rsid w:val="00392FA7"/>
    <w:rsid w:val="00393662"/>
    <w:rsid w:val="003942A2"/>
    <w:rsid w:val="00394391"/>
    <w:rsid w:val="0039471F"/>
    <w:rsid w:val="00394918"/>
    <w:rsid w:val="00394972"/>
    <w:rsid w:val="00394AC1"/>
    <w:rsid w:val="003950F5"/>
    <w:rsid w:val="003951C2"/>
    <w:rsid w:val="0039539D"/>
    <w:rsid w:val="003956DF"/>
    <w:rsid w:val="003956FA"/>
    <w:rsid w:val="00395847"/>
    <w:rsid w:val="00397FA1"/>
    <w:rsid w:val="003A1EFF"/>
    <w:rsid w:val="003A2107"/>
    <w:rsid w:val="003A23FE"/>
    <w:rsid w:val="003A2CEA"/>
    <w:rsid w:val="003A5ED5"/>
    <w:rsid w:val="003A69F2"/>
    <w:rsid w:val="003A6C87"/>
    <w:rsid w:val="003A6E35"/>
    <w:rsid w:val="003A7309"/>
    <w:rsid w:val="003A7BED"/>
    <w:rsid w:val="003A7CD9"/>
    <w:rsid w:val="003B254C"/>
    <w:rsid w:val="003B33EE"/>
    <w:rsid w:val="003B3BF6"/>
    <w:rsid w:val="003B5978"/>
    <w:rsid w:val="003C1E47"/>
    <w:rsid w:val="003C4919"/>
    <w:rsid w:val="003C4D5C"/>
    <w:rsid w:val="003C687B"/>
    <w:rsid w:val="003C6FFD"/>
    <w:rsid w:val="003C756F"/>
    <w:rsid w:val="003C7FC7"/>
    <w:rsid w:val="003C7FD2"/>
    <w:rsid w:val="003D03C9"/>
    <w:rsid w:val="003D09EB"/>
    <w:rsid w:val="003D0C0F"/>
    <w:rsid w:val="003D10CF"/>
    <w:rsid w:val="003D1718"/>
    <w:rsid w:val="003D1E09"/>
    <w:rsid w:val="003D200A"/>
    <w:rsid w:val="003D30A4"/>
    <w:rsid w:val="003D3168"/>
    <w:rsid w:val="003D33B0"/>
    <w:rsid w:val="003D4002"/>
    <w:rsid w:val="003D43B3"/>
    <w:rsid w:val="003D5B2F"/>
    <w:rsid w:val="003D5E2E"/>
    <w:rsid w:val="003D6BC3"/>
    <w:rsid w:val="003E106D"/>
    <w:rsid w:val="003E2253"/>
    <w:rsid w:val="003E2690"/>
    <w:rsid w:val="003E3BD6"/>
    <w:rsid w:val="003E532D"/>
    <w:rsid w:val="003E5ECD"/>
    <w:rsid w:val="003E6C9D"/>
    <w:rsid w:val="003E76F0"/>
    <w:rsid w:val="003F04E9"/>
    <w:rsid w:val="003F326E"/>
    <w:rsid w:val="003F3F53"/>
    <w:rsid w:val="003F5036"/>
    <w:rsid w:val="003F5098"/>
    <w:rsid w:val="003F6037"/>
    <w:rsid w:val="003F606E"/>
    <w:rsid w:val="003F7619"/>
    <w:rsid w:val="00400B42"/>
    <w:rsid w:val="00400D2D"/>
    <w:rsid w:val="00401DFB"/>
    <w:rsid w:val="00401FF6"/>
    <w:rsid w:val="00402488"/>
    <w:rsid w:val="00402677"/>
    <w:rsid w:val="004029C2"/>
    <w:rsid w:val="0040344B"/>
    <w:rsid w:val="0040358C"/>
    <w:rsid w:val="004041DC"/>
    <w:rsid w:val="004044E0"/>
    <w:rsid w:val="0040479B"/>
    <w:rsid w:val="0040484C"/>
    <w:rsid w:val="0040498B"/>
    <w:rsid w:val="00404FFA"/>
    <w:rsid w:val="00405D0C"/>
    <w:rsid w:val="00406835"/>
    <w:rsid w:val="00406983"/>
    <w:rsid w:val="00406F5C"/>
    <w:rsid w:val="00407D7F"/>
    <w:rsid w:val="004113FC"/>
    <w:rsid w:val="0041161F"/>
    <w:rsid w:val="00411F34"/>
    <w:rsid w:val="004122CF"/>
    <w:rsid w:val="004127BD"/>
    <w:rsid w:val="00413F03"/>
    <w:rsid w:val="00415248"/>
    <w:rsid w:val="004154CD"/>
    <w:rsid w:val="0041685E"/>
    <w:rsid w:val="0041708A"/>
    <w:rsid w:val="0041758A"/>
    <w:rsid w:val="00417F28"/>
    <w:rsid w:val="004208AB"/>
    <w:rsid w:val="00421353"/>
    <w:rsid w:val="00421818"/>
    <w:rsid w:val="00421824"/>
    <w:rsid w:val="00423B50"/>
    <w:rsid w:val="00423C55"/>
    <w:rsid w:val="00423E35"/>
    <w:rsid w:val="00424CF8"/>
    <w:rsid w:val="00424E58"/>
    <w:rsid w:val="00424EAC"/>
    <w:rsid w:val="00425222"/>
    <w:rsid w:val="004255A3"/>
    <w:rsid w:val="00426333"/>
    <w:rsid w:val="00426C34"/>
    <w:rsid w:val="00426D31"/>
    <w:rsid w:val="004305E4"/>
    <w:rsid w:val="00430D3F"/>
    <w:rsid w:val="00430F5F"/>
    <w:rsid w:val="004325F0"/>
    <w:rsid w:val="00433627"/>
    <w:rsid w:val="00433AFC"/>
    <w:rsid w:val="0043468C"/>
    <w:rsid w:val="00434BCE"/>
    <w:rsid w:val="00434C00"/>
    <w:rsid w:val="0043616F"/>
    <w:rsid w:val="00437006"/>
    <w:rsid w:val="004407CC"/>
    <w:rsid w:val="00440800"/>
    <w:rsid w:val="0044216B"/>
    <w:rsid w:val="00442791"/>
    <w:rsid w:val="00442B0A"/>
    <w:rsid w:val="0044463D"/>
    <w:rsid w:val="0044569F"/>
    <w:rsid w:val="00445C75"/>
    <w:rsid w:val="00446B63"/>
    <w:rsid w:val="00446C56"/>
    <w:rsid w:val="00447653"/>
    <w:rsid w:val="00450281"/>
    <w:rsid w:val="00450369"/>
    <w:rsid w:val="0045052C"/>
    <w:rsid w:val="0045095B"/>
    <w:rsid w:val="00451558"/>
    <w:rsid w:val="00452786"/>
    <w:rsid w:val="004536B8"/>
    <w:rsid w:val="00454A04"/>
    <w:rsid w:val="00454FD2"/>
    <w:rsid w:val="00455ABC"/>
    <w:rsid w:val="00456E52"/>
    <w:rsid w:val="00457411"/>
    <w:rsid w:val="00457B2F"/>
    <w:rsid w:val="00460729"/>
    <w:rsid w:val="0046081F"/>
    <w:rsid w:val="00460A7B"/>
    <w:rsid w:val="00460A87"/>
    <w:rsid w:val="00461EB3"/>
    <w:rsid w:val="00463413"/>
    <w:rsid w:val="00463EA4"/>
    <w:rsid w:val="00465F1A"/>
    <w:rsid w:val="00465F47"/>
    <w:rsid w:val="00466510"/>
    <w:rsid w:val="00466C25"/>
    <w:rsid w:val="004675C2"/>
    <w:rsid w:val="0047012A"/>
    <w:rsid w:val="004702E1"/>
    <w:rsid w:val="00470768"/>
    <w:rsid w:val="00470775"/>
    <w:rsid w:val="00471681"/>
    <w:rsid w:val="0047210D"/>
    <w:rsid w:val="004729C6"/>
    <w:rsid w:val="00472D68"/>
    <w:rsid w:val="00472F70"/>
    <w:rsid w:val="00473EAF"/>
    <w:rsid w:val="004741A1"/>
    <w:rsid w:val="00474248"/>
    <w:rsid w:val="004749BD"/>
    <w:rsid w:val="0047511D"/>
    <w:rsid w:val="00475619"/>
    <w:rsid w:val="00475A84"/>
    <w:rsid w:val="00475EF7"/>
    <w:rsid w:val="0048369D"/>
    <w:rsid w:val="004838AE"/>
    <w:rsid w:val="00483C60"/>
    <w:rsid w:val="004842FB"/>
    <w:rsid w:val="00485214"/>
    <w:rsid w:val="0048575B"/>
    <w:rsid w:val="00485E39"/>
    <w:rsid w:val="00486654"/>
    <w:rsid w:val="004867A9"/>
    <w:rsid w:val="004876A2"/>
    <w:rsid w:val="00487AD2"/>
    <w:rsid w:val="0049025B"/>
    <w:rsid w:val="0049165E"/>
    <w:rsid w:val="00491CB1"/>
    <w:rsid w:val="00491F8A"/>
    <w:rsid w:val="00492AF1"/>
    <w:rsid w:val="00495849"/>
    <w:rsid w:val="004958F7"/>
    <w:rsid w:val="00495F80"/>
    <w:rsid w:val="0049624A"/>
    <w:rsid w:val="0049630B"/>
    <w:rsid w:val="004973E7"/>
    <w:rsid w:val="004977D3"/>
    <w:rsid w:val="00497AB9"/>
    <w:rsid w:val="004A033E"/>
    <w:rsid w:val="004A07CE"/>
    <w:rsid w:val="004A1DEF"/>
    <w:rsid w:val="004A1F53"/>
    <w:rsid w:val="004A24AD"/>
    <w:rsid w:val="004A51E9"/>
    <w:rsid w:val="004A567B"/>
    <w:rsid w:val="004A69FB"/>
    <w:rsid w:val="004A6BFC"/>
    <w:rsid w:val="004B0A96"/>
    <w:rsid w:val="004B0CD0"/>
    <w:rsid w:val="004B0D14"/>
    <w:rsid w:val="004B0D72"/>
    <w:rsid w:val="004B1482"/>
    <w:rsid w:val="004B189E"/>
    <w:rsid w:val="004B244E"/>
    <w:rsid w:val="004B2E36"/>
    <w:rsid w:val="004B3788"/>
    <w:rsid w:val="004B4447"/>
    <w:rsid w:val="004B47AE"/>
    <w:rsid w:val="004B4983"/>
    <w:rsid w:val="004B50D9"/>
    <w:rsid w:val="004B5545"/>
    <w:rsid w:val="004B573E"/>
    <w:rsid w:val="004B6306"/>
    <w:rsid w:val="004B6AB4"/>
    <w:rsid w:val="004B7BC2"/>
    <w:rsid w:val="004C1416"/>
    <w:rsid w:val="004C1C2D"/>
    <w:rsid w:val="004C26CB"/>
    <w:rsid w:val="004C2AF5"/>
    <w:rsid w:val="004C2E44"/>
    <w:rsid w:val="004C39F2"/>
    <w:rsid w:val="004C443D"/>
    <w:rsid w:val="004C44FA"/>
    <w:rsid w:val="004C6510"/>
    <w:rsid w:val="004C67FD"/>
    <w:rsid w:val="004C6AEC"/>
    <w:rsid w:val="004D0B22"/>
    <w:rsid w:val="004D0CD7"/>
    <w:rsid w:val="004D18E3"/>
    <w:rsid w:val="004D1B60"/>
    <w:rsid w:val="004D21F5"/>
    <w:rsid w:val="004D357E"/>
    <w:rsid w:val="004D3D9C"/>
    <w:rsid w:val="004D51A5"/>
    <w:rsid w:val="004D5415"/>
    <w:rsid w:val="004D67AB"/>
    <w:rsid w:val="004D6C9C"/>
    <w:rsid w:val="004D7250"/>
    <w:rsid w:val="004D7B57"/>
    <w:rsid w:val="004E1007"/>
    <w:rsid w:val="004E1EE1"/>
    <w:rsid w:val="004E3290"/>
    <w:rsid w:val="004E3875"/>
    <w:rsid w:val="004E57C3"/>
    <w:rsid w:val="004E5BA4"/>
    <w:rsid w:val="004E6654"/>
    <w:rsid w:val="004E7813"/>
    <w:rsid w:val="004E78DB"/>
    <w:rsid w:val="004F0D4A"/>
    <w:rsid w:val="004F0F92"/>
    <w:rsid w:val="004F3DC5"/>
    <w:rsid w:val="004F544E"/>
    <w:rsid w:val="004F6678"/>
    <w:rsid w:val="004F6D83"/>
    <w:rsid w:val="004F7814"/>
    <w:rsid w:val="004F7B00"/>
    <w:rsid w:val="00500898"/>
    <w:rsid w:val="005047FC"/>
    <w:rsid w:val="00504963"/>
    <w:rsid w:val="00505118"/>
    <w:rsid w:val="005060F8"/>
    <w:rsid w:val="00506B9A"/>
    <w:rsid w:val="0050751C"/>
    <w:rsid w:val="0050790D"/>
    <w:rsid w:val="005106C5"/>
    <w:rsid w:val="00511112"/>
    <w:rsid w:val="00511837"/>
    <w:rsid w:val="00511D91"/>
    <w:rsid w:val="00511FEE"/>
    <w:rsid w:val="005125F5"/>
    <w:rsid w:val="00512CFB"/>
    <w:rsid w:val="0051316E"/>
    <w:rsid w:val="0051337A"/>
    <w:rsid w:val="005134D8"/>
    <w:rsid w:val="00513641"/>
    <w:rsid w:val="0051431A"/>
    <w:rsid w:val="00515AB0"/>
    <w:rsid w:val="00516696"/>
    <w:rsid w:val="00516D39"/>
    <w:rsid w:val="00516FC2"/>
    <w:rsid w:val="00517318"/>
    <w:rsid w:val="0051738E"/>
    <w:rsid w:val="00517ECD"/>
    <w:rsid w:val="00520486"/>
    <w:rsid w:val="00520968"/>
    <w:rsid w:val="005216E1"/>
    <w:rsid w:val="00523836"/>
    <w:rsid w:val="00523A01"/>
    <w:rsid w:val="005242FC"/>
    <w:rsid w:val="00524552"/>
    <w:rsid w:val="0052492E"/>
    <w:rsid w:val="00524EC8"/>
    <w:rsid w:val="005257C1"/>
    <w:rsid w:val="005257D2"/>
    <w:rsid w:val="00526D54"/>
    <w:rsid w:val="00526FF1"/>
    <w:rsid w:val="0052786F"/>
    <w:rsid w:val="00530122"/>
    <w:rsid w:val="0053033E"/>
    <w:rsid w:val="00530706"/>
    <w:rsid w:val="00530E9C"/>
    <w:rsid w:val="00532DA0"/>
    <w:rsid w:val="00534396"/>
    <w:rsid w:val="005347F9"/>
    <w:rsid w:val="005359F8"/>
    <w:rsid w:val="00535C4C"/>
    <w:rsid w:val="00536D2E"/>
    <w:rsid w:val="0053726B"/>
    <w:rsid w:val="00537CD5"/>
    <w:rsid w:val="00537FAD"/>
    <w:rsid w:val="005408CF"/>
    <w:rsid w:val="0054105C"/>
    <w:rsid w:val="00541090"/>
    <w:rsid w:val="00541B50"/>
    <w:rsid w:val="00541BDC"/>
    <w:rsid w:val="005428D6"/>
    <w:rsid w:val="00543106"/>
    <w:rsid w:val="00543361"/>
    <w:rsid w:val="00543B44"/>
    <w:rsid w:val="00543FAD"/>
    <w:rsid w:val="00543FC0"/>
    <w:rsid w:val="00544E5D"/>
    <w:rsid w:val="00545C2F"/>
    <w:rsid w:val="00546330"/>
    <w:rsid w:val="00546686"/>
    <w:rsid w:val="00546FE0"/>
    <w:rsid w:val="0054727C"/>
    <w:rsid w:val="00550818"/>
    <w:rsid w:val="00550DC6"/>
    <w:rsid w:val="00552465"/>
    <w:rsid w:val="00552611"/>
    <w:rsid w:val="0055340F"/>
    <w:rsid w:val="005544C4"/>
    <w:rsid w:val="00556157"/>
    <w:rsid w:val="0055648F"/>
    <w:rsid w:val="00556CB5"/>
    <w:rsid w:val="005579B4"/>
    <w:rsid w:val="00557BF1"/>
    <w:rsid w:val="0056067D"/>
    <w:rsid w:val="00560EBA"/>
    <w:rsid w:val="00563987"/>
    <w:rsid w:val="00564074"/>
    <w:rsid w:val="005649CD"/>
    <w:rsid w:val="00567380"/>
    <w:rsid w:val="005677E7"/>
    <w:rsid w:val="005700D5"/>
    <w:rsid w:val="005703A7"/>
    <w:rsid w:val="005709E8"/>
    <w:rsid w:val="0057177A"/>
    <w:rsid w:val="00572B45"/>
    <w:rsid w:val="00573FF2"/>
    <w:rsid w:val="00574784"/>
    <w:rsid w:val="00576A20"/>
    <w:rsid w:val="005771D7"/>
    <w:rsid w:val="00577465"/>
    <w:rsid w:val="0057787B"/>
    <w:rsid w:val="00577A43"/>
    <w:rsid w:val="00577FAF"/>
    <w:rsid w:val="00582052"/>
    <w:rsid w:val="00584247"/>
    <w:rsid w:val="005847BF"/>
    <w:rsid w:val="00585E31"/>
    <w:rsid w:val="005865C6"/>
    <w:rsid w:val="0058725E"/>
    <w:rsid w:val="0059080E"/>
    <w:rsid w:val="0059137A"/>
    <w:rsid w:val="005913EB"/>
    <w:rsid w:val="00593224"/>
    <w:rsid w:val="00593721"/>
    <w:rsid w:val="00593829"/>
    <w:rsid w:val="00593FB5"/>
    <w:rsid w:val="00594C28"/>
    <w:rsid w:val="0059552A"/>
    <w:rsid w:val="00595682"/>
    <w:rsid w:val="00595F32"/>
    <w:rsid w:val="005A02B2"/>
    <w:rsid w:val="005A0416"/>
    <w:rsid w:val="005A0945"/>
    <w:rsid w:val="005A15AA"/>
    <w:rsid w:val="005A15DD"/>
    <w:rsid w:val="005A2A01"/>
    <w:rsid w:val="005A308C"/>
    <w:rsid w:val="005A3ACE"/>
    <w:rsid w:val="005A4EAB"/>
    <w:rsid w:val="005A61AA"/>
    <w:rsid w:val="005A7B55"/>
    <w:rsid w:val="005B080C"/>
    <w:rsid w:val="005B0F4C"/>
    <w:rsid w:val="005B1479"/>
    <w:rsid w:val="005B24ED"/>
    <w:rsid w:val="005B3FFC"/>
    <w:rsid w:val="005B43DC"/>
    <w:rsid w:val="005B5ECF"/>
    <w:rsid w:val="005B6DB5"/>
    <w:rsid w:val="005B7326"/>
    <w:rsid w:val="005C00F1"/>
    <w:rsid w:val="005C0C4D"/>
    <w:rsid w:val="005C121D"/>
    <w:rsid w:val="005C1451"/>
    <w:rsid w:val="005C17D5"/>
    <w:rsid w:val="005C1B16"/>
    <w:rsid w:val="005C1BB1"/>
    <w:rsid w:val="005C2CAF"/>
    <w:rsid w:val="005C342E"/>
    <w:rsid w:val="005C3B40"/>
    <w:rsid w:val="005C4566"/>
    <w:rsid w:val="005C457B"/>
    <w:rsid w:val="005C495C"/>
    <w:rsid w:val="005C52C9"/>
    <w:rsid w:val="005C7E1D"/>
    <w:rsid w:val="005D061E"/>
    <w:rsid w:val="005D0B95"/>
    <w:rsid w:val="005D15E9"/>
    <w:rsid w:val="005D1BCD"/>
    <w:rsid w:val="005D1CFA"/>
    <w:rsid w:val="005D2283"/>
    <w:rsid w:val="005D2782"/>
    <w:rsid w:val="005D2841"/>
    <w:rsid w:val="005D2AC6"/>
    <w:rsid w:val="005D3F9F"/>
    <w:rsid w:val="005D465E"/>
    <w:rsid w:val="005D494F"/>
    <w:rsid w:val="005D4AF0"/>
    <w:rsid w:val="005D58CB"/>
    <w:rsid w:val="005D5981"/>
    <w:rsid w:val="005D6347"/>
    <w:rsid w:val="005D6A48"/>
    <w:rsid w:val="005D6AE6"/>
    <w:rsid w:val="005D6CAC"/>
    <w:rsid w:val="005D6D01"/>
    <w:rsid w:val="005D70D7"/>
    <w:rsid w:val="005D7AF3"/>
    <w:rsid w:val="005E0760"/>
    <w:rsid w:val="005E11B5"/>
    <w:rsid w:val="005E12AA"/>
    <w:rsid w:val="005E1707"/>
    <w:rsid w:val="005E5B7F"/>
    <w:rsid w:val="005E65BF"/>
    <w:rsid w:val="005E65D9"/>
    <w:rsid w:val="005E65E8"/>
    <w:rsid w:val="005E68A7"/>
    <w:rsid w:val="005E7A18"/>
    <w:rsid w:val="005E7AF3"/>
    <w:rsid w:val="005F05DB"/>
    <w:rsid w:val="005F0A75"/>
    <w:rsid w:val="005F1CAB"/>
    <w:rsid w:val="005F37AE"/>
    <w:rsid w:val="005F43C4"/>
    <w:rsid w:val="005F4538"/>
    <w:rsid w:val="005F4CE8"/>
    <w:rsid w:val="005F5233"/>
    <w:rsid w:val="005F6B0D"/>
    <w:rsid w:val="00600351"/>
    <w:rsid w:val="00600357"/>
    <w:rsid w:val="00600738"/>
    <w:rsid w:val="00600751"/>
    <w:rsid w:val="0060155A"/>
    <w:rsid w:val="00601848"/>
    <w:rsid w:val="00601FE8"/>
    <w:rsid w:val="006038E1"/>
    <w:rsid w:val="00603ED9"/>
    <w:rsid w:val="00603FB6"/>
    <w:rsid w:val="0060510D"/>
    <w:rsid w:val="00606AF7"/>
    <w:rsid w:val="00606C25"/>
    <w:rsid w:val="0060744A"/>
    <w:rsid w:val="00607692"/>
    <w:rsid w:val="00607B38"/>
    <w:rsid w:val="00607F60"/>
    <w:rsid w:val="00610955"/>
    <w:rsid w:val="0061182F"/>
    <w:rsid w:val="006122DE"/>
    <w:rsid w:val="00613158"/>
    <w:rsid w:val="006133DC"/>
    <w:rsid w:val="006134ED"/>
    <w:rsid w:val="00613863"/>
    <w:rsid w:val="0061511C"/>
    <w:rsid w:val="00616A63"/>
    <w:rsid w:val="00617627"/>
    <w:rsid w:val="00617B58"/>
    <w:rsid w:val="00617F8B"/>
    <w:rsid w:val="00621F20"/>
    <w:rsid w:val="00622160"/>
    <w:rsid w:val="00622381"/>
    <w:rsid w:val="006225E8"/>
    <w:rsid w:val="00622927"/>
    <w:rsid w:val="00622E2A"/>
    <w:rsid w:val="006230DB"/>
    <w:rsid w:val="00624899"/>
    <w:rsid w:val="00625380"/>
    <w:rsid w:val="0062605F"/>
    <w:rsid w:val="00627635"/>
    <w:rsid w:val="0063068F"/>
    <w:rsid w:val="0063168E"/>
    <w:rsid w:val="006317E6"/>
    <w:rsid w:val="00631DC8"/>
    <w:rsid w:val="00632972"/>
    <w:rsid w:val="00632BA5"/>
    <w:rsid w:val="006334E7"/>
    <w:rsid w:val="00633BF8"/>
    <w:rsid w:val="00633C06"/>
    <w:rsid w:val="00634BFA"/>
    <w:rsid w:val="00635062"/>
    <w:rsid w:val="00637716"/>
    <w:rsid w:val="0064263C"/>
    <w:rsid w:val="00645311"/>
    <w:rsid w:val="00645688"/>
    <w:rsid w:val="006459C5"/>
    <w:rsid w:val="00645F01"/>
    <w:rsid w:val="0064630F"/>
    <w:rsid w:val="00646638"/>
    <w:rsid w:val="00647464"/>
    <w:rsid w:val="00647555"/>
    <w:rsid w:val="00647897"/>
    <w:rsid w:val="006500BF"/>
    <w:rsid w:val="006507EF"/>
    <w:rsid w:val="00650BC8"/>
    <w:rsid w:val="00652374"/>
    <w:rsid w:val="006541D5"/>
    <w:rsid w:val="00654311"/>
    <w:rsid w:val="006548FC"/>
    <w:rsid w:val="0065499E"/>
    <w:rsid w:val="00656DF0"/>
    <w:rsid w:val="00660E64"/>
    <w:rsid w:val="00660F01"/>
    <w:rsid w:val="00661830"/>
    <w:rsid w:val="006618E2"/>
    <w:rsid w:val="006622E3"/>
    <w:rsid w:val="0066279E"/>
    <w:rsid w:val="006630C9"/>
    <w:rsid w:val="00663D23"/>
    <w:rsid w:val="006659A7"/>
    <w:rsid w:val="00665D40"/>
    <w:rsid w:val="00666EE8"/>
    <w:rsid w:val="006701DF"/>
    <w:rsid w:val="006706E0"/>
    <w:rsid w:val="00670C49"/>
    <w:rsid w:val="00671019"/>
    <w:rsid w:val="006715C8"/>
    <w:rsid w:val="00671996"/>
    <w:rsid w:val="006725F0"/>
    <w:rsid w:val="006729D9"/>
    <w:rsid w:val="00672B21"/>
    <w:rsid w:val="00673007"/>
    <w:rsid w:val="006739C4"/>
    <w:rsid w:val="0067474F"/>
    <w:rsid w:val="006765B7"/>
    <w:rsid w:val="00676727"/>
    <w:rsid w:val="006771E1"/>
    <w:rsid w:val="0067758A"/>
    <w:rsid w:val="0067762C"/>
    <w:rsid w:val="006777B1"/>
    <w:rsid w:val="006803AC"/>
    <w:rsid w:val="00680687"/>
    <w:rsid w:val="00680944"/>
    <w:rsid w:val="006809B5"/>
    <w:rsid w:val="0068216F"/>
    <w:rsid w:val="00682762"/>
    <w:rsid w:val="00682B40"/>
    <w:rsid w:val="0068385F"/>
    <w:rsid w:val="00684559"/>
    <w:rsid w:val="00684AFF"/>
    <w:rsid w:val="00684BC7"/>
    <w:rsid w:val="006859AB"/>
    <w:rsid w:val="00686261"/>
    <w:rsid w:val="00687642"/>
    <w:rsid w:val="00687B7E"/>
    <w:rsid w:val="006900B5"/>
    <w:rsid w:val="006909AB"/>
    <w:rsid w:val="0069176B"/>
    <w:rsid w:val="0069357C"/>
    <w:rsid w:val="00693805"/>
    <w:rsid w:val="00693C0E"/>
    <w:rsid w:val="00693CC5"/>
    <w:rsid w:val="006941F9"/>
    <w:rsid w:val="0069462F"/>
    <w:rsid w:val="0069482E"/>
    <w:rsid w:val="00695E25"/>
    <w:rsid w:val="0069607F"/>
    <w:rsid w:val="006960E9"/>
    <w:rsid w:val="00696612"/>
    <w:rsid w:val="00696998"/>
    <w:rsid w:val="006978A4"/>
    <w:rsid w:val="00697F8C"/>
    <w:rsid w:val="006A0539"/>
    <w:rsid w:val="006A0601"/>
    <w:rsid w:val="006A0691"/>
    <w:rsid w:val="006A0AD3"/>
    <w:rsid w:val="006A0C0A"/>
    <w:rsid w:val="006A1BE7"/>
    <w:rsid w:val="006A1C04"/>
    <w:rsid w:val="006A36F9"/>
    <w:rsid w:val="006A3D52"/>
    <w:rsid w:val="006A4E72"/>
    <w:rsid w:val="006A52F4"/>
    <w:rsid w:val="006A6AB1"/>
    <w:rsid w:val="006A7719"/>
    <w:rsid w:val="006A7D36"/>
    <w:rsid w:val="006B0167"/>
    <w:rsid w:val="006B120F"/>
    <w:rsid w:val="006B2CAD"/>
    <w:rsid w:val="006B2F0A"/>
    <w:rsid w:val="006B3966"/>
    <w:rsid w:val="006B50C4"/>
    <w:rsid w:val="006B5799"/>
    <w:rsid w:val="006B6048"/>
    <w:rsid w:val="006B6203"/>
    <w:rsid w:val="006B6C05"/>
    <w:rsid w:val="006B6F21"/>
    <w:rsid w:val="006B6FC1"/>
    <w:rsid w:val="006B73CE"/>
    <w:rsid w:val="006C0A51"/>
    <w:rsid w:val="006C1232"/>
    <w:rsid w:val="006C185A"/>
    <w:rsid w:val="006C1988"/>
    <w:rsid w:val="006C1BBE"/>
    <w:rsid w:val="006C5300"/>
    <w:rsid w:val="006C5494"/>
    <w:rsid w:val="006D063C"/>
    <w:rsid w:val="006D0EC0"/>
    <w:rsid w:val="006D186B"/>
    <w:rsid w:val="006D18FB"/>
    <w:rsid w:val="006D1FC0"/>
    <w:rsid w:val="006D2969"/>
    <w:rsid w:val="006D34B0"/>
    <w:rsid w:val="006D47C6"/>
    <w:rsid w:val="006D4DAD"/>
    <w:rsid w:val="006D5029"/>
    <w:rsid w:val="006D66FE"/>
    <w:rsid w:val="006D6B9F"/>
    <w:rsid w:val="006D7FAE"/>
    <w:rsid w:val="006E0541"/>
    <w:rsid w:val="006E0555"/>
    <w:rsid w:val="006E05F6"/>
    <w:rsid w:val="006E09FB"/>
    <w:rsid w:val="006E0FB2"/>
    <w:rsid w:val="006E1946"/>
    <w:rsid w:val="006E20CC"/>
    <w:rsid w:val="006E2410"/>
    <w:rsid w:val="006E2CBC"/>
    <w:rsid w:val="006E2FAE"/>
    <w:rsid w:val="006E3A64"/>
    <w:rsid w:val="006E581B"/>
    <w:rsid w:val="006E59E2"/>
    <w:rsid w:val="006F006A"/>
    <w:rsid w:val="006F0399"/>
    <w:rsid w:val="006F0C58"/>
    <w:rsid w:val="006F1CFC"/>
    <w:rsid w:val="006F2605"/>
    <w:rsid w:val="006F280A"/>
    <w:rsid w:val="006F29B8"/>
    <w:rsid w:val="006F2FC1"/>
    <w:rsid w:val="006F3783"/>
    <w:rsid w:val="006F44FB"/>
    <w:rsid w:val="006F4ACD"/>
    <w:rsid w:val="006F57B6"/>
    <w:rsid w:val="006F5EE5"/>
    <w:rsid w:val="006F67A4"/>
    <w:rsid w:val="006F70FE"/>
    <w:rsid w:val="006F758A"/>
    <w:rsid w:val="006F7F20"/>
    <w:rsid w:val="0070062F"/>
    <w:rsid w:val="00700AF2"/>
    <w:rsid w:val="0070121D"/>
    <w:rsid w:val="007014CE"/>
    <w:rsid w:val="007017C5"/>
    <w:rsid w:val="00701E4D"/>
    <w:rsid w:val="00701EA2"/>
    <w:rsid w:val="007026FF"/>
    <w:rsid w:val="00702ADB"/>
    <w:rsid w:val="007034C6"/>
    <w:rsid w:val="00703ED7"/>
    <w:rsid w:val="00705402"/>
    <w:rsid w:val="00705C17"/>
    <w:rsid w:val="0070601C"/>
    <w:rsid w:val="007068E7"/>
    <w:rsid w:val="00706C64"/>
    <w:rsid w:val="00710D11"/>
    <w:rsid w:val="00711DBA"/>
    <w:rsid w:val="00712095"/>
    <w:rsid w:val="00712335"/>
    <w:rsid w:val="00712530"/>
    <w:rsid w:val="007125E8"/>
    <w:rsid w:val="00712752"/>
    <w:rsid w:val="00712ADB"/>
    <w:rsid w:val="0071335D"/>
    <w:rsid w:val="0071337F"/>
    <w:rsid w:val="0071396E"/>
    <w:rsid w:val="00714071"/>
    <w:rsid w:val="0071759B"/>
    <w:rsid w:val="00717ADB"/>
    <w:rsid w:val="007208E1"/>
    <w:rsid w:val="00720CF6"/>
    <w:rsid w:val="00723E91"/>
    <w:rsid w:val="007254AC"/>
    <w:rsid w:val="00725B7A"/>
    <w:rsid w:val="00725BA5"/>
    <w:rsid w:val="00726063"/>
    <w:rsid w:val="00726131"/>
    <w:rsid w:val="007261B1"/>
    <w:rsid w:val="00726A44"/>
    <w:rsid w:val="00726A47"/>
    <w:rsid w:val="007273EE"/>
    <w:rsid w:val="00727EA5"/>
    <w:rsid w:val="00732064"/>
    <w:rsid w:val="00734FEA"/>
    <w:rsid w:val="00735554"/>
    <w:rsid w:val="00736059"/>
    <w:rsid w:val="00736C0B"/>
    <w:rsid w:val="00736EF6"/>
    <w:rsid w:val="00737047"/>
    <w:rsid w:val="00737417"/>
    <w:rsid w:val="007377DD"/>
    <w:rsid w:val="0074095C"/>
    <w:rsid w:val="00741570"/>
    <w:rsid w:val="007427A7"/>
    <w:rsid w:val="00742F0A"/>
    <w:rsid w:val="007432AD"/>
    <w:rsid w:val="00743465"/>
    <w:rsid w:val="00743AD2"/>
    <w:rsid w:val="0074532E"/>
    <w:rsid w:val="00745351"/>
    <w:rsid w:val="00745D47"/>
    <w:rsid w:val="007478DC"/>
    <w:rsid w:val="0075050D"/>
    <w:rsid w:val="00750AF1"/>
    <w:rsid w:val="00752B1B"/>
    <w:rsid w:val="00754094"/>
    <w:rsid w:val="00755F4C"/>
    <w:rsid w:val="00756126"/>
    <w:rsid w:val="00756F22"/>
    <w:rsid w:val="0076314B"/>
    <w:rsid w:val="0076334A"/>
    <w:rsid w:val="0076351E"/>
    <w:rsid w:val="00763558"/>
    <w:rsid w:val="00763743"/>
    <w:rsid w:val="0076380D"/>
    <w:rsid w:val="007640A2"/>
    <w:rsid w:val="00764123"/>
    <w:rsid w:val="00764189"/>
    <w:rsid w:val="007679E7"/>
    <w:rsid w:val="00770096"/>
    <w:rsid w:val="00770BEA"/>
    <w:rsid w:val="0077426F"/>
    <w:rsid w:val="00774302"/>
    <w:rsid w:val="00774EAC"/>
    <w:rsid w:val="00775DAC"/>
    <w:rsid w:val="00775DF4"/>
    <w:rsid w:val="00777D57"/>
    <w:rsid w:val="00777D6E"/>
    <w:rsid w:val="007825D4"/>
    <w:rsid w:val="00782928"/>
    <w:rsid w:val="0078411A"/>
    <w:rsid w:val="007843F0"/>
    <w:rsid w:val="0078468D"/>
    <w:rsid w:val="0078502A"/>
    <w:rsid w:val="007857D2"/>
    <w:rsid w:val="00785887"/>
    <w:rsid w:val="0078699E"/>
    <w:rsid w:val="007879AB"/>
    <w:rsid w:val="00787F03"/>
    <w:rsid w:val="00790B79"/>
    <w:rsid w:val="007923AB"/>
    <w:rsid w:val="00792612"/>
    <w:rsid w:val="007927E4"/>
    <w:rsid w:val="007928A3"/>
    <w:rsid w:val="00792B14"/>
    <w:rsid w:val="00792D34"/>
    <w:rsid w:val="00794204"/>
    <w:rsid w:val="00796220"/>
    <w:rsid w:val="0079640D"/>
    <w:rsid w:val="007975BF"/>
    <w:rsid w:val="0079772D"/>
    <w:rsid w:val="00797A37"/>
    <w:rsid w:val="007A0F56"/>
    <w:rsid w:val="007A17C0"/>
    <w:rsid w:val="007A2166"/>
    <w:rsid w:val="007A2260"/>
    <w:rsid w:val="007A260F"/>
    <w:rsid w:val="007A3169"/>
    <w:rsid w:val="007A31BD"/>
    <w:rsid w:val="007A32A2"/>
    <w:rsid w:val="007A37D3"/>
    <w:rsid w:val="007A457A"/>
    <w:rsid w:val="007A4DBE"/>
    <w:rsid w:val="007A50E1"/>
    <w:rsid w:val="007A7108"/>
    <w:rsid w:val="007A7431"/>
    <w:rsid w:val="007B036F"/>
    <w:rsid w:val="007B075A"/>
    <w:rsid w:val="007B1D3B"/>
    <w:rsid w:val="007B2BEC"/>
    <w:rsid w:val="007B48DF"/>
    <w:rsid w:val="007B56FE"/>
    <w:rsid w:val="007B5847"/>
    <w:rsid w:val="007B677F"/>
    <w:rsid w:val="007B72DE"/>
    <w:rsid w:val="007C09A9"/>
    <w:rsid w:val="007C0A7D"/>
    <w:rsid w:val="007C0BF8"/>
    <w:rsid w:val="007C0D11"/>
    <w:rsid w:val="007C17DD"/>
    <w:rsid w:val="007C1CD2"/>
    <w:rsid w:val="007C2000"/>
    <w:rsid w:val="007C2E1E"/>
    <w:rsid w:val="007C37DC"/>
    <w:rsid w:val="007C4578"/>
    <w:rsid w:val="007C4720"/>
    <w:rsid w:val="007C4C56"/>
    <w:rsid w:val="007C6078"/>
    <w:rsid w:val="007C6C85"/>
    <w:rsid w:val="007C73A1"/>
    <w:rsid w:val="007C742D"/>
    <w:rsid w:val="007D0424"/>
    <w:rsid w:val="007D1451"/>
    <w:rsid w:val="007D1FF4"/>
    <w:rsid w:val="007D2B76"/>
    <w:rsid w:val="007D3204"/>
    <w:rsid w:val="007D3F8F"/>
    <w:rsid w:val="007D42F7"/>
    <w:rsid w:val="007D4CA7"/>
    <w:rsid w:val="007D4E58"/>
    <w:rsid w:val="007D5D6C"/>
    <w:rsid w:val="007D62FA"/>
    <w:rsid w:val="007D7751"/>
    <w:rsid w:val="007D79DC"/>
    <w:rsid w:val="007E04E0"/>
    <w:rsid w:val="007E0B84"/>
    <w:rsid w:val="007E1288"/>
    <w:rsid w:val="007E1BE2"/>
    <w:rsid w:val="007E22C3"/>
    <w:rsid w:val="007E26C5"/>
    <w:rsid w:val="007E3BA3"/>
    <w:rsid w:val="007E462C"/>
    <w:rsid w:val="007E4821"/>
    <w:rsid w:val="007E4989"/>
    <w:rsid w:val="007E4F56"/>
    <w:rsid w:val="007E5576"/>
    <w:rsid w:val="007E58A6"/>
    <w:rsid w:val="007E5D66"/>
    <w:rsid w:val="007E6312"/>
    <w:rsid w:val="007E65DA"/>
    <w:rsid w:val="007F0987"/>
    <w:rsid w:val="007F124F"/>
    <w:rsid w:val="007F1763"/>
    <w:rsid w:val="007F45D1"/>
    <w:rsid w:val="007F593E"/>
    <w:rsid w:val="007F622B"/>
    <w:rsid w:val="007F63E8"/>
    <w:rsid w:val="007F6CB6"/>
    <w:rsid w:val="007F73DB"/>
    <w:rsid w:val="0080070D"/>
    <w:rsid w:val="00800BFF"/>
    <w:rsid w:val="00800FA4"/>
    <w:rsid w:val="00801692"/>
    <w:rsid w:val="008024DB"/>
    <w:rsid w:val="008027DB"/>
    <w:rsid w:val="00802C0D"/>
    <w:rsid w:val="00802C92"/>
    <w:rsid w:val="00802DBB"/>
    <w:rsid w:val="00803E07"/>
    <w:rsid w:val="0080479A"/>
    <w:rsid w:val="00805526"/>
    <w:rsid w:val="0080592F"/>
    <w:rsid w:val="0080624B"/>
    <w:rsid w:val="0080674B"/>
    <w:rsid w:val="00806B63"/>
    <w:rsid w:val="00807559"/>
    <w:rsid w:val="008076B4"/>
    <w:rsid w:val="00807DAF"/>
    <w:rsid w:val="008101ED"/>
    <w:rsid w:val="008108B9"/>
    <w:rsid w:val="008109C1"/>
    <w:rsid w:val="00812044"/>
    <w:rsid w:val="008137AB"/>
    <w:rsid w:val="00814759"/>
    <w:rsid w:val="00814FD1"/>
    <w:rsid w:val="00815056"/>
    <w:rsid w:val="0081596F"/>
    <w:rsid w:val="008159D1"/>
    <w:rsid w:val="00815BD8"/>
    <w:rsid w:val="00815CBC"/>
    <w:rsid w:val="00817D73"/>
    <w:rsid w:val="008205B5"/>
    <w:rsid w:val="00821641"/>
    <w:rsid w:val="008227F8"/>
    <w:rsid w:val="00822EF8"/>
    <w:rsid w:val="00824471"/>
    <w:rsid w:val="00824491"/>
    <w:rsid w:val="00824A66"/>
    <w:rsid w:val="00825A19"/>
    <w:rsid w:val="008277EC"/>
    <w:rsid w:val="00830E9A"/>
    <w:rsid w:val="008319B8"/>
    <w:rsid w:val="008336A2"/>
    <w:rsid w:val="00833F09"/>
    <w:rsid w:val="00835AA7"/>
    <w:rsid w:val="00836248"/>
    <w:rsid w:val="00836AC8"/>
    <w:rsid w:val="00837DEE"/>
    <w:rsid w:val="008400C9"/>
    <w:rsid w:val="00842FEC"/>
    <w:rsid w:val="0084479D"/>
    <w:rsid w:val="00845CAC"/>
    <w:rsid w:val="00846908"/>
    <w:rsid w:val="0084701E"/>
    <w:rsid w:val="008503BC"/>
    <w:rsid w:val="00850B10"/>
    <w:rsid w:val="00851CAA"/>
    <w:rsid w:val="00852DE6"/>
    <w:rsid w:val="0085300F"/>
    <w:rsid w:val="00854640"/>
    <w:rsid w:val="00857150"/>
    <w:rsid w:val="008572EE"/>
    <w:rsid w:val="0086092D"/>
    <w:rsid w:val="008619B1"/>
    <w:rsid w:val="00861CED"/>
    <w:rsid w:val="00862D68"/>
    <w:rsid w:val="00863C06"/>
    <w:rsid w:val="0086429B"/>
    <w:rsid w:val="00865C55"/>
    <w:rsid w:val="008674BE"/>
    <w:rsid w:val="008676BE"/>
    <w:rsid w:val="0086780C"/>
    <w:rsid w:val="00870FE4"/>
    <w:rsid w:val="00872D61"/>
    <w:rsid w:val="00872E67"/>
    <w:rsid w:val="008735C7"/>
    <w:rsid w:val="008740A0"/>
    <w:rsid w:val="00874903"/>
    <w:rsid w:val="0087633A"/>
    <w:rsid w:val="0088120A"/>
    <w:rsid w:val="00881642"/>
    <w:rsid w:val="0088168E"/>
    <w:rsid w:val="00881ABE"/>
    <w:rsid w:val="00881BFD"/>
    <w:rsid w:val="00881EE9"/>
    <w:rsid w:val="00885EC5"/>
    <w:rsid w:val="00886214"/>
    <w:rsid w:val="0088661F"/>
    <w:rsid w:val="00886716"/>
    <w:rsid w:val="008879D2"/>
    <w:rsid w:val="008901F2"/>
    <w:rsid w:val="0089030F"/>
    <w:rsid w:val="00890798"/>
    <w:rsid w:val="008914A1"/>
    <w:rsid w:val="00891A26"/>
    <w:rsid w:val="00892D87"/>
    <w:rsid w:val="00892F6D"/>
    <w:rsid w:val="008954B6"/>
    <w:rsid w:val="008954FE"/>
    <w:rsid w:val="0089575C"/>
    <w:rsid w:val="00895BBA"/>
    <w:rsid w:val="0089656A"/>
    <w:rsid w:val="00896ECA"/>
    <w:rsid w:val="00897D82"/>
    <w:rsid w:val="008A134D"/>
    <w:rsid w:val="008A2023"/>
    <w:rsid w:val="008A2158"/>
    <w:rsid w:val="008A2B2C"/>
    <w:rsid w:val="008A3609"/>
    <w:rsid w:val="008A3857"/>
    <w:rsid w:val="008A3903"/>
    <w:rsid w:val="008A4D2D"/>
    <w:rsid w:val="008A55D6"/>
    <w:rsid w:val="008A5ACA"/>
    <w:rsid w:val="008A5CD8"/>
    <w:rsid w:val="008A61A1"/>
    <w:rsid w:val="008A62F6"/>
    <w:rsid w:val="008A647B"/>
    <w:rsid w:val="008A6F06"/>
    <w:rsid w:val="008A7A99"/>
    <w:rsid w:val="008B0008"/>
    <w:rsid w:val="008B0D33"/>
    <w:rsid w:val="008B12C7"/>
    <w:rsid w:val="008B1EA7"/>
    <w:rsid w:val="008B3646"/>
    <w:rsid w:val="008B4806"/>
    <w:rsid w:val="008B4939"/>
    <w:rsid w:val="008B4F07"/>
    <w:rsid w:val="008B523C"/>
    <w:rsid w:val="008B5D2A"/>
    <w:rsid w:val="008B606C"/>
    <w:rsid w:val="008B793C"/>
    <w:rsid w:val="008B7D1D"/>
    <w:rsid w:val="008C00E4"/>
    <w:rsid w:val="008C12F5"/>
    <w:rsid w:val="008C2544"/>
    <w:rsid w:val="008C2E58"/>
    <w:rsid w:val="008C30AD"/>
    <w:rsid w:val="008C3978"/>
    <w:rsid w:val="008C39D8"/>
    <w:rsid w:val="008C3F49"/>
    <w:rsid w:val="008C40BA"/>
    <w:rsid w:val="008C4FF4"/>
    <w:rsid w:val="008C5173"/>
    <w:rsid w:val="008C5797"/>
    <w:rsid w:val="008C646B"/>
    <w:rsid w:val="008D0534"/>
    <w:rsid w:val="008D21D9"/>
    <w:rsid w:val="008D2651"/>
    <w:rsid w:val="008D29C8"/>
    <w:rsid w:val="008D3120"/>
    <w:rsid w:val="008D452A"/>
    <w:rsid w:val="008D4C88"/>
    <w:rsid w:val="008D553A"/>
    <w:rsid w:val="008D5924"/>
    <w:rsid w:val="008D5B8F"/>
    <w:rsid w:val="008D618E"/>
    <w:rsid w:val="008D6475"/>
    <w:rsid w:val="008D7163"/>
    <w:rsid w:val="008D71C9"/>
    <w:rsid w:val="008D79B5"/>
    <w:rsid w:val="008E274E"/>
    <w:rsid w:val="008E27C2"/>
    <w:rsid w:val="008E2D64"/>
    <w:rsid w:val="008E31B9"/>
    <w:rsid w:val="008E3CA3"/>
    <w:rsid w:val="008E4091"/>
    <w:rsid w:val="008E45C8"/>
    <w:rsid w:val="008E4FA0"/>
    <w:rsid w:val="008E6AB3"/>
    <w:rsid w:val="008E6FBB"/>
    <w:rsid w:val="008E7757"/>
    <w:rsid w:val="008F021C"/>
    <w:rsid w:val="008F1ED2"/>
    <w:rsid w:val="008F1FBC"/>
    <w:rsid w:val="008F2167"/>
    <w:rsid w:val="008F2FF0"/>
    <w:rsid w:val="008F3758"/>
    <w:rsid w:val="008F3F5F"/>
    <w:rsid w:val="008F4EF4"/>
    <w:rsid w:val="008F66A1"/>
    <w:rsid w:val="008F73E0"/>
    <w:rsid w:val="009001C1"/>
    <w:rsid w:val="00902B04"/>
    <w:rsid w:val="00902FDD"/>
    <w:rsid w:val="0090344A"/>
    <w:rsid w:val="0090351E"/>
    <w:rsid w:val="00904EBD"/>
    <w:rsid w:val="009054B7"/>
    <w:rsid w:val="00905D8F"/>
    <w:rsid w:val="00910796"/>
    <w:rsid w:val="00910D04"/>
    <w:rsid w:val="009112A4"/>
    <w:rsid w:val="009114A9"/>
    <w:rsid w:val="00912CA7"/>
    <w:rsid w:val="0091382B"/>
    <w:rsid w:val="009141A7"/>
    <w:rsid w:val="009143F9"/>
    <w:rsid w:val="00914462"/>
    <w:rsid w:val="009166F0"/>
    <w:rsid w:val="009171EE"/>
    <w:rsid w:val="009174F0"/>
    <w:rsid w:val="009200CF"/>
    <w:rsid w:val="00920496"/>
    <w:rsid w:val="00920737"/>
    <w:rsid w:val="0092095E"/>
    <w:rsid w:val="00921263"/>
    <w:rsid w:val="0092178C"/>
    <w:rsid w:val="0092230C"/>
    <w:rsid w:val="00922C48"/>
    <w:rsid w:val="0092399A"/>
    <w:rsid w:val="009270CA"/>
    <w:rsid w:val="00930268"/>
    <w:rsid w:val="00930F12"/>
    <w:rsid w:val="00931576"/>
    <w:rsid w:val="00933470"/>
    <w:rsid w:val="009339D2"/>
    <w:rsid w:val="00934768"/>
    <w:rsid w:val="009348D1"/>
    <w:rsid w:val="00937E88"/>
    <w:rsid w:val="0094012E"/>
    <w:rsid w:val="00940FBA"/>
    <w:rsid w:val="0094303F"/>
    <w:rsid w:val="00943D37"/>
    <w:rsid w:val="009444A8"/>
    <w:rsid w:val="009444C5"/>
    <w:rsid w:val="009458E6"/>
    <w:rsid w:val="00946471"/>
    <w:rsid w:val="00946D61"/>
    <w:rsid w:val="00946E9A"/>
    <w:rsid w:val="009475EF"/>
    <w:rsid w:val="00947FC9"/>
    <w:rsid w:val="0095014F"/>
    <w:rsid w:val="0095069E"/>
    <w:rsid w:val="0095088F"/>
    <w:rsid w:val="00950EFB"/>
    <w:rsid w:val="00951BF6"/>
    <w:rsid w:val="0095253F"/>
    <w:rsid w:val="00952FBF"/>
    <w:rsid w:val="00953234"/>
    <w:rsid w:val="00955245"/>
    <w:rsid w:val="009557F2"/>
    <w:rsid w:val="00956115"/>
    <w:rsid w:val="00960082"/>
    <w:rsid w:val="00962588"/>
    <w:rsid w:val="00962F90"/>
    <w:rsid w:val="00963636"/>
    <w:rsid w:val="00963709"/>
    <w:rsid w:val="00965B89"/>
    <w:rsid w:val="00965F97"/>
    <w:rsid w:val="009667B2"/>
    <w:rsid w:val="00966EF8"/>
    <w:rsid w:val="0096737D"/>
    <w:rsid w:val="00967B1E"/>
    <w:rsid w:val="00967C3D"/>
    <w:rsid w:val="0097271C"/>
    <w:rsid w:val="00972857"/>
    <w:rsid w:val="00975653"/>
    <w:rsid w:val="00976871"/>
    <w:rsid w:val="00976E42"/>
    <w:rsid w:val="0097715A"/>
    <w:rsid w:val="00977B15"/>
    <w:rsid w:val="00980971"/>
    <w:rsid w:val="00980FF7"/>
    <w:rsid w:val="009828C9"/>
    <w:rsid w:val="00984153"/>
    <w:rsid w:val="00984331"/>
    <w:rsid w:val="00985B6C"/>
    <w:rsid w:val="00986C39"/>
    <w:rsid w:val="00987D94"/>
    <w:rsid w:val="009901E5"/>
    <w:rsid w:val="009905B9"/>
    <w:rsid w:val="00990A37"/>
    <w:rsid w:val="00990BD8"/>
    <w:rsid w:val="00991C46"/>
    <w:rsid w:val="00991F51"/>
    <w:rsid w:val="009920FA"/>
    <w:rsid w:val="009921D8"/>
    <w:rsid w:val="00993052"/>
    <w:rsid w:val="009948D3"/>
    <w:rsid w:val="00994DF9"/>
    <w:rsid w:val="00994EE4"/>
    <w:rsid w:val="00995032"/>
    <w:rsid w:val="009961A2"/>
    <w:rsid w:val="00996EA5"/>
    <w:rsid w:val="00997B52"/>
    <w:rsid w:val="00997CFE"/>
    <w:rsid w:val="009A0F56"/>
    <w:rsid w:val="009A1446"/>
    <w:rsid w:val="009A1832"/>
    <w:rsid w:val="009A2414"/>
    <w:rsid w:val="009A2A2F"/>
    <w:rsid w:val="009A2CD9"/>
    <w:rsid w:val="009A4634"/>
    <w:rsid w:val="009A51CA"/>
    <w:rsid w:val="009A595B"/>
    <w:rsid w:val="009A70EB"/>
    <w:rsid w:val="009B076E"/>
    <w:rsid w:val="009B1FF4"/>
    <w:rsid w:val="009B2625"/>
    <w:rsid w:val="009B27DD"/>
    <w:rsid w:val="009B41E2"/>
    <w:rsid w:val="009B49FB"/>
    <w:rsid w:val="009B5592"/>
    <w:rsid w:val="009B6884"/>
    <w:rsid w:val="009B7203"/>
    <w:rsid w:val="009B74AB"/>
    <w:rsid w:val="009B7BB7"/>
    <w:rsid w:val="009C01C4"/>
    <w:rsid w:val="009C1C8B"/>
    <w:rsid w:val="009C3DFC"/>
    <w:rsid w:val="009C4B81"/>
    <w:rsid w:val="009C4E47"/>
    <w:rsid w:val="009C5780"/>
    <w:rsid w:val="009C5BA0"/>
    <w:rsid w:val="009C67A1"/>
    <w:rsid w:val="009C6A25"/>
    <w:rsid w:val="009C7178"/>
    <w:rsid w:val="009C7319"/>
    <w:rsid w:val="009C7388"/>
    <w:rsid w:val="009D0FE4"/>
    <w:rsid w:val="009D1285"/>
    <w:rsid w:val="009D141D"/>
    <w:rsid w:val="009D29CA"/>
    <w:rsid w:val="009D2CEC"/>
    <w:rsid w:val="009D2D88"/>
    <w:rsid w:val="009D3054"/>
    <w:rsid w:val="009D3154"/>
    <w:rsid w:val="009D31FF"/>
    <w:rsid w:val="009D4055"/>
    <w:rsid w:val="009D40E7"/>
    <w:rsid w:val="009D4824"/>
    <w:rsid w:val="009D5A38"/>
    <w:rsid w:val="009D6CA6"/>
    <w:rsid w:val="009E0022"/>
    <w:rsid w:val="009E076E"/>
    <w:rsid w:val="009E08B9"/>
    <w:rsid w:val="009E0F73"/>
    <w:rsid w:val="009E132E"/>
    <w:rsid w:val="009E15DE"/>
    <w:rsid w:val="009E2903"/>
    <w:rsid w:val="009E2A53"/>
    <w:rsid w:val="009E3A82"/>
    <w:rsid w:val="009E4085"/>
    <w:rsid w:val="009E61C8"/>
    <w:rsid w:val="009E6254"/>
    <w:rsid w:val="009E675C"/>
    <w:rsid w:val="009F0344"/>
    <w:rsid w:val="009F04E7"/>
    <w:rsid w:val="009F103D"/>
    <w:rsid w:val="009F1A11"/>
    <w:rsid w:val="009F2619"/>
    <w:rsid w:val="009F2AC8"/>
    <w:rsid w:val="009F3146"/>
    <w:rsid w:val="009F49DD"/>
    <w:rsid w:val="009F4D8D"/>
    <w:rsid w:val="009F4DBB"/>
    <w:rsid w:val="009F542D"/>
    <w:rsid w:val="009F6102"/>
    <w:rsid w:val="00A007C8"/>
    <w:rsid w:val="00A00D57"/>
    <w:rsid w:val="00A016F9"/>
    <w:rsid w:val="00A0291F"/>
    <w:rsid w:val="00A02946"/>
    <w:rsid w:val="00A02A80"/>
    <w:rsid w:val="00A02D81"/>
    <w:rsid w:val="00A030A6"/>
    <w:rsid w:val="00A03569"/>
    <w:rsid w:val="00A03824"/>
    <w:rsid w:val="00A03A63"/>
    <w:rsid w:val="00A046FF"/>
    <w:rsid w:val="00A04C13"/>
    <w:rsid w:val="00A05EA3"/>
    <w:rsid w:val="00A07623"/>
    <w:rsid w:val="00A1027B"/>
    <w:rsid w:val="00A102E9"/>
    <w:rsid w:val="00A104B7"/>
    <w:rsid w:val="00A121F5"/>
    <w:rsid w:val="00A133E3"/>
    <w:rsid w:val="00A13D00"/>
    <w:rsid w:val="00A14EFD"/>
    <w:rsid w:val="00A155DA"/>
    <w:rsid w:val="00A156C4"/>
    <w:rsid w:val="00A16B16"/>
    <w:rsid w:val="00A17170"/>
    <w:rsid w:val="00A214A2"/>
    <w:rsid w:val="00A21739"/>
    <w:rsid w:val="00A2450D"/>
    <w:rsid w:val="00A24F0A"/>
    <w:rsid w:val="00A25455"/>
    <w:rsid w:val="00A25C4F"/>
    <w:rsid w:val="00A274A0"/>
    <w:rsid w:val="00A316E1"/>
    <w:rsid w:val="00A31B91"/>
    <w:rsid w:val="00A3294D"/>
    <w:rsid w:val="00A33882"/>
    <w:rsid w:val="00A33F21"/>
    <w:rsid w:val="00A340EC"/>
    <w:rsid w:val="00A36B00"/>
    <w:rsid w:val="00A36BA3"/>
    <w:rsid w:val="00A37A68"/>
    <w:rsid w:val="00A403BC"/>
    <w:rsid w:val="00A4107F"/>
    <w:rsid w:val="00A417C2"/>
    <w:rsid w:val="00A41975"/>
    <w:rsid w:val="00A41D2B"/>
    <w:rsid w:val="00A42639"/>
    <w:rsid w:val="00A43200"/>
    <w:rsid w:val="00A4328B"/>
    <w:rsid w:val="00A43999"/>
    <w:rsid w:val="00A45351"/>
    <w:rsid w:val="00A4563D"/>
    <w:rsid w:val="00A463FB"/>
    <w:rsid w:val="00A46B14"/>
    <w:rsid w:val="00A50A63"/>
    <w:rsid w:val="00A51766"/>
    <w:rsid w:val="00A529A9"/>
    <w:rsid w:val="00A52D95"/>
    <w:rsid w:val="00A53213"/>
    <w:rsid w:val="00A54D6C"/>
    <w:rsid w:val="00A5680F"/>
    <w:rsid w:val="00A56C7C"/>
    <w:rsid w:val="00A575A2"/>
    <w:rsid w:val="00A57627"/>
    <w:rsid w:val="00A60233"/>
    <w:rsid w:val="00A60609"/>
    <w:rsid w:val="00A60CD7"/>
    <w:rsid w:val="00A61221"/>
    <w:rsid w:val="00A613F8"/>
    <w:rsid w:val="00A6227D"/>
    <w:rsid w:val="00A636FE"/>
    <w:rsid w:val="00A6376E"/>
    <w:rsid w:val="00A63ACF"/>
    <w:rsid w:val="00A64833"/>
    <w:rsid w:val="00A66390"/>
    <w:rsid w:val="00A66639"/>
    <w:rsid w:val="00A66F6B"/>
    <w:rsid w:val="00A67944"/>
    <w:rsid w:val="00A67F62"/>
    <w:rsid w:val="00A700AD"/>
    <w:rsid w:val="00A703F1"/>
    <w:rsid w:val="00A70DA3"/>
    <w:rsid w:val="00A719E0"/>
    <w:rsid w:val="00A71CA5"/>
    <w:rsid w:val="00A7570D"/>
    <w:rsid w:val="00A762B5"/>
    <w:rsid w:val="00A77B35"/>
    <w:rsid w:val="00A801C6"/>
    <w:rsid w:val="00A8066A"/>
    <w:rsid w:val="00A81057"/>
    <w:rsid w:val="00A81125"/>
    <w:rsid w:val="00A83A5A"/>
    <w:rsid w:val="00A83A9E"/>
    <w:rsid w:val="00A83B32"/>
    <w:rsid w:val="00A8465A"/>
    <w:rsid w:val="00A8472E"/>
    <w:rsid w:val="00A8481C"/>
    <w:rsid w:val="00A84C23"/>
    <w:rsid w:val="00A856E5"/>
    <w:rsid w:val="00A8610D"/>
    <w:rsid w:val="00A8691A"/>
    <w:rsid w:val="00A92985"/>
    <w:rsid w:val="00A92D43"/>
    <w:rsid w:val="00A93A03"/>
    <w:rsid w:val="00A93B2C"/>
    <w:rsid w:val="00A93B4D"/>
    <w:rsid w:val="00A94C89"/>
    <w:rsid w:val="00A956A9"/>
    <w:rsid w:val="00A96820"/>
    <w:rsid w:val="00A96C79"/>
    <w:rsid w:val="00A9727A"/>
    <w:rsid w:val="00A9737F"/>
    <w:rsid w:val="00A97A60"/>
    <w:rsid w:val="00AA02A5"/>
    <w:rsid w:val="00AA17E1"/>
    <w:rsid w:val="00AA1F17"/>
    <w:rsid w:val="00AA2065"/>
    <w:rsid w:val="00AA38DE"/>
    <w:rsid w:val="00AA424B"/>
    <w:rsid w:val="00AA4BE3"/>
    <w:rsid w:val="00AA4E23"/>
    <w:rsid w:val="00AA4FE0"/>
    <w:rsid w:val="00AA5A8E"/>
    <w:rsid w:val="00AA5E53"/>
    <w:rsid w:val="00AA6691"/>
    <w:rsid w:val="00AA6F1C"/>
    <w:rsid w:val="00AA7037"/>
    <w:rsid w:val="00AA7FFB"/>
    <w:rsid w:val="00AB02F3"/>
    <w:rsid w:val="00AB10F7"/>
    <w:rsid w:val="00AB17CC"/>
    <w:rsid w:val="00AB332C"/>
    <w:rsid w:val="00AB34E0"/>
    <w:rsid w:val="00AB382E"/>
    <w:rsid w:val="00AB3BE8"/>
    <w:rsid w:val="00AB3F8A"/>
    <w:rsid w:val="00AB43E9"/>
    <w:rsid w:val="00AB50EC"/>
    <w:rsid w:val="00AB5CDD"/>
    <w:rsid w:val="00AB6405"/>
    <w:rsid w:val="00AC0991"/>
    <w:rsid w:val="00AC1803"/>
    <w:rsid w:val="00AC325D"/>
    <w:rsid w:val="00AC3617"/>
    <w:rsid w:val="00AC3A77"/>
    <w:rsid w:val="00AC50B4"/>
    <w:rsid w:val="00AC5F9A"/>
    <w:rsid w:val="00AC7F8E"/>
    <w:rsid w:val="00AD052F"/>
    <w:rsid w:val="00AD0FA0"/>
    <w:rsid w:val="00AD0FD9"/>
    <w:rsid w:val="00AD1491"/>
    <w:rsid w:val="00AD158A"/>
    <w:rsid w:val="00AD15CE"/>
    <w:rsid w:val="00AD1F15"/>
    <w:rsid w:val="00AD21DC"/>
    <w:rsid w:val="00AD3EB3"/>
    <w:rsid w:val="00AD56C2"/>
    <w:rsid w:val="00AD5C5F"/>
    <w:rsid w:val="00AE04C4"/>
    <w:rsid w:val="00AE2299"/>
    <w:rsid w:val="00AE481D"/>
    <w:rsid w:val="00AE509A"/>
    <w:rsid w:val="00AE7044"/>
    <w:rsid w:val="00AE78E4"/>
    <w:rsid w:val="00AF2064"/>
    <w:rsid w:val="00AF24E8"/>
    <w:rsid w:val="00AF32BC"/>
    <w:rsid w:val="00AF40C6"/>
    <w:rsid w:val="00AF4484"/>
    <w:rsid w:val="00AF4B76"/>
    <w:rsid w:val="00AF62CA"/>
    <w:rsid w:val="00AF7691"/>
    <w:rsid w:val="00B00267"/>
    <w:rsid w:val="00B012FF"/>
    <w:rsid w:val="00B03595"/>
    <w:rsid w:val="00B03779"/>
    <w:rsid w:val="00B03D76"/>
    <w:rsid w:val="00B03E97"/>
    <w:rsid w:val="00B04916"/>
    <w:rsid w:val="00B05AA2"/>
    <w:rsid w:val="00B0605F"/>
    <w:rsid w:val="00B06C3C"/>
    <w:rsid w:val="00B06CF4"/>
    <w:rsid w:val="00B1079A"/>
    <w:rsid w:val="00B10F3E"/>
    <w:rsid w:val="00B11211"/>
    <w:rsid w:val="00B114D9"/>
    <w:rsid w:val="00B114E3"/>
    <w:rsid w:val="00B1362B"/>
    <w:rsid w:val="00B15460"/>
    <w:rsid w:val="00B156F9"/>
    <w:rsid w:val="00B15DCF"/>
    <w:rsid w:val="00B1674B"/>
    <w:rsid w:val="00B16AF5"/>
    <w:rsid w:val="00B1744D"/>
    <w:rsid w:val="00B175EE"/>
    <w:rsid w:val="00B1766A"/>
    <w:rsid w:val="00B17D2F"/>
    <w:rsid w:val="00B20D69"/>
    <w:rsid w:val="00B21510"/>
    <w:rsid w:val="00B21BD2"/>
    <w:rsid w:val="00B21CC2"/>
    <w:rsid w:val="00B22511"/>
    <w:rsid w:val="00B249DA"/>
    <w:rsid w:val="00B253C8"/>
    <w:rsid w:val="00B253E2"/>
    <w:rsid w:val="00B254EE"/>
    <w:rsid w:val="00B265EC"/>
    <w:rsid w:val="00B27AB1"/>
    <w:rsid w:val="00B27C07"/>
    <w:rsid w:val="00B27E78"/>
    <w:rsid w:val="00B30474"/>
    <w:rsid w:val="00B334AC"/>
    <w:rsid w:val="00B3380F"/>
    <w:rsid w:val="00B34A8F"/>
    <w:rsid w:val="00B3539E"/>
    <w:rsid w:val="00B373D8"/>
    <w:rsid w:val="00B37DC8"/>
    <w:rsid w:val="00B40289"/>
    <w:rsid w:val="00B40980"/>
    <w:rsid w:val="00B41A93"/>
    <w:rsid w:val="00B432AE"/>
    <w:rsid w:val="00B44869"/>
    <w:rsid w:val="00B45C50"/>
    <w:rsid w:val="00B470F6"/>
    <w:rsid w:val="00B47361"/>
    <w:rsid w:val="00B4756B"/>
    <w:rsid w:val="00B50652"/>
    <w:rsid w:val="00B51452"/>
    <w:rsid w:val="00B5166D"/>
    <w:rsid w:val="00B51F43"/>
    <w:rsid w:val="00B523E2"/>
    <w:rsid w:val="00B526B1"/>
    <w:rsid w:val="00B52AE6"/>
    <w:rsid w:val="00B52B59"/>
    <w:rsid w:val="00B53DEA"/>
    <w:rsid w:val="00B54A44"/>
    <w:rsid w:val="00B54C9C"/>
    <w:rsid w:val="00B56414"/>
    <w:rsid w:val="00B5657F"/>
    <w:rsid w:val="00B567F9"/>
    <w:rsid w:val="00B607BD"/>
    <w:rsid w:val="00B612EC"/>
    <w:rsid w:val="00B61E6E"/>
    <w:rsid w:val="00B635F3"/>
    <w:rsid w:val="00B644FC"/>
    <w:rsid w:val="00B64F4C"/>
    <w:rsid w:val="00B66332"/>
    <w:rsid w:val="00B66B56"/>
    <w:rsid w:val="00B66D93"/>
    <w:rsid w:val="00B67806"/>
    <w:rsid w:val="00B67D3F"/>
    <w:rsid w:val="00B713E2"/>
    <w:rsid w:val="00B723B7"/>
    <w:rsid w:val="00B725EB"/>
    <w:rsid w:val="00B737C9"/>
    <w:rsid w:val="00B73985"/>
    <w:rsid w:val="00B74662"/>
    <w:rsid w:val="00B74A28"/>
    <w:rsid w:val="00B7531F"/>
    <w:rsid w:val="00B75BA6"/>
    <w:rsid w:val="00B75EB7"/>
    <w:rsid w:val="00B761FC"/>
    <w:rsid w:val="00B762F3"/>
    <w:rsid w:val="00B764D8"/>
    <w:rsid w:val="00B765CB"/>
    <w:rsid w:val="00B7757B"/>
    <w:rsid w:val="00B7783F"/>
    <w:rsid w:val="00B8045B"/>
    <w:rsid w:val="00B81081"/>
    <w:rsid w:val="00B826AB"/>
    <w:rsid w:val="00B82F94"/>
    <w:rsid w:val="00B834EF"/>
    <w:rsid w:val="00B83541"/>
    <w:rsid w:val="00B84A90"/>
    <w:rsid w:val="00B84FCC"/>
    <w:rsid w:val="00B85A17"/>
    <w:rsid w:val="00B85AB5"/>
    <w:rsid w:val="00B863AB"/>
    <w:rsid w:val="00B86814"/>
    <w:rsid w:val="00B9066E"/>
    <w:rsid w:val="00B9213E"/>
    <w:rsid w:val="00B9348E"/>
    <w:rsid w:val="00B93976"/>
    <w:rsid w:val="00B957B9"/>
    <w:rsid w:val="00B96993"/>
    <w:rsid w:val="00B96E51"/>
    <w:rsid w:val="00B971F7"/>
    <w:rsid w:val="00B975FF"/>
    <w:rsid w:val="00B97671"/>
    <w:rsid w:val="00B97B95"/>
    <w:rsid w:val="00BA00F7"/>
    <w:rsid w:val="00BA0D02"/>
    <w:rsid w:val="00BA0FA5"/>
    <w:rsid w:val="00BA10D9"/>
    <w:rsid w:val="00BA1BA3"/>
    <w:rsid w:val="00BA1F84"/>
    <w:rsid w:val="00BA2A04"/>
    <w:rsid w:val="00BA3418"/>
    <w:rsid w:val="00BA36EF"/>
    <w:rsid w:val="00BA60E5"/>
    <w:rsid w:val="00BA6E6B"/>
    <w:rsid w:val="00BA7002"/>
    <w:rsid w:val="00BB143C"/>
    <w:rsid w:val="00BB1AE7"/>
    <w:rsid w:val="00BB34AC"/>
    <w:rsid w:val="00BB35F1"/>
    <w:rsid w:val="00BB36D2"/>
    <w:rsid w:val="00BB4583"/>
    <w:rsid w:val="00BB518F"/>
    <w:rsid w:val="00BB65B9"/>
    <w:rsid w:val="00BB6613"/>
    <w:rsid w:val="00BB79A4"/>
    <w:rsid w:val="00BC0D86"/>
    <w:rsid w:val="00BC0E8B"/>
    <w:rsid w:val="00BC1E70"/>
    <w:rsid w:val="00BC3067"/>
    <w:rsid w:val="00BC363D"/>
    <w:rsid w:val="00BC3DE3"/>
    <w:rsid w:val="00BC7BB1"/>
    <w:rsid w:val="00BC7EE3"/>
    <w:rsid w:val="00BD0D0F"/>
    <w:rsid w:val="00BD1C99"/>
    <w:rsid w:val="00BD4B21"/>
    <w:rsid w:val="00BD507D"/>
    <w:rsid w:val="00BD5190"/>
    <w:rsid w:val="00BD53D5"/>
    <w:rsid w:val="00BD6622"/>
    <w:rsid w:val="00BD6D84"/>
    <w:rsid w:val="00BD6FF1"/>
    <w:rsid w:val="00BD71F8"/>
    <w:rsid w:val="00BE0250"/>
    <w:rsid w:val="00BE2EE1"/>
    <w:rsid w:val="00BE3852"/>
    <w:rsid w:val="00BE40C2"/>
    <w:rsid w:val="00BE4754"/>
    <w:rsid w:val="00BE5031"/>
    <w:rsid w:val="00BE51D4"/>
    <w:rsid w:val="00BE582E"/>
    <w:rsid w:val="00BE62A9"/>
    <w:rsid w:val="00BE6CAC"/>
    <w:rsid w:val="00BE7108"/>
    <w:rsid w:val="00BF040E"/>
    <w:rsid w:val="00BF3A26"/>
    <w:rsid w:val="00BF49D5"/>
    <w:rsid w:val="00BF7B7A"/>
    <w:rsid w:val="00C00FF7"/>
    <w:rsid w:val="00C0191B"/>
    <w:rsid w:val="00C01AE9"/>
    <w:rsid w:val="00C023B5"/>
    <w:rsid w:val="00C026D9"/>
    <w:rsid w:val="00C02A2A"/>
    <w:rsid w:val="00C03C7A"/>
    <w:rsid w:val="00C045AD"/>
    <w:rsid w:val="00C05DD5"/>
    <w:rsid w:val="00C067EC"/>
    <w:rsid w:val="00C06B9C"/>
    <w:rsid w:val="00C06DC9"/>
    <w:rsid w:val="00C12138"/>
    <w:rsid w:val="00C124E7"/>
    <w:rsid w:val="00C147AE"/>
    <w:rsid w:val="00C15D52"/>
    <w:rsid w:val="00C16DA0"/>
    <w:rsid w:val="00C17499"/>
    <w:rsid w:val="00C175CE"/>
    <w:rsid w:val="00C17825"/>
    <w:rsid w:val="00C17DDD"/>
    <w:rsid w:val="00C215AC"/>
    <w:rsid w:val="00C218D1"/>
    <w:rsid w:val="00C22402"/>
    <w:rsid w:val="00C237F0"/>
    <w:rsid w:val="00C25630"/>
    <w:rsid w:val="00C25A25"/>
    <w:rsid w:val="00C27448"/>
    <w:rsid w:val="00C30364"/>
    <w:rsid w:val="00C31C8F"/>
    <w:rsid w:val="00C35AFB"/>
    <w:rsid w:val="00C36661"/>
    <w:rsid w:val="00C36A22"/>
    <w:rsid w:val="00C370FC"/>
    <w:rsid w:val="00C37F5A"/>
    <w:rsid w:val="00C40B9B"/>
    <w:rsid w:val="00C4172B"/>
    <w:rsid w:val="00C4175C"/>
    <w:rsid w:val="00C41D2A"/>
    <w:rsid w:val="00C43081"/>
    <w:rsid w:val="00C43D51"/>
    <w:rsid w:val="00C4539C"/>
    <w:rsid w:val="00C4575C"/>
    <w:rsid w:val="00C45D35"/>
    <w:rsid w:val="00C47A59"/>
    <w:rsid w:val="00C47B5A"/>
    <w:rsid w:val="00C502B9"/>
    <w:rsid w:val="00C515AC"/>
    <w:rsid w:val="00C52D62"/>
    <w:rsid w:val="00C52EA8"/>
    <w:rsid w:val="00C5357E"/>
    <w:rsid w:val="00C53E5E"/>
    <w:rsid w:val="00C541D9"/>
    <w:rsid w:val="00C54735"/>
    <w:rsid w:val="00C5520A"/>
    <w:rsid w:val="00C5556D"/>
    <w:rsid w:val="00C55820"/>
    <w:rsid w:val="00C55E90"/>
    <w:rsid w:val="00C56426"/>
    <w:rsid w:val="00C56B03"/>
    <w:rsid w:val="00C56C96"/>
    <w:rsid w:val="00C60C7C"/>
    <w:rsid w:val="00C61B44"/>
    <w:rsid w:val="00C63DBE"/>
    <w:rsid w:val="00C643F6"/>
    <w:rsid w:val="00C657E4"/>
    <w:rsid w:val="00C65BDC"/>
    <w:rsid w:val="00C65C15"/>
    <w:rsid w:val="00C662CC"/>
    <w:rsid w:val="00C6782F"/>
    <w:rsid w:val="00C67E04"/>
    <w:rsid w:val="00C7032D"/>
    <w:rsid w:val="00C708FC"/>
    <w:rsid w:val="00C70AE8"/>
    <w:rsid w:val="00C70D07"/>
    <w:rsid w:val="00C722DA"/>
    <w:rsid w:val="00C727EC"/>
    <w:rsid w:val="00C74D27"/>
    <w:rsid w:val="00C76607"/>
    <w:rsid w:val="00C77634"/>
    <w:rsid w:val="00C776EE"/>
    <w:rsid w:val="00C82948"/>
    <w:rsid w:val="00C83718"/>
    <w:rsid w:val="00C845B0"/>
    <w:rsid w:val="00C85211"/>
    <w:rsid w:val="00C85BF4"/>
    <w:rsid w:val="00C9081A"/>
    <w:rsid w:val="00C90D06"/>
    <w:rsid w:val="00C90F08"/>
    <w:rsid w:val="00C9229E"/>
    <w:rsid w:val="00C9329C"/>
    <w:rsid w:val="00C93EE9"/>
    <w:rsid w:val="00C93FD2"/>
    <w:rsid w:val="00C942EE"/>
    <w:rsid w:val="00C979CF"/>
    <w:rsid w:val="00C97A42"/>
    <w:rsid w:val="00CA1328"/>
    <w:rsid w:val="00CA1B42"/>
    <w:rsid w:val="00CA1D66"/>
    <w:rsid w:val="00CA43C9"/>
    <w:rsid w:val="00CA45E4"/>
    <w:rsid w:val="00CA4848"/>
    <w:rsid w:val="00CA4B33"/>
    <w:rsid w:val="00CA5162"/>
    <w:rsid w:val="00CA5801"/>
    <w:rsid w:val="00CA6D19"/>
    <w:rsid w:val="00CB0BF4"/>
    <w:rsid w:val="00CB13BC"/>
    <w:rsid w:val="00CB1D22"/>
    <w:rsid w:val="00CB1EB8"/>
    <w:rsid w:val="00CB2A31"/>
    <w:rsid w:val="00CB360F"/>
    <w:rsid w:val="00CB5FB3"/>
    <w:rsid w:val="00CB6E77"/>
    <w:rsid w:val="00CC03A5"/>
    <w:rsid w:val="00CC1BB3"/>
    <w:rsid w:val="00CC225C"/>
    <w:rsid w:val="00CC27F8"/>
    <w:rsid w:val="00CC335F"/>
    <w:rsid w:val="00CC3E5D"/>
    <w:rsid w:val="00CC3FF9"/>
    <w:rsid w:val="00CC48F5"/>
    <w:rsid w:val="00CC580C"/>
    <w:rsid w:val="00CC694C"/>
    <w:rsid w:val="00CC6D85"/>
    <w:rsid w:val="00CC723C"/>
    <w:rsid w:val="00CD24A0"/>
    <w:rsid w:val="00CD29E6"/>
    <w:rsid w:val="00CD35FE"/>
    <w:rsid w:val="00CD36A3"/>
    <w:rsid w:val="00CD3821"/>
    <w:rsid w:val="00CD41B4"/>
    <w:rsid w:val="00CD4678"/>
    <w:rsid w:val="00CD6230"/>
    <w:rsid w:val="00CD70DC"/>
    <w:rsid w:val="00CD7893"/>
    <w:rsid w:val="00CD7D8C"/>
    <w:rsid w:val="00CD7F57"/>
    <w:rsid w:val="00CE0309"/>
    <w:rsid w:val="00CE0BAC"/>
    <w:rsid w:val="00CE10C2"/>
    <w:rsid w:val="00CE14D0"/>
    <w:rsid w:val="00CE18C9"/>
    <w:rsid w:val="00CE18FE"/>
    <w:rsid w:val="00CE2CA8"/>
    <w:rsid w:val="00CE4D8D"/>
    <w:rsid w:val="00CE56AC"/>
    <w:rsid w:val="00CE6EFA"/>
    <w:rsid w:val="00CE7D94"/>
    <w:rsid w:val="00CF2A05"/>
    <w:rsid w:val="00CF3AC1"/>
    <w:rsid w:val="00CF3B03"/>
    <w:rsid w:val="00CF3CC3"/>
    <w:rsid w:val="00CF53D6"/>
    <w:rsid w:val="00CF5740"/>
    <w:rsid w:val="00CF5919"/>
    <w:rsid w:val="00CF6359"/>
    <w:rsid w:val="00CF696B"/>
    <w:rsid w:val="00CF7BEF"/>
    <w:rsid w:val="00D0067B"/>
    <w:rsid w:val="00D0109C"/>
    <w:rsid w:val="00D03ADB"/>
    <w:rsid w:val="00D078E2"/>
    <w:rsid w:val="00D10207"/>
    <w:rsid w:val="00D104CF"/>
    <w:rsid w:val="00D1071B"/>
    <w:rsid w:val="00D10AFE"/>
    <w:rsid w:val="00D1274C"/>
    <w:rsid w:val="00D1281B"/>
    <w:rsid w:val="00D12F6C"/>
    <w:rsid w:val="00D134F4"/>
    <w:rsid w:val="00D14478"/>
    <w:rsid w:val="00D14F8D"/>
    <w:rsid w:val="00D15AD5"/>
    <w:rsid w:val="00D15DE5"/>
    <w:rsid w:val="00D16502"/>
    <w:rsid w:val="00D206B2"/>
    <w:rsid w:val="00D21515"/>
    <w:rsid w:val="00D220FF"/>
    <w:rsid w:val="00D23749"/>
    <w:rsid w:val="00D23C8D"/>
    <w:rsid w:val="00D24E93"/>
    <w:rsid w:val="00D24F0D"/>
    <w:rsid w:val="00D25127"/>
    <w:rsid w:val="00D25328"/>
    <w:rsid w:val="00D264B2"/>
    <w:rsid w:val="00D26816"/>
    <w:rsid w:val="00D27180"/>
    <w:rsid w:val="00D27884"/>
    <w:rsid w:val="00D307C7"/>
    <w:rsid w:val="00D33E74"/>
    <w:rsid w:val="00D347C4"/>
    <w:rsid w:val="00D35017"/>
    <w:rsid w:val="00D36939"/>
    <w:rsid w:val="00D37BA2"/>
    <w:rsid w:val="00D37CE4"/>
    <w:rsid w:val="00D402AF"/>
    <w:rsid w:val="00D4141F"/>
    <w:rsid w:val="00D41820"/>
    <w:rsid w:val="00D43ACD"/>
    <w:rsid w:val="00D44190"/>
    <w:rsid w:val="00D45BA9"/>
    <w:rsid w:val="00D45C0A"/>
    <w:rsid w:val="00D467E3"/>
    <w:rsid w:val="00D46FCB"/>
    <w:rsid w:val="00D504FB"/>
    <w:rsid w:val="00D522A2"/>
    <w:rsid w:val="00D54450"/>
    <w:rsid w:val="00D556CC"/>
    <w:rsid w:val="00D55A3E"/>
    <w:rsid w:val="00D55B71"/>
    <w:rsid w:val="00D570FA"/>
    <w:rsid w:val="00D57C7A"/>
    <w:rsid w:val="00D57D3D"/>
    <w:rsid w:val="00D6011A"/>
    <w:rsid w:val="00D60160"/>
    <w:rsid w:val="00D602A2"/>
    <w:rsid w:val="00D61CFD"/>
    <w:rsid w:val="00D620D1"/>
    <w:rsid w:val="00D62689"/>
    <w:rsid w:val="00D62F16"/>
    <w:rsid w:val="00D6428D"/>
    <w:rsid w:val="00D65C10"/>
    <w:rsid w:val="00D65DE9"/>
    <w:rsid w:val="00D65E10"/>
    <w:rsid w:val="00D663CB"/>
    <w:rsid w:val="00D66442"/>
    <w:rsid w:val="00D679CD"/>
    <w:rsid w:val="00D67AFE"/>
    <w:rsid w:val="00D70735"/>
    <w:rsid w:val="00D71CEB"/>
    <w:rsid w:val="00D721E7"/>
    <w:rsid w:val="00D73A72"/>
    <w:rsid w:val="00D74256"/>
    <w:rsid w:val="00D751A1"/>
    <w:rsid w:val="00D7610D"/>
    <w:rsid w:val="00D76C33"/>
    <w:rsid w:val="00D76F58"/>
    <w:rsid w:val="00D7735B"/>
    <w:rsid w:val="00D80885"/>
    <w:rsid w:val="00D8109D"/>
    <w:rsid w:val="00D813CA"/>
    <w:rsid w:val="00D8170B"/>
    <w:rsid w:val="00D8195C"/>
    <w:rsid w:val="00D81987"/>
    <w:rsid w:val="00D81A69"/>
    <w:rsid w:val="00D81DAC"/>
    <w:rsid w:val="00D82629"/>
    <w:rsid w:val="00D830C7"/>
    <w:rsid w:val="00D83AF7"/>
    <w:rsid w:val="00D849F9"/>
    <w:rsid w:val="00D84C87"/>
    <w:rsid w:val="00D855A2"/>
    <w:rsid w:val="00D86126"/>
    <w:rsid w:val="00D873E9"/>
    <w:rsid w:val="00D9013C"/>
    <w:rsid w:val="00D912E0"/>
    <w:rsid w:val="00D91C05"/>
    <w:rsid w:val="00D92410"/>
    <w:rsid w:val="00D930D1"/>
    <w:rsid w:val="00D9365C"/>
    <w:rsid w:val="00D94180"/>
    <w:rsid w:val="00D959F0"/>
    <w:rsid w:val="00D963F3"/>
    <w:rsid w:val="00D96629"/>
    <w:rsid w:val="00D969D6"/>
    <w:rsid w:val="00D97BE7"/>
    <w:rsid w:val="00DA045B"/>
    <w:rsid w:val="00DA1157"/>
    <w:rsid w:val="00DA1E9D"/>
    <w:rsid w:val="00DA3B65"/>
    <w:rsid w:val="00DA4373"/>
    <w:rsid w:val="00DA4A12"/>
    <w:rsid w:val="00DA4FB4"/>
    <w:rsid w:val="00DA618E"/>
    <w:rsid w:val="00DA673A"/>
    <w:rsid w:val="00DA6EB5"/>
    <w:rsid w:val="00DB06F5"/>
    <w:rsid w:val="00DB0B48"/>
    <w:rsid w:val="00DB111A"/>
    <w:rsid w:val="00DB227A"/>
    <w:rsid w:val="00DB4235"/>
    <w:rsid w:val="00DB53B7"/>
    <w:rsid w:val="00DB5567"/>
    <w:rsid w:val="00DB57AE"/>
    <w:rsid w:val="00DB6F5A"/>
    <w:rsid w:val="00DB7585"/>
    <w:rsid w:val="00DB770C"/>
    <w:rsid w:val="00DC085D"/>
    <w:rsid w:val="00DC0E3A"/>
    <w:rsid w:val="00DC12C9"/>
    <w:rsid w:val="00DC1769"/>
    <w:rsid w:val="00DC1934"/>
    <w:rsid w:val="00DC1BF7"/>
    <w:rsid w:val="00DC1C7C"/>
    <w:rsid w:val="00DC1FFA"/>
    <w:rsid w:val="00DC35C6"/>
    <w:rsid w:val="00DC45A8"/>
    <w:rsid w:val="00DC4785"/>
    <w:rsid w:val="00DC5123"/>
    <w:rsid w:val="00DC6078"/>
    <w:rsid w:val="00DC7E98"/>
    <w:rsid w:val="00DD01BB"/>
    <w:rsid w:val="00DD13A0"/>
    <w:rsid w:val="00DD1784"/>
    <w:rsid w:val="00DD2A88"/>
    <w:rsid w:val="00DD329E"/>
    <w:rsid w:val="00DD4265"/>
    <w:rsid w:val="00DD4C47"/>
    <w:rsid w:val="00DD5D23"/>
    <w:rsid w:val="00DD6055"/>
    <w:rsid w:val="00DD698F"/>
    <w:rsid w:val="00DD6F2E"/>
    <w:rsid w:val="00DE1CC1"/>
    <w:rsid w:val="00DE283A"/>
    <w:rsid w:val="00DE2DC7"/>
    <w:rsid w:val="00DE2FF9"/>
    <w:rsid w:val="00DE4FCB"/>
    <w:rsid w:val="00DE52E6"/>
    <w:rsid w:val="00DE5CB4"/>
    <w:rsid w:val="00DE6222"/>
    <w:rsid w:val="00DE6435"/>
    <w:rsid w:val="00DE7018"/>
    <w:rsid w:val="00DF0428"/>
    <w:rsid w:val="00DF127A"/>
    <w:rsid w:val="00DF1CBB"/>
    <w:rsid w:val="00DF225D"/>
    <w:rsid w:val="00DF26ED"/>
    <w:rsid w:val="00DF2A9A"/>
    <w:rsid w:val="00DF2EE0"/>
    <w:rsid w:val="00DF3402"/>
    <w:rsid w:val="00DF395E"/>
    <w:rsid w:val="00DF3F71"/>
    <w:rsid w:val="00DF428A"/>
    <w:rsid w:val="00DF5B20"/>
    <w:rsid w:val="00DF5C66"/>
    <w:rsid w:val="00DF6915"/>
    <w:rsid w:val="00DF7B16"/>
    <w:rsid w:val="00E01A50"/>
    <w:rsid w:val="00E01FB1"/>
    <w:rsid w:val="00E02295"/>
    <w:rsid w:val="00E026C6"/>
    <w:rsid w:val="00E029DA"/>
    <w:rsid w:val="00E02A1D"/>
    <w:rsid w:val="00E02E03"/>
    <w:rsid w:val="00E03590"/>
    <w:rsid w:val="00E036F3"/>
    <w:rsid w:val="00E03CFA"/>
    <w:rsid w:val="00E03FD4"/>
    <w:rsid w:val="00E04092"/>
    <w:rsid w:val="00E040FE"/>
    <w:rsid w:val="00E04242"/>
    <w:rsid w:val="00E04B98"/>
    <w:rsid w:val="00E04DA8"/>
    <w:rsid w:val="00E05160"/>
    <w:rsid w:val="00E05F6A"/>
    <w:rsid w:val="00E063DE"/>
    <w:rsid w:val="00E06514"/>
    <w:rsid w:val="00E078E4"/>
    <w:rsid w:val="00E10633"/>
    <w:rsid w:val="00E1071E"/>
    <w:rsid w:val="00E10ED4"/>
    <w:rsid w:val="00E11A21"/>
    <w:rsid w:val="00E120C3"/>
    <w:rsid w:val="00E12B53"/>
    <w:rsid w:val="00E12C9E"/>
    <w:rsid w:val="00E12CD1"/>
    <w:rsid w:val="00E1397C"/>
    <w:rsid w:val="00E139C0"/>
    <w:rsid w:val="00E13AE5"/>
    <w:rsid w:val="00E142A2"/>
    <w:rsid w:val="00E14E03"/>
    <w:rsid w:val="00E154EB"/>
    <w:rsid w:val="00E15C4B"/>
    <w:rsid w:val="00E16D0E"/>
    <w:rsid w:val="00E17C2A"/>
    <w:rsid w:val="00E17CAD"/>
    <w:rsid w:val="00E22294"/>
    <w:rsid w:val="00E22D0F"/>
    <w:rsid w:val="00E23583"/>
    <w:rsid w:val="00E2372C"/>
    <w:rsid w:val="00E2380E"/>
    <w:rsid w:val="00E23CCC"/>
    <w:rsid w:val="00E23D83"/>
    <w:rsid w:val="00E243A0"/>
    <w:rsid w:val="00E249FE"/>
    <w:rsid w:val="00E25913"/>
    <w:rsid w:val="00E266A3"/>
    <w:rsid w:val="00E27344"/>
    <w:rsid w:val="00E30216"/>
    <w:rsid w:val="00E302BC"/>
    <w:rsid w:val="00E30CC4"/>
    <w:rsid w:val="00E3173F"/>
    <w:rsid w:val="00E31BF9"/>
    <w:rsid w:val="00E32226"/>
    <w:rsid w:val="00E3316F"/>
    <w:rsid w:val="00E34E9C"/>
    <w:rsid w:val="00E359F9"/>
    <w:rsid w:val="00E40000"/>
    <w:rsid w:val="00E41674"/>
    <w:rsid w:val="00E422E1"/>
    <w:rsid w:val="00E43789"/>
    <w:rsid w:val="00E447D8"/>
    <w:rsid w:val="00E44A12"/>
    <w:rsid w:val="00E468A3"/>
    <w:rsid w:val="00E46A1F"/>
    <w:rsid w:val="00E47765"/>
    <w:rsid w:val="00E47803"/>
    <w:rsid w:val="00E50F04"/>
    <w:rsid w:val="00E51A90"/>
    <w:rsid w:val="00E53D76"/>
    <w:rsid w:val="00E54900"/>
    <w:rsid w:val="00E5521C"/>
    <w:rsid w:val="00E552F4"/>
    <w:rsid w:val="00E555A4"/>
    <w:rsid w:val="00E56448"/>
    <w:rsid w:val="00E56A72"/>
    <w:rsid w:val="00E56C4A"/>
    <w:rsid w:val="00E56D7D"/>
    <w:rsid w:val="00E572BA"/>
    <w:rsid w:val="00E577EE"/>
    <w:rsid w:val="00E60092"/>
    <w:rsid w:val="00E60E18"/>
    <w:rsid w:val="00E61D38"/>
    <w:rsid w:val="00E62EFF"/>
    <w:rsid w:val="00E63A50"/>
    <w:rsid w:val="00E64637"/>
    <w:rsid w:val="00E659EB"/>
    <w:rsid w:val="00E66223"/>
    <w:rsid w:val="00E708CB"/>
    <w:rsid w:val="00E70A33"/>
    <w:rsid w:val="00E7336B"/>
    <w:rsid w:val="00E738A1"/>
    <w:rsid w:val="00E74441"/>
    <w:rsid w:val="00E7518A"/>
    <w:rsid w:val="00E76203"/>
    <w:rsid w:val="00E77BB0"/>
    <w:rsid w:val="00E80034"/>
    <w:rsid w:val="00E804EE"/>
    <w:rsid w:val="00E80599"/>
    <w:rsid w:val="00E80733"/>
    <w:rsid w:val="00E810CC"/>
    <w:rsid w:val="00E83DFF"/>
    <w:rsid w:val="00E8410F"/>
    <w:rsid w:val="00E84699"/>
    <w:rsid w:val="00E86372"/>
    <w:rsid w:val="00E86DDE"/>
    <w:rsid w:val="00E870D4"/>
    <w:rsid w:val="00E9025E"/>
    <w:rsid w:val="00E9044A"/>
    <w:rsid w:val="00E9060A"/>
    <w:rsid w:val="00E92C72"/>
    <w:rsid w:val="00E92DB3"/>
    <w:rsid w:val="00E9301F"/>
    <w:rsid w:val="00E939EC"/>
    <w:rsid w:val="00E93D44"/>
    <w:rsid w:val="00E94856"/>
    <w:rsid w:val="00E94978"/>
    <w:rsid w:val="00E949F6"/>
    <w:rsid w:val="00E94F83"/>
    <w:rsid w:val="00E95995"/>
    <w:rsid w:val="00E95C99"/>
    <w:rsid w:val="00E96298"/>
    <w:rsid w:val="00E9669E"/>
    <w:rsid w:val="00E97D9E"/>
    <w:rsid w:val="00EA0330"/>
    <w:rsid w:val="00EA0BC8"/>
    <w:rsid w:val="00EA17D0"/>
    <w:rsid w:val="00EA18DA"/>
    <w:rsid w:val="00EA262B"/>
    <w:rsid w:val="00EA2DD3"/>
    <w:rsid w:val="00EA380E"/>
    <w:rsid w:val="00EA47C7"/>
    <w:rsid w:val="00EA4ACC"/>
    <w:rsid w:val="00EA5BDF"/>
    <w:rsid w:val="00EA7756"/>
    <w:rsid w:val="00EB09D0"/>
    <w:rsid w:val="00EB1223"/>
    <w:rsid w:val="00EB26A0"/>
    <w:rsid w:val="00EB27C1"/>
    <w:rsid w:val="00EB3645"/>
    <w:rsid w:val="00EB3943"/>
    <w:rsid w:val="00EB3DA4"/>
    <w:rsid w:val="00EB42B7"/>
    <w:rsid w:val="00EB5599"/>
    <w:rsid w:val="00EB5876"/>
    <w:rsid w:val="00EB591D"/>
    <w:rsid w:val="00EB6A00"/>
    <w:rsid w:val="00EB6F7C"/>
    <w:rsid w:val="00EB7795"/>
    <w:rsid w:val="00EB7F5D"/>
    <w:rsid w:val="00EC0007"/>
    <w:rsid w:val="00EC0FFB"/>
    <w:rsid w:val="00EC2089"/>
    <w:rsid w:val="00EC667A"/>
    <w:rsid w:val="00EC6E5E"/>
    <w:rsid w:val="00EC744B"/>
    <w:rsid w:val="00EC7468"/>
    <w:rsid w:val="00ED0176"/>
    <w:rsid w:val="00ED0FDA"/>
    <w:rsid w:val="00ED1EE1"/>
    <w:rsid w:val="00ED22F6"/>
    <w:rsid w:val="00ED2366"/>
    <w:rsid w:val="00ED358E"/>
    <w:rsid w:val="00ED38E0"/>
    <w:rsid w:val="00ED3953"/>
    <w:rsid w:val="00ED3993"/>
    <w:rsid w:val="00ED4F5E"/>
    <w:rsid w:val="00ED545D"/>
    <w:rsid w:val="00ED54B0"/>
    <w:rsid w:val="00ED5802"/>
    <w:rsid w:val="00EE19F2"/>
    <w:rsid w:val="00EE2C5A"/>
    <w:rsid w:val="00EE6FFA"/>
    <w:rsid w:val="00EE729B"/>
    <w:rsid w:val="00EE7F56"/>
    <w:rsid w:val="00EF1DCD"/>
    <w:rsid w:val="00EF1F87"/>
    <w:rsid w:val="00EF3354"/>
    <w:rsid w:val="00EF41DE"/>
    <w:rsid w:val="00EF483C"/>
    <w:rsid w:val="00EF5004"/>
    <w:rsid w:val="00EF694E"/>
    <w:rsid w:val="00EF6B8A"/>
    <w:rsid w:val="00EF6C88"/>
    <w:rsid w:val="00F00047"/>
    <w:rsid w:val="00F0072A"/>
    <w:rsid w:val="00F00789"/>
    <w:rsid w:val="00F012FD"/>
    <w:rsid w:val="00F01923"/>
    <w:rsid w:val="00F0203E"/>
    <w:rsid w:val="00F02ACE"/>
    <w:rsid w:val="00F0330A"/>
    <w:rsid w:val="00F060ED"/>
    <w:rsid w:val="00F06309"/>
    <w:rsid w:val="00F067A5"/>
    <w:rsid w:val="00F06CAE"/>
    <w:rsid w:val="00F06CB4"/>
    <w:rsid w:val="00F075DF"/>
    <w:rsid w:val="00F07F24"/>
    <w:rsid w:val="00F10AB1"/>
    <w:rsid w:val="00F111CE"/>
    <w:rsid w:val="00F118D3"/>
    <w:rsid w:val="00F1192A"/>
    <w:rsid w:val="00F120E1"/>
    <w:rsid w:val="00F1430B"/>
    <w:rsid w:val="00F14476"/>
    <w:rsid w:val="00F149E4"/>
    <w:rsid w:val="00F15108"/>
    <w:rsid w:val="00F156BD"/>
    <w:rsid w:val="00F15864"/>
    <w:rsid w:val="00F1605F"/>
    <w:rsid w:val="00F16D18"/>
    <w:rsid w:val="00F171D6"/>
    <w:rsid w:val="00F17937"/>
    <w:rsid w:val="00F17BAD"/>
    <w:rsid w:val="00F17FDD"/>
    <w:rsid w:val="00F20A9C"/>
    <w:rsid w:val="00F2164D"/>
    <w:rsid w:val="00F221B5"/>
    <w:rsid w:val="00F234C2"/>
    <w:rsid w:val="00F23C44"/>
    <w:rsid w:val="00F247ED"/>
    <w:rsid w:val="00F248A3"/>
    <w:rsid w:val="00F25C5B"/>
    <w:rsid w:val="00F25D00"/>
    <w:rsid w:val="00F260EC"/>
    <w:rsid w:val="00F26E6A"/>
    <w:rsid w:val="00F278A6"/>
    <w:rsid w:val="00F279D5"/>
    <w:rsid w:val="00F30A0F"/>
    <w:rsid w:val="00F30B15"/>
    <w:rsid w:val="00F323ED"/>
    <w:rsid w:val="00F33440"/>
    <w:rsid w:val="00F36FBE"/>
    <w:rsid w:val="00F405B1"/>
    <w:rsid w:val="00F40FA9"/>
    <w:rsid w:val="00F4140E"/>
    <w:rsid w:val="00F428F4"/>
    <w:rsid w:val="00F42DD2"/>
    <w:rsid w:val="00F44CC0"/>
    <w:rsid w:val="00F45651"/>
    <w:rsid w:val="00F46E1F"/>
    <w:rsid w:val="00F47BE9"/>
    <w:rsid w:val="00F47D23"/>
    <w:rsid w:val="00F502B8"/>
    <w:rsid w:val="00F50D42"/>
    <w:rsid w:val="00F51227"/>
    <w:rsid w:val="00F51D5E"/>
    <w:rsid w:val="00F51F8C"/>
    <w:rsid w:val="00F52A06"/>
    <w:rsid w:val="00F52B38"/>
    <w:rsid w:val="00F56223"/>
    <w:rsid w:val="00F57BDF"/>
    <w:rsid w:val="00F61AD4"/>
    <w:rsid w:val="00F62B98"/>
    <w:rsid w:val="00F650C5"/>
    <w:rsid w:val="00F655E3"/>
    <w:rsid w:val="00F6572C"/>
    <w:rsid w:val="00F6599E"/>
    <w:rsid w:val="00F65B55"/>
    <w:rsid w:val="00F70441"/>
    <w:rsid w:val="00F704FB"/>
    <w:rsid w:val="00F7184D"/>
    <w:rsid w:val="00F72C55"/>
    <w:rsid w:val="00F72D70"/>
    <w:rsid w:val="00F72E51"/>
    <w:rsid w:val="00F73C3C"/>
    <w:rsid w:val="00F740B2"/>
    <w:rsid w:val="00F75029"/>
    <w:rsid w:val="00F75284"/>
    <w:rsid w:val="00F77C36"/>
    <w:rsid w:val="00F8104D"/>
    <w:rsid w:val="00F811CD"/>
    <w:rsid w:val="00F815AC"/>
    <w:rsid w:val="00F81C9A"/>
    <w:rsid w:val="00F82B3B"/>
    <w:rsid w:val="00F83225"/>
    <w:rsid w:val="00F83B6D"/>
    <w:rsid w:val="00F84938"/>
    <w:rsid w:val="00F84F2D"/>
    <w:rsid w:val="00F85A89"/>
    <w:rsid w:val="00F878A7"/>
    <w:rsid w:val="00F90A41"/>
    <w:rsid w:val="00F90BEF"/>
    <w:rsid w:val="00F91FAA"/>
    <w:rsid w:val="00F9288E"/>
    <w:rsid w:val="00F93110"/>
    <w:rsid w:val="00F93423"/>
    <w:rsid w:val="00F94965"/>
    <w:rsid w:val="00F94D60"/>
    <w:rsid w:val="00F95172"/>
    <w:rsid w:val="00F95BDE"/>
    <w:rsid w:val="00F96162"/>
    <w:rsid w:val="00F965DD"/>
    <w:rsid w:val="00F968E1"/>
    <w:rsid w:val="00F96D8D"/>
    <w:rsid w:val="00F97159"/>
    <w:rsid w:val="00FA0760"/>
    <w:rsid w:val="00FA1338"/>
    <w:rsid w:val="00FA1E9A"/>
    <w:rsid w:val="00FA2043"/>
    <w:rsid w:val="00FA2479"/>
    <w:rsid w:val="00FA2C5C"/>
    <w:rsid w:val="00FA4119"/>
    <w:rsid w:val="00FA4667"/>
    <w:rsid w:val="00FA4A80"/>
    <w:rsid w:val="00FA65F9"/>
    <w:rsid w:val="00FA7B41"/>
    <w:rsid w:val="00FB0E93"/>
    <w:rsid w:val="00FB2666"/>
    <w:rsid w:val="00FB39B2"/>
    <w:rsid w:val="00FB3D6B"/>
    <w:rsid w:val="00FB3E12"/>
    <w:rsid w:val="00FB3EBD"/>
    <w:rsid w:val="00FB448C"/>
    <w:rsid w:val="00FB4DBF"/>
    <w:rsid w:val="00FB6C77"/>
    <w:rsid w:val="00FC01CD"/>
    <w:rsid w:val="00FC1655"/>
    <w:rsid w:val="00FC1960"/>
    <w:rsid w:val="00FC1DF8"/>
    <w:rsid w:val="00FC1E70"/>
    <w:rsid w:val="00FC2345"/>
    <w:rsid w:val="00FC4A66"/>
    <w:rsid w:val="00FC4EAA"/>
    <w:rsid w:val="00FC6F41"/>
    <w:rsid w:val="00FD0277"/>
    <w:rsid w:val="00FD1807"/>
    <w:rsid w:val="00FD1922"/>
    <w:rsid w:val="00FD1957"/>
    <w:rsid w:val="00FD2866"/>
    <w:rsid w:val="00FD2C07"/>
    <w:rsid w:val="00FD410C"/>
    <w:rsid w:val="00FD4845"/>
    <w:rsid w:val="00FD5C7E"/>
    <w:rsid w:val="00FD61E3"/>
    <w:rsid w:val="00FD7811"/>
    <w:rsid w:val="00FE00F9"/>
    <w:rsid w:val="00FE1422"/>
    <w:rsid w:val="00FE24D3"/>
    <w:rsid w:val="00FE2CA6"/>
    <w:rsid w:val="00FE2D4C"/>
    <w:rsid w:val="00FE3B58"/>
    <w:rsid w:val="00FE451B"/>
    <w:rsid w:val="00FE5D0F"/>
    <w:rsid w:val="00FE62D2"/>
    <w:rsid w:val="00FE6B79"/>
    <w:rsid w:val="00FF0396"/>
    <w:rsid w:val="00FF097D"/>
    <w:rsid w:val="00FF0B81"/>
    <w:rsid w:val="00FF27B2"/>
    <w:rsid w:val="00FF4BB3"/>
    <w:rsid w:val="00FF5793"/>
    <w:rsid w:val="00FF5991"/>
    <w:rsid w:val="00FF5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BDE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C"/>
    <w:pPr>
      <w:spacing w:after="200"/>
      <w:jc w:val="both"/>
    </w:pPr>
    <w:rPr>
      <w:snapToGrid w:val="0"/>
      <w:sz w:val="22"/>
      <w:lang w:val="en-GB"/>
    </w:rPr>
  </w:style>
  <w:style w:type="paragraph" w:styleId="Heading1">
    <w:name w:val="heading 1"/>
    <w:basedOn w:val="Normal"/>
    <w:next w:val="Normal"/>
    <w:rsid w:val="00726A44"/>
    <w:pPr>
      <w:keepNext/>
      <w:spacing w:before="240" w:after="60"/>
      <w:outlineLvl w:val="0"/>
    </w:pPr>
    <w:rPr>
      <w:rFonts w:ascii="Arial" w:hAnsi="Arial"/>
      <w:b/>
      <w:kern w:val="28"/>
      <w:sz w:val="28"/>
    </w:rPr>
  </w:style>
  <w:style w:type="paragraph" w:styleId="Heading2">
    <w:name w:val="heading 2"/>
    <w:basedOn w:val="Normal"/>
    <w:next w:val="Normal"/>
    <w:rsid w:val="00726A44"/>
    <w:pPr>
      <w:keepNext/>
      <w:keepLines/>
      <w:tabs>
        <w:tab w:val="num" w:pos="283"/>
      </w:tabs>
      <w:spacing w:after="120"/>
      <w:ind w:left="283" w:hanging="283"/>
      <w:outlineLvl w:val="1"/>
    </w:pPr>
    <w:rPr>
      <w:b/>
    </w:rPr>
  </w:style>
  <w:style w:type="paragraph" w:styleId="Heading3">
    <w:name w:val="heading 3"/>
    <w:basedOn w:val="Normal"/>
    <w:next w:val="Normal"/>
    <w:rsid w:val="00726A44"/>
    <w:pPr>
      <w:keepNext/>
      <w:tabs>
        <w:tab w:val="num" w:pos="283"/>
      </w:tabs>
      <w:spacing w:before="240" w:after="60"/>
      <w:ind w:left="283" w:hanging="283"/>
      <w:outlineLvl w:val="2"/>
    </w:pPr>
    <w:rPr>
      <w:b/>
    </w:rPr>
  </w:style>
  <w:style w:type="paragraph" w:styleId="Heading4">
    <w:name w:val="heading 4"/>
    <w:basedOn w:val="Normal"/>
    <w:next w:val="Text4"/>
    <w:link w:val="Heading4Char"/>
    <w:rsid w:val="00726A44"/>
    <w:pPr>
      <w:keepNext/>
      <w:spacing w:after="240"/>
      <w:ind w:left="1984" w:hanging="782"/>
      <w:outlineLvl w:val="3"/>
    </w:pPr>
  </w:style>
  <w:style w:type="paragraph" w:styleId="Heading5">
    <w:name w:val="heading 5"/>
    <w:basedOn w:val="Normal"/>
    <w:next w:val="Normal"/>
    <w:rsid w:val="00726A44"/>
    <w:pPr>
      <w:tabs>
        <w:tab w:val="num" w:pos="0"/>
      </w:tabs>
      <w:spacing w:before="240" w:after="60"/>
      <w:outlineLvl w:val="4"/>
    </w:pPr>
    <w:rPr>
      <w:rFonts w:ascii="Arial" w:hAnsi="Arial"/>
    </w:rPr>
  </w:style>
  <w:style w:type="paragraph" w:styleId="Heading6">
    <w:name w:val="heading 6"/>
    <w:basedOn w:val="Normal"/>
    <w:next w:val="Normal"/>
    <w:rsid w:val="00726A44"/>
    <w:pPr>
      <w:tabs>
        <w:tab w:val="num" w:pos="0"/>
      </w:tabs>
      <w:spacing w:before="240" w:after="60"/>
      <w:outlineLvl w:val="5"/>
    </w:pPr>
    <w:rPr>
      <w:rFonts w:ascii="Arial" w:hAnsi="Arial"/>
      <w:i/>
    </w:rPr>
  </w:style>
  <w:style w:type="paragraph" w:styleId="Heading7">
    <w:name w:val="heading 7"/>
    <w:basedOn w:val="Normal"/>
    <w:next w:val="Normal"/>
    <w:rsid w:val="00726A44"/>
    <w:pPr>
      <w:tabs>
        <w:tab w:val="num" w:pos="0"/>
      </w:tabs>
      <w:spacing w:before="240" w:after="60"/>
      <w:outlineLvl w:val="6"/>
    </w:pPr>
    <w:rPr>
      <w:rFonts w:ascii="Arial" w:hAnsi="Arial"/>
      <w:sz w:val="20"/>
    </w:rPr>
  </w:style>
  <w:style w:type="paragraph" w:styleId="Heading8">
    <w:name w:val="heading 8"/>
    <w:basedOn w:val="Normal"/>
    <w:next w:val="Normal"/>
    <w:rsid w:val="00726A44"/>
    <w:pPr>
      <w:tabs>
        <w:tab w:val="num" w:pos="0"/>
      </w:tabs>
      <w:spacing w:before="240" w:after="60"/>
      <w:outlineLvl w:val="7"/>
    </w:pPr>
    <w:rPr>
      <w:rFonts w:ascii="Arial" w:hAnsi="Arial"/>
      <w:i/>
      <w:sz w:val="20"/>
    </w:rPr>
  </w:style>
  <w:style w:type="paragraph" w:styleId="Heading9">
    <w:name w:val="heading 9"/>
    <w:basedOn w:val="Normal"/>
    <w:next w:val="Normal"/>
    <w:rsid w:val="00726A44"/>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726A44"/>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rsid w:val="00726A44"/>
    <w:pPr>
      <w:pageBreakBefore/>
      <w:widowControl w:val="0"/>
      <w:tabs>
        <w:tab w:val="num" w:pos="360"/>
      </w:tabs>
      <w:spacing w:before="0" w:after="480"/>
      <w:ind w:left="360" w:hanging="360"/>
    </w:pPr>
    <w:rPr>
      <w:caps/>
    </w:rPr>
  </w:style>
  <w:style w:type="paragraph" w:customStyle="1" w:styleId="Application2">
    <w:name w:val="Application2"/>
    <w:basedOn w:val="Normal"/>
    <w:rsid w:val="00726A44"/>
    <w:pPr>
      <w:widowControl w:val="0"/>
      <w:tabs>
        <w:tab w:val="left" w:pos="567"/>
      </w:tabs>
      <w:suppressAutoHyphens/>
      <w:spacing w:after="120"/>
      <w:ind w:left="482" w:hanging="480"/>
    </w:pPr>
    <w:rPr>
      <w:rFonts w:ascii="Arial" w:hAnsi="Arial"/>
      <w:b/>
      <w:spacing w:val="-2"/>
    </w:rPr>
  </w:style>
  <w:style w:type="paragraph" w:customStyle="1" w:styleId="Application3">
    <w:name w:val="Application3"/>
    <w:basedOn w:val="Normal"/>
    <w:rsid w:val="00726A44"/>
    <w:pPr>
      <w:widowControl w:val="0"/>
      <w:tabs>
        <w:tab w:val="num" w:pos="0"/>
        <w:tab w:val="right" w:pos="8789"/>
      </w:tabs>
      <w:suppressAutoHyphens/>
      <w:ind w:left="360" w:hanging="360"/>
    </w:pPr>
    <w:rPr>
      <w:rFonts w:ascii="Arial" w:hAnsi="Arial"/>
      <w:b/>
      <w:spacing w:val="-2"/>
    </w:rPr>
  </w:style>
  <w:style w:type="paragraph" w:customStyle="1" w:styleId="Application4">
    <w:name w:val="Application4"/>
    <w:basedOn w:val="Application3"/>
    <w:autoRedefine/>
    <w:rsid w:val="00726A44"/>
    <w:pPr>
      <w:tabs>
        <w:tab w:val="clear" w:pos="0"/>
      </w:tabs>
      <w:ind w:left="567" w:firstLine="0"/>
    </w:pPr>
    <w:rPr>
      <w:sz w:val="20"/>
    </w:rPr>
  </w:style>
  <w:style w:type="paragraph" w:customStyle="1" w:styleId="Application5">
    <w:name w:val="Application5"/>
    <w:basedOn w:val="Application2"/>
    <w:autoRedefine/>
    <w:rsid w:val="00726A44"/>
    <w:pPr>
      <w:tabs>
        <w:tab w:val="clear" w:pos="567"/>
        <w:tab w:val="num" w:pos="0"/>
      </w:tabs>
      <w:ind w:left="360" w:hanging="360"/>
    </w:pPr>
    <w:rPr>
      <w:sz w:val="24"/>
    </w:rPr>
  </w:style>
  <w:style w:type="paragraph" w:customStyle="1" w:styleId="NumPar4">
    <w:name w:val="NumPar 4"/>
    <w:basedOn w:val="Heading4"/>
    <w:next w:val="Text4"/>
    <w:rsid w:val="00726A44"/>
    <w:pPr>
      <w:keepNext w:val="0"/>
    </w:pPr>
  </w:style>
  <w:style w:type="paragraph" w:styleId="Title">
    <w:name w:val="Title"/>
    <w:basedOn w:val="Normal"/>
    <w:next w:val="SubTitle1"/>
    <w:rsid w:val="00726A44"/>
    <w:pPr>
      <w:spacing w:after="480"/>
      <w:jc w:val="center"/>
    </w:pPr>
    <w:rPr>
      <w:b/>
      <w:sz w:val="48"/>
    </w:rPr>
  </w:style>
  <w:style w:type="paragraph" w:customStyle="1" w:styleId="SubTitle1">
    <w:name w:val="SubTitle 1"/>
    <w:basedOn w:val="Normal"/>
    <w:next w:val="SubTitle2"/>
    <w:rsid w:val="00726A44"/>
    <w:pPr>
      <w:spacing w:after="240"/>
      <w:jc w:val="center"/>
    </w:pPr>
    <w:rPr>
      <w:b/>
      <w:sz w:val="40"/>
    </w:rPr>
  </w:style>
  <w:style w:type="paragraph" w:customStyle="1" w:styleId="SubTitle2">
    <w:name w:val="SubTitle 2"/>
    <w:basedOn w:val="Normal"/>
    <w:rsid w:val="00726A44"/>
    <w:pPr>
      <w:spacing w:after="240"/>
      <w:jc w:val="center"/>
    </w:pPr>
    <w:rPr>
      <w:b/>
      <w:sz w:val="32"/>
    </w:rPr>
  </w:style>
  <w:style w:type="paragraph" w:customStyle="1" w:styleId="PartTitle">
    <w:name w:val="PartTitle"/>
    <w:basedOn w:val="Normal"/>
    <w:next w:val="Normal"/>
    <w:rsid w:val="00726A44"/>
    <w:pPr>
      <w:keepNext/>
      <w:pageBreakBefore/>
      <w:spacing w:after="480"/>
      <w:jc w:val="center"/>
    </w:pPr>
    <w:rPr>
      <w:b/>
      <w:sz w:val="36"/>
    </w:rPr>
  </w:style>
  <w:style w:type="paragraph" w:customStyle="1" w:styleId="SectionTitle">
    <w:name w:val="SectionTitle"/>
    <w:basedOn w:val="Normal"/>
    <w:next w:val="Heading1"/>
    <w:rsid w:val="00726A44"/>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F02ACE"/>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726A44"/>
    <w:pPr>
      <w:ind w:left="480"/>
    </w:pPr>
    <w:rPr>
      <w:sz w:val="20"/>
    </w:rPr>
  </w:style>
  <w:style w:type="paragraph" w:customStyle="1" w:styleId="AnnexTOC">
    <w:name w:val="AnnexTOC"/>
    <w:basedOn w:val="TOC1"/>
    <w:rsid w:val="00726A44"/>
  </w:style>
  <w:style w:type="paragraph" w:customStyle="1" w:styleId="Guidelines1">
    <w:name w:val="Guidelines 1"/>
    <w:basedOn w:val="Normal"/>
    <w:autoRedefine/>
    <w:qFormat/>
    <w:rsid w:val="00CE56AC"/>
    <w:pPr>
      <w:widowControl w:val="0"/>
      <w:numPr>
        <w:numId w:val="1"/>
      </w:numPr>
      <w:spacing w:after="360"/>
    </w:pPr>
    <w:rPr>
      <w:b/>
      <w:caps/>
    </w:rPr>
  </w:style>
  <w:style w:type="paragraph" w:customStyle="1" w:styleId="Guidelines2">
    <w:name w:val="Guidelines 2"/>
    <w:basedOn w:val="Normal"/>
    <w:next w:val="Normal"/>
    <w:autoRedefine/>
    <w:qFormat/>
    <w:rsid w:val="00F02ACE"/>
    <w:pPr>
      <w:numPr>
        <w:ilvl w:val="1"/>
        <w:numId w:val="1"/>
      </w:numPr>
      <w:spacing w:before="240" w:after="120"/>
      <w:outlineLvl w:val="0"/>
    </w:pPr>
    <w:rPr>
      <w:rFonts w:ascii="Times New Roman Bold" w:hAnsi="Times New Roman Bold"/>
      <w:b/>
      <w:smallCaps/>
      <w:sz w:val="24"/>
    </w:rPr>
  </w:style>
  <w:style w:type="paragraph" w:customStyle="1" w:styleId="Text1">
    <w:name w:val="Text 1"/>
    <w:basedOn w:val="Normal"/>
    <w:rsid w:val="00726A44"/>
    <w:pPr>
      <w:spacing w:after="240"/>
      <w:ind w:left="482"/>
    </w:pPr>
  </w:style>
  <w:style w:type="paragraph" w:customStyle="1" w:styleId="Guidelines3">
    <w:name w:val="Guidelines 3"/>
    <w:basedOn w:val="Normal"/>
    <w:next w:val="Normal"/>
    <w:autoRedefine/>
    <w:qFormat/>
    <w:rsid w:val="004B7BC2"/>
    <w:pPr>
      <w:keepNext/>
      <w:numPr>
        <w:ilvl w:val="2"/>
        <w:numId w:val="1"/>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rsid w:val="00726A44"/>
    <w:pPr>
      <w:tabs>
        <w:tab w:val="left" w:pos="2161"/>
      </w:tabs>
      <w:spacing w:after="240"/>
      <w:ind w:left="1202"/>
    </w:pPr>
  </w:style>
  <w:style w:type="paragraph" w:customStyle="1" w:styleId="p3">
    <w:name w:val="p3"/>
    <w:basedOn w:val="Normal"/>
    <w:rsid w:val="00726A44"/>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sid w:val="00726A44"/>
    <w:rPr>
      <w:color w:val="0000FF"/>
      <w:u w:val="single"/>
    </w:rPr>
  </w:style>
  <w:style w:type="paragraph" w:customStyle="1" w:styleId="References">
    <w:name w:val="References"/>
    <w:basedOn w:val="Normal"/>
    <w:next w:val="Normal"/>
    <w:rsid w:val="00726A44"/>
    <w:pPr>
      <w:spacing w:after="240"/>
      <w:ind w:left="5103"/>
    </w:pPr>
    <w:rPr>
      <w:sz w:val="20"/>
    </w:rPr>
  </w:style>
  <w:style w:type="paragraph" w:styleId="FootnoteText">
    <w:name w:val="footnote text"/>
    <w:basedOn w:val="Normal"/>
    <w:link w:val="FootnoteTextChar"/>
    <w:uiPriority w:val="99"/>
    <w:qFormat/>
    <w:rsid w:val="0040358C"/>
    <w:pPr>
      <w:spacing w:before="120" w:after="0"/>
      <w:ind w:left="284" w:hanging="284"/>
    </w:pPr>
    <w:rPr>
      <w:sz w:val="20"/>
    </w:rPr>
  </w:style>
  <w:style w:type="character" w:customStyle="1" w:styleId="FootnoteTextChar">
    <w:name w:val="Footnote Text Char"/>
    <w:link w:val="FootnoteText"/>
    <w:uiPriority w:val="99"/>
    <w:rsid w:val="0040358C"/>
    <w:rPr>
      <w:snapToGrid w:val="0"/>
      <w:lang w:eastAsia="en-US"/>
    </w:rPr>
  </w:style>
  <w:style w:type="paragraph" w:styleId="Header">
    <w:name w:val="header"/>
    <w:basedOn w:val="Normal"/>
    <w:rsid w:val="00726A44"/>
    <w:pPr>
      <w:tabs>
        <w:tab w:val="center" w:pos="4153"/>
        <w:tab w:val="right" w:pos="8306"/>
      </w:tabs>
      <w:spacing w:after="240"/>
    </w:pPr>
  </w:style>
  <w:style w:type="character" w:styleId="PageNumber">
    <w:name w:val="page number"/>
    <w:basedOn w:val="DefaultParagraphFont"/>
    <w:rsid w:val="00726A44"/>
  </w:style>
  <w:style w:type="paragraph" w:styleId="Footer">
    <w:name w:val="footer"/>
    <w:basedOn w:val="Normal"/>
    <w:link w:val="FooterChar"/>
    <w:rsid w:val="00726A44"/>
    <w:pPr>
      <w:ind w:right="-567"/>
    </w:pPr>
    <w:rPr>
      <w:rFonts w:ascii="Arial" w:hAnsi="Arial"/>
      <w:sz w:val="16"/>
    </w:rPr>
  </w:style>
  <w:style w:type="paragraph" w:customStyle="1" w:styleId="Style0">
    <w:name w:val="Style0"/>
    <w:rsid w:val="00726A44"/>
    <w:rPr>
      <w:rFonts w:ascii="Arial" w:hAnsi="Arial"/>
      <w:snapToGrid w:val="0"/>
      <w:sz w:val="24"/>
      <w:lang w:val="en-US"/>
    </w:rPr>
  </w:style>
  <w:style w:type="paragraph" w:customStyle="1" w:styleId="Text3">
    <w:name w:val="Text 3"/>
    <w:basedOn w:val="Normal"/>
    <w:rsid w:val="00726A44"/>
    <w:pPr>
      <w:tabs>
        <w:tab w:val="left" w:pos="2302"/>
      </w:tabs>
      <w:spacing w:after="240"/>
      <w:ind w:left="1202"/>
    </w:pPr>
  </w:style>
  <w:style w:type="paragraph" w:styleId="BodyTextIndent">
    <w:name w:val="Body Text Indent"/>
    <w:basedOn w:val="Normal"/>
    <w:link w:val="BodyTextIndentChar"/>
    <w:rsid w:val="00726A44"/>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rsid w:val="00726A44"/>
    <w:pPr>
      <w:ind w:left="720"/>
    </w:pPr>
    <w:rPr>
      <w:sz w:val="20"/>
    </w:rPr>
  </w:style>
  <w:style w:type="paragraph" w:styleId="TOC6">
    <w:name w:val="toc 6"/>
    <w:basedOn w:val="Normal"/>
    <w:next w:val="Normal"/>
    <w:autoRedefine/>
    <w:semiHidden/>
    <w:rsid w:val="00726A44"/>
    <w:pPr>
      <w:ind w:left="960"/>
    </w:pPr>
    <w:rPr>
      <w:sz w:val="20"/>
    </w:rPr>
  </w:style>
  <w:style w:type="paragraph" w:styleId="TOC7">
    <w:name w:val="toc 7"/>
    <w:basedOn w:val="Normal"/>
    <w:next w:val="Normal"/>
    <w:autoRedefine/>
    <w:semiHidden/>
    <w:rsid w:val="00726A44"/>
    <w:pPr>
      <w:ind w:left="1200"/>
    </w:pPr>
    <w:rPr>
      <w:sz w:val="20"/>
    </w:rPr>
  </w:style>
  <w:style w:type="paragraph" w:styleId="TOC8">
    <w:name w:val="toc 8"/>
    <w:basedOn w:val="Normal"/>
    <w:next w:val="Normal"/>
    <w:autoRedefine/>
    <w:semiHidden/>
    <w:rsid w:val="00726A44"/>
    <w:pPr>
      <w:ind w:left="1440"/>
    </w:pPr>
    <w:rPr>
      <w:sz w:val="20"/>
    </w:rPr>
  </w:style>
  <w:style w:type="paragraph" w:styleId="TOC9">
    <w:name w:val="toc 9"/>
    <w:basedOn w:val="Normal"/>
    <w:next w:val="Normal"/>
    <w:autoRedefine/>
    <w:semiHidden/>
    <w:rsid w:val="00726A44"/>
    <w:pPr>
      <w:ind w:left="1680"/>
    </w:pPr>
    <w:rPr>
      <w:sz w:val="20"/>
    </w:rPr>
  </w:style>
  <w:style w:type="character" w:styleId="FollowedHyperlink">
    <w:name w:val="FollowedHyperlink"/>
    <w:rsid w:val="00726A44"/>
    <w:rPr>
      <w:color w:val="800080"/>
      <w:u w:val="single"/>
    </w:rPr>
  </w:style>
  <w:style w:type="paragraph" w:customStyle="1" w:styleId="NumPar2">
    <w:name w:val="NumPar 2"/>
    <w:basedOn w:val="Heading2"/>
    <w:next w:val="Text2"/>
    <w:rsid w:val="00726A44"/>
    <w:pPr>
      <w:keepNext w:val="0"/>
      <w:keepLines w:val="0"/>
      <w:tabs>
        <w:tab w:val="clear" w:pos="283"/>
        <w:tab w:val="num" w:pos="360"/>
        <w:tab w:val="num" w:pos="1492"/>
      </w:tabs>
      <w:spacing w:after="240"/>
      <w:ind w:left="360" w:hanging="360"/>
      <w:outlineLvl w:val="9"/>
    </w:pPr>
    <w:rPr>
      <w:b w:val="0"/>
      <w:lang w:val="fr-FR"/>
    </w:rPr>
  </w:style>
  <w:style w:type="paragraph" w:styleId="ListBullet5">
    <w:name w:val="List Bullet 5"/>
    <w:basedOn w:val="Normal"/>
    <w:autoRedefine/>
    <w:rsid w:val="00726A44"/>
    <w:pPr>
      <w:tabs>
        <w:tab w:val="num" w:pos="360"/>
      </w:tabs>
      <w:spacing w:after="240"/>
      <w:ind w:left="360" w:hanging="360"/>
    </w:pPr>
    <w:rPr>
      <w:lang w:val="fr-FR"/>
    </w:rPr>
  </w:style>
  <w:style w:type="paragraph" w:styleId="ListBullet">
    <w:name w:val="List Bullet"/>
    <w:basedOn w:val="Normal"/>
    <w:link w:val="ListBulletChar"/>
    <w:rsid w:val="00684AFF"/>
    <w:pPr>
      <w:tabs>
        <w:tab w:val="num" w:pos="567"/>
      </w:tabs>
      <w:spacing w:after="240"/>
      <w:ind w:left="567" w:hanging="283"/>
    </w:pPr>
    <w:rPr>
      <w:snapToGrid/>
      <w:lang w:eastAsia="en-GB"/>
    </w:rPr>
  </w:style>
  <w:style w:type="character" w:customStyle="1" w:styleId="ListBulletChar">
    <w:name w:val="List Bullet Char"/>
    <w:link w:val="ListBullet"/>
    <w:rsid w:val="00CF6359"/>
    <w:rPr>
      <w:sz w:val="22"/>
      <w:lang w:val="en-GB" w:eastAsia="en-GB"/>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1485"/>
      </w:tabs>
      <w:ind w:left="1485" w:hanging="283"/>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en-GB"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s>
      <w:spacing w:after="240"/>
      <w:ind w:left="283" w:hanging="283"/>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tabs>
        <w:tab w:val="clear" w:pos="2161"/>
        <w:tab w:val="num" w:pos="1911"/>
      </w:tabs>
      <w:ind w:left="1911" w:hanging="709"/>
    </w:pPr>
    <w:rPr>
      <w:snapToGrid/>
    </w:rPr>
  </w:style>
  <w:style w:type="paragraph" w:customStyle="1" w:styleId="ListNumber2Level2">
    <w:name w:val="List Number 2 (Level 2)"/>
    <w:basedOn w:val="Text2"/>
    <w:rsid w:val="0022128C"/>
    <w:pPr>
      <w:tabs>
        <w:tab w:val="clear" w:pos="2161"/>
        <w:tab w:val="num" w:pos="2619"/>
      </w:tabs>
      <w:ind w:left="2619" w:hanging="708"/>
    </w:pPr>
    <w:rPr>
      <w:snapToGrid/>
    </w:rPr>
  </w:style>
  <w:style w:type="paragraph" w:customStyle="1" w:styleId="ListNumber2Level3">
    <w:name w:val="List Number 2 (Level 3)"/>
    <w:basedOn w:val="Text2"/>
    <w:rsid w:val="0022128C"/>
    <w:pPr>
      <w:tabs>
        <w:tab w:val="clear" w:pos="2161"/>
        <w:tab w:val="num" w:pos="3328"/>
      </w:tabs>
      <w:ind w:left="3328" w:hanging="709"/>
    </w:pPr>
    <w:rPr>
      <w:snapToGrid/>
    </w:rPr>
  </w:style>
  <w:style w:type="paragraph" w:customStyle="1" w:styleId="ListNumber2Level4">
    <w:name w:val="List Number 2 (Level 4)"/>
    <w:basedOn w:val="Text2"/>
    <w:rsid w:val="0022128C"/>
    <w:pPr>
      <w:tabs>
        <w:tab w:val="clear" w:pos="2161"/>
        <w:tab w:val="num" w:pos="4037"/>
      </w:tabs>
      <w:ind w:left="4037" w:hanging="709"/>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character" w:customStyle="1" w:styleId="FooterChar">
    <w:name w:val="Footer Char"/>
    <w:basedOn w:val="DefaultParagraphFont"/>
    <w:link w:val="Footer"/>
    <w:rsid w:val="004B4983"/>
    <w:rPr>
      <w:rFonts w:ascii="Arial" w:hAnsi="Arial"/>
      <w:snapToGrid w:val="0"/>
      <w:sz w:val="16"/>
      <w:lang w:val="en-GB"/>
    </w:rPr>
  </w:style>
  <w:style w:type="table" w:styleId="MediumGrid1-Accent2">
    <w:name w:val="Medium Grid 1 Accent 2"/>
    <w:basedOn w:val="TableNormal"/>
    <w:uiPriority w:val="62"/>
    <w:rsid w:val="00AB43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67"/>
    <w:rsid w:val="002D0B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F02ACE"/>
    <w:pPr>
      <w:keepLines/>
      <w:spacing w:after="0" w:line="259" w:lineRule="auto"/>
      <w:jc w:val="left"/>
      <w:outlineLvl w:val="9"/>
    </w:pPr>
    <w:rPr>
      <w:rFonts w:asciiTheme="majorHAnsi" w:eastAsiaTheme="majorEastAsia" w:hAnsiTheme="majorHAnsi" w:cstheme="majorBidi"/>
      <w:b w:val="0"/>
      <w:snapToGrid/>
      <w:color w:val="365F91" w:themeColor="accent1" w:themeShade="BF"/>
      <w:kern w:val="0"/>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C"/>
    <w:pPr>
      <w:spacing w:after="200"/>
      <w:jc w:val="both"/>
    </w:pPr>
    <w:rPr>
      <w:snapToGrid w:val="0"/>
      <w:sz w:val="22"/>
      <w:lang w:val="en-GB"/>
    </w:rPr>
  </w:style>
  <w:style w:type="paragraph" w:styleId="Heading1">
    <w:name w:val="heading 1"/>
    <w:basedOn w:val="Normal"/>
    <w:next w:val="Normal"/>
    <w:rsid w:val="00726A44"/>
    <w:pPr>
      <w:keepNext/>
      <w:spacing w:before="240" w:after="60"/>
      <w:outlineLvl w:val="0"/>
    </w:pPr>
    <w:rPr>
      <w:rFonts w:ascii="Arial" w:hAnsi="Arial"/>
      <w:b/>
      <w:kern w:val="28"/>
      <w:sz w:val="28"/>
    </w:rPr>
  </w:style>
  <w:style w:type="paragraph" w:styleId="Heading2">
    <w:name w:val="heading 2"/>
    <w:basedOn w:val="Normal"/>
    <w:next w:val="Normal"/>
    <w:rsid w:val="00726A44"/>
    <w:pPr>
      <w:keepNext/>
      <w:keepLines/>
      <w:tabs>
        <w:tab w:val="num" w:pos="283"/>
      </w:tabs>
      <w:spacing w:after="120"/>
      <w:ind w:left="283" w:hanging="283"/>
      <w:outlineLvl w:val="1"/>
    </w:pPr>
    <w:rPr>
      <w:b/>
    </w:rPr>
  </w:style>
  <w:style w:type="paragraph" w:styleId="Heading3">
    <w:name w:val="heading 3"/>
    <w:basedOn w:val="Normal"/>
    <w:next w:val="Normal"/>
    <w:rsid w:val="00726A44"/>
    <w:pPr>
      <w:keepNext/>
      <w:tabs>
        <w:tab w:val="num" w:pos="283"/>
      </w:tabs>
      <w:spacing w:before="240" w:after="60"/>
      <w:ind w:left="283" w:hanging="283"/>
      <w:outlineLvl w:val="2"/>
    </w:pPr>
    <w:rPr>
      <w:b/>
    </w:rPr>
  </w:style>
  <w:style w:type="paragraph" w:styleId="Heading4">
    <w:name w:val="heading 4"/>
    <w:basedOn w:val="Normal"/>
    <w:next w:val="Text4"/>
    <w:link w:val="Heading4Char"/>
    <w:rsid w:val="00726A44"/>
    <w:pPr>
      <w:keepNext/>
      <w:spacing w:after="240"/>
      <w:ind w:left="1984" w:hanging="782"/>
      <w:outlineLvl w:val="3"/>
    </w:pPr>
  </w:style>
  <w:style w:type="paragraph" w:styleId="Heading5">
    <w:name w:val="heading 5"/>
    <w:basedOn w:val="Normal"/>
    <w:next w:val="Normal"/>
    <w:rsid w:val="00726A44"/>
    <w:pPr>
      <w:tabs>
        <w:tab w:val="num" w:pos="0"/>
      </w:tabs>
      <w:spacing w:before="240" w:after="60"/>
      <w:outlineLvl w:val="4"/>
    </w:pPr>
    <w:rPr>
      <w:rFonts w:ascii="Arial" w:hAnsi="Arial"/>
    </w:rPr>
  </w:style>
  <w:style w:type="paragraph" w:styleId="Heading6">
    <w:name w:val="heading 6"/>
    <w:basedOn w:val="Normal"/>
    <w:next w:val="Normal"/>
    <w:rsid w:val="00726A44"/>
    <w:pPr>
      <w:tabs>
        <w:tab w:val="num" w:pos="0"/>
      </w:tabs>
      <w:spacing w:before="240" w:after="60"/>
      <w:outlineLvl w:val="5"/>
    </w:pPr>
    <w:rPr>
      <w:rFonts w:ascii="Arial" w:hAnsi="Arial"/>
      <w:i/>
    </w:rPr>
  </w:style>
  <w:style w:type="paragraph" w:styleId="Heading7">
    <w:name w:val="heading 7"/>
    <w:basedOn w:val="Normal"/>
    <w:next w:val="Normal"/>
    <w:rsid w:val="00726A44"/>
    <w:pPr>
      <w:tabs>
        <w:tab w:val="num" w:pos="0"/>
      </w:tabs>
      <w:spacing w:before="240" w:after="60"/>
      <w:outlineLvl w:val="6"/>
    </w:pPr>
    <w:rPr>
      <w:rFonts w:ascii="Arial" w:hAnsi="Arial"/>
      <w:sz w:val="20"/>
    </w:rPr>
  </w:style>
  <w:style w:type="paragraph" w:styleId="Heading8">
    <w:name w:val="heading 8"/>
    <w:basedOn w:val="Normal"/>
    <w:next w:val="Normal"/>
    <w:rsid w:val="00726A44"/>
    <w:pPr>
      <w:tabs>
        <w:tab w:val="num" w:pos="0"/>
      </w:tabs>
      <w:spacing w:before="240" w:after="60"/>
      <w:outlineLvl w:val="7"/>
    </w:pPr>
    <w:rPr>
      <w:rFonts w:ascii="Arial" w:hAnsi="Arial"/>
      <w:i/>
      <w:sz w:val="20"/>
    </w:rPr>
  </w:style>
  <w:style w:type="paragraph" w:styleId="Heading9">
    <w:name w:val="heading 9"/>
    <w:basedOn w:val="Normal"/>
    <w:next w:val="Normal"/>
    <w:rsid w:val="00726A44"/>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726A44"/>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rsid w:val="00726A44"/>
    <w:pPr>
      <w:pageBreakBefore/>
      <w:widowControl w:val="0"/>
      <w:tabs>
        <w:tab w:val="num" w:pos="360"/>
      </w:tabs>
      <w:spacing w:before="0" w:after="480"/>
      <w:ind w:left="360" w:hanging="360"/>
    </w:pPr>
    <w:rPr>
      <w:caps/>
    </w:rPr>
  </w:style>
  <w:style w:type="paragraph" w:customStyle="1" w:styleId="Application2">
    <w:name w:val="Application2"/>
    <w:basedOn w:val="Normal"/>
    <w:rsid w:val="00726A44"/>
    <w:pPr>
      <w:widowControl w:val="0"/>
      <w:tabs>
        <w:tab w:val="left" w:pos="567"/>
      </w:tabs>
      <w:suppressAutoHyphens/>
      <w:spacing w:after="120"/>
      <w:ind w:left="482" w:hanging="480"/>
    </w:pPr>
    <w:rPr>
      <w:rFonts w:ascii="Arial" w:hAnsi="Arial"/>
      <w:b/>
      <w:spacing w:val="-2"/>
    </w:rPr>
  </w:style>
  <w:style w:type="paragraph" w:customStyle="1" w:styleId="Application3">
    <w:name w:val="Application3"/>
    <w:basedOn w:val="Normal"/>
    <w:rsid w:val="00726A44"/>
    <w:pPr>
      <w:widowControl w:val="0"/>
      <w:tabs>
        <w:tab w:val="num" w:pos="0"/>
        <w:tab w:val="right" w:pos="8789"/>
      </w:tabs>
      <w:suppressAutoHyphens/>
      <w:ind w:left="360" w:hanging="360"/>
    </w:pPr>
    <w:rPr>
      <w:rFonts w:ascii="Arial" w:hAnsi="Arial"/>
      <w:b/>
      <w:spacing w:val="-2"/>
    </w:rPr>
  </w:style>
  <w:style w:type="paragraph" w:customStyle="1" w:styleId="Application4">
    <w:name w:val="Application4"/>
    <w:basedOn w:val="Application3"/>
    <w:autoRedefine/>
    <w:rsid w:val="00726A44"/>
    <w:pPr>
      <w:tabs>
        <w:tab w:val="clear" w:pos="0"/>
      </w:tabs>
      <w:ind w:left="567" w:firstLine="0"/>
    </w:pPr>
    <w:rPr>
      <w:sz w:val="20"/>
    </w:rPr>
  </w:style>
  <w:style w:type="paragraph" w:customStyle="1" w:styleId="Application5">
    <w:name w:val="Application5"/>
    <w:basedOn w:val="Application2"/>
    <w:autoRedefine/>
    <w:rsid w:val="00726A44"/>
    <w:pPr>
      <w:tabs>
        <w:tab w:val="clear" w:pos="567"/>
        <w:tab w:val="num" w:pos="0"/>
      </w:tabs>
      <w:ind w:left="360" w:hanging="360"/>
    </w:pPr>
    <w:rPr>
      <w:sz w:val="24"/>
    </w:rPr>
  </w:style>
  <w:style w:type="paragraph" w:customStyle="1" w:styleId="NumPar4">
    <w:name w:val="NumPar 4"/>
    <w:basedOn w:val="Heading4"/>
    <w:next w:val="Text4"/>
    <w:rsid w:val="00726A44"/>
    <w:pPr>
      <w:keepNext w:val="0"/>
    </w:pPr>
  </w:style>
  <w:style w:type="paragraph" w:styleId="Title">
    <w:name w:val="Title"/>
    <w:basedOn w:val="Normal"/>
    <w:next w:val="SubTitle1"/>
    <w:rsid w:val="00726A44"/>
    <w:pPr>
      <w:spacing w:after="480"/>
      <w:jc w:val="center"/>
    </w:pPr>
    <w:rPr>
      <w:b/>
      <w:sz w:val="48"/>
    </w:rPr>
  </w:style>
  <w:style w:type="paragraph" w:customStyle="1" w:styleId="SubTitle1">
    <w:name w:val="SubTitle 1"/>
    <w:basedOn w:val="Normal"/>
    <w:next w:val="SubTitle2"/>
    <w:rsid w:val="00726A44"/>
    <w:pPr>
      <w:spacing w:after="240"/>
      <w:jc w:val="center"/>
    </w:pPr>
    <w:rPr>
      <w:b/>
      <w:sz w:val="40"/>
    </w:rPr>
  </w:style>
  <w:style w:type="paragraph" w:customStyle="1" w:styleId="SubTitle2">
    <w:name w:val="SubTitle 2"/>
    <w:basedOn w:val="Normal"/>
    <w:rsid w:val="00726A44"/>
    <w:pPr>
      <w:spacing w:after="240"/>
      <w:jc w:val="center"/>
    </w:pPr>
    <w:rPr>
      <w:b/>
      <w:sz w:val="32"/>
    </w:rPr>
  </w:style>
  <w:style w:type="paragraph" w:customStyle="1" w:styleId="PartTitle">
    <w:name w:val="PartTitle"/>
    <w:basedOn w:val="Normal"/>
    <w:next w:val="Normal"/>
    <w:rsid w:val="00726A44"/>
    <w:pPr>
      <w:keepNext/>
      <w:pageBreakBefore/>
      <w:spacing w:after="480"/>
      <w:jc w:val="center"/>
    </w:pPr>
    <w:rPr>
      <w:b/>
      <w:sz w:val="36"/>
    </w:rPr>
  </w:style>
  <w:style w:type="paragraph" w:customStyle="1" w:styleId="SectionTitle">
    <w:name w:val="SectionTitle"/>
    <w:basedOn w:val="Normal"/>
    <w:next w:val="Heading1"/>
    <w:rsid w:val="00726A44"/>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F02ACE"/>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726A44"/>
    <w:pPr>
      <w:ind w:left="480"/>
    </w:pPr>
    <w:rPr>
      <w:sz w:val="20"/>
    </w:rPr>
  </w:style>
  <w:style w:type="paragraph" w:customStyle="1" w:styleId="AnnexTOC">
    <w:name w:val="AnnexTOC"/>
    <w:basedOn w:val="TOC1"/>
    <w:rsid w:val="00726A44"/>
  </w:style>
  <w:style w:type="paragraph" w:customStyle="1" w:styleId="Guidelines1">
    <w:name w:val="Guidelines 1"/>
    <w:basedOn w:val="Normal"/>
    <w:autoRedefine/>
    <w:qFormat/>
    <w:rsid w:val="00CE56AC"/>
    <w:pPr>
      <w:widowControl w:val="0"/>
      <w:numPr>
        <w:numId w:val="1"/>
      </w:numPr>
      <w:spacing w:after="360"/>
    </w:pPr>
    <w:rPr>
      <w:b/>
      <w:caps/>
    </w:rPr>
  </w:style>
  <w:style w:type="paragraph" w:customStyle="1" w:styleId="Guidelines2">
    <w:name w:val="Guidelines 2"/>
    <w:basedOn w:val="Normal"/>
    <w:next w:val="Normal"/>
    <w:autoRedefine/>
    <w:qFormat/>
    <w:rsid w:val="00F02ACE"/>
    <w:pPr>
      <w:numPr>
        <w:ilvl w:val="1"/>
        <w:numId w:val="1"/>
      </w:numPr>
      <w:spacing w:before="240" w:after="120"/>
      <w:outlineLvl w:val="0"/>
    </w:pPr>
    <w:rPr>
      <w:rFonts w:ascii="Times New Roman Bold" w:hAnsi="Times New Roman Bold"/>
      <w:b/>
      <w:smallCaps/>
      <w:sz w:val="24"/>
    </w:rPr>
  </w:style>
  <w:style w:type="paragraph" w:customStyle="1" w:styleId="Text1">
    <w:name w:val="Text 1"/>
    <w:basedOn w:val="Normal"/>
    <w:rsid w:val="00726A44"/>
    <w:pPr>
      <w:spacing w:after="240"/>
      <w:ind w:left="482"/>
    </w:pPr>
  </w:style>
  <w:style w:type="paragraph" w:customStyle="1" w:styleId="Guidelines3">
    <w:name w:val="Guidelines 3"/>
    <w:basedOn w:val="Normal"/>
    <w:next w:val="Normal"/>
    <w:autoRedefine/>
    <w:qFormat/>
    <w:rsid w:val="004B7BC2"/>
    <w:pPr>
      <w:keepNext/>
      <w:numPr>
        <w:ilvl w:val="2"/>
        <w:numId w:val="1"/>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rsid w:val="00726A44"/>
    <w:pPr>
      <w:tabs>
        <w:tab w:val="left" w:pos="2161"/>
      </w:tabs>
      <w:spacing w:after="240"/>
      <w:ind w:left="1202"/>
    </w:pPr>
  </w:style>
  <w:style w:type="paragraph" w:customStyle="1" w:styleId="p3">
    <w:name w:val="p3"/>
    <w:basedOn w:val="Normal"/>
    <w:rsid w:val="00726A44"/>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sid w:val="00726A44"/>
    <w:rPr>
      <w:color w:val="0000FF"/>
      <w:u w:val="single"/>
    </w:rPr>
  </w:style>
  <w:style w:type="paragraph" w:customStyle="1" w:styleId="References">
    <w:name w:val="References"/>
    <w:basedOn w:val="Normal"/>
    <w:next w:val="Normal"/>
    <w:rsid w:val="00726A44"/>
    <w:pPr>
      <w:spacing w:after="240"/>
      <w:ind w:left="5103"/>
    </w:pPr>
    <w:rPr>
      <w:sz w:val="20"/>
    </w:rPr>
  </w:style>
  <w:style w:type="paragraph" w:styleId="FootnoteText">
    <w:name w:val="footnote text"/>
    <w:basedOn w:val="Normal"/>
    <w:link w:val="FootnoteTextChar"/>
    <w:uiPriority w:val="99"/>
    <w:qFormat/>
    <w:rsid w:val="0040358C"/>
    <w:pPr>
      <w:spacing w:before="120" w:after="0"/>
      <w:ind w:left="284" w:hanging="284"/>
    </w:pPr>
    <w:rPr>
      <w:sz w:val="20"/>
    </w:rPr>
  </w:style>
  <w:style w:type="character" w:customStyle="1" w:styleId="FootnoteTextChar">
    <w:name w:val="Footnote Text Char"/>
    <w:link w:val="FootnoteText"/>
    <w:uiPriority w:val="99"/>
    <w:rsid w:val="0040358C"/>
    <w:rPr>
      <w:snapToGrid w:val="0"/>
      <w:lang w:eastAsia="en-US"/>
    </w:rPr>
  </w:style>
  <w:style w:type="paragraph" w:styleId="Header">
    <w:name w:val="header"/>
    <w:basedOn w:val="Normal"/>
    <w:rsid w:val="00726A44"/>
    <w:pPr>
      <w:tabs>
        <w:tab w:val="center" w:pos="4153"/>
        <w:tab w:val="right" w:pos="8306"/>
      </w:tabs>
      <w:spacing w:after="240"/>
    </w:pPr>
  </w:style>
  <w:style w:type="character" w:styleId="PageNumber">
    <w:name w:val="page number"/>
    <w:basedOn w:val="DefaultParagraphFont"/>
    <w:rsid w:val="00726A44"/>
  </w:style>
  <w:style w:type="paragraph" w:styleId="Footer">
    <w:name w:val="footer"/>
    <w:basedOn w:val="Normal"/>
    <w:link w:val="FooterChar"/>
    <w:rsid w:val="00726A44"/>
    <w:pPr>
      <w:ind w:right="-567"/>
    </w:pPr>
    <w:rPr>
      <w:rFonts w:ascii="Arial" w:hAnsi="Arial"/>
      <w:sz w:val="16"/>
    </w:rPr>
  </w:style>
  <w:style w:type="paragraph" w:customStyle="1" w:styleId="Style0">
    <w:name w:val="Style0"/>
    <w:rsid w:val="00726A44"/>
    <w:rPr>
      <w:rFonts w:ascii="Arial" w:hAnsi="Arial"/>
      <w:snapToGrid w:val="0"/>
      <w:sz w:val="24"/>
      <w:lang w:val="en-US"/>
    </w:rPr>
  </w:style>
  <w:style w:type="paragraph" w:customStyle="1" w:styleId="Text3">
    <w:name w:val="Text 3"/>
    <w:basedOn w:val="Normal"/>
    <w:rsid w:val="00726A44"/>
    <w:pPr>
      <w:tabs>
        <w:tab w:val="left" w:pos="2302"/>
      </w:tabs>
      <w:spacing w:after="240"/>
      <w:ind w:left="1202"/>
    </w:pPr>
  </w:style>
  <w:style w:type="paragraph" w:styleId="BodyTextIndent">
    <w:name w:val="Body Text Indent"/>
    <w:basedOn w:val="Normal"/>
    <w:link w:val="BodyTextIndentChar"/>
    <w:rsid w:val="00726A44"/>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rsid w:val="00726A44"/>
    <w:pPr>
      <w:ind w:left="720"/>
    </w:pPr>
    <w:rPr>
      <w:sz w:val="20"/>
    </w:rPr>
  </w:style>
  <w:style w:type="paragraph" w:styleId="TOC6">
    <w:name w:val="toc 6"/>
    <w:basedOn w:val="Normal"/>
    <w:next w:val="Normal"/>
    <w:autoRedefine/>
    <w:semiHidden/>
    <w:rsid w:val="00726A44"/>
    <w:pPr>
      <w:ind w:left="960"/>
    </w:pPr>
    <w:rPr>
      <w:sz w:val="20"/>
    </w:rPr>
  </w:style>
  <w:style w:type="paragraph" w:styleId="TOC7">
    <w:name w:val="toc 7"/>
    <w:basedOn w:val="Normal"/>
    <w:next w:val="Normal"/>
    <w:autoRedefine/>
    <w:semiHidden/>
    <w:rsid w:val="00726A44"/>
    <w:pPr>
      <w:ind w:left="1200"/>
    </w:pPr>
    <w:rPr>
      <w:sz w:val="20"/>
    </w:rPr>
  </w:style>
  <w:style w:type="paragraph" w:styleId="TOC8">
    <w:name w:val="toc 8"/>
    <w:basedOn w:val="Normal"/>
    <w:next w:val="Normal"/>
    <w:autoRedefine/>
    <w:semiHidden/>
    <w:rsid w:val="00726A44"/>
    <w:pPr>
      <w:ind w:left="1440"/>
    </w:pPr>
    <w:rPr>
      <w:sz w:val="20"/>
    </w:rPr>
  </w:style>
  <w:style w:type="paragraph" w:styleId="TOC9">
    <w:name w:val="toc 9"/>
    <w:basedOn w:val="Normal"/>
    <w:next w:val="Normal"/>
    <w:autoRedefine/>
    <w:semiHidden/>
    <w:rsid w:val="00726A44"/>
    <w:pPr>
      <w:ind w:left="1680"/>
    </w:pPr>
    <w:rPr>
      <w:sz w:val="20"/>
    </w:rPr>
  </w:style>
  <w:style w:type="character" w:styleId="FollowedHyperlink">
    <w:name w:val="FollowedHyperlink"/>
    <w:rsid w:val="00726A44"/>
    <w:rPr>
      <w:color w:val="800080"/>
      <w:u w:val="single"/>
    </w:rPr>
  </w:style>
  <w:style w:type="paragraph" w:customStyle="1" w:styleId="NumPar2">
    <w:name w:val="NumPar 2"/>
    <w:basedOn w:val="Heading2"/>
    <w:next w:val="Text2"/>
    <w:rsid w:val="00726A44"/>
    <w:pPr>
      <w:keepNext w:val="0"/>
      <w:keepLines w:val="0"/>
      <w:tabs>
        <w:tab w:val="clear" w:pos="283"/>
        <w:tab w:val="num" w:pos="360"/>
        <w:tab w:val="num" w:pos="1492"/>
      </w:tabs>
      <w:spacing w:after="240"/>
      <w:ind w:left="360" w:hanging="360"/>
      <w:outlineLvl w:val="9"/>
    </w:pPr>
    <w:rPr>
      <w:b w:val="0"/>
      <w:lang w:val="fr-FR"/>
    </w:rPr>
  </w:style>
  <w:style w:type="paragraph" w:styleId="ListBullet5">
    <w:name w:val="List Bullet 5"/>
    <w:basedOn w:val="Normal"/>
    <w:autoRedefine/>
    <w:rsid w:val="00726A44"/>
    <w:pPr>
      <w:tabs>
        <w:tab w:val="num" w:pos="360"/>
      </w:tabs>
      <w:spacing w:after="240"/>
      <w:ind w:left="360" w:hanging="360"/>
    </w:pPr>
    <w:rPr>
      <w:lang w:val="fr-FR"/>
    </w:rPr>
  </w:style>
  <w:style w:type="paragraph" w:styleId="ListBullet">
    <w:name w:val="List Bullet"/>
    <w:basedOn w:val="Normal"/>
    <w:link w:val="ListBulletChar"/>
    <w:rsid w:val="00684AFF"/>
    <w:pPr>
      <w:tabs>
        <w:tab w:val="num" w:pos="567"/>
      </w:tabs>
      <w:spacing w:after="240"/>
      <w:ind w:left="567" w:hanging="283"/>
    </w:pPr>
    <w:rPr>
      <w:snapToGrid/>
      <w:lang w:eastAsia="en-GB"/>
    </w:rPr>
  </w:style>
  <w:style w:type="character" w:customStyle="1" w:styleId="ListBulletChar">
    <w:name w:val="List Bullet Char"/>
    <w:link w:val="ListBullet"/>
    <w:rsid w:val="00CF6359"/>
    <w:rPr>
      <w:sz w:val="22"/>
      <w:lang w:val="en-GB" w:eastAsia="en-GB"/>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1485"/>
      </w:tabs>
      <w:ind w:left="1485" w:hanging="283"/>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en-GB"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s>
      <w:spacing w:after="240"/>
      <w:ind w:left="283" w:hanging="283"/>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tabs>
        <w:tab w:val="clear" w:pos="2161"/>
        <w:tab w:val="num" w:pos="1911"/>
      </w:tabs>
      <w:ind w:left="1911" w:hanging="709"/>
    </w:pPr>
    <w:rPr>
      <w:snapToGrid/>
    </w:rPr>
  </w:style>
  <w:style w:type="paragraph" w:customStyle="1" w:styleId="ListNumber2Level2">
    <w:name w:val="List Number 2 (Level 2)"/>
    <w:basedOn w:val="Text2"/>
    <w:rsid w:val="0022128C"/>
    <w:pPr>
      <w:tabs>
        <w:tab w:val="clear" w:pos="2161"/>
        <w:tab w:val="num" w:pos="2619"/>
      </w:tabs>
      <w:ind w:left="2619" w:hanging="708"/>
    </w:pPr>
    <w:rPr>
      <w:snapToGrid/>
    </w:rPr>
  </w:style>
  <w:style w:type="paragraph" w:customStyle="1" w:styleId="ListNumber2Level3">
    <w:name w:val="List Number 2 (Level 3)"/>
    <w:basedOn w:val="Text2"/>
    <w:rsid w:val="0022128C"/>
    <w:pPr>
      <w:tabs>
        <w:tab w:val="clear" w:pos="2161"/>
        <w:tab w:val="num" w:pos="3328"/>
      </w:tabs>
      <w:ind w:left="3328" w:hanging="709"/>
    </w:pPr>
    <w:rPr>
      <w:snapToGrid/>
    </w:rPr>
  </w:style>
  <w:style w:type="paragraph" w:customStyle="1" w:styleId="ListNumber2Level4">
    <w:name w:val="List Number 2 (Level 4)"/>
    <w:basedOn w:val="Text2"/>
    <w:rsid w:val="0022128C"/>
    <w:pPr>
      <w:tabs>
        <w:tab w:val="clear" w:pos="2161"/>
        <w:tab w:val="num" w:pos="4037"/>
      </w:tabs>
      <w:ind w:left="4037" w:hanging="709"/>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character" w:customStyle="1" w:styleId="FooterChar">
    <w:name w:val="Footer Char"/>
    <w:basedOn w:val="DefaultParagraphFont"/>
    <w:link w:val="Footer"/>
    <w:rsid w:val="004B4983"/>
    <w:rPr>
      <w:rFonts w:ascii="Arial" w:hAnsi="Arial"/>
      <w:snapToGrid w:val="0"/>
      <w:sz w:val="16"/>
      <w:lang w:val="en-GB"/>
    </w:rPr>
  </w:style>
  <w:style w:type="table" w:styleId="MediumGrid1-Accent2">
    <w:name w:val="Medium Grid 1 Accent 2"/>
    <w:basedOn w:val="TableNormal"/>
    <w:uiPriority w:val="62"/>
    <w:rsid w:val="00AB43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67"/>
    <w:rsid w:val="002D0B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F02ACE"/>
    <w:pPr>
      <w:keepLines/>
      <w:spacing w:after="0" w:line="259" w:lineRule="auto"/>
      <w:jc w:val="left"/>
      <w:outlineLvl w:val="9"/>
    </w:pPr>
    <w:rPr>
      <w:rFonts w:asciiTheme="majorHAnsi" w:eastAsiaTheme="majorEastAsia" w:hAnsiTheme="majorHAnsi" w:cstheme="majorBidi"/>
      <w:b w:val="0"/>
      <w:snapToGrid/>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313876162">
      <w:bodyDiv w:val="1"/>
      <w:marLeft w:val="0"/>
      <w:marRight w:val="0"/>
      <w:marTop w:val="0"/>
      <w:marBottom w:val="0"/>
      <w:divBdr>
        <w:top w:val="none" w:sz="0" w:space="0" w:color="auto"/>
        <w:left w:val="none" w:sz="0" w:space="0" w:color="auto"/>
        <w:bottom w:val="none" w:sz="0" w:space="0" w:color="auto"/>
        <w:right w:val="none" w:sz="0" w:space="0" w:color="auto"/>
      </w:divBdr>
    </w:div>
    <w:div w:id="774911337">
      <w:bodyDiv w:val="1"/>
      <w:marLeft w:val="0"/>
      <w:marRight w:val="0"/>
      <w:marTop w:val="0"/>
      <w:marBottom w:val="0"/>
      <w:divBdr>
        <w:top w:val="none" w:sz="0" w:space="0" w:color="auto"/>
        <w:left w:val="none" w:sz="0" w:space="0" w:color="auto"/>
        <w:bottom w:val="none" w:sz="0" w:space="0" w:color="auto"/>
        <w:right w:val="none" w:sz="0" w:space="0" w:color="auto"/>
      </w:divBdr>
    </w:div>
    <w:div w:id="1265846427">
      <w:bodyDiv w:val="1"/>
      <w:marLeft w:val="0"/>
      <w:marRight w:val="0"/>
      <w:marTop w:val="0"/>
      <w:marBottom w:val="0"/>
      <w:divBdr>
        <w:top w:val="none" w:sz="0" w:space="0" w:color="auto"/>
        <w:left w:val="none" w:sz="0" w:space="0" w:color="auto"/>
        <w:bottom w:val="none" w:sz="0" w:space="0" w:color="auto"/>
        <w:right w:val="none" w:sz="0" w:space="0" w:color="auto"/>
      </w:divBdr>
    </w:div>
    <w:div w:id="1272325334">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78325796">
      <w:bodyDiv w:val="1"/>
      <w:marLeft w:val="0"/>
      <w:marRight w:val="0"/>
      <w:marTop w:val="0"/>
      <w:marBottom w:val="0"/>
      <w:divBdr>
        <w:top w:val="none" w:sz="0" w:space="0" w:color="auto"/>
        <w:left w:val="none" w:sz="0" w:space="0" w:color="auto"/>
        <w:bottom w:val="none" w:sz="0" w:space="0" w:color="auto"/>
        <w:right w:val="none" w:sz="0" w:space="0" w:color="auto"/>
      </w:divBdr>
    </w:div>
    <w:div w:id="1590968908">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655378869">
      <w:bodyDiv w:val="1"/>
      <w:marLeft w:val="0"/>
      <w:marRight w:val="0"/>
      <w:marTop w:val="0"/>
      <w:marBottom w:val="0"/>
      <w:divBdr>
        <w:top w:val="none" w:sz="0" w:space="0" w:color="auto"/>
        <w:left w:val="none" w:sz="0" w:space="0" w:color="auto"/>
        <w:bottom w:val="none" w:sz="0" w:space="0" w:color="auto"/>
        <w:right w:val="none" w:sz="0" w:space="0" w:color="auto"/>
      </w:divBdr>
    </w:div>
    <w:div w:id="1671323960">
      <w:bodyDiv w:val="1"/>
      <w:marLeft w:val="0"/>
      <w:marRight w:val="0"/>
      <w:marTop w:val="0"/>
      <w:marBottom w:val="0"/>
      <w:divBdr>
        <w:top w:val="none" w:sz="0" w:space="0" w:color="auto"/>
        <w:left w:val="none" w:sz="0" w:space="0" w:color="auto"/>
        <w:bottom w:val="none" w:sz="0" w:space="0" w:color="auto"/>
        <w:right w:val="none" w:sz="0" w:space="0" w:color="auto"/>
      </w:divBdr>
    </w:div>
    <w:div w:id="1693649177">
      <w:bodyDiv w:val="1"/>
      <w:marLeft w:val="0"/>
      <w:marRight w:val="0"/>
      <w:marTop w:val="0"/>
      <w:marBottom w:val="0"/>
      <w:divBdr>
        <w:top w:val="none" w:sz="0" w:space="0" w:color="auto"/>
        <w:left w:val="none" w:sz="0" w:space="0" w:color="auto"/>
        <w:bottom w:val="none" w:sz="0" w:space="0" w:color="auto"/>
        <w:right w:val="none" w:sz="0" w:space="0" w:color="auto"/>
      </w:divBdr>
    </w:div>
    <w:div w:id="1896818280">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cfcu@mif.gov.me" TargetMode="External"/><Relationship Id="rId26" Type="http://schemas.openxmlformats.org/officeDocument/2006/relationships/hyperlink" Target="http://ec.europa.eu/europeaid/funding/procedures-beneficiary-countries-and-partners/financial-management-toolkit_en" TargetMode="External"/><Relationship Id="rId3" Type="http://schemas.openxmlformats.org/officeDocument/2006/relationships/styles" Target="styles.xml"/><Relationship Id="rId21" Type="http://schemas.openxmlformats.org/officeDocument/2006/relationships/hyperlink" Target="https://webgate.ec.europa.eu/europeaid/online-services/index.cfm?do=publi.welcome"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if.gov.me/en/sections/CFCU_Tenders" TargetMode="External"/><Relationship Id="rId25" Type="http://schemas.openxmlformats.org/officeDocument/2006/relationships/hyperlink" Target="http://ec.europa.eu/europeaid/companion/document.do?nodeNumber=19&amp;locale=en" TargetMode="External"/><Relationship Id="rId2" Type="http://schemas.openxmlformats.org/officeDocument/2006/relationships/numbering" Target="numbering.xml"/><Relationship Id="rId16" Type="http://schemas.openxmlformats.org/officeDocument/2006/relationships/hyperlink" Target="https://webgate.ec.europa.eu/europeaid/online-services/index.cfm?do=publi.welcome" TargetMode="External"/><Relationship Id="rId20" Type="http://schemas.openxmlformats.org/officeDocument/2006/relationships/hyperlink" Target="http://www.mif.gov.me/en/sections/CFCU_Tend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c.europa.eu/europeaid/aid-delivery-methods-project-cycle-management-guidelines-vol-1_en" TargetMode="External"/><Relationship Id="rId5" Type="http://schemas.openxmlformats.org/officeDocument/2006/relationships/settings" Target="settings.xml"/><Relationship Id="rId15" Type="http://schemas.openxmlformats.org/officeDocument/2006/relationships/hyperlink" Target="http://ec.europa.eu/europeaid/funding/communication-and-visibility-manual-eu-external-actions_en" TargetMode="External"/><Relationship Id="rId23" Type="http://schemas.openxmlformats.org/officeDocument/2006/relationships/hyperlink" Target="http://ec.europa.eu/europeaid/funding/about-procurement-contracts/procedures-and-practical-guide-prag/diems_en" TargetMode="External"/><Relationship Id="rId28"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s://webgate.ec.europa.eu/europeaid/online-services/index.cfm?do=publi.welcome"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c.europa.eu/europeaid/prag/document.do?locale=en" TargetMode="External"/><Relationship Id="rId22" Type="http://schemas.openxmlformats.org/officeDocument/2006/relationships/hyperlink" Target="http://www.mif.gov.me/en/sections/CFCU_Tenders"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B22A-9378-4441-A857-D4753FAF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33</Pages>
  <Words>11098</Words>
  <Characters>66217</Characters>
  <Application>Microsoft Office Word</Application>
  <DocSecurity>0</DocSecurity>
  <Lines>551</Lines>
  <Paragraphs>154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77161</CharactersWithSpaces>
  <SharedDoc>false</SharedDoc>
  <HLinks>
    <vt:vector size="252" baseType="variant">
      <vt:variant>
        <vt:i4>2293795</vt:i4>
      </vt:variant>
      <vt:variant>
        <vt:i4>219</vt:i4>
      </vt:variant>
      <vt:variant>
        <vt:i4>0</vt:i4>
      </vt:variant>
      <vt:variant>
        <vt:i4>5</vt:i4>
      </vt:variant>
      <vt:variant>
        <vt:lpwstr>http://ec.europa.eu/europeaid/funding/procedures-beneficiary-countries-and-partners/financial-management-toolkit_en</vt:lpwstr>
      </vt:variant>
      <vt:variant>
        <vt:lpwstr/>
      </vt:variant>
      <vt:variant>
        <vt:i4>8323137</vt:i4>
      </vt:variant>
      <vt:variant>
        <vt:i4>216</vt:i4>
      </vt:variant>
      <vt:variant>
        <vt:i4>0</vt:i4>
      </vt:variant>
      <vt:variant>
        <vt:i4>5</vt:i4>
      </vt:variant>
      <vt:variant>
        <vt:lpwstr>http://ec.europa.eu/europeaid/companion/document.do?nodeNumber=19&amp;locale=en</vt:lpwstr>
      </vt:variant>
      <vt:variant>
        <vt:lpwstr/>
      </vt:variant>
      <vt:variant>
        <vt:i4>7274589</vt:i4>
      </vt:variant>
      <vt:variant>
        <vt:i4>213</vt:i4>
      </vt:variant>
      <vt:variant>
        <vt:i4>0</vt:i4>
      </vt:variant>
      <vt:variant>
        <vt:i4>5</vt:i4>
      </vt:variant>
      <vt:variant>
        <vt:lpwstr>https://ec.europa.eu/europeaid/aid-delivery-methods-project-cycle-management-guidelines-vol-1_en</vt:lpwstr>
      </vt:variant>
      <vt:variant>
        <vt:lpwstr/>
      </vt:variant>
      <vt:variant>
        <vt:i4>1376311</vt:i4>
      </vt:variant>
      <vt:variant>
        <vt:i4>210</vt:i4>
      </vt:variant>
      <vt:variant>
        <vt:i4>0</vt:i4>
      </vt:variant>
      <vt:variant>
        <vt:i4>5</vt:i4>
      </vt:variant>
      <vt:variant>
        <vt:lpwstr>http://ec.europa.eu/europeaid/funding/about-procurement-contracts/procedures-and-practical-guide-prag/diems_en</vt:lpwstr>
      </vt:variant>
      <vt:variant>
        <vt:lpwstr/>
      </vt:variant>
      <vt:variant>
        <vt:i4>3801176</vt:i4>
      </vt:variant>
      <vt:variant>
        <vt:i4>207</vt:i4>
      </vt:variant>
      <vt:variant>
        <vt:i4>0</vt:i4>
      </vt:variant>
      <vt:variant>
        <vt:i4>5</vt:i4>
      </vt:variant>
      <vt:variant>
        <vt:lpwstr>http://www.mif.gov.me/en/sections/CFCU_Tenders</vt:lpwstr>
      </vt:variant>
      <vt:variant>
        <vt:lpwstr/>
      </vt:variant>
      <vt:variant>
        <vt:i4>4784171</vt:i4>
      </vt:variant>
      <vt:variant>
        <vt:i4>204</vt:i4>
      </vt:variant>
      <vt:variant>
        <vt:i4>0</vt:i4>
      </vt:variant>
      <vt:variant>
        <vt:i4>5</vt:i4>
      </vt:variant>
      <vt:variant>
        <vt:lpwstr>https://webgate.ec.europa.eu/europeaid/online-services/index.cfm?do=publi.welcome</vt:lpwstr>
      </vt:variant>
      <vt:variant>
        <vt:lpwstr/>
      </vt:variant>
      <vt:variant>
        <vt:i4>3801176</vt:i4>
      </vt:variant>
      <vt:variant>
        <vt:i4>201</vt:i4>
      </vt:variant>
      <vt:variant>
        <vt:i4>0</vt:i4>
      </vt:variant>
      <vt:variant>
        <vt:i4>5</vt:i4>
      </vt:variant>
      <vt:variant>
        <vt:lpwstr>http://www.mif.gov.me/en/sections/CFCU_Tenders</vt:lpwstr>
      </vt:variant>
      <vt:variant>
        <vt:lpwstr/>
      </vt:variant>
      <vt:variant>
        <vt:i4>4784171</vt:i4>
      </vt:variant>
      <vt:variant>
        <vt:i4>198</vt:i4>
      </vt:variant>
      <vt:variant>
        <vt:i4>0</vt:i4>
      </vt:variant>
      <vt:variant>
        <vt:i4>5</vt:i4>
      </vt:variant>
      <vt:variant>
        <vt:lpwstr>https://webgate.ec.europa.eu/europeaid/online-services/index.cfm?do=publi.welcome</vt:lpwstr>
      </vt:variant>
      <vt:variant>
        <vt:lpwstr/>
      </vt:variant>
      <vt:variant>
        <vt:i4>4259886</vt:i4>
      </vt:variant>
      <vt:variant>
        <vt:i4>195</vt:i4>
      </vt:variant>
      <vt:variant>
        <vt:i4>0</vt:i4>
      </vt:variant>
      <vt:variant>
        <vt:i4>5</vt:i4>
      </vt:variant>
      <vt:variant>
        <vt:lpwstr>mailto:cfcu@mif.gov.me</vt:lpwstr>
      </vt:variant>
      <vt:variant>
        <vt:lpwstr/>
      </vt:variant>
      <vt:variant>
        <vt:i4>8061010</vt:i4>
      </vt:variant>
      <vt:variant>
        <vt:i4>192</vt:i4>
      </vt:variant>
      <vt:variant>
        <vt:i4>0</vt:i4>
      </vt:variant>
      <vt:variant>
        <vt:i4>5</vt:i4>
      </vt:variant>
      <vt:variant>
        <vt:lpwstr>http://ec.europa.eu/europeaid/funding/communication-and-visibility-manual-eu-external-actions_en</vt:lpwstr>
      </vt:variant>
      <vt:variant>
        <vt:lpwstr/>
      </vt:variant>
      <vt:variant>
        <vt:i4>524372</vt:i4>
      </vt:variant>
      <vt:variant>
        <vt:i4>189</vt:i4>
      </vt:variant>
      <vt:variant>
        <vt:i4>0</vt:i4>
      </vt:variant>
      <vt:variant>
        <vt:i4>5</vt:i4>
      </vt:variant>
      <vt:variant>
        <vt:lpwstr>http://ec.europa.eu/europeaid/prag/document.do?locale=en</vt:lpwstr>
      </vt:variant>
      <vt:variant>
        <vt:lpwstr/>
      </vt:variant>
      <vt:variant>
        <vt:i4>1638407</vt:i4>
      </vt:variant>
      <vt:variant>
        <vt:i4>182</vt:i4>
      </vt:variant>
      <vt:variant>
        <vt:i4>0</vt:i4>
      </vt:variant>
      <vt:variant>
        <vt:i4>5</vt:i4>
      </vt:variant>
      <vt:variant>
        <vt:lpwstr/>
      </vt:variant>
      <vt:variant>
        <vt:lpwstr>_Toc437893865</vt:lpwstr>
      </vt:variant>
      <vt:variant>
        <vt:i4>1638406</vt:i4>
      </vt:variant>
      <vt:variant>
        <vt:i4>176</vt:i4>
      </vt:variant>
      <vt:variant>
        <vt:i4>0</vt:i4>
      </vt:variant>
      <vt:variant>
        <vt:i4>5</vt:i4>
      </vt:variant>
      <vt:variant>
        <vt:lpwstr/>
      </vt:variant>
      <vt:variant>
        <vt:lpwstr>_Toc437893864</vt:lpwstr>
      </vt:variant>
      <vt:variant>
        <vt:i4>1638401</vt:i4>
      </vt:variant>
      <vt:variant>
        <vt:i4>170</vt:i4>
      </vt:variant>
      <vt:variant>
        <vt:i4>0</vt:i4>
      </vt:variant>
      <vt:variant>
        <vt:i4>5</vt:i4>
      </vt:variant>
      <vt:variant>
        <vt:lpwstr/>
      </vt:variant>
      <vt:variant>
        <vt:lpwstr>_Toc437893863</vt:lpwstr>
      </vt:variant>
      <vt:variant>
        <vt:i4>1638400</vt:i4>
      </vt:variant>
      <vt:variant>
        <vt:i4>164</vt:i4>
      </vt:variant>
      <vt:variant>
        <vt:i4>0</vt:i4>
      </vt:variant>
      <vt:variant>
        <vt:i4>5</vt:i4>
      </vt:variant>
      <vt:variant>
        <vt:lpwstr/>
      </vt:variant>
      <vt:variant>
        <vt:lpwstr>_Toc437893862</vt:lpwstr>
      </vt:variant>
      <vt:variant>
        <vt:i4>1638403</vt:i4>
      </vt:variant>
      <vt:variant>
        <vt:i4>158</vt:i4>
      </vt:variant>
      <vt:variant>
        <vt:i4>0</vt:i4>
      </vt:variant>
      <vt:variant>
        <vt:i4>5</vt:i4>
      </vt:variant>
      <vt:variant>
        <vt:lpwstr/>
      </vt:variant>
      <vt:variant>
        <vt:lpwstr>_Toc437893861</vt:lpwstr>
      </vt:variant>
      <vt:variant>
        <vt:i4>1638402</vt:i4>
      </vt:variant>
      <vt:variant>
        <vt:i4>152</vt:i4>
      </vt:variant>
      <vt:variant>
        <vt:i4>0</vt:i4>
      </vt:variant>
      <vt:variant>
        <vt:i4>5</vt:i4>
      </vt:variant>
      <vt:variant>
        <vt:lpwstr/>
      </vt:variant>
      <vt:variant>
        <vt:lpwstr>_Toc437893860</vt:lpwstr>
      </vt:variant>
      <vt:variant>
        <vt:i4>1703947</vt:i4>
      </vt:variant>
      <vt:variant>
        <vt:i4>146</vt:i4>
      </vt:variant>
      <vt:variant>
        <vt:i4>0</vt:i4>
      </vt:variant>
      <vt:variant>
        <vt:i4>5</vt:i4>
      </vt:variant>
      <vt:variant>
        <vt:lpwstr/>
      </vt:variant>
      <vt:variant>
        <vt:lpwstr>_Toc437893859</vt:lpwstr>
      </vt:variant>
      <vt:variant>
        <vt:i4>1703946</vt:i4>
      </vt:variant>
      <vt:variant>
        <vt:i4>140</vt:i4>
      </vt:variant>
      <vt:variant>
        <vt:i4>0</vt:i4>
      </vt:variant>
      <vt:variant>
        <vt:i4>5</vt:i4>
      </vt:variant>
      <vt:variant>
        <vt:lpwstr/>
      </vt:variant>
      <vt:variant>
        <vt:lpwstr>_Toc437893858</vt:lpwstr>
      </vt:variant>
      <vt:variant>
        <vt:i4>1703941</vt:i4>
      </vt:variant>
      <vt:variant>
        <vt:i4>134</vt:i4>
      </vt:variant>
      <vt:variant>
        <vt:i4>0</vt:i4>
      </vt:variant>
      <vt:variant>
        <vt:i4>5</vt:i4>
      </vt:variant>
      <vt:variant>
        <vt:lpwstr/>
      </vt:variant>
      <vt:variant>
        <vt:lpwstr>_Toc437893857</vt:lpwstr>
      </vt:variant>
      <vt:variant>
        <vt:i4>1703940</vt:i4>
      </vt:variant>
      <vt:variant>
        <vt:i4>128</vt:i4>
      </vt:variant>
      <vt:variant>
        <vt:i4>0</vt:i4>
      </vt:variant>
      <vt:variant>
        <vt:i4>5</vt:i4>
      </vt:variant>
      <vt:variant>
        <vt:lpwstr/>
      </vt:variant>
      <vt:variant>
        <vt:lpwstr>_Toc437893856</vt:lpwstr>
      </vt:variant>
      <vt:variant>
        <vt:i4>1703943</vt:i4>
      </vt:variant>
      <vt:variant>
        <vt:i4>122</vt:i4>
      </vt:variant>
      <vt:variant>
        <vt:i4>0</vt:i4>
      </vt:variant>
      <vt:variant>
        <vt:i4>5</vt:i4>
      </vt:variant>
      <vt:variant>
        <vt:lpwstr/>
      </vt:variant>
      <vt:variant>
        <vt:lpwstr>_Toc437893855</vt:lpwstr>
      </vt:variant>
      <vt:variant>
        <vt:i4>1703942</vt:i4>
      </vt:variant>
      <vt:variant>
        <vt:i4>116</vt:i4>
      </vt:variant>
      <vt:variant>
        <vt:i4>0</vt:i4>
      </vt:variant>
      <vt:variant>
        <vt:i4>5</vt:i4>
      </vt:variant>
      <vt:variant>
        <vt:lpwstr/>
      </vt:variant>
      <vt:variant>
        <vt:lpwstr>_Toc437893854</vt:lpwstr>
      </vt:variant>
      <vt:variant>
        <vt:i4>1703937</vt:i4>
      </vt:variant>
      <vt:variant>
        <vt:i4>110</vt:i4>
      </vt:variant>
      <vt:variant>
        <vt:i4>0</vt:i4>
      </vt:variant>
      <vt:variant>
        <vt:i4>5</vt:i4>
      </vt:variant>
      <vt:variant>
        <vt:lpwstr/>
      </vt:variant>
      <vt:variant>
        <vt:lpwstr>_Toc437893853</vt:lpwstr>
      </vt:variant>
      <vt:variant>
        <vt:i4>1703936</vt:i4>
      </vt:variant>
      <vt:variant>
        <vt:i4>104</vt:i4>
      </vt:variant>
      <vt:variant>
        <vt:i4>0</vt:i4>
      </vt:variant>
      <vt:variant>
        <vt:i4>5</vt:i4>
      </vt:variant>
      <vt:variant>
        <vt:lpwstr/>
      </vt:variant>
      <vt:variant>
        <vt:lpwstr>_Toc437893852</vt:lpwstr>
      </vt:variant>
      <vt:variant>
        <vt:i4>1703939</vt:i4>
      </vt:variant>
      <vt:variant>
        <vt:i4>98</vt:i4>
      </vt:variant>
      <vt:variant>
        <vt:i4>0</vt:i4>
      </vt:variant>
      <vt:variant>
        <vt:i4>5</vt:i4>
      </vt:variant>
      <vt:variant>
        <vt:lpwstr/>
      </vt:variant>
      <vt:variant>
        <vt:lpwstr>_Toc437893851</vt:lpwstr>
      </vt:variant>
      <vt:variant>
        <vt:i4>1703938</vt:i4>
      </vt:variant>
      <vt:variant>
        <vt:i4>92</vt:i4>
      </vt:variant>
      <vt:variant>
        <vt:i4>0</vt:i4>
      </vt:variant>
      <vt:variant>
        <vt:i4>5</vt:i4>
      </vt:variant>
      <vt:variant>
        <vt:lpwstr/>
      </vt:variant>
      <vt:variant>
        <vt:lpwstr>_Toc437893850</vt:lpwstr>
      </vt:variant>
      <vt:variant>
        <vt:i4>1769483</vt:i4>
      </vt:variant>
      <vt:variant>
        <vt:i4>86</vt:i4>
      </vt:variant>
      <vt:variant>
        <vt:i4>0</vt:i4>
      </vt:variant>
      <vt:variant>
        <vt:i4>5</vt:i4>
      </vt:variant>
      <vt:variant>
        <vt:lpwstr/>
      </vt:variant>
      <vt:variant>
        <vt:lpwstr>_Toc437893849</vt:lpwstr>
      </vt:variant>
      <vt:variant>
        <vt:i4>1769482</vt:i4>
      </vt:variant>
      <vt:variant>
        <vt:i4>80</vt:i4>
      </vt:variant>
      <vt:variant>
        <vt:i4>0</vt:i4>
      </vt:variant>
      <vt:variant>
        <vt:i4>5</vt:i4>
      </vt:variant>
      <vt:variant>
        <vt:lpwstr/>
      </vt:variant>
      <vt:variant>
        <vt:lpwstr>_Toc437893848</vt:lpwstr>
      </vt:variant>
      <vt:variant>
        <vt:i4>1769477</vt:i4>
      </vt:variant>
      <vt:variant>
        <vt:i4>74</vt:i4>
      </vt:variant>
      <vt:variant>
        <vt:i4>0</vt:i4>
      </vt:variant>
      <vt:variant>
        <vt:i4>5</vt:i4>
      </vt:variant>
      <vt:variant>
        <vt:lpwstr/>
      </vt:variant>
      <vt:variant>
        <vt:lpwstr>_Toc437893847</vt:lpwstr>
      </vt:variant>
      <vt:variant>
        <vt:i4>1769476</vt:i4>
      </vt:variant>
      <vt:variant>
        <vt:i4>68</vt:i4>
      </vt:variant>
      <vt:variant>
        <vt:i4>0</vt:i4>
      </vt:variant>
      <vt:variant>
        <vt:i4>5</vt:i4>
      </vt:variant>
      <vt:variant>
        <vt:lpwstr/>
      </vt:variant>
      <vt:variant>
        <vt:lpwstr>_Toc437893846</vt:lpwstr>
      </vt:variant>
      <vt:variant>
        <vt:i4>1769479</vt:i4>
      </vt:variant>
      <vt:variant>
        <vt:i4>62</vt:i4>
      </vt:variant>
      <vt:variant>
        <vt:i4>0</vt:i4>
      </vt:variant>
      <vt:variant>
        <vt:i4>5</vt:i4>
      </vt:variant>
      <vt:variant>
        <vt:lpwstr/>
      </vt:variant>
      <vt:variant>
        <vt:lpwstr>_Toc437893845</vt:lpwstr>
      </vt:variant>
      <vt:variant>
        <vt:i4>1769478</vt:i4>
      </vt:variant>
      <vt:variant>
        <vt:i4>56</vt:i4>
      </vt:variant>
      <vt:variant>
        <vt:i4>0</vt:i4>
      </vt:variant>
      <vt:variant>
        <vt:i4>5</vt:i4>
      </vt:variant>
      <vt:variant>
        <vt:lpwstr/>
      </vt:variant>
      <vt:variant>
        <vt:lpwstr>_Toc437893844</vt:lpwstr>
      </vt:variant>
      <vt:variant>
        <vt:i4>1769473</vt:i4>
      </vt:variant>
      <vt:variant>
        <vt:i4>50</vt:i4>
      </vt:variant>
      <vt:variant>
        <vt:i4>0</vt:i4>
      </vt:variant>
      <vt:variant>
        <vt:i4>5</vt:i4>
      </vt:variant>
      <vt:variant>
        <vt:lpwstr/>
      </vt:variant>
      <vt:variant>
        <vt:lpwstr>_Toc437893843</vt:lpwstr>
      </vt:variant>
      <vt:variant>
        <vt:i4>1769472</vt:i4>
      </vt:variant>
      <vt:variant>
        <vt:i4>44</vt:i4>
      </vt:variant>
      <vt:variant>
        <vt:i4>0</vt:i4>
      </vt:variant>
      <vt:variant>
        <vt:i4>5</vt:i4>
      </vt:variant>
      <vt:variant>
        <vt:lpwstr/>
      </vt:variant>
      <vt:variant>
        <vt:lpwstr>_Toc437893842</vt:lpwstr>
      </vt:variant>
      <vt:variant>
        <vt:i4>1769475</vt:i4>
      </vt:variant>
      <vt:variant>
        <vt:i4>38</vt:i4>
      </vt:variant>
      <vt:variant>
        <vt:i4>0</vt:i4>
      </vt:variant>
      <vt:variant>
        <vt:i4>5</vt:i4>
      </vt:variant>
      <vt:variant>
        <vt:lpwstr/>
      </vt:variant>
      <vt:variant>
        <vt:lpwstr>_Toc437893841</vt:lpwstr>
      </vt:variant>
      <vt:variant>
        <vt:i4>1769474</vt:i4>
      </vt:variant>
      <vt:variant>
        <vt:i4>32</vt:i4>
      </vt:variant>
      <vt:variant>
        <vt:i4>0</vt:i4>
      </vt:variant>
      <vt:variant>
        <vt:i4>5</vt:i4>
      </vt:variant>
      <vt:variant>
        <vt:lpwstr/>
      </vt:variant>
      <vt:variant>
        <vt:lpwstr>_Toc437893840</vt:lpwstr>
      </vt:variant>
      <vt:variant>
        <vt:i4>1835019</vt:i4>
      </vt:variant>
      <vt:variant>
        <vt:i4>26</vt:i4>
      </vt:variant>
      <vt:variant>
        <vt:i4>0</vt:i4>
      </vt:variant>
      <vt:variant>
        <vt:i4>5</vt:i4>
      </vt:variant>
      <vt:variant>
        <vt:lpwstr/>
      </vt:variant>
      <vt:variant>
        <vt:lpwstr>_Toc437893839</vt:lpwstr>
      </vt:variant>
      <vt:variant>
        <vt:i4>1835018</vt:i4>
      </vt:variant>
      <vt:variant>
        <vt:i4>20</vt:i4>
      </vt:variant>
      <vt:variant>
        <vt:i4>0</vt:i4>
      </vt:variant>
      <vt:variant>
        <vt:i4>5</vt:i4>
      </vt:variant>
      <vt:variant>
        <vt:lpwstr/>
      </vt:variant>
      <vt:variant>
        <vt:lpwstr>_Toc437893838</vt:lpwstr>
      </vt:variant>
      <vt:variant>
        <vt:i4>1835013</vt:i4>
      </vt:variant>
      <vt:variant>
        <vt:i4>14</vt:i4>
      </vt:variant>
      <vt:variant>
        <vt:i4>0</vt:i4>
      </vt:variant>
      <vt:variant>
        <vt:i4>5</vt:i4>
      </vt:variant>
      <vt:variant>
        <vt:lpwstr/>
      </vt:variant>
      <vt:variant>
        <vt:lpwstr>_Toc437893837</vt:lpwstr>
      </vt:variant>
      <vt:variant>
        <vt:i4>1835012</vt:i4>
      </vt:variant>
      <vt:variant>
        <vt:i4>8</vt:i4>
      </vt:variant>
      <vt:variant>
        <vt:i4>0</vt:i4>
      </vt:variant>
      <vt:variant>
        <vt:i4>5</vt:i4>
      </vt:variant>
      <vt:variant>
        <vt:lpwstr/>
      </vt:variant>
      <vt:variant>
        <vt:lpwstr>_Toc437893836</vt:lpwstr>
      </vt:variant>
      <vt:variant>
        <vt:i4>1835015</vt:i4>
      </vt:variant>
      <vt:variant>
        <vt:i4>2</vt:i4>
      </vt:variant>
      <vt:variant>
        <vt:i4>0</vt:i4>
      </vt:variant>
      <vt:variant>
        <vt:i4>5</vt:i4>
      </vt:variant>
      <vt:variant>
        <vt:lpwstr/>
      </vt:variant>
      <vt:variant>
        <vt:lpwstr>_Toc437893835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REILLY Mark (EEAS-PODGORICA)</cp:lastModifiedBy>
  <cp:revision>4</cp:revision>
  <cp:lastPrinted>2018-01-26T10:52:00Z</cp:lastPrinted>
  <dcterms:created xsi:type="dcterms:W3CDTF">2018-02-27T15:54:00Z</dcterms:created>
  <dcterms:modified xsi:type="dcterms:W3CDTF">2018-02-27T17:09:00Z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