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DC3DA" w14:textId="15FFD142" w:rsidR="00606CAE" w:rsidRPr="00D039A2" w:rsidRDefault="00606CAE" w:rsidP="00606CAE">
      <w:pPr>
        <w:pStyle w:val="Heading1a"/>
        <w:keepNext w:val="0"/>
        <w:keepLines w:val="0"/>
        <w:tabs>
          <w:tab w:val="clear" w:pos="-720"/>
        </w:tabs>
        <w:suppressAutoHyphens w:val="0"/>
        <w:rPr>
          <w:rFonts w:ascii="Arial" w:hAnsi="Arial" w:cs="Arial"/>
          <w:bCs/>
          <w:smallCaps w:val="0"/>
          <w:szCs w:val="32"/>
          <w:lang w:val="en-GB"/>
        </w:rPr>
      </w:pPr>
      <w:r w:rsidRPr="00D039A2">
        <w:rPr>
          <w:rFonts w:ascii="Arial" w:hAnsi="Arial" w:cs="Arial"/>
          <w:bCs/>
          <w:smallCaps w:val="0"/>
          <w:szCs w:val="32"/>
          <w:lang w:val="en-GB"/>
        </w:rPr>
        <w:t>C L A R I F I C A T I O N S</w:t>
      </w:r>
      <w:r w:rsidRPr="00D039A2">
        <w:rPr>
          <w:rFonts w:ascii="Arial" w:hAnsi="Arial" w:cs="Arial"/>
          <w:bCs/>
          <w:smallCaps w:val="0"/>
          <w:szCs w:val="32"/>
          <w:lang w:val="en-GB"/>
        </w:rPr>
        <w:tab/>
        <w:t>No. 1</w:t>
      </w:r>
    </w:p>
    <w:p w14:paraId="4B1F3525" w14:textId="77777777" w:rsidR="00606CAE" w:rsidRPr="00D039A2" w:rsidRDefault="00606CAE" w:rsidP="00606CAE">
      <w:pPr>
        <w:pStyle w:val="Heading1a"/>
        <w:keepNext w:val="0"/>
        <w:keepLines w:val="0"/>
        <w:tabs>
          <w:tab w:val="clear" w:pos="-720"/>
        </w:tabs>
        <w:suppressAutoHyphens w:val="0"/>
        <w:rPr>
          <w:rFonts w:ascii="Arial" w:hAnsi="Arial" w:cs="Arial"/>
          <w:bCs/>
          <w:smallCaps w:val="0"/>
          <w:sz w:val="28"/>
          <w:szCs w:val="28"/>
          <w:lang w:val="en-GB"/>
        </w:rPr>
      </w:pPr>
    </w:p>
    <w:p w14:paraId="0746BA11" w14:textId="07729D0D" w:rsidR="00606CAE" w:rsidRPr="00D039A2" w:rsidRDefault="00514E46" w:rsidP="004D6B2F">
      <w:pPr>
        <w:pStyle w:val="Heading1a"/>
        <w:rPr>
          <w:rFonts w:ascii="Arial" w:hAnsi="Arial" w:cs="Arial"/>
          <w:bCs/>
          <w:smallCaps w:val="0"/>
          <w:sz w:val="24"/>
          <w:szCs w:val="24"/>
          <w:lang w:val="en-GB"/>
        </w:rPr>
      </w:pPr>
      <w:r w:rsidRPr="00D039A2">
        <w:rPr>
          <w:rFonts w:ascii="Arial" w:hAnsi="Arial" w:cs="Arial"/>
          <w:bCs/>
          <w:smallCaps w:val="0"/>
          <w:sz w:val="24"/>
          <w:szCs w:val="24"/>
          <w:lang w:val="en-GB"/>
        </w:rPr>
        <w:t xml:space="preserve">Procurement </w:t>
      </w:r>
      <w:r w:rsidR="004D6B2F" w:rsidRPr="00D039A2">
        <w:rPr>
          <w:rFonts w:ascii="Arial" w:hAnsi="Arial" w:cs="Arial"/>
          <w:bCs/>
          <w:smallCaps w:val="0"/>
          <w:sz w:val="24"/>
          <w:szCs w:val="24"/>
          <w:lang w:val="en-GB"/>
        </w:rPr>
        <w:t>related to:</w:t>
      </w:r>
    </w:p>
    <w:p w14:paraId="382D0F77" w14:textId="35F61C18" w:rsidR="004D6B2F" w:rsidRPr="00D039A2" w:rsidRDefault="004D6B2F" w:rsidP="004D6B2F">
      <w:pPr>
        <w:spacing w:before="240" w:after="840"/>
        <w:jc w:val="center"/>
        <w:rPr>
          <w:b/>
          <w:sz w:val="36"/>
          <w:szCs w:val="36"/>
        </w:rPr>
      </w:pPr>
      <w:bookmarkStart w:id="0" w:name="_Hlk135136191"/>
      <w:r w:rsidRPr="00D039A2">
        <w:rPr>
          <w:b/>
          <w:sz w:val="36"/>
          <w:szCs w:val="36"/>
        </w:rPr>
        <w:t>ADAPTATION OF NINE VOCATIONAL EDUCATION AND TRAINING (VET) SCHOOLS IN MONTENEGRO</w:t>
      </w:r>
      <w:bookmarkEnd w:id="0"/>
    </w:p>
    <w:p w14:paraId="3F5CC7B0" w14:textId="77777777" w:rsidR="00606CAE" w:rsidRPr="00D039A2" w:rsidRDefault="00606CAE" w:rsidP="00606CAE">
      <w:pPr>
        <w:pStyle w:val="Heading1a"/>
        <w:keepNext w:val="0"/>
        <w:keepLines w:val="0"/>
        <w:tabs>
          <w:tab w:val="clear" w:pos="-720"/>
        </w:tabs>
        <w:suppressAutoHyphens w:val="0"/>
        <w:rPr>
          <w:rFonts w:ascii="Arial" w:hAnsi="Arial" w:cs="Arial"/>
          <w:bCs/>
          <w:smallCaps w:val="0"/>
          <w:sz w:val="24"/>
          <w:szCs w:val="24"/>
          <w:lang w:val="en-GB"/>
        </w:rPr>
      </w:pPr>
    </w:p>
    <w:p w14:paraId="00C720E6" w14:textId="17DDDFFC" w:rsidR="00526294" w:rsidRPr="00D039A2" w:rsidRDefault="00514E46" w:rsidP="00606CAE">
      <w:pPr>
        <w:pStyle w:val="Default"/>
        <w:jc w:val="center"/>
        <w:rPr>
          <w:rFonts w:ascii="Arial" w:eastAsia="Minion Pro" w:hAnsi="Arial" w:cs="Arial"/>
          <w:b/>
          <w:bCs/>
        </w:rPr>
      </w:pPr>
      <w:r w:rsidRPr="00D039A2">
        <w:rPr>
          <w:rFonts w:ascii="Arial" w:eastAsia="Minion Pro" w:hAnsi="Arial" w:cs="Arial"/>
          <w:b/>
          <w:bCs/>
        </w:rPr>
        <w:t xml:space="preserve">RFB No: </w:t>
      </w:r>
      <w:r w:rsidR="004D6B2F" w:rsidRPr="00D039A2">
        <w:rPr>
          <w:rFonts w:ascii="Arial" w:eastAsia="Minion Pro" w:hAnsi="Arial" w:cs="Arial"/>
          <w:b/>
          <w:bCs/>
        </w:rPr>
        <w:t>ICB No: 01-426/24-1007/1</w:t>
      </w:r>
    </w:p>
    <w:p w14:paraId="7245C4F6" w14:textId="77777777" w:rsidR="00526294" w:rsidRPr="00D039A2" w:rsidRDefault="00526294" w:rsidP="00606CAE">
      <w:pPr>
        <w:pStyle w:val="Default"/>
        <w:jc w:val="center"/>
        <w:rPr>
          <w:rFonts w:ascii="Arial" w:eastAsia="Minion Pro" w:hAnsi="Arial" w:cs="Arial"/>
          <w:b/>
          <w:bCs/>
        </w:rPr>
      </w:pPr>
    </w:p>
    <w:p w14:paraId="79A1F98D" w14:textId="77777777" w:rsidR="00606CAE" w:rsidRPr="00D039A2" w:rsidRDefault="00606CAE" w:rsidP="00606CAE">
      <w:pPr>
        <w:pStyle w:val="Default"/>
        <w:jc w:val="center"/>
        <w:rPr>
          <w:rFonts w:ascii="Arial" w:eastAsia="Minion Pro" w:hAnsi="Arial" w:cs="Arial"/>
          <w:b/>
          <w:bCs/>
        </w:rPr>
      </w:pPr>
    </w:p>
    <w:p w14:paraId="55EF8231" w14:textId="08099E50" w:rsidR="00606CAE" w:rsidRPr="00D039A2" w:rsidRDefault="00606CAE" w:rsidP="00606CAE">
      <w:pPr>
        <w:pStyle w:val="Default"/>
        <w:jc w:val="center"/>
        <w:rPr>
          <w:rFonts w:ascii="Arial" w:eastAsia="Minion Pro" w:hAnsi="Arial" w:cs="Arial"/>
          <w:b/>
          <w:bCs/>
        </w:rPr>
      </w:pPr>
      <w:r w:rsidRPr="00D039A2">
        <w:rPr>
          <w:rFonts w:ascii="Arial" w:eastAsia="Minion Pro" w:hAnsi="Arial" w:cs="Arial"/>
          <w:b/>
          <w:bCs/>
        </w:rPr>
        <w:t xml:space="preserve">Issued on </w:t>
      </w:r>
      <w:r w:rsidR="00861A58" w:rsidRPr="00D039A2">
        <w:rPr>
          <w:rFonts w:ascii="Arial" w:eastAsia="Minion Pro" w:hAnsi="Arial" w:cs="Arial"/>
          <w:b/>
          <w:bCs/>
        </w:rPr>
        <w:t>8</w:t>
      </w:r>
      <w:r w:rsidR="00861A58" w:rsidRPr="00D039A2">
        <w:rPr>
          <w:rFonts w:ascii="Arial" w:eastAsia="Minion Pro" w:hAnsi="Arial" w:cs="Arial"/>
          <w:b/>
          <w:bCs/>
          <w:vertAlign w:val="superscript"/>
        </w:rPr>
        <w:t>th</w:t>
      </w:r>
      <w:r w:rsidR="00861A58" w:rsidRPr="00D039A2">
        <w:rPr>
          <w:rFonts w:ascii="Arial" w:eastAsia="Minion Pro" w:hAnsi="Arial" w:cs="Arial"/>
          <w:b/>
          <w:bCs/>
        </w:rPr>
        <w:t xml:space="preserve"> </w:t>
      </w:r>
      <w:r w:rsidR="004D6B2F" w:rsidRPr="00D039A2">
        <w:rPr>
          <w:rFonts w:ascii="Arial" w:eastAsia="Minion Pro" w:hAnsi="Arial" w:cs="Arial"/>
          <w:b/>
          <w:bCs/>
        </w:rPr>
        <w:t>May</w:t>
      </w:r>
      <w:r w:rsidR="00526294" w:rsidRPr="00D039A2">
        <w:rPr>
          <w:rFonts w:ascii="Arial" w:eastAsia="Minion Pro" w:hAnsi="Arial" w:cs="Arial"/>
          <w:b/>
          <w:bCs/>
        </w:rPr>
        <w:t xml:space="preserve"> 20</w:t>
      </w:r>
      <w:r w:rsidR="00514E46" w:rsidRPr="00D039A2">
        <w:rPr>
          <w:rFonts w:ascii="Arial" w:eastAsia="Minion Pro" w:hAnsi="Arial" w:cs="Arial"/>
          <w:b/>
          <w:bCs/>
        </w:rPr>
        <w:t>2</w:t>
      </w:r>
      <w:r w:rsidR="00EA5354" w:rsidRPr="00D039A2">
        <w:rPr>
          <w:rFonts w:ascii="Arial" w:eastAsia="Minion Pro" w:hAnsi="Arial" w:cs="Arial"/>
          <w:b/>
          <w:bCs/>
        </w:rPr>
        <w:t>4</w:t>
      </w:r>
    </w:p>
    <w:p w14:paraId="60628843" w14:textId="77777777" w:rsidR="00526294" w:rsidRPr="00D039A2" w:rsidRDefault="00526294" w:rsidP="00606CAE">
      <w:pPr>
        <w:pStyle w:val="Default"/>
        <w:jc w:val="center"/>
        <w:rPr>
          <w:rFonts w:ascii="Arial" w:eastAsia="Minion Pro" w:hAnsi="Arial" w:cs="Arial"/>
          <w:b/>
          <w:bCs/>
        </w:rPr>
      </w:pPr>
    </w:p>
    <w:p w14:paraId="3F1252D9" w14:textId="77777777" w:rsidR="00606CAE" w:rsidRPr="00D039A2" w:rsidRDefault="00606CAE" w:rsidP="00606CAE">
      <w:pPr>
        <w:pStyle w:val="Default"/>
        <w:jc w:val="center"/>
        <w:rPr>
          <w:rFonts w:ascii="Arial" w:eastAsia="Minion Pro" w:hAnsi="Arial" w:cs="Arial"/>
          <w:b/>
          <w:bCs/>
        </w:rPr>
      </w:pPr>
    </w:p>
    <w:p w14:paraId="3D0126E0" w14:textId="77777777" w:rsidR="00606CAE" w:rsidRPr="00D039A2" w:rsidRDefault="00606CAE" w:rsidP="00606CAE">
      <w:pPr>
        <w:pStyle w:val="Default"/>
        <w:rPr>
          <w:rFonts w:ascii="Arial" w:eastAsia="Minion Pro" w:hAnsi="Arial" w:cs="Arial"/>
          <w:b/>
          <w:bCs/>
          <w:sz w:val="28"/>
          <w:szCs w:val="28"/>
        </w:rPr>
      </w:pPr>
    </w:p>
    <w:p w14:paraId="3791C942" w14:textId="58A53CFD" w:rsidR="00A30B50" w:rsidRPr="00D039A2" w:rsidRDefault="00606CAE" w:rsidP="00A30B50">
      <w:pPr>
        <w:pStyle w:val="Default"/>
        <w:rPr>
          <w:rFonts w:ascii="Arial" w:eastAsia="Minion Pro" w:hAnsi="Arial" w:cs="Arial"/>
          <w:b/>
          <w:bCs/>
          <w:u w:val="single"/>
        </w:rPr>
      </w:pPr>
      <w:r w:rsidRPr="00D039A2">
        <w:rPr>
          <w:rFonts w:ascii="Arial" w:eastAsia="Minion Pro" w:hAnsi="Arial" w:cs="Arial"/>
          <w:b/>
          <w:bCs/>
          <w:u w:val="single"/>
        </w:rPr>
        <w:t>Que</w:t>
      </w:r>
      <w:r w:rsidR="00F90920" w:rsidRPr="00D039A2">
        <w:rPr>
          <w:rFonts w:ascii="Arial" w:eastAsia="Minion Pro" w:hAnsi="Arial" w:cs="Arial"/>
          <w:b/>
          <w:bCs/>
          <w:u w:val="single"/>
        </w:rPr>
        <w:t>stion</w:t>
      </w:r>
      <w:r w:rsidR="004D6B2F" w:rsidRPr="00D039A2">
        <w:rPr>
          <w:rFonts w:ascii="Arial" w:eastAsia="Minion Pro" w:hAnsi="Arial" w:cs="Arial"/>
          <w:b/>
          <w:bCs/>
          <w:u w:val="single"/>
        </w:rPr>
        <w:t xml:space="preserve"> </w:t>
      </w:r>
      <w:r w:rsidR="006B3D5C" w:rsidRPr="00D039A2">
        <w:rPr>
          <w:rFonts w:ascii="Arial" w:eastAsia="Minion Pro" w:hAnsi="Arial" w:cs="Arial"/>
          <w:b/>
          <w:bCs/>
          <w:u w:val="single"/>
        </w:rPr>
        <w:t xml:space="preserve">No. </w:t>
      </w:r>
      <w:r w:rsidR="004D6B2F" w:rsidRPr="00D039A2">
        <w:rPr>
          <w:rFonts w:ascii="Arial" w:eastAsia="Minion Pro" w:hAnsi="Arial" w:cs="Arial"/>
          <w:b/>
          <w:bCs/>
          <w:u w:val="single"/>
        </w:rPr>
        <w:t>1</w:t>
      </w:r>
      <w:r w:rsidRPr="00D039A2">
        <w:rPr>
          <w:rFonts w:ascii="Arial" w:eastAsia="Minion Pro" w:hAnsi="Arial" w:cs="Arial"/>
          <w:b/>
          <w:bCs/>
          <w:u w:val="single"/>
        </w:rPr>
        <w:t>:</w:t>
      </w:r>
    </w:p>
    <w:p w14:paraId="569FABB1" w14:textId="041912AD" w:rsidR="004D6B2F" w:rsidRPr="00D039A2" w:rsidRDefault="004D6B2F" w:rsidP="004D6B2F">
      <w:pPr>
        <w:pStyle w:val="xmsonormal"/>
        <w:jc w:val="both"/>
        <w:rPr>
          <w:rFonts w:ascii="Myriad Pro" w:eastAsia="Myriad Pro" w:hAnsi="Myriad Pro" w:cs="Arial"/>
          <w:bCs/>
          <w:color w:val="1A1617"/>
          <w:kern w:val="1"/>
          <w:sz w:val="24"/>
          <w:lang w:val="en-GB" w:eastAsia="hi-IN" w:bidi="hi-IN"/>
        </w:rPr>
      </w:pPr>
      <w:r w:rsidRPr="00D039A2">
        <w:rPr>
          <w:rFonts w:ascii="Myriad Pro" w:eastAsia="Myriad Pro" w:hAnsi="Myriad Pro" w:cs="Arial"/>
          <w:bCs/>
          <w:color w:val="1A1617"/>
          <w:kern w:val="1"/>
          <w:sz w:val="24"/>
          <w:lang w:val="en-GB" w:eastAsia="hi-IN" w:bidi="hi-IN"/>
        </w:rPr>
        <w:t xml:space="preserve">The tender documents on page number 50 requested to appoint and submit a license and CV for a graduate geodesy engineer. Is it necessary that a graduate geodesy engineer is employed full-time because on page 51 it is required that the leader of the consortium must have at least 50% of the required staff, and this condition is proven by submitting diplomas, </w:t>
      </w:r>
      <w:proofErr w:type="gramStart"/>
      <w:r w:rsidRPr="00D039A2">
        <w:rPr>
          <w:rFonts w:ascii="Myriad Pro" w:eastAsia="Myriad Pro" w:hAnsi="Myriad Pro" w:cs="Arial"/>
          <w:bCs/>
          <w:color w:val="1A1617"/>
          <w:kern w:val="1"/>
          <w:sz w:val="24"/>
          <w:lang w:val="en-GB" w:eastAsia="hi-IN" w:bidi="hi-IN"/>
        </w:rPr>
        <w:t>licenses</w:t>
      </w:r>
      <w:proofErr w:type="gramEnd"/>
      <w:r w:rsidRPr="00D039A2">
        <w:rPr>
          <w:rFonts w:ascii="Myriad Pro" w:eastAsia="Myriad Pro" w:hAnsi="Myriad Pro" w:cs="Arial"/>
          <w:bCs/>
          <w:color w:val="1A1617"/>
          <w:kern w:val="1"/>
          <w:sz w:val="24"/>
          <w:lang w:val="en-GB" w:eastAsia="hi-IN" w:bidi="hi-IN"/>
        </w:rPr>
        <w:t xml:space="preserve"> and proof that the person is employed by the bidder on full time?</w:t>
      </w:r>
    </w:p>
    <w:p w14:paraId="221E35C4" w14:textId="6237C0F0" w:rsidR="006B3D5C" w:rsidRPr="00D039A2" w:rsidRDefault="006B3D5C" w:rsidP="006B3D5C">
      <w:pPr>
        <w:pStyle w:val="Default"/>
        <w:jc w:val="both"/>
        <w:rPr>
          <w:rFonts w:ascii="Arial" w:eastAsia="Minion Pro" w:hAnsi="Arial" w:cs="Arial"/>
          <w:b/>
          <w:bCs/>
        </w:rPr>
      </w:pPr>
      <w:r w:rsidRPr="00D039A2">
        <w:rPr>
          <w:rFonts w:ascii="Arial" w:eastAsia="Minion Pro" w:hAnsi="Arial" w:cs="Arial"/>
          <w:b/>
          <w:bCs/>
        </w:rPr>
        <w:t>Answer:</w:t>
      </w:r>
    </w:p>
    <w:p w14:paraId="747B7047" w14:textId="13FDC307" w:rsidR="006B3D5C" w:rsidRPr="00D039A2" w:rsidRDefault="00616DC6" w:rsidP="006B3D5C">
      <w:pPr>
        <w:pStyle w:val="Default"/>
        <w:jc w:val="both"/>
        <w:rPr>
          <w:rFonts w:ascii="Arial" w:eastAsia="Minion Pro" w:hAnsi="Arial" w:cs="Arial"/>
          <w:bCs/>
          <w:sz w:val="22"/>
          <w:szCs w:val="22"/>
        </w:rPr>
      </w:pPr>
      <w:r w:rsidRPr="00D039A2">
        <w:rPr>
          <w:rFonts w:cs="Arial"/>
          <w:bCs/>
          <w:color w:val="1A1617"/>
          <w:szCs w:val="22"/>
        </w:rPr>
        <w:t>Please note that requirement given in the Tender Dossier under point 3.5.2</w:t>
      </w:r>
      <w:bookmarkStart w:id="1" w:name="_Hlk138404345"/>
      <w:r w:rsidRPr="00D039A2">
        <w:rPr>
          <w:rFonts w:cs="Arial"/>
          <w:color w:val="1A1617"/>
          <w:szCs w:val="22"/>
        </w:rPr>
        <w:t>.: “In addition to this, the bidder should have at least 30 (thirty) employees</w:t>
      </w:r>
      <w:bookmarkEnd w:id="1"/>
      <w:r w:rsidRPr="00D039A2">
        <w:rPr>
          <w:rFonts w:cs="Arial"/>
          <w:color w:val="1A1617"/>
          <w:szCs w:val="22"/>
        </w:rPr>
        <w:t xml:space="preserve"> engaged in the re/construction process, at the time of Tender announcement, including the key employees listed in </w:t>
      </w:r>
      <w:r w:rsidRPr="00D039A2">
        <w:rPr>
          <w:rFonts w:cs="Arial"/>
          <w:bCs/>
          <w:color w:val="1A1617"/>
          <w:szCs w:val="22"/>
        </w:rPr>
        <w:t xml:space="preserve">3.5.1.” does not impose employment on the full-time basis. </w:t>
      </w:r>
    </w:p>
    <w:p w14:paraId="1BC42D51" w14:textId="77777777" w:rsidR="006B3D5C" w:rsidRPr="00D039A2" w:rsidRDefault="006B3D5C" w:rsidP="006B3D5C">
      <w:pPr>
        <w:pStyle w:val="Default"/>
        <w:jc w:val="both"/>
        <w:rPr>
          <w:rFonts w:ascii="Arial" w:eastAsia="Minion Pro" w:hAnsi="Arial" w:cs="Arial"/>
          <w:b/>
          <w:bCs/>
          <w:sz w:val="22"/>
          <w:szCs w:val="22"/>
        </w:rPr>
      </w:pPr>
    </w:p>
    <w:p w14:paraId="6EAFE60F" w14:textId="49B9A498" w:rsidR="00EF089F" w:rsidRPr="00D039A2" w:rsidRDefault="00EF089F" w:rsidP="004D6B2F">
      <w:pPr>
        <w:pStyle w:val="xmsonormal"/>
        <w:jc w:val="both"/>
        <w:rPr>
          <w:rFonts w:ascii="Myriad Pro" w:eastAsia="Myriad Pro" w:hAnsi="Myriad Pro" w:cs="Arial"/>
          <w:bCs/>
          <w:color w:val="1A1617"/>
          <w:kern w:val="1"/>
          <w:sz w:val="24"/>
          <w:lang w:val="en-GB" w:eastAsia="hi-IN" w:bidi="hi-IN"/>
        </w:rPr>
      </w:pPr>
      <w:r w:rsidRPr="00D039A2">
        <w:rPr>
          <w:rFonts w:ascii="Myriad Pro" w:eastAsia="Myriad Pro" w:hAnsi="Myriad Pro" w:cs="Arial"/>
          <w:bCs/>
          <w:color w:val="1A1617"/>
          <w:kern w:val="1"/>
          <w:sz w:val="24"/>
          <w:lang w:val="en-GB" w:eastAsia="hi-IN" w:bidi="hi-IN"/>
        </w:rPr>
        <w:t xml:space="preserve">The following text given on the page 51 of the Tender Dossier: “In addition the bidder will provide: certified copies of their diplomas, certificates/licences proving the qualifications of the proposed staff and documentary proof in line with the law of the country confirming fulltime employment.” refers to Forms PER-1 and PER-2 included in Section IV, Bidding Forms meaning that working experience stated in the CV shall be supported by documentary evidence in line with the law of the country.  </w:t>
      </w:r>
    </w:p>
    <w:p w14:paraId="68236A0B" w14:textId="3A7BF5C1" w:rsidR="004D6B2F" w:rsidRPr="00D039A2" w:rsidRDefault="004D6B2F" w:rsidP="004D6B2F">
      <w:pPr>
        <w:pStyle w:val="Default"/>
        <w:rPr>
          <w:rFonts w:ascii="Arial" w:eastAsia="Minion Pro" w:hAnsi="Arial" w:cs="Arial"/>
          <w:b/>
          <w:bCs/>
          <w:sz w:val="22"/>
          <w:szCs w:val="22"/>
          <w:u w:val="single"/>
        </w:rPr>
      </w:pPr>
      <w:r w:rsidRPr="00D039A2">
        <w:rPr>
          <w:rFonts w:ascii="Arial" w:eastAsia="Minion Pro" w:hAnsi="Arial" w:cs="Arial"/>
          <w:b/>
          <w:bCs/>
          <w:sz w:val="22"/>
          <w:szCs w:val="22"/>
          <w:u w:val="single"/>
        </w:rPr>
        <w:t>Question</w:t>
      </w:r>
      <w:r w:rsidR="006B3D5C" w:rsidRPr="00D039A2">
        <w:rPr>
          <w:rFonts w:ascii="Arial" w:eastAsia="Minion Pro" w:hAnsi="Arial" w:cs="Arial"/>
          <w:b/>
          <w:bCs/>
          <w:sz w:val="22"/>
          <w:szCs w:val="22"/>
          <w:u w:val="single"/>
        </w:rPr>
        <w:t xml:space="preserve"> No.2</w:t>
      </w:r>
      <w:r w:rsidRPr="00D039A2">
        <w:rPr>
          <w:rFonts w:ascii="Arial" w:eastAsia="Minion Pro" w:hAnsi="Arial" w:cs="Arial"/>
          <w:b/>
          <w:bCs/>
          <w:sz w:val="22"/>
          <w:szCs w:val="22"/>
          <w:u w:val="single"/>
        </w:rPr>
        <w:t>:</w:t>
      </w:r>
    </w:p>
    <w:p w14:paraId="75E47D6B" w14:textId="620C1C75" w:rsidR="00EB1EB1" w:rsidRPr="00D039A2" w:rsidRDefault="004D6B2F" w:rsidP="004D6B2F">
      <w:pPr>
        <w:pStyle w:val="xmsonormal"/>
        <w:jc w:val="both"/>
        <w:rPr>
          <w:rFonts w:ascii="Myriad Pro" w:eastAsia="Myriad Pro" w:hAnsi="Myriad Pro" w:cs="Arial"/>
          <w:bCs/>
          <w:color w:val="1A1617"/>
          <w:kern w:val="1"/>
          <w:sz w:val="24"/>
          <w:lang w:val="en-GB" w:eastAsia="hi-IN" w:bidi="hi-IN"/>
        </w:rPr>
      </w:pPr>
      <w:r w:rsidRPr="00D039A2">
        <w:rPr>
          <w:rFonts w:ascii="Myriad Pro" w:eastAsia="Myriad Pro" w:hAnsi="Myriad Pro" w:cs="Arial"/>
          <w:bCs/>
          <w:color w:val="1A1617"/>
          <w:kern w:val="1"/>
          <w:sz w:val="24"/>
          <w:lang w:val="en-GB" w:eastAsia="hi-IN" w:bidi="hi-IN"/>
        </w:rPr>
        <w:t xml:space="preserve">In the tender documentation, on page number 39, it was requested that a license for construction works needs to be submitted, while on page 50, it was requested that a geodesy engineer should be appointed. The license for carrying out construction works does not cover the carrying out of geodetic works, please answer </w:t>
      </w:r>
      <w:r w:rsidRPr="00D039A2">
        <w:rPr>
          <w:rFonts w:ascii="Myriad Pro" w:eastAsia="Myriad Pro" w:hAnsi="Myriad Pro" w:cs="Arial"/>
          <w:bCs/>
          <w:color w:val="1A1617"/>
          <w:kern w:val="1"/>
          <w:sz w:val="24"/>
          <w:u w:val="single"/>
          <w:lang w:val="en-GB" w:eastAsia="hi-IN" w:bidi="hi-IN"/>
        </w:rPr>
        <w:t>whether it is necessary to submit the company's license for carrying out geodetic works</w:t>
      </w:r>
      <w:r w:rsidRPr="00D039A2">
        <w:rPr>
          <w:rFonts w:ascii="Myriad Pro" w:eastAsia="Myriad Pro" w:hAnsi="Myriad Pro" w:cs="Arial"/>
          <w:bCs/>
          <w:color w:val="1A1617"/>
          <w:kern w:val="1"/>
          <w:sz w:val="24"/>
          <w:lang w:val="en-GB" w:eastAsia="hi-IN" w:bidi="hi-IN"/>
        </w:rPr>
        <w:t>?</w:t>
      </w:r>
    </w:p>
    <w:p w14:paraId="36A99539" w14:textId="77777777" w:rsidR="00514E46" w:rsidRPr="00D039A2" w:rsidRDefault="00514E46" w:rsidP="00606CAE">
      <w:pPr>
        <w:pStyle w:val="Default"/>
        <w:rPr>
          <w:rStyle w:val="fontstyle21"/>
          <w:rFonts w:ascii="Arial" w:hAnsi="Arial" w:cs="Arial"/>
        </w:rPr>
      </w:pPr>
    </w:p>
    <w:p w14:paraId="5E2B60D9" w14:textId="0CFCCCF7" w:rsidR="00514E46" w:rsidRPr="00D039A2" w:rsidRDefault="00514E46" w:rsidP="00EB1EB1">
      <w:pPr>
        <w:pStyle w:val="Default"/>
        <w:jc w:val="both"/>
        <w:rPr>
          <w:rFonts w:ascii="Arial" w:eastAsia="Minion Pro" w:hAnsi="Arial" w:cs="Arial"/>
          <w:b/>
          <w:bCs/>
          <w:sz w:val="22"/>
          <w:szCs w:val="22"/>
        </w:rPr>
      </w:pPr>
      <w:r w:rsidRPr="00D039A2">
        <w:rPr>
          <w:rFonts w:ascii="Arial" w:eastAsia="Minion Pro" w:hAnsi="Arial" w:cs="Arial"/>
          <w:b/>
          <w:bCs/>
          <w:sz w:val="22"/>
          <w:szCs w:val="22"/>
        </w:rPr>
        <w:t>Answer:</w:t>
      </w:r>
    </w:p>
    <w:p w14:paraId="6708C77D" w14:textId="77777777" w:rsidR="00514E46" w:rsidRPr="00D039A2" w:rsidRDefault="00514E46" w:rsidP="00606CAE">
      <w:pPr>
        <w:pStyle w:val="Default"/>
        <w:rPr>
          <w:rStyle w:val="fontstyle21"/>
          <w:rFonts w:ascii="Arial" w:hAnsi="Arial" w:cs="Arial"/>
        </w:rPr>
      </w:pPr>
    </w:p>
    <w:p w14:paraId="04D8784F" w14:textId="77777777" w:rsidR="0013651B" w:rsidRPr="00D039A2" w:rsidRDefault="00306BD2" w:rsidP="00C55B94">
      <w:pPr>
        <w:pStyle w:val="Default"/>
        <w:jc w:val="both"/>
        <w:rPr>
          <w:bCs/>
          <w:color w:val="1A1617"/>
          <w:szCs w:val="22"/>
        </w:rPr>
      </w:pPr>
      <w:r w:rsidRPr="00D039A2">
        <w:rPr>
          <w:bCs/>
          <w:color w:val="1A1617"/>
          <w:szCs w:val="22"/>
        </w:rPr>
        <w:t xml:space="preserve">The bidder is obliged to submit the CVs of the experts listed under point 3.5 Contractor’s </w:t>
      </w:r>
      <w:r w:rsidRPr="00D039A2">
        <w:rPr>
          <w:bCs/>
          <w:color w:val="1A1617"/>
          <w:szCs w:val="22"/>
        </w:rPr>
        <w:lastRenderedPageBreak/>
        <w:t xml:space="preserve">Key Personnel together with all the required supporting documents. Also note that if the bidder plans to subcontract part of the works, he must provide the additional details under the bidding Form No.4. </w:t>
      </w:r>
    </w:p>
    <w:p w14:paraId="6F0E9CF1" w14:textId="251CC8F3" w:rsidR="000704B2" w:rsidRDefault="00E41EF5" w:rsidP="00C55B94">
      <w:pPr>
        <w:pStyle w:val="Default"/>
        <w:jc w:val="both"/>
        <w:rPr>
          <w:rStyle w:val="rynqvb"/>
        </w:rPr>
      </w:pPr>
      <w:r w:rsidRPr="00D039A2">
        <w:rPr>
          <w:bCs/>
          <w:color w:val="1A1617"/>
          <w:szCs w:val="22"/>
        </w:rPr>
        <w:t>Therefore,</w:t>
      </w:r>
      <w:r w:rsidR="00306BD2" w:rsidRPr="00D039A2">
        <w:rPr>
          <w:bCs/>
          <w:color w:val="1A1617"/>
          <w:szCs w:val="22"/>
        </w:rPr>
        <w:t xml:space="preserve"> it </w:t>
      </w:r>
      <w:r w:rsidR="0013651B" w:rsidRPr="00D039A2">
        <w:rPr>
          <w:rStyle w:val="rynqvb"/>
        </w:rPr>
        <w:t>does not necessarily mean that the bidder should be registered in accordance with the legal regulation for performing geodetic works</w:t>
      </w:r>
      <w:r w:rsidR="000704B2">
        <w:rPr>
          <w:rStyle w:val="rynqvb"/>
        </w:rPr>
        <w:t>.</w:t>
      </w:r>
    </w:p>
    <w:p w14:paraId="6A609E17" w14:textId="77777777" w:rsidR="000704B2" w:rsidRDefault="000704B2" w:rsidP="00C55B94">
      <w:pPr>
        <w:pStyle w:val="Default"/>
        <w:jc w:val="both"/>
        <w:rPr>
          <w:rStyle w:val="rynqvb"/>
        </w:rPr>
      </w:pPr>
    </w:p>
    <w:p w14:paraId="1BC6F894" w14:textId="1AD14C16" w:rsidR="000704B2" w:rsidRDefault="000704B2" w:rsidP="00C55B94">
      <w:pPr>
        <w:pStyle w:val="Default"/>
        <w:jc w:val="both"/>
      </w:pPr>
      <w:r>
        <w:rPr>
          <w:rStyle w:val="rynqvb"/>
        </w:rPr>
        <w:t xml:space="preserve">Regarding the licences, please refer to: </w:t>
      </w:r>
      <w:bookmarkStart w:id="2" w:name="_Toc101929323"/>
      <w:bookmarkStart w:id="3" w:name="_Toc139825820"/>
      <w:r w:rsidRPr="006479D0">
        <w:t>Section III. Evaluation and Qualification Criteria</w:t>
      </w:r>
      <w:bookmarkStart w:id="4" w:name="_Toc41971243"/>
      <w:bookmarkStart w:id="5" w:name="_Toc101929324"/>
      <w:bookmarkEnd w:id="2"/>
      <w:bookmarkEnd w:id="3"/>
      <w:r>
        <w:t xml:space="preserve">, which stipulates the following: </w:t>
      </w:r>
    </w:p>
    <w:p w14:paraId="0CF337C9" w14:textId="77777777" w:rsidR="00F7629B" w:rsidRDefault="00F7629B" w:rsidP="00C55B94">
      <w:pPr>
        <w:pStyle w:val="Default"/>
        <w:jc w:val="both"/>
      </w:pPr>
    </w:p>
    <w:p w14:paraId="26FA22CD" w14:textId="77777777" w:rsidR="000704B2" w:rsidRPr="000704B2" w:rsidRDefault="000704B2" w:rsidP="000704B2">
      <w:pPr>
        <w:pStyle w:val="Default"/>
        <w:jc w:val="both"/>
        <w:rPr>
          <w:b/>
          <w:bCs/>
        </w:rPr>
      </w:pPr>
      <w:r w:rsidRPr="000704B2">
        <w:rPr>
          <w:b/>
          <w:bCs/>
        </w:rPr>
        <w:t>Legal and Professional capacity of bidder:</w:t>
      </w:r>
    </w:p>
    <w:p w14:paraId="128DDC21" w14:textId="6C55847D" w:rsidR="000704B2" w:rsidRDefault="000704B2" w:rsidP="000704B2">
      <w:pPr>
        <w:pStyle w:val="Default"/>
        <w:jc w:val="both"/>
      </w:pPr>
      <w:r>
        <w:t>“</w:t>
      </w:r>
      <w:proofErr w:type="gramStart"/>
      <w:r>
        <w:t>….</w:t>
      </w:r>
      <w:r>
        <w:t>b</w:t>
      </w:r>
      <w:proofErr w:type="gramEnd"/>
      <w:r>
        <w:t>)</w:t>
      </w:r>
      <w:r>
        <w:tab/>
        <w:t xml:space="preserve">At the moment of tender submission, the tenderer shall have a professional licence(s), certificate(s) (or right), </w:t>
      </w:r>
      <w:r w:rsidRPr="000704B2">
        <w:rPr>
          <w:u w:val="single"/>
        </w:rPr>
        <w:t>in accordance with the laws of the country in which he is established (</w:t>
      </w:r>
      <w:r>
        <w:t xml:space="preserve">or equivalent) for the execution of the construction works. </w:t>
      </w:r>
    </w:p>
    <w:p w14:paraId="1AFB9A90" w14:textId="6742A94A" w:rsidR="000704B2" w:rsidRDefault="000704B2" w:rsidP="000704B2">
      <w:pPr>
        <w:pStyle w:val="Default"/>
        <w:jc w:val="both"/>
      </w:pPr>
      <w:r>
        <w:t>For the purpose of tender evaluation, legal requirements must be respected from every member of a consortium while for professional licence only one member is sufficient to have it.</w:t>
      </w:r>
    </w:p>
    <w:p w14:paraId="47610113" w14:textId="21658FA0" w:rsidR="000704B2" w:rsidRDefault="000704B2" w:rsidP="00C55B94">
      <w:pPr>
        <w:pStyle w:val="Default"/>
        <w:jc w:val="both"/>
      </w:pPr>
    </w:p>
    <w:p w14:paraId="09D3751E" w14:textId="1E779E31" w:rsidR="000704B2" w:rsidRPr="000704B2" w:rsidRDefault="000704B2" w:rsidP="000704B2">
      <w:pPr>
        <w:pStyle w:val="Default"/>
        <w:jc w:val="both"/>
        <w:rPr>
          <w:b/>
          <w:bCs/>
        </w:rPr>
      </w:pPr>
      <w:r>
        <w:rPr>
          <w:b/>
          <w:bCs/>
        </w:rPr>
        <w:t>…</w:t>
      </w:r>
      <w:r w:rsidRPr="000704B2">
        <w:rPr>
          <w:b/>
          <w:bCs/>
        </w:rPr>
        <w:t>Accreditation and registration in Montenegro:</w:t>
      </w:r>
    </w:p>
    <w:p w14:paraId="1040B866" w14:textId="77777777" w:rsidR="000704B2" w:rsidRDefault="000704B2" w:rsidP="000704B2">
      <w:pPr>
        <w:pStyle w:val="Default"/>
        <w:jc w:val="both"/>
      </w:pPr>
      <w:r>
        <w:t xml:space="preserve">Regarding the accreditation and registration in Montenegro prior to signing of the Contract, the Contractor will have to be accredited and registered in accordance with the relevant legislation of Montenegro. </w:t>
      </w:r>
    </w:p>
    <w:p w14:paraId="6200A596" w14:textId="27B661C3" w:rsidR="006064BC" w:rsidRPr="00D039A2" w:rsidRDefault="000704B2" w:rsidP="000704B2">
      <w:pPr>
        <w:pStyle w:val="Default"/>
        <w:jc w:val="both"/>
        <w:rPr>
          <w:bCs/>
          <w:color w:val="1A1617"/>
          <w:szCs w:val="22"/>
        </w:rPr>
      </w:pPr>
      <w:r>
        <w:t>The accreditation and registration of licences in Montenegro will be sought only from the successful Bidder and the successful Bidder will be given a sufficient time from the day award decision becomes final to provide those licenses and will not be penalized for any</w:t>
      </w:r>
      <w:r>
        <w:t xml:space="preserve"> </w:t>
      </w:r>
      <w:r>
        <w:t>delay in issuance of licences not caused by the successful Bidder.</w:t>
      </w:r>
      <w:r>
        <w:t>”</w:t>
      </w:r>
      <w:r w:rsidRPr="006479D0">
        <w:br/>
      </w:r>
      <w:bookmarkEnd w:id="4"/>
      <w:bookmarkEnd w:id="5"/>
    </w:p>
    <w:sectPr w:rsidR="006064BC" w:rsidRPr="00D039A2" w:rsidSect="0058720E">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0E978" w14:textId="77777777" w:rsidR="0058720E" w:rsidRDefault="0058720E" w:rsidP="00634392">
      <w:pPr>
        <w:spacing w:after="0" w:line="240" w:lineRule="auto"/>
      </w:pPr>
      <w:r>
        <w:separator/>
      </w:r>
    </w:p>
  </w:endnote>
  <w:endnote w:type="continuationSeparator" w:id="0">
    <w:p w14:paraId="1045619B" w14:textId="77777777" w:rsidR="0058720E" w:rsidRDefault="0058720E" w:rsidP="0063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charset w:val="00"/>
    <w:family w:val="auto"/>
    <w:pitch w:val="variable"/>
    <w:sig w:usb0="00000087" w:usb1="00000000" w:usb2="00000000" w:usb3="00000000" w:csb0="0000001B" w:csb1="00000000"/>
  </w:font>
  <w:font w:name="Calibri-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A640" w14:textId="77777777" w:rsidR="00634392" w:rsidRDefault="00634392" w:rsidP="00634392">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5C6938">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5C6938">
      <w:rPr>
        <w:noProof/>
        <w:color w:val="4F81BD" w:themeColor="accent1"/>
      </w:rPr>
      <w:t>3</w:t>
    </w:r>
    <w:r>
      <w:rPr>
        <w:color w:val="4F81BD" w:themeColor="accent1"/>
      </w:rPr>
      <w:fldChar w:fldCharType="end"/>
    </w:r>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D7B43" w14:textId="77777777" w:rsidR="0058720E" w:rsidRDefault="0058720E" w:rsidP="00634392">
      <w:pPr>
        <w:spacing w:after="0" w:line="240" w:lineRule="auto"/>
      </w:pPr>
      <w:r>
        <w:separator/>
      </w:r>
    </w:p>
  </w:footnote>
  <w:footnote w:type="continuationSeparator" w:id="0">
    <w:p w14:paraId="0B245EAE" w14:textId="77777777" w:rsidR="0058720E" w:rsidRDefault="0058720E" w:rsidP="00634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F36CA8"/>
    <w:multiLevelType w:val="hybridMultilevel"/>
    <w:tmpl w:val="56CA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C6380"/>
    <w:multiLevelType w:val="hybridMultilevel"/>
    <w:tmpl w:val="01B8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53E68"/>
    <w:multiLevelType w:val="hybridMultilevel"/>
    <w:tmpl w:val="D7B6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1014B"/>
    <w:multiLevelType w:val="hybridMultilevel"/>
    <w:tmpl w:val="6C5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859224">
    <w:abstractNumId w:val="5"/>
  </w:num>
  <w:num w:numId="2" w16cid:durableId="1821076205">
    <w:abstractNumId w:val="1"/>
  </w:num>
  <w:num w:numId="3" w16cid:durableId="1244726624">
    <w:abstractNumId w:val="6"/>
  </w:num>
  <w:num w:numId="4" w16cid:durableId="1352144078">
    <w:abstractNumId w:val="10"/>
  </w:num>
  <w:num w:numId="5" w16cid:durableId="619145936">
    <w:abstractNumId w:val="9"/>
  </w:num>
  <w:num w:numId="6" w16cid:durableId="457338434">
    <w:abstractNumId w:val="8"/>
  </w:num>
  <w:num w:numId="7" w16cid:durableId="548567119">
    <w:abstractNumId w:val="2"/>
  </w:num>
  <w:num w:numId="8" w16cid:durableId="369457852">
    <w:abstractNumId w:val="7"/>
  </w:num>
  <w:num w:numId="9" w16cid:durableId="898637946">
    <w:abstractNumId w:val="3"/>
  </w:num>
  <w:num w:numId="10" w16cid:durableId="970549872">
    <w:abstractNumId w:val="0"/>
  </w:num>
  <w:num w:numId="11" w16cid:durableId="56645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704B2"/>
    <w:rsid w:val="00080735"/>
    <w:rsid w:val="00080CB5"/>
    <w:rsid w:val="0013651B"/>
    <w:rsid w:val="001D37E1"/>
    <w:rsid w:val="001D4A65"/>
    <w:rsid w:val="001E1A49"/>
    <w:rsid w:val="0029136C"/>
    <w:rsid w:val="002A160A"/>
    <w:rsid w:val="002B1A6F"/>
    <w:rsid w:val="00306BD2"/>
    <w:rsid w:val="00315678"/>
    <w:rsid w:val="00330CC3"/>
    <w:rsid w:val="003377C9"/>
    <w:rsid w:val="00401576"/>
    <w:rsid w:val="0040517B"/>
    <w:rsid w:val="004069BB"/>
    <w:rsid w:val="0042109A"/>
    <w:rsid w:val="004400A2"/>
    <w:rsid w:val="004821A5"/>
    <w:rsid w:val="004D6B2F"/>
    <w:rsid w:val="00514E46"/>
    <w:rsid w:val="0052466B"/>
    <w:rsid w:val="00526294"/>
    <w:rsid w:val="0058720E"/>
    <w:rsid w:val="005908D1"/>
    <w:rsid w:val="005C6938"/>
    <w:rsid w:val="006002F9"/>
    <w:rsid w:val="006064BC"/>
    <w:rsid w:val="00606CAE"/>
    <w:rsid w:val="00616DC6"/>
    <w:rsid w:val="00634392"/>
    <w:rsid w:val="00650F43"/>
    <w:rsid w:val="006836D2"/>
    <w:rsid w:val="006B3D5C"/>
    <w:rsid w:val="007B1333"/>
    <w:rsid w:val="007C291E"/>
    <w:rsid w:val="007F59DF"/>
    <w:rsid w:val="008433D0"/>
    <w:rsid w:val="00850EF2"/>
    <w:rsid w:val="00861A58"/>
    <w:rsid w:val="008A1581"/>
    <w:rsid w:val="00956E69"/>
    <w:rsid w:val="00A17AE8"/>
    <w:rsid w:val="00A30B50"/>
    <w:rsid w:val="00A36C70"/>
    <w:rsid w:val="00A45476"/>
    <w:rsid w:val="00AB3570"/>
    <w:rsid w:val="00AD06A4"/>
    <w:rsid w:val="00AD2F1A"/>
    <w:rsid w:val="00B22784"/>
    <w:rsid w:val="00B311E1"/>
    <w:rsid w:val="00B377EC"/>
    <w:rsid w:val="00BC26A5"/>
    <w:rsid w:val="00BC6E0B"/>
    <w:rsid w:val="00BE658B"/>
    <w:rsid w:val="00C55B94"/>
    <w:rsid w:val="00CC7B2A"/>
    <w:rsid w:val="00CD2FC9"/>
    <w:rsid w:val="00D039A2"/>
    <w:rsid w:val="00DA594B"/>
    <w:rsid w:val="00DB1DAA"/>
    <w:rsid w:val="00DD2E68"/>
    <w:rsid w:val="00E0671E"/>
    <w:rsid w:val="00E41EF5"/>
    <w:rsid w:val="00E56257"/>
    <w:rsid w:val="00EA5354"/>
    <w:rsid w:val="00EB1EB1"/>
    <w:rsid w:val="00EF089F"/>
    <w:rsid w:val="00EF65DA"/>
    <w:rsid w:val="00F76236"/>
    <w:rsid w:val="00F7629B"/>
    <w:rsid w:val="00F9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24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55B94"/>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alloonText">
    <w:name w:val="Balloon Text"/>
    <w:basedOn w:val="Normal"/>
    <w:link w:val="BalloonTextChar"/>
    <w:uiPriority w:val="99"/>
    <w:semiHidden/>
    <w:unhideWhenUsed/>
    <w:rsid w:val="0060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392"/>
  </w:style>
  <w:style w:type="paragraph" w:styleId="HTMLPreformatted">
    <w:name w:val="HTML Preformatted"/>
    <w:basedOn w:val="Normal"/>
    <w:link w:val="HTMLPreformattedChar"/>
    <w:uiPriority w:val="99"/>
    <w:semiHidden/>
    <w:unhideWhenUsed/>
    <w:rsid w:val="000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80CB5"/>
    <w:rPr>
      <w:rFonts w:ascii="Courier New" w:eastAsia="Times New Roman" w:hAnsi="Courier New" w:cs="Courier New"/>
      <w:sz w:val="20"/>
      <w:szCs w:val="20"/>
      <w:lang w:val="en-US"/>
    </w:rPr>
  </w:style>
  <w:style w:type="character" w:customStyle="1" w:styleId="y2iqfc">
    <w:name w:val="y2iqfc"/>
    <w:basedOn w:val="DefaultParagraphFont"/>
    <w:rsid w:val="00080CB5"/>
  </w:style>
  <w:style w:type="paragraph" w:styleId="ListParagraph">
    <w:name w:val="List Paragraph"/>
    <w:aliases w:val="Citation List,본문(내용),List Paragraph (numbered (a)),Paragraph,List Paragraph Red,lp1,Liste Paragraf"/>
    <w:basedOn w:val="Normal"/>
    <w:link w:val="ListParagraphChar"/>
    <w:uiPriority w:val="34"/>
    <w:qFormat/>
    <w:rsid w:val="00080CB5"/>
    <w:pPr>
      <w:ind w:left="720"/>
      <w:contextualSpacing/>
    </w:pPr>
  </w:style>
  <w:style w:type="paragraph" w:customStyle="1" w:styleId="xmsonormal">
    <w:name w:val="x_msonormal"/>
    <w:basedOn w:val="Normal"/>
    <w:rsid w:val="00A30B50"/>
    <w:pPr>
      <w:spacing w:after="160" w:line="252" w:lineRule="auto"/>
    </w:pPr>
    <w:rPr>
      <w:rFonts w:ascii="Calibri" w:hAnsi="Calibri" w:cs="Calibri"/>
      <w:lang w:val="en-US"/>
    </w:rPr>
  </w:style>
  <w:style w:type="character" w:customStyle="1" w:styleId="xbold">
    <w:name w:val="x_bold"/>
    <w:basedOn w:val="DefaultParagraphFont"/>
    <w:rsid w:val="00A30B50"/>
  </w:style>
  <w:style w:type="character" w:styleId="Hyperlink">
    <w:name w:val="Hyperlink"/>
    <w:basedOn w:val="DefaultParagraphFont"/>
    <w:uiPriority w:val="99"/>
    <w:unhideWhenUsed/>
    <w:rsid w:val="002A160A"/>
    <w:rPr>
      <w:color w:val="0000FF" w:themeColor="hyperlink"/>
      <w:u w:val="single"/>
    </w:rPr>
  </w:style>
  <w:style w:type="character" w:styleId="UnresolvedMention">
    <w:name w:val="Unresolved Mention"/>
    <w:basedOn w:val="DefaultParagraphFont"/>
    <w:uiPriority w:val="99"/>
    <w:semiHidden/>
    <w:unhideWhenUsed/>
    <w:rsid w:val="002A160A"/>
    <w:rPr>
      <w:color w:val="605E5C"/>
      <w:shd w:val="clear" w:color="auto" w:fill="E1DFDD"/>
    </w:rPr>
  </w:style>
  <w:style w:type="character" w:customStyle="1" w:styleId="Heading4Char">
    <w:name w:val="Heading 4 Char"/>
    <w:basedOn w:val="DefaultParagraphFont"/>
    <w:link w:val="Heading4"/>
    <w:uiPriority w:val="9"/>
    <w:rsid w:val="00C55B94"/>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C55B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fluence-anchor-link">
    <w:name w:val="confluence-anchor-link"/>
    <w:basedOn w:val="DefaultParagraphFont"/>
    <w:rsid w:val="00C55B94"/>
  </w:style>
  <w:style w:type="character" w:customStyle="1" w:styleId="Heading2Char">
    <w:name w:val="Heading 2 Char"/>
    <w:basedOn w:val="DefaultParagraphFont"/>
    <w:link w:val="Heading2"/>
    <w:uiPriority w:val="9"/>
    <w:semiHidden/>
    <w:rsid w:val="0052466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330CC3"/>
  </w:style>
  <w:style w:type="character" w:customStyle="1" w:styleId="rynqvb">
    <w:name w:val="rynqvb"/>
    <w:basedOn w:val="DefaultParagraphFont"/>
    <w:rsid w:val="0013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72706994">
      <w:bodyDiv w:val="1"/>
      <w:marLeft w:val="0"/>
      <w:marRight w:val="0"/>
      <w:marTop w:val="0"/>
      <w:marBottom w:val="0"/>
      <w:divBdr>
        <w:top w:val="none" w:sz="0" w:space="0" w:color="auto"/>
        <w:left w:val="none" w:sz="0" w:space="0" w:color="auto"/>
        <w:bottom w:val="none" w:sz="0" w:space="0" w:color="auto"/>
        <w:right w:val="none" w:sz="0" w:space="0" w:color="auto"/>
      </w:divBdr>
    </w:div>
    <w:div w:id="322273136">
      <w:bodyDiv w:val="1"/>
      <w:marLeft w:val="0"/>
      <w:marRight w:val="0"/>
      <w:marTop w:val="0"/>
      <w:marBottom w:val="0"/>
      <w:divBdr>
        <w:top w:val="none" w:sz="0" w:space="0" w:color="auto"/>
        <w:left w:val="none" w:sz="0" w:space="0" w:color="auto"/>
        <w:bottom w:val="none" w:sz="0" w:space="0" w:color="auto"/>
        <w:right w:val="none" w:sz="0" w:space="0" w:color="auto"/>
      </w:divBdr>
    </w:div>
    <w:div w:id="511727161">
      <w:bodyDiv w:val="1"/>
      <w:marLeft w:val="0"/>
      <w:marRight w:val="0"/>
      <w:marTop w:val="0"/>
      <w:marBottom w:val="0"/>
      <w:divBdr>
        <w:top w:val="none" w:sz="0" w:space="0" w:color="auto"/>
        <w:left w:val="none" w:sz="0" w:space="0" w:color="auto"/>
        <w:bottom w:val="none" w:sz="0" w:space="0" w:color="auto"/>
        <w:right w:val="none" w:sz="0" w:space="0" w:color="auto"/>
      </w:divBdr>
    </w:div>
    <w:div w:id="924800426">
      <w:bodyDiv w:val="1"/>
      <w:marLeft w:val="0"/>
      <w:marRight w:val="0"/>
      <w:marTop w:val="0"/>
      <w:marBottom w:val="0"/>
      <w:divBdr>
        <w:top w:val="none" w:sz="0" w:space="0" w:color="auto"/>
        <w:left w:val="none" w:sz="0" w:space="0" w:color="auto"/>
        <w:bottom w:val="none" w:sz="0" w:space="0" w:color="auto"/>
        <w:right w:val="none" w:sz="0" w:space="0" w:color="auto"/>
      </w:divBdr>
    </w:div>
    <w:div w:id="1350570831">
      <w:bodyDiv w:val="1"/>
      <w:marLeft w:val="0"/>
      <w:marRight w:val="0"/>
      <w:marTop w:val="0"/>
      <w:marBottom w:val="0"/>
      <w:divBdr>
        <w:top w:val="none" w:sz="0" w:space="0" w:color="auto"/>
        <w:left w:val="none" w:sz="0" w:space="0" w:color="auto"/>
        <w:bottom w:val="none" w:sz="0" w:space="0" w:color="auto"/>
        <w:right w:val="none" w:sz="0" w:space="0" w:color="auto"/>
      </w:divBdr>
    </w:div>
    <w:div w:id="1397972704">
      <w:bodyDiv w:val="1"/>
      <w:marLeft w:val="0"/>
      <w:marRight w:val="0"/>
      <w:marTop w:val="0"/>
      <w:marBottom w:val="0"/>
      <w:divBdr>
        <w:top w:val="none" w:sz="0" w:space="0" w:color="auto"/>
        <w:left w:val="none" w:sz="0" w:space="0" w:color="auto"/>
        <w:bottom w:val="none" w:sz="0" w:space="0" w:color="auto"/>
        <w:right w:val="none" w:sz="0" w:space="0" w:color="auto"/>
      </w:divBdr>
    </w:div>
    <w:div w:id="1795060615">
      <w:bodyDiv w:val="1"/>
      <w:marLeft w:val="0"/>
      <w:marRight w:val="0"/>
      <w:marTop w:val="0"/>
      <w:marBottom w:val="0"/>
      <w:divBdr>
        <w:top w:val="none" w:sz="0" w:space="0" w:color="auto"/>
        <w:left w:val="none" w:sz="0" w:space="0" w:color="auto"/>
        <w:bottom w:val="none" w:sz="0" w:space="0" w:color="auto"/>
        <w:right w:val="none" w:sz="0" w:space="0" w:color="auto"/>
      </w:divBdr>
    </w:div>
    <w:div w:id="1925449686">
      <w:bodyDiv w:val="1"/>
      <w:marLeft w:val="0"/>
      <w:marRight w:val="0"/>
      <w:marTop w:val="0"/>
      <w:marBottom w:val="0"/>
      <w:divBdr>
        <w:top w:val="none" w:sz="0" w:space="0" w:color="auto"/>
        <w:left w:val="none" w:sz="0" w:space="0" w:color="auto"/>
        <w:bottom w:val="none" w:sz="0" w:space="0" w:color="auto"/>
        <w:right w:val="none" w:sz="0" w:space="0" w:color="auto"/>
      </w:divBdr>
    </w:div>
    <w:div w:id="2032534839">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 Beaumard (SUB)</cp:lastModifiedBy>
  <cp:revision>12</cp:revision>
  <dcterms:created xsi:type="dcterms:W3CDTF">2024-05-01T09:59:00Z</dcterms:created>
  <dcterms:modified xsi:type="dcterms:W3CDTF">2024-05-08T09:22:00Z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